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AD21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proofErr w:type="gramStart"/>
      <w:r>
        <w:rPr>
          <w:b/>
          <w:bCs/>
          <w:color w:val="000000"/>
          <w:lang w:val="nb-NO" w:eastAsia="nb-NO"/>
        </w:rPr>
        <w:t>Fra:   </w:t>
      </w:r>
      <w:proofErr w:type="gramEnd"/>
      <w:r>
        <w:rPr>
          <w:b/>
          <w:bCs/>
          <w:color w:val="000000"/>
          <w:lang w:val="nb-NO" w:eastAsia="nb-NO"/>
        </w:rPr>
        <w:t xml:space="preserve">                                           </w:t>
      </w:r>
      <w:r>
        <w:rPr>
          <w:color w:val="000000"/>
          <w:lang w:val="nb-NO" w:eastAsia="nb-NO"/>
        </w:rPr>
        <w:t>Knut Ellingsæter</w:t>
      </w:r>
    </w:p>
    <w:p w14:paraId="613FC93E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proofErr w:type="gramStart"/>
      <w:r>
        <w:rPr>
          <w:b/>
          <w:bCs/>
          <w:color w:val="000000"/>
          <w:lang w:val="nb-NO" w:eastAsia="nb-NO"/>
        </w:rPr>
        <w:t>Sendt:   </w:t>
      </w:r>
      <w:proofErr w:type="gramEnd"/>
      <w:r>
        <w:rPr>
          <w:b/>
          <w:bCs/>
          <w:color w:val="000000"/>
          <w:lang w:val="nb-NO" w:eastAsia="nb-NO"/>
        </w:rPr>
        <w:t xml:space="preserve">                                     </w:t>
      </w:r>
      <w:r>
        <w:rPr>
          <w:color w:val="000000"/>
          <w:lang w:val="nb-NO" w:eastAsia="nb-NO"/>
        </w:rPr>
        <w:t>søndag 29. mai 2022 21:51</w:t>
      </w:r>
    </w:p>
    <w:p w14:paraId="67182BE8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proofErr w:type="gramStart"/>
      <w:r>
        <w:rPr>
          <w:b/>
          <w:bCs/>
          <w:color w:val="000000"/>
          <w:lang w:val="nb-NO" w:eastAsia="nb-NO"/>
        </w:rPr>
        <w:t>Til:   </w:t>
      </w:r>
      <w:proofErr w:type="gramEnd"/>
      <w:r>
        <w:rPr>
          <w:b/>
          <w:bCs/>
          <w:color w:val="000000"/>
          <w:lang w:val="nb-NO" w:eastAsia="nb-NO"/>
        </w:rPr>
        <w:t xml:space="preserve">                                            </w:t>
      </w:r>
      <w:r>
        <w:rPr>
          <w:color w:val="000000"/>
          <w:lang w:val="nb-NO" w:eastAsia="nb-NO"/>
        </w:rPr>
        <w:t>'Ytterdal Ingvild'</w:t>
      </w:r>
    </w:p>
    <w:p w14:paraId="25596210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proofErr w:type="gramStart"/>
      <w:r>
        <w:rPr>
          <w:b/>
          <w:bCs/>
          <w:color w:val="000000"/>
          <w:lang w:val="nb-NO" w:eastAsia="nb-NO"/>
        </w:rPr>
        <w:t>Kopi:</w:t>
      </w:r>
      <w:r>
        <w:rPr>
          <w:b/>
          <w:bCs/>
          <w:color w:val="000000"/>
          <w:lang w:val="nb-NO" w:eastAsia="nb-NO"/>
        </w:rPr>
        <w:t>   </w:t>
      </w:r>
      <w:proofErr w:type="gramEnd"/>
      <w:r>
        <w:rPr>
          <w:b/>
          <w:bCs/>
          <w:color w:val="000000"/>
          <w:lang w:val="nb-NO" w:eastAsia="nb-NO"/>
        </w:rPr>
        <w:t xml:space="preserve">                                        </w:t>
      </w:r>
      <w:r>
        <w:rPr>
          <w:color w:val="000000"/>
          <w:lang w:val="nb-NO" w:eastAsia="nb-NO"/>
        </w:rPr>
        <w:t>Annette Tjaberg</w:t>
      </w:r>
    </w:p>
    <w:p w14:paraId="7113C02C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proofErr w:type="gramStart"/>
      <w:r>
        <w:rPr>
          <w:b/>
          <w:bCs/>
          <w:color w:val="000000"/>
          <w:lang w:val="nb-NO" w:eastAsia="nb-NO"/>
        </w:rPr>
        <w:t>Emne:   </w:t>
      </w:r>
      <w:proofErr w:type="gramEnd"/>
      <w:r>
        <w:rPr>
          <w:b/>
          <w:bCs/>
          <w:color w:val="000000"/>
          <w:lang w:val="nb-NO" w:eastAsia="nb-NO"/>
        </w:rPr>
        <w:t xml:space="preserve">                                     </w:t>
      </w:r>
      <w:r>
        <w:rPr>
          <w:color w:val="000000"/>
          <w:lang w:val="nb-NO" w:eastAsia="nb-NO"/>
        </w:rPr>
        <w:t>Samlokalisering av Nasjonal sikkerhetsmyndighet</w:t>
      </w:r>
    </w:p>
    <w:p w14:paraId="1DC05950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proofErr w:type="gramStart"/>
      <w:r>
        <w:rPr>
          <w:b/>
          <w:bCs/>
          <w:color w:val="000000"/>
          <w:lang w:val="nb-NO" w:eastAsia="nb-NO"/>
        </w:rPr>
        <w:t>Vedlegg:   </w:t>
      </w:r>
      <w:proofErr w:type="gramEnd"/>
      <w:r>
        <w:rPr>
          <w:b/>
          <w:bCs/>
          <w:color w:val="000000"/>
          <w:lang w:val="nb-NO" w:eastAsia="nb-NO"/>
        </w:rPr>
        <w:t xml:space="preserve">                                </w:t>
      </w:r>
      <w:r>
        <w:rPr>
          <w:color w:val="000000"/>
          <w:lang w:val="nb-NO" w:eastAsia="nb-NO"/>
        </w:rPr>
        <w:t>Leiekontrakt Snarøyveien 36 utkast mai.docx; A03 - S-20-01438</w:t>
      </w:r>
      <w:r>
        <w:rPr>
          <w:color w:val="000000"/>
          <w:lang w:val="nb-NO" w:eastAsia="nb-NO"/>
        </w:rPr>
        <w:t>-3 Kravspesifikasjon - muligheter etter 2024_.pdf</w:t>
      </w:r>
    </w:p>
    <w:p w14:paraId="772F1951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r>
        <w:rPr>
          <w:color w:val="000000"/>
          <w:lang w:val="nb-NO" w:eastAsia="nb-NO"/>
        </w:rPr>
        <w:t> </w:t>
      </w:r>
    </w:p>
    <w:p w14:paraId="64EB2EA9" w14:textId="77777777" w:rsidR="00204EE7" w:rsidRDefault="00835DFD">
      <w:pPr>
        <w:pStyle w:val="pMsoNormal"/>
        <w:ind w:left="2400" w:hanging="2400"/>
        <w:rPr>
          <w:lang w:val="nb-NO" w:eastAsia="nb-NO"/>
        </w:rPr>
      </w:pPr>
      <w:proofErr w:type="gramStart"/>
      <w:r>
        <w:rPr>
          <w:b/>
          <w:bCs/>
          <w:color w:val="000000"/>
          <w:lang w:val="nb-NO" w:eastAsia="nb-NO"/>
        </w:rPr>
        <w:t>Kategorier:   </w:t>
      </w:r>
      <w:proofErr w:type="gramEnd"/>
      <w:r>
        <w:rPr>
          <w:b/>
          <w:bCs/>
          <w:color w:val="000000"/>
          <w:lang w:val="nb-NO" w:eastAsia="nb-NO"/>
        </w:rPr>
        <w:t xml:space="preserve">                           </w:t>
      </w:r>
      <w:r>
        <w:rPr>
          <w:color w:val="000000"/>
          <w:lang w:val="nb-NO" w:eastAsia="nb-NO"/>
        </w:rPr>
        <w:t xml:space="preserve">Arkivert i </w:t>
      </w:r>
      <w:proofErr w:type="spellStart"/>
      <w:r>
        <w:rPr>
          <w:color w:val="000000"/>
          <w:lang w:val="nb-NO" w:eastAsia="nb-NO"/>
        </w:rPr>
        <w:t>Websak</w:t>
      </w:r>
      <w:proofErr w:type="spellEnd"/>
    </w:p>
    <w:p w14:paraId="2D69FB83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55E29C91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Hei.</w:t>
      </w:r>
    </w:p>
    <w:p w14:paraId="719D478E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NSM har hatt flere møter med leder for Statsbyggs rådgivningstjeneste i løpet av prosessen. NSM har benyttet Statsbyggs tjenester til å vu</w:t>
      </w:r>
      <w:r>
        <w:rPr>
          <w:lang w:val="nb-NO" w:eastAsia="nb-NO"/>
        </w:rPr>
        <w:t>rdere prinsipper for lokalisering og eierskapsmodell for nye lokaler, og fikk også råd knyttet til romprogram og arealbruk. Disse tilbakemeldingene er hensyntatt i det videre prosjektet. Det nye romprogrammet har primært åpne løsninger og teamkontor innenf</w:t>
      </w:r>
      <w:r>
        <w:rPr>
          <w:lang w:val="nb-NO" w:eastAsia="nb-NO"/>
        </w:rPr>
        <w:t>or de sikkerhetskrav NSM har. Arealbruken inkludert spesialrom er anslått til 25 kvm/ansatt, selv om endelig planløsning ikke er ferdig presentert. Dette inkluderer ikke kurssenteret til NSM.  Det er lagt opp til en moderne løsning med stor tetthet av mult</w:t>
      </w:r>
      <w:r>
        <w:rPr>
          <w:lang w:val="nb-NO" w:eastAsia="nb-NO"/>
        </w:rPr>
        <w:t>irom som vil gi gode muligheter til moderne arbeidsformer, og de nye løsningene har i tillegg dekning for den veksten i ansatte som er kommet etter at konkurransen i markedet ble gjennomført.</w:t>
      </w:r>
    </w:p>
    <w:p w14:paraId="39CF0D78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57448A3C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I NSMs siste møte med Statsbygg, i januar 2022, fikk direktora</w:t>
      </w:r>
      <w:r>
        <w:rPr>
          <w:lang w:val="nb-NO" w:eastAsia="nb-NO"/>
        </w:rPr>
        <w:t>tet klare signaler om at prosessen tilfredsstiller kravene i bygge- og leiesaksinstruksen. Statsbygg sin vurdering var at NSMs markedsforespørsel hadde et slikt volum, og genererte så mange tilbud, at det mest gunstige leiealternativet for staten måtte ant</w:t>
      </w:r>
      <w:r>
        <w:rPr>
          <w:lang w:val="nb-NO" w:eastAsia="nb-NO"/>
        </w:rPr>
        <w:t xml:space="preserve">as å være sikret. </w:t>
      </w:r>
    </w:p>
    <w:p w14:paraId="7B78113C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483A2B26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 xml:space="preserve">JD er informert om at konkurransen ble gjennomført ved at en rettet forespørsel ble sendt ut til 11 store eiendomsaktører i Oslo-området. Forespørselen ble sendt ut i mai 2020, med frist for å sende tilbud i september 2020. NSM mottok </w:t>
      </w:r>
      <w:r>
        <w:rPr>
          <w:lang w:val="nb-NO" w:eastAsia="nb-NO"/>
        </w:rPr>
        <w:t xml:space="preserve">totalt 22 tilbud om lokaler som tilfredsstilte kravspesifikasjonen. Kravspesifikasjon følger vedlagt. </w:t>
      </w:r>
    </w:p>
    <w:p w14:paraId="7A96307C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6ECF0386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Valg av alternativ skjedde etter en helhetsvurdering hvor følgende forhold ble tillagt vekt:</w:t>
      </w:r>
    </w:p>
    <w:p w14:paraId="16C71CE6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>Samhandling: Organisasjonen bærer preg av å ikke være saml</w:t>
      </w:r>
      <w:r>
        <w:rPr>
          <w:lang w:val="nb-NO" w:eastAsia="nb-NO"/>
        </w:rPr>
        <w:t>okalisert, med lite samhandling på tvers. Det prioriteres høyt å bygge «ett NSM», og løsninger som legger til rette for god samhandling vurderes som en viktig forutsetning for dette.</w:t>
      </w:r>
    </w:p>
    <w:p w14:paraId="6FAC68B6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>Vekstmulighet: Det er grunn til å forvente at organisasjonen vil fortsett</w:t>
      </w:r>
      <w:r>
        <w:rPr>
          <w:lang w:val="nb-NO" w:eastAsia="nb-NO"/>
        </w:rPr>
        <w:t>e å vokse i årene fremover. Lokalenes mulighet for å absorbere senere vekst tillegges derfor vekt.</w:t>
      </w:r>
    </w:p>
    <w:p w14:paraId="443A010F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>Sikkerhet: Lokalene må kunne sikres tilstrekkelig mot innsyn, avlytting, inntrenging, sabotasje, terror. Byggets beliggenhet, fysisk utforming, naboforhold e</w:t>
      </w:r>
      <w:r>
        <w:rPr>
          <w:lang w:val="nb-NO" w:eastAsia="nb-NO"/>
        </w:rPr>
        <w:t>r forhold som vurderes.</w:t>
      </w:r>
    </w:p>
    <w:p w14:paraId="00476881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>Offentlig kommunikasjon: Gode, nærliggende kommunikasjonsløsninger er viktig for ansatte, partnere, besøkende.</w:t>
      </w:r>
    </w:p>
    <w:p w14:paraId="4E80DE5A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>Parkering: Et tilstrekkelig antall parkeringsplasser vil være et gode for ansatte, men også av betydning for beredskapen.</w:t>
      </w:r>
      <w:r>
        <w:rPr>
          <w:lang w:val="nb-NO" w:eastAsia="nb-NO"/>
        </w:rPr>
        <w:t xml:space="preserve"> Pandemien har vist dette, ved at ansatte har kunnet reise til arbeid uten å utsette seg for smitte på offentlig kommunikasjon.</w:t>
      </w:r>
    </w:p>
    <w:p w14:paraId="40DEF318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 xml:space="preserve">Omgivelser/sosialt: Lokalenes fasiliteter samt byggets omgivelser påvirker ansattes trivsel og muligheten til å bygge ett NSM. </w:t>
      </w:r>
    </w:p>
    <w:p w14:paraId="4420C41F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>Eierforhold: Det er ønskelig med en avklart eierstruktur. NSM bør søke å unngå utenlandsk eierskap.</w:t>
      </w:r>
    </w:p>
    <w:p w14:paraId="3810C263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lastRenderedPageBreak/>
        <w:t>Prosjektrisiko: Valgt løsning bør kunne gjennomføres til lavest mulig risiko. Fremdrift og økonomi er sentrale elementer i vurderingen.</w:t>
      </w:r>
    </w:p>
    <w:p w14:paraId="75FE23BB" w14:textId="77777777" w:rsidR="00204EE7" w:rsidRDefault="00835DFD">
      <w:pPr>
        <w:pStyle w:val="liMsoNormal"/>
        <w:numPr>
          <w:ilvl w:val="0"/>
          <w:numId w:val="1"/>
        </w:numPr>
        <w:ind w:hanging="201"/>
        <w:rPr>
          <w:lang w:val="nb-NO" w:eastAsia="nb-NO"/>
        </w:rPr>
      </w:pPr>
      <w:r>
        <w:rPr>
          <w:lang w:val="nb-NO" w:eastAsia="nb-NO"/>
        </w:rPr>
        <w:t xml:space="preserve">Økonomi: Prosjektet </w:t>
      </w:r>
      <w:r>
        <w:rPr>
          <w:lang w:val="nb-NO" w:eastAsia="nb-NO"/>
        </w:rPr>
        <w:t>skal realiseres innenfor NSMs budsjettrammer.</w:t>
      </w:r>
    </w:p>
    <w:p w14:paraId="31ADBFFC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71AAF48B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 xml:space="preserve">Kravspesifikasjon og </w:t>
      </w:r>
      <w:proofErr w:type="spellStart"/>
      <w:r>
        <w:rPr>
          <w:lang w:val="nb-NO" w:eastAsia="nb-NO"/>
        </w:rPr>
        <w:t>kontraktsutkast</w:t>
      </w:r>
      <w:proofErr w:type="spellEnd"/>
      <w:r>
        <w:rPr>
          <w:lang w:val="nb-NO" w:eastAsia="nb-NO"/>
        </w:rPr>
        <w:t xml:space="preserve"> vedlegges. Kontrakt ikke er ferdig forhandlet.</w:t>
      </w:r>
    </w:p>
    <w:p w14:paraId="46747C12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7DC896E0" w14:textId="77777777" w:rsidR="00204EE7" w:rsidRDefault="00835DFD">
      <w:pPr>
        <w:pStyle w:val="pMsoNormal"/>
        <w:rPr>
          <w:lang w:val="nb-NO" w:eastAsia="nb-NO"/>
        </w:rPr>
      </w:pPr>
      <w:proofErr w:type="spellStart"/>
      <w:r>
        <w:rPr>
          <w:lang w:val="nb-NO" w:eastAsia="nb-NO"/>
        </w:rPr>
        <w:t>Mvh</w:t>
      </w:r>
      <w:proofErr w:type="spellEnd"/>
    </w:p>
    <w:p w14:paraId="13511580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Knut Ellingsæter</w:t>
      </w:r>
    </w:p>
    <w:p w14:paraId="28B2885F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Samfunnssikkerhetsavdelingen</w:t>
      </w:r>
    </w:p>
    <w:p w14:paraId="6426792E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Justis- og beredskapsdepartementet</w:t>
      </w:r>
    </w:p>
    <w:p w14:paraId="3303BD4B" w14:textId="77777777" w:rsidR="00204EE7" w:rsidRDefault="00835DFD">
      <w:pPr>
        <w:pStyle w:val="pMsoNormal"/>
        <w:rPr>
          <w:lang w:val="nb-NO" w:eastAsia="nb-NO"/>
        </w:rPr>
      </w:pPr>
      <w:proofErr w:type="spellStart"/>
      <w:r>
        <w:rPr>
          <w:lang w:val="nb-NO" w:eastAsia="nb-NO"/>
        </w:rPr>
        <w:t>Tlf</w:t>
      </w:r>
      <w:proofErr w:type="spellEnd"/>
      <w:r>
        <w:rPr>
          <w:lang w:val="nb-NO" w:eastAsia="nb-NO"/>
        </w:rPr>
        <w:t xml:space="preserve"> 48066749</w:t>
      </w:r>
    </w:p>
    <w:p w14:paraId="3181A915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5640655E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7F7D9FB6" w14:textId="77777777" w:rsidR="00204EE7" w:rsidRDefault="00835DFD">
      <w:pPr>
        <w:pStyle w:val="pMsoNormal"/>
        <w:rPr>
          <w:lang w:val="nb-NO" w:eastAsia="nb-NO"/>
        </w:rPr>
      </w:pPr>
      <w:r>
        <w:rPr>
          <w:lang w:val="nb-NO" w:eastAsia="nb-NO"/>
        </w:rPr>
        <w:t> </w:t>
      </w:r>
    </w:p>
    <w:p w14:paraId="1164FDC9" w14:textId="77777777" w:rsidR="00204EE7" w:rsidRDefault="00835DFD">
      <w:pPr>
        <w:pStyle w:val="pMsoNormal"/>
        <w:ind w:firstLine="708"/>
        <w:rPr>
          <w:lang w:val="nb-NO" w:eastAsia="nb-NO"/>
        </w:rPr>
      </w:pPr>
      <w:r>
        <w:rPr>
          <w:lang w:val="nb-NO" w:eastAsia="nb-NO"/>
        </w:rPr>
        <w:t> </w:t>
      </w:r>
    </w:p>
    <w:sectPr w:rsidR="00204EE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500B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C05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FAC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42F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66E8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E6C3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D8C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3EEE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8CAB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E7"/>
    <w:rsid w:val="00204EE7"/>
    <w:rsid w:val="008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94F7"/>
  <w15:docId w15:val="{B24D8162-4157-4C56-84E8-51D783D3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Calibri" w:eastAsia="Calibri" w:hAnsi="Calibri" w:cs="Calibri"/>
      <w:sz w:val="22"/>
      <w:szCs w:val="22"/>
    </w:rPr>
  </w:style>
  <w:style w:type="paragraph" w:customStyle="1" w:styleId="liMsoNormal">
    <w:name w:val="li_MsoNormal"/>
    <w:basedOn w:val="Normal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3182</Characters>
  <Application>Microsoft Office Word</Application>
  <DocSecurity>4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Sofie Hippe</dc:creator>
  <cp:lastModifiedBy>Anne Sofie Hippe</cp:lastModifiedBy>
  <cp:revision>2</cp:revision>
  <dcterms:created xsi:type="dcterms:W3CDTF">2023-12-09T12:50:00Z</dcterms:created>
  <dcterms:modified xsi:type="dcterms:W3CDTF">2023-12-09T12:50:00Z</dcterms:modified>
</cp:coreProperties>
</file>