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C4D" w:rsidRDefault="00FF128B" w:rsidP="00B55F3D">
      <w:pPr>
        <w:pStyle w:val="is-dep"/>
      </w:pPr>
      <w:r>
        <w:t>Barne- og familiedepartementet</w:t>
      </w:r>
    </w:p>
    <w:p w:rsidR="00D30C4D" w:rsidRDefault="00B964E1" w:rsidP="00020FC3">
      <w:pPr>
        <w:pStyle w:val="i-hode"/>
      </w:pPr>
      <w:r>
        <w:t>Meld. St. 25</w:t>
      </w:r>
    </w:p>
    <w:p w:rsidR="00D30C4D" w:rsidRDefault="00B964E1" w:rsidP="00020FC3">
      <w:pPr>
        <w:pStyle w:val="i-sesjon"/>
      </w:pPr>
      <w:r>
        <w:t>(2018–2019)</w:t>
      </w:r>
    </w:p>
    <w:p w:rsidR="00D30C4D" w:rsidRDefault="00B964E1" w:rsidP="00020FC3">
      <w:pPr>
        <w:pStyle w:val="i-hode-tit"/>
      </w:pPr>
      <w:r>
        <w:t>Melding til Stortinget</w:t>
      </w:r>
    </w:p>
    <w:p w:rsidR="00D30C4D" w:rsidRDefault="00B55F3D" w:rsidP="00020FC3">
      <w:pPr>
        <w:pStyle w:val="i-tit"/>
        <w:rPr>
          <w:sz w:val="21"/>
          <w:szCs w:val="21"/>
        </w:rPr>
      </w:pPr>
      <w:r w:rsidRPr="00B55F3D">
        <w:t>Framtidas forbrukar – grøn, smart og digital</w:t>
      </w:r>
    </w:p>
    <w:p w:rsidR="00D30C4D" w:rsidRDefault="00FF128B" w:rsidP="00020FC3">
      <w:pPr>
        <w:pStyle w:val="i-dep"/>
      </w:pPr>
      <w:r>
        <w:t>Barne- og familiedepartementet</w:t>
      </w:r>
    </w:p>
    <w:p w:rsidR="00D30C4D" w:rsidRDefault="00B964E1" w:rsidP="00020FC3">
      <w:pPr>
        <w:pStyle w:val="i-hode"/>
      </w:pPr>
      <w:r>
        <w:t>Meld. St. 25</w:t>
      </w:r>
    </w:p>
    <w:p w:rsidR="00D30C4D" w:rsidRDefault="00B964E1" w:rsidP="00020FC3">
      <w:pPr>
        <w:pStyle w:val="i-sesjon"/>
      </w:pPr>
      <w:r>
        <w:t>(2018–2019)</w:t>
      </w:r>
    </w:p>
    <w:p w:rsidR="00D30C4D" w:rsidRDefault="00B964E1" w:rsidP="00020FC3">
      <w:pPr>
        <w:pStyle w:val="i-hode-tit"/>
      </w:pPr>
      <w:r>
        <w:t>Melding til Stortinget</w:t>
      </w:r>
    </w:p>
    <w:p w:rsidR="00D30C4D" w:rsidRDefault="00B55F3D" w:rsidP="00020FC3">
      <w:pPr>
        <w:pStyle w:val="i-tit"/>
        <w:rPr>
          <w:sz w:val="43"/>
          <w:szCs w:val="43"/>
        </w:rPr>
      </w:pPr>
      <w:r w:rsidRPr="00B55F3D">
        <w:t>Framtidas forbrukar – grøn, smart og digital</w:t>
      </w:r>
      <w:bookmarkStart w:id="0" w:name="_GoBack"/>
      <w:bookmarkEnd w:id="0"/>
    </w:p>
    <w:p w:rsidR="00D30C4D" w:rsidRDefault="00B964E1" w:rsidP="00020FC3">
      <w:pPr>
        <w:pStyle w:val="i-statsrdato"/>
      </w:pPr>
      <w:r>
        <w:t>Tilråding frå Barne- og familiedepartementet 7. juni 2019, godkjend i statsråd same dagen. (Regjeringa Solberg)</w:t>
      </w:r>
    </w:p>
    <w:p w:rsidR="00D30C4D" w:rsidRDefault="00DE6D31" w:rsidP="00020FC3">
      <w:pPr>
        <w:pStyle w:val="del-nr"/>
      </w:pPr>
      <w:r>
        <w:t>Del I</w:t>
      </w:r>
    </w:p>
    <w:p w:rsidR="00D30C4D" w:rsidRDefault="00B964E1" w:rsidP="00020FC3">
      <w:pPr>
        <w:pStyle w:val="del-tittel"/>
        <w:rPr>
          <w:w w:val="100"/>
        </w:rPr>
      </w:pPr>
      <w:r>
        <w:rPr>
          <w:w w:val="100"/>
        </w:rPr>
        <w:t>Innleiing og utviklingstrekk</w:t>
      </w:r>
    </w:p>
    <w:p w:rsidR="00D30C4D" w:rsidRDefault="00B964E1" w:rsidP="00020FC3">
      <w:pPr>
        <w:pStyle w:val="Overskrift1"/>
      </w:pPr>
      <w:r>
        <w:t>Innleiing</w:t>
      </w:r>
    </w:p>
    <w:p w:rsidR="00D30C4D" w:rsidRDefault="00741EEC" w:rsidP="00741EEC">
      <w:pPr>
        <w:pStyle w:val="Figur"/>
      </w:pPr>
      <w:r>
        <w:rPr>
          <w:noProof/>
        </w:rPr>
        <w:t>[:figur:figX-X.jpg]</w:t>
      </w:r>
    </w:p>
    <w:p w:rsidR="00D30C4D" w:rsidRDefault="00B964E1" w:rsidP="00020FC3">
      <w:pPr>
        <w:pStyle w:val="figur-tittel"/>
      </w:pPr>
      <w:r>
        <w:t> </w:t>
      </w:r>
    </w:p>
    <w:p w:rsidR="00D30C4D" w:rsidRDefault="00B964E1" w:rsidP="00020FC3">
      <w:pPr>
        <w:pStyle w:val="figur-noter"/>
      </w:pPr>
      <w:r>
        <w:t>Foto: Johnér</w:t>
      </w:r>
    </w:p>
    <w:p w:rsidR="00D30C4D" w:rsidRDefault="00B964E1" w:rsidP="00020FC3">
      <w:r>
        <w:t>I 1962 heldt president John F. Kennedy ein historisk tale om forbrukarane sine rettar for den amerikanske kongressen. Kennedy framheva at vi alle er forbrukarar, og at vi som forbrukarar utgjer den største økonomiske gruppa i marknaden. Samstundes påpeikte Kennedy ein grun</w:t>
      </w:r>
      <w:r>
        <w:t>n</w:t>
      </w:r>
      <w:r>
        <w:t>leggjande mangel i måten økonomien var organisert på. Sjølv om dei var størst, var forbruk</w:t>
      </w:r>
      <w:r>
        <w:t>a</w:t>
      </w:r>
      <w:r>
        <w:t>rane den einaste gruppa som ikkje var organisert på ein skikkeleg måte. Derfor blei forbruk</w:t>
      </w:r>
      <w:r>
        <w:t>a</w:t>
      </w:r>
      <w:r>
        <w:lastRenderedPageBreak/>
        <w:t>rane sine interesser ofte haldne utanfor viktige politiske og økonomiske avgjerder. I talen slo Kennedy fast at forbrukarane hadde visse grunnleggjande rettar:</w:t>
      </w:r>
    </w:p>
    <w:p w:rsidR="00D30C4D" w:rsidRDefault="00B964E1" w:rsidP="00020FC3">
      <w:pPr>
        <w:pStyle w:val="Liste"/>
      </w:pPr>
      <w:r>
        <w:t>Retten til tryggleik – vern mot produkt som kan utgjere ein helsefare.</w:t>
      </w:r>
    </w:p>
    <w:p w:rsidR="00D30C4D" w:rsidRDefault="00B964E1" w:rsidP="00020FC3">
      <w:pPr>
        <w:pStyle w:val="Liste"/>
      </w:pPr>
      <w:r>
        <w:t>Retten til å bli informerte – vern mot falsk, bedragersk eller misvisande informasjon og reklame, og rett til tilstrekkelege opplysingar til å kunne gjere informerte val.</w:t>
      </w:r>
    </w:p>
    <w:p w:rsidR="00D30C4D" w:rsidRDefault="00B964E1" w:rsidP="00020FC3">
      <w:pPr>
        <w:pStyle w:val="Liste"/>
      </w:pPr>
      <w:r>
        <w:t xml:space="preserve">Retten til </w:t>
      </w:r>
      <w:proofErr w:type="gramStart"/>
      <w:r>
        <w:t>å</w:t>
      </w:r>
      <w:proofErr w:type="gramEnd"/>
      <w:r>
        <w:t xml:space="preserve"> velje – tilgang til eit utval av produkt og tenester til konkurransedyktige prisar, og ein garanti for tilfredsstillande kvalitet og service til rimelege prisar.</w:t>
      </w:r>
    </w:p>
    <w:p w:rsidR="00D30C4D" w:rsidRDefault="00B964E1" w:rsidP="00020FC3">
      <w:pPr>
        <w:pStyle w:val="Liste"/>
      </w:pPr>
      <w:r>
        <w:t xml:space="preserve">Retten til å bli høyrde – </w:t>
      </w:r>
      <w:proofErr w:type="gramStart"/>
      <w:r>
        <w:t>å</w:t>
      </w:r>
      <w:proofErr w:type="gramEnd"/>
      <w:r>
        <w:t xml:space="preserve"> vere trygg på at forbrukarinteressene også blir tekne omsyn til når ein skal utforme ny politikk.</w:t>
      </w:r>
    </w:p>
    <w:p w:rsidR="00D30C4D" w:rsidRDefault="00B964E1" w:rsidP="00020FC3">
      <w:r>
        <w:t>FN vedtok retningslinjer for forbrukarvern i 1985, mellom anna med utgangspunkt i rettane som Kennedy framheva. Desse har seinare blitt reviderte to gonger, i 1999 og 2015, og dei omfattar no fleire prinsipp for forbrukarvern enn dei Kennedy fyrst gjekk inn på i talen sin.</w:t>
      </w:r>
      <w:r>
        <w:rPr>
          <w:vertAlign w:val="superscript"/>
        </w:rPr>
        <w:footnoteReference w:id="1"/>
      </w:r>
      <w:r>
        <w:t xml:space="preserve"> Mellom anna inneber prinsippa retten til å klage, retten til forbrukarutdanning, retten til eit sunt miljø, retten til eit digitalt forbrukarvern, retten til privatliv og vern av sårbare forbrukarar. Prinsippa i FN sine retningslinjer ligg til grunn for forbrukarpolitikk i heile verda.</w:t>
      </w:r>
    </w:p>
    <w:p w:rsidR="00D30C4D" w:rsidRDefault="00B964E1" w:rsidP="00020FC3">
      <w:r>
        <w:t xml:space="preserve">FN sine retningslinjer for forbrukarvern slår fast at forbrukarrettane handlar om langt meir enn retten til </w:t>
      </w:r>
      <w:proofErr w:type="gramStart"/>
      <w:r>
        <w:t>å</w:t>
      </w:r>
      <w:proofErr w:type="gramEnd"/>
      <w:r>
        <w:t xml:space="preserve"> byte ei vare. Det handlar om å kunne verne seg mot svindel på nettet. Det handlar om retten til vern mot helseskadelege produkt. Det handlar om at forbrukarane skal kunne forstå vilkåra for eit kredittkort, og ha kontroll over dei digitale spora dei legg frå seg i nettbutikken. Forbrukarspørsmål dreier seg ikkje om luksusproblem. Dei gjeld tryggleik, kunnskap og retten til å ta del i økonomien og gjere medvitne val for korleis ein vil påverke samfunnet rundt seg med lommeboka.</w:t>
      </w:r>
    </w:p>
    <w:p w:rsidR="00D30C4D" w:rsidRDefault="00B964E1" w:rsidP="00E05FE4">
      <w:pPr>
        <w:pStyle w:val="Overskrift2"/>
        <w:numPr>
          <w:ilvl w:val="1"/>
          <w:numId w:val="28"/>
        </w:numPr>
      </w:pPr>
      <w:r>
        <w:t>Føremåla med forbrukarpolitikken</w:t>
      </w:r>
    </w:p>
    <w:p w:rsidR="00D30C4D" w:rsidRDefault="00B964E1" w:rsidP="00020FC3">
      <w:r>
        <w:t xml:space="preserve">Forbrukarpolitikken skal hjelpe til med </w:t>
      </w:r>
      <w:proofErr w:type="gramStart"/>
      <w:r>
        <w:t>å</w:t>
      </w:r>
      <w:proofErr w:type="gramEnd"/>
      <w:r>
        <w:t xml:space="preserve"> styrkje forbrukarane si stilling som den svakare parten i marknaden. I marknaden står forbrukaren som oftast overfor ein profesjonell, kommersiell aktør som har </w:t>
      </w:r>
      <w:proofErr w:type="gramStart"/>
      <w:r>
        <w:t>betre</w:t>
      </w:r>
      <w:proofErr w:type="gramEnd"/>
      <w:r>
        <w:t xml:space="preserve"> informasjon og kunnskap om produktet, avtalevilkår, prissetjing og andre marknadstilhøve. Eitt av hovudføremåla med forbrukarpolitikken er å vege opp for denne ubalansen. Ein godt fungerande marknad for forbrukarane får vi mellom anna ved </w:t>
      </w:r>
      <w:proofErr w:type="gramStart"/>
      <w:r>
        <w:t>å</w:t>
      </w:r>
      <w:proofErr w:type="gramEnd"/>
    </w:p>
    <w:p w:rsidR="00D30C4D" w:rsidRDefault="00B964E1" w:rsidP="00020FC3">
      <w:pPr>
        <w:pStyle w:val="Liste"/>
      </w:pPr>
      <w:r>
        <w:t>gi forbrukarane gode rammevilkår og rettar</w:t>
      </w:r>
    </w:p>
    <w:p w:rsidR="00D30C4D" w:rsidRDefault="00B964E1" w:rsidP="00020FC3">
      <w:pPr>
        <w:pStyle w:val="Liste"/>
      </w:pPr>
      <w:r>
        <w:t>sikre at forbrukarane sine rettar blir handheva</w:t>
      </w:r>
    </w:p>
    <w:p w:rsidR="00D30C4D" w:rsidRDefault="00B964E1" w:rsidP="00020FC3">
      <w:pPr>
        <w:pStyle w:val="Liste"/>
      </w:pPr>
      <w:r>
        <w:t xml:space="preserve">gi forbrukarane tilgang på informasjon og hjelpemiddel til </w:t>
      </w:r>
      <w:proofErr w:type="gramStart"/>
      <w:r>
        <w:t>å</w:t>
      </w:r>
      <w:proofErr w:type="gramEnd"/>
      <w:r>
        <w:t xml:space="preserve"> gjere gode val</w:t>
      </w:r>
    </w:p>
    <w:p w:rsidR="00D30C4D" w:rsidRDefault="00B964E1" w:rsidP="00020FC3">
      <w:pPr>
        <w:pStyle w:val="Liste"/>
      </w:pPr>
      <w:r>
        <w:t>sikre trygge produkt som ikkje er til skade for helse og miljø</w:t>
      </w:r>
    </w:p>
    <w:p w:rsidR="00D30C4D" w:rsidRDefault="00B964E1" w:rsidP="00020FC3">
      <w:pPr>
        <w:pStyle w:val="Liste"/>
      </w:pPr>
      <w:r>
        <w:t>leggje til rette for god og effektiv løysing av forbrukartvistar</w:t>
      </w:r>
    </w:p>
    <w:p w:rsidR="00D30C4D" w:rsidRDefault="00B964E1" w:rsidP="00020FC3">
      <w:r>
        <w:t xml:space="preserve">Ein inkluderande forbrukarpolitikk tek også høgde for at forbrukarane av ulike årsaker kan vere sårbare og ha utfordringar med </w:t>
      </w:r>
      <w:proofErr w:type="gramStart"/>
      <w:r>
        <w:t>å</w:t>
      </w:r>
      <w:proofErr w:type="gramEnd"/>
      <w:r>
        <w:t xml:space="preserve"> meistre forbrukarrolla. Sårbarheita kan ha bakgrunn i både sosiodemografiske kjenneteikn (som alder, inntekt eller utdanning), åtferdsmessige eigensk</w:t>
      </w:r>
      <w:r>
        <w:t>a</w:t>
      </w:r>
      <w:r>
        <w:t xml:space="preserve">par (som rekneferdigheiter eller impulsivitet), personleg situasjon (som arbeid, helse eller </w:t>
      </w:r>
      <w:r>
        <w:lastRenderedPageBreak/>
        <w:t>økonomi) eller marknadsmiljø (som kompleks marknadsføring eller utydeleg informasjon). Nokre forbrukargrupper, som barn og unge, kan vere meir sårbare enn andre. Samstundes kan alle forbrukarar vere sårbare under visse tilhøve og i visse situasjonar.</w:t>
      </w:r>
    </w:p>
    <w:p w:rsidR="00D30C4D" w:rsidRDefault="00B964E1" w:rsidP="00020FC3">
      <w:r>
        <w:t>Forbrukarpolitikken har samstundes ein normativ dimensjon. Dette handlar om å støtte opp om forbruk som kan vere positivt for samfunnet. Forbrukarane kan til dømes velje å handle varer som er miljømerka, for å støtte opp under ei berekraftig utvikling.</w:t>
      </w:r>
    </w:p>
    <w:p w:rsidR="00D30C4D" w:rsidRDefault="00B964E1" w:rsidP="00020FC3">
      <w:r>
        <w:t>Forbrukarpolitikken er sektorovergripande. Dette inneber at ansvaret for politikkområde og verkemiddel som har innverknad på forbrukarane, er fordelt på fleire departement og offentlege organ. Forbrukarane sine rettar er dermed til ein viss grad definerte i regelverk som har andre hovudmål enn forbrukarvern. Døme på dette er regelverk på område som finans, bustad og transport.</w:t>
      </w:r>
    </w:p>
    <w:p w:rsidR="00D30C4D" w:rsidRDefault="00B964E1" w:rsidP="00020FC3">
      <w:r>
        <w:t xml:space="preserve">Barne- og familiedepartementet (BFD) har eit hovudansvar for å koordinere, utforme og fremje regjeringa </w:t>
      </w:r>
      <w:proofErr w:type="gramStart"/>
      <w:r>
        <w:t>sin</w:t>
      </w:r>
      <w:proofErr w:type="gramEnd"/>
      <w:r>
        <w:t xml:space="preserve"> forbrukarpolitikk. Departementet har ansvar for fleire forbrukarlover, mellom anna angrerettlova, marknadsføringslova og gjeldsordningslova. Departementet har også a</w:t>
      </w:r>
      <w:r>
        <w:t>n</w:t>
      </w:r>
      <w:r>
        <w:t xml:space="preserve">svar for å medverke til ein europeisk forbrukarpolitikk ved </w:t>
      </w:r>
      <w:proofErr w:type="gramStart"/>
      <w:r>
        <w:t>å</w:t>
      </w:r>
      <w:proofErr w:type="gramEnd"/>
      <w:r>
        <w:t xml:space="preserve"> fremje norske synspunkt på nye lover og innføre nye direktiv og forordningar frå EU i norsk lovgiving.</w:t>
      </w:r>
    </w:p>
    <w:p w:rsidR="00D30C4D" w:rsidRDefault="00B964E1" w:rsidP="00020FC3">
      <w:r>
        <w:t>BFD har vidare ansvar for dei relaterte verksemdene Forbrukarrådet, Forbrukartilsynet og Sekretariatet for Marknadsrådet og Forbrukarklageutvalet. I tillegg gir departementet eit årleg tilskot til Stiftinga Miljømerking, som forvaltar det nordiske miljømerket, Svana, og det e</w:t>
      </w:r>
      <w:r>
        <w:t>u</w:t>
      </w:r>
      <w:r>
        <w:t>ropeiske miljømerket, EU Ecolabel. BFD skal også sikre at forbrukarpolitikken har eit for</w:t>
      </w:r>
      <w:r>
        <w:t>s</w:t>
      </w:r>
      <w:r>
        <w:t>kingsbasert kunnskapsgrunnlag, og bestiller årleg forsking frå Forbruksforskingsinstituttet SIFO, som ligg under OsloMet – storbyuniversitetet.</w:t>
      </w:r>
    </w:p>
    <w:p w:rsidR="00D30C4D" w:rsidRDefault="00B964E1" w:rsidP="00020FC3">
      <w:pPr>
        <w:pStyle w:val="Overskrift2"/>
      </w:pPr>
      <w:r>
        <w:t>Kvifor ei stortingsmelding om forbrukarpolitikk?</w:t>
      </w:r>
    </w:p>
    <w:p w:rsidR="00D30C4D" w:rsidRDefault="00B964E1" w:rsidP="00020FC3">
      <w:r>
        <w:t>Det er 20 år sidan den førre stortingsmeldinga om forbrukarpolitikk blei lagd fram.</w:t>
      </w:r>
      <w:r>
        <w:rPr>
          <w:vertAlign w:val="superscript"/>
        </w:rPr>
        <w:footnoteReference w:id="2"/>
      </w:r>
      <w:r>
        <w:t xml:space="preserve"> Sidan den gong har det skjedd store endringar i samfunnet, og forbrukarrolla har også endra seg. Regj</w:t>
      </w:r>
      <w:r>
        <w:t>e</w:t>
      </w:r>
      <w:r>
        <w:t>ringa byggjer forbrukarpolitikken sin på at gode forbrukarrettar er avgjerande for ein tillitsb</w:t>
      </w:r>
      <w:r>
        <w:t>a</w:t>
      </w:r>
      <w:r>
        <w:t xml:space="preserve">sert marknadsøkonomi. Regjeringa </w:t>
      </w:r>
      <w:proofErr w:type="gramStart"/>
      <w:r>
        <w:t>sitt</w:t>
      </w:r>
      <w:proofErr w:type="gramEnd"/>
      <w:r>
        <w:t xml:space="preserve"> hovudmål i forbrukarpolitikken er derfor å styrkje fo</w:t>
      </w:r>
      <w:r>
        <w:t>r</w:t>
      </w:r>
      <w:r>
        <w:t xml:space="preserve">brukarane si stilling på område der det er særlege utfordringar. Regjeringa ønskjer med denne meldinga </w:t>
      </w:r>
      <w:proofErr w:type="gramStart"/>
      <w:r>
        <w:t>å</w:t>
      </w:r>
      <w:proofErr w:type="gramEnd"/>
      <w:r>
        <w:t xml:space="preserve"> leggje rammene for ein framtidsretta forbrukarpolitikk der ein tek vare på kun</w:t>
      </w:r>
      <w:r>
        <w:t>n</w:t>
      </w:r>
      <w:r>
        <w:t>skapen, rettane og interessene til forbrukarane i den digitale kvardagen.</w:t>
      </w:r>
    </w:p>
    <w:p w:rsidR="00D30C4D" w:rsidRDefault="00B964E1" w:rsidP="00020FC3">
      <w:r>
        <w:t>Noreg er eit av dei rikaste landa i verda, også målt i kjøpekraft. Dei siste tiåra har kjøpekrafta i befolkninga auka, og nordmenn sine forbruksutgifter har vakse. Norske forbrukarar har tilgang på eit stort og mangfaldig tilbod av varer og tenester frå heile verda, og har eit sterkt forbr</w:t>
      </w:r>
      <w:r>
        <w:t>u</w:t>
      </w:r>
      <w:r>
        <w:t>karvern. Samstundes gjer fleire trekk i samfunnsutviklinga at det no er naturleg å gå gjennom og drøfte forbrukarpolitikken:</w:t>
      </w:r>
    </w:p>
    <w:p w:rsidR="00D30C4D" w:rsidRDefault="00B964E1" w:rsidP="00020FC3">
      <w:pPr>
        <w:pStyle w:val="Liste"/>
      </w:pPr>
      <w:r>
        <w:t>EU sitt arbeid med ein felles europeisk marknad</w:t>
      </w:r>
    </w:p>
    <w:p w:rsidR="00D30C4D" w:rsidRDefault="00B964E1" w:rsidP="00020FC3">
      <w:pPr>
        <w:pStyle w:val="Liste"/>
      </w:pPr>
      <w:r>
        <w:lastRenderedPageBreak/>
        <w:t>digitalisering og nye forretningsmodellar</w:t>
      </w:r>
    </w:p>
    <w:p w:rsidR="00D30C4D" w:rsidRDefault="00B964E1" w:rsidP="00020FC3">
      <w:pPr>
        <w:pStyle w:val="Liste"/>
      </w:pPr>
      <w:r>
        <w:t>stor merksemd rundt miljø og berekraft</w:t>
      </w:r>
    </w:p>
    <w:p w:rsidR="00D30C4D" w:rsidRDefault="00B964E1" w:rsidP="00020FC3">
      <w:pPr>
        <w:pStyle w:val="Liste"/>
      </w:pPr>
      <w:r>
        <w:t>enkel tilgang til kostbar kreditt</w:t>
      </w:r>
    </w:p>
    <w:p w:rsidR="00D30C4D" w:rsidRDefault="00B964E1" w:rsidP="00020FC3">
      <w:pPr>
        <w:pStyle w:val="Liste"/>
      </w:pPr>
      <w:r>
        <w:t>høgt konfliktnivå i bustadmarknaden</w:t>
      </w:r>
    </w:p>
    <w:p w:rsidR="00D30C4D" w:rsidRDefault="00B964E1" w:rsidP="00020FC3">
      <w:pPr>
        <w:pStyle w:val="Liste"/>
      </w:pPr>
      <w:r>
        <w:t>utfordringar med arbeidslivskriminalitet i forbrukarmarknader</w:t>
      </w:r>
    </w:p>
    <w:p w:rsidR="00D30C4D" w:rsidRDefault="00B964E1" w:rsidP="00020FC3">
      <w:r>
        <w:t xml:space="preserve">Digitaliseringa av samfunnet dei </w:t>
      </w:r>
      <w:proofErr w:type="gramStart"/>
      <w:r>
        <w:t>siste 20 åra</w:t>
      </w:r>
      <w:proofErr w:type="gramEnd"/>
      <w:r>
        <w:t xml:space="preserve"> er eit særleg viktig utviklingstrekk. Nye digitale tenester og produkt driv fram ei lang rekkje valmoglegheiter for forbrukarane. Samstundes blir forbrukarrettane og personvernet utfordra på nye måtar. Sosiale medium og bloggar gir fo</w:t>
      </w:r>
      <w:r>
        <w:t>r</w:t>
      </w:r>
      <w:r>
        <w:t xml:space="preserve">brukarane nye kjelder til informasjon og kommunikasjon. Den omfattande marknadsføringa som følgjer med, kan vere ei utfordring, spesielt for barn og unge. For eldre eller personar med funksjonsnedsetjingar kan det vere vanskeleg fordi mange manglar grunnleggjande kunnskap eller ferdigheiter for </w:t>
      </w:r>
      <w:proofErr w:type="gramStart"/>
      <w:r>
        <w:t>å</w:t>
      </w:r>
      <w:proofErr w:type="gramEnd"/>
      <w:r>
        <w:t xml:space="preserve"> hengje med på og utnytte moglegheitene i den digitale økonomien. D</w:t>
      </w:r>
      <w:r>
        <w:t>i</w:t>
      </w:r>
      <w:r>
        <w:t>gitaliseringa har ført med seg store endringar i kvardagen til forbrukarane, og digitalisering er derfor eit hovudtema for denne meldinga.</w:t>
      </w:r>
    </w:p>
    <w:p w:rsidR="00D30C4D" w:rsidRDefault="00B964E1" w:rsidP="00020FC3">
      <w:r>
        <w:t xml:space="preserve">Forbrukarane har fått langt fleire valmoglegheiter, men mange marknader er også komplekse og krevjande for forbrukarar å skaffe seg oversikt over. Enkel tilgang på kreditt er eit gode for dei fleste, men tilbodet av raske og dyre lån kan fort bli ei utfordring dersom ein tek opp for høge lån, særleg dersom ein allereie er i ein sårbar livssituasjon. </w:t>
      </w:r>
      <w:proofErr w:type="gramStart"/>
      <w:r>
        <w:t>Å</w:t>
      </w:r>
      <w:proofErr w:type="gramEnd"/>
      <w:r>
        <w:t xml:space="preserve"> eige framfor å leige har vist seg som ein suksess for mange, men bustadmarknaden er også prega av eit høgt konfliktnivå.</w:t>
      </w:r>
    </w:p>
    <w:p w:rsidR="00D30C4D" w:rsidRDefault="00B964E1" w:rsidP="00020FC3">
      <w:r>
        <w:t>Forbrukarane er dessutan i stor grad eksponerte for internasjonale marknader. I tråd med dette har også forbrukarpolitikken utvikla seg og blitt meir internasjonal. Retningslinjer i OECD set rammer for forbrukarreglar internasjonalt, noko som mellom anna er viktig i møtet med mu</w:t>
      </w:r>
      <w:r>
        <w:t>l</w:t>
      </w:r>
      <w:r>
        <w:t>tinasjonale selskap. I FN sine berekraftsmål frå 2015, som Noreg er forplikta av, står det at styresmaktene skal sikre berekraftige forbruks- og produksjonsmønster. EU fører ein offensiv forbrukarpolitikk for den felleseuropeiske indre marknaden, som set rammer og gir rettar til norske forbrukarar på fleire område enn før. I 2018 blei til dømes den felleseuropeiske pe</w:t>
      </w:r>
      <w:r>
        <w:t>r</w:t>
      </w:r>
      <w:r>
        <w:t>sonvernforordninga teken inn i norsk lovgiving, noko som gav norske forbrukarar styrkte personvernrettar i møte med digitale tenester.</w:t>
      </w:r>
    </w:p>
    <w:p w:rsidR="00D30C4D" w:rsidRDefault="00B964E1" w:rsidP="00020FC3">
      <w:r>
        <w:t>Kunnskapsgrunnlaget for forbrukarpolitikken er også i endring. Åtferdsvitskap har fått ein større plass i forståinga av korleis forbrukarar oppfattar informasjon, insentiv og valalternativ i ulike situasjonar. Oppdatert kunnskap om nye forbrukstrendar og forbrukarroller er viktig for å lage gode rammeverk for politikken.</w:t>
      </w:r>
    </w:p>
    <w:p w:rsidR="00D30C4D" w:rsidRDefault="00B964E1" w:rsidP="00020FC3">
      <w:r>
        <w:t xml:space="preserve">Regjeringa ønskjer å løfte forbrukarpolitikken og føreslå tiltak som kan styrkje forbrukarane si stilling på område med særlege utfordringar. Regjeringa legg særleg vekt på </w:t>
      </w:r>
      <w:proofErr w:type="gramStart"/>
      <w:r>
        <w:t>å</w:t>
      </w:r>
      <w:proofErr w:type="gramEnd"/>
      <w:r>
        <w:t xml:space="preserve"> styrkje rettane og personvernet til forbrukarane i den digitale økonomien, i tillegg til å styrkje kunnskapen, i</w:t>
      </w:r>
      <w:r>
        <w:t>n</w:t>
      </w:r>
      <w:r>
        <w:t>teressene og rettane til forbrukarane knytt til berekraftig forbruk, marknadsføring, bustadha</w:t>
      </w:r>
      <w:r>
        <w:t>n</w:t>
      </w:r>
      <w:r>
        <w:t>del, gjeld og kreditt.</w:t>
      </w:r>
    </w:p>
    <w:p w:rsidR="00D30C4D" w:rsidRDefault="00B964E1" w:rsidP="00020FC3">
      <w:pPr>
        <w:pStyle w:val="Overskrift1"/>
      </w:pPr>
      <w:r>
        <w:t>Samandrag</w:t>
      </w:r>
    </w:p>
    <w:p w:rsidR="00D30C4D" w:rsidRDefault="00741EEC" w:rsidP="00741EEC">
      <w:pPr>
        <w:pStyle w:val="Figur"/>
      </w:pPr>
      <w:r>
        <w:rPr>
          <w:noProof/>
        </w:rPr>
        <w:t>[:figur:figX-X.jpg]</w:t>
      </w:r>
    </w:p>
    <w:p w:rsidR="00D30C4D" w:rsidRDefault="00B964E1" w:rsidP="00020FC3">
      <w:pPr>
        <w:pStyle w:val="figur-tittel"/>
      </w:pPr>
      <w:r>
        <w:lastRenderedPageBreak/>
        <w:t> </w:t>
      </w:r>
    </w:p>
    <w:p w:rsidR="00D30C4D" w:rsidRDefault="00B964E1" w:rsidP="00020FC3">
      <w:pPr>
        <w:pStyle w:val="figur-noter"/>
      </w:pPr>
      <w:r>
        <w:t>Foto: Johnér</w:t>
      </w:r>
    </w:p>
    <w:p w:rsidR="00D30C4D" w:rsidRDefault="00B964E1" w:rsidP="00020FC3">
      <w:r>
        <w:t xml:space="preserve">Stortingsmeldinga er delt inn i fire delar. I </w:t>
      </w:r>
      <w:r>
        <w:rPr>
          <w:rStyle w:val="kursiv"/>
          <w:sz w:val="21"/>
          <w:szCs w:val="21"/>
        </w:rPr>
        <w:t>del I</w:t>
      </w:r>
      <w:r>
        <w:t xml:space="preserve"> ser vi nærare på sentrale utviklingstrekk ved forbruket i Noreg. Kunnskap om forbruk er viktig for </w:t>
      </w:r>
      <w:proofErr w:type="gramStart"/>
      <w:r>
        <w:t>å</w:t>
      </w:r>
      <w:proofErr w:type="gramEnd"/>
      <w:r>
        <w:t xml:space="preserve"> peike ut innsatsområde for forbruka</w:t>
      </w:r>
      <w:r>
        <w:t>r</w:t>
      </w:r>
      <w:r>
        <w:t>politikken.</w:t>
      </w:r>
    </w:p>
    <w:p w:rsidR="00D30C4D" w:rsidRDefault="00B964E1" w:rsidP="00020FC3">
      <w:pPr>
        <w:rPr>
          <w:rStyle w:val="kursiv"/>
          <w:sz w:val="21"/>
          <w:szCs w:val="21"/>
        </w:rPr>
      </w:pPr>
      <w:r>
        <w:rPr>
          <w:rStyle w:val="kursiv"/>
          <w:sz w:val="21"/>
          <w:szCs w:val="21"/>
        </w:rPr>
        <w:t>Del II</w:t>
      </w:r>
      <w:r>
        <w:t xml:space="preserve"> omhandlar verkemiddel i forbrukarpolitikken, organisering av forbrukarapparatet i Noreg og internasjonale føringar for norsk forbrukarpolitikk. Det meste av forbrukarlovgivinga kjem frå EU, og regjeringa prioriterer derfor å medverke aktivt til ein felleseuropeisk forbrukarpol</w:t>
      </w:r>
      <w:r>
        <w:t>i</w:t>
      </w:r>
      <w:r>
        <w:t>tikk. Dei norske verksemdene på forbrukarområdet, Forbrukarrådet og Forbrukartilsynet, a</w:t>
      </w:r>
      <w:r>
        <w:t>r</w:t>
      </w:r>
      <w:r>
        <w:t>beider også internasjonalt for å støtte opp under eit sterkt forbrukarvern.</w:t>
      </w:r>
    </w:p>
    <w:p w:rsidR="00D30C4D" w:rsidRDefault="00B964E1" w:rsidP="00020FC3">
      <w:r>
        <w:t>Regjeringa vil ta visse grep for å samle oppgåver knytt til handsaming av forbrukarklager og tilsyn i Forbrukartilsynet, og samstundes reindyrke den interessepolitiske rolla til Forbruka</w:t>
      </w:r>
      <w:r>
        <w:t>r</w:t>
      </w:r>
      <w:r>
        <w:t>rådet. Dette blir nærare omtalt i kapittel 4.</w:t>
      </w:r>
    </w:p>
    <w:p w:rsidR="00D30C4D" w:rsidRDefault="00B964E1" w:rsidP="00020FC3">
      <w:r>
        <w:t xml:space="preserve">I </w:t>
      </w:r>
      <w:r>
        <w:rPr>
          <w:rStyle w:val="kursiv"/>
          <w:sz w:val="21"/>
          <w:szCs w:val="21"/>
        </w:rPr>
        <w:t>del III</w:t>
      </w:r>
      <w:r>
        <w:t xml:space="preserve"> tek vi opp ulike sider ved digitale forbrukarspørsmål. Nye digitale tenester og produkt skaper fleire valmoglegheiter for forbrukarane, men utfordrar også forbrukarrettane og pe</w:t>
      </w:r>
      <w:r>
        <w:t>r</w:t>
      </w:r>
      <w:r>
        <w:t>sonvernet på nye måtar. Utfordringar knytt til forbrukarane sin digitale kvardag blir omtalte over fem kapittel.</w:t>
      </w:r>
    </w:p>
    <w:p w:rsidR="00D30C4D" w:rsidRDefault="00B964E1" w:rsidP="00020FC3">
      <w:r>
        <w:t xml:space="preserve">Personvern og forbrukarrettar heng tett saman i den digitale økonomien. I kapittel 6 gjer vi greie for regjeringa sitt arbeid med å vareta forbrukarinteresser knytte til desse temaa. Kva personvernlovgivinga har </w:t>
      </w:r>
      <w:proofErr w:type="gramStart"/>
      <w:r>
        <w:t>å</w:t>
      </w:r>
      <w:proofErr w:type="gramEnd"/>
      <w:r>
        <w:t xml:space="preserve"> seie for forbrukarvernet, og betre samordning av tilsyn på dig</w:t>
      </w:r>
      <w:r>
        <w:t>i</w:t>
      </w:r>
      <w:r>
        <w:t>talområdet er viktige tema.</w:t>
      </w:r>
    </w:p>
    <w:p w:rsidR="00D30C4D" w:rsidRDefault="00B964E1" w:rsidP="00020FC3">
      <w:r>
        <w:t>Barn og unge er storforbrukarar av digitale verktøy og tenester, og dei er i mange samanhengar svært kompetente på digitale arenaer. Like fullt er barn og unge særleg utsette for kommersielt press og aggressiv marknadsføring i sosiale medium og andre digitale kanalar. I kapittel 7 går vi inn på rolla barn og unge har som digitale forbrukarar.</w:t>
      </w:r>
    </w:p>
    <w:p w:rsidR="00D30C4D" w:rsidRDefault="00B964E1" w:rsidP="00020FC3">
      <w:r>
        <w:t>Digital kompetanse og tilgang til digitale tenester er tema som vedkjem alle forbrukarar. A</w:t>
      </w:r>
      <w:r>
        <w:t>r</w:t>
      </w:r>
      <w:r>
        <w:t xml:space="preserve">beidet med </w:t>
      </w:r>
      <w:proofErr w:type="gramStart"/>
      <w:r>
        <w:t>å</w:t>
      </w:r>
      <w:proofErr w:type="gramEnd"/>
      <w:r>
        <w:t xml:space="preserve"> styrkje den digitale deltakinga og kompetansen i befolkninga blir omtalt i kapittel 8.</w:t>
      </w:r>
    </w:p>
    <w:p w:rsidR="00D30C4D" w:rsidRDefault="00B964E1" w:rsidP="00020FC3">
      <w:r>
        <w:t xml:space="preserve">I dei to siste </w:t>
      </w:r>
      <w:proofErr w:type="gramStart"/>
      <w:r>
        <w:t>kapitla</w:t>
      </w:r>
      <w:proofErr w:type="gramEnd"/>
      <w:r>
        <w:t xml:space="preserve"> i del III, kapittel 9 og 10, ser vi nærare på forbrukarutfordringar ved net</w:t>
      </w:r>
      <w:r>
        <w:t>t</w:t>
      </w:r>
      <w:r>
        <w:t xml:space="preserve">handel og forbrukarane sin tilgang til infrastruktur som er naudsynt for å kunne ta del i den digitale økonomien. Innanfor desse temaa står valmoglegheiter og informasjon til </w:t>
      </w:r>
      <w:proofErr w:type="gramStart"/>
      <w:r>
        <w:t>å</w:t>
      </w:r>
      <w:proofErr w:type="gramEnd"/>
      <w:r>
        <w:t xml:space="preserve"> gjere gjennomtenkte val sentralt.</w:t>
      </w:r>
    </w:p>
    <w:p w:rsidR="00D30C4D" w:rsidRDefault="00B964E1" w:rsidP="00020FC3">
      <w:r>
        <w:t xml:space="preserve">I </w:t>
      </w:r>
      <w:r>
        <w:rPr>
          <w:rStyle w:val="kursiv"/>
          <w:sz w:val="21"/>
          <w:szCs w:val="21"/>
        </w:rPr>
        <w:t>del IV</w:t>
      </w:r>
      <w:r>
        <w:t xml:space="preserve"> tek vi for oss andre område i forbrukarpolitikken som har stor praktisk og økonomisk innverknad på forbrukarane, og der det har skjedd til dels store endringar dei siste åra.</w:t>
      </w:r>
    </w:p>
    <w:p w:rsidR="00D30C4D" w:rsidRDefault="00B964E1" w:rsidP="00020FC3">
      <w:r>
        <w:t>Marknaden for forbrukslån og kredittkort er i sterk vekst. Slik kreditt blir marknadsført i stort omfang og blir ofte innvilga utan ei grundig vurdering av betalingsevna til låntakaren. Regj</w:t>
      </w:r>
      <w:r>
        <w:t>e</w:t>
      </w:r>
      <w:r>
        <w:t xml:space="preserve">ringa arbeider med tiltak for </w:t>
      </w:r>
      <w:proofErr w:type="gramStart"/>
      <w:r>
        <w:t>å</w:t>
      </w:r>
      <w:proofErr w:type="gramEnd"/>
      <w:r>
        <w:t xml:space="preserve"> sørgje for at færre skal hamne i gjeldsproblem, og omtaler dette i kapittel 11.</w:t>
      </w:r>
    </w:p>
    <w:p w:rsidR="00D30C4D" w:rsidRDefault="00B964E1" w:rsidP="00020FC3">
      <w:r>
        <w:lastRenderedPageBreak/>
        <w:t>Bustad har stor verdi for mange nordmenn, og dei fleste eig bustaden dei bur i. Bustaden utgjer ein stor del av gjelda og formuen for svært mange. I kapittel 12 blir regjeringa sitt arbeid for å sikre trygg bustadhandel omtalt.</w:t>
      </w:r>
    </w:p>
    <w:p w:rsidR="00D30C4D" w:rsidRDefault="00B964E1" w:rsidP="00020FC3">
      <w:r>
        <w:t>På mange område er det krevjande å skaffe seg oversikt over kva for kvalitet, pris og milj</w:t>
      </w:r>
      <w:r>
        <w:t>ø</w:t>
      </w:r>
      <w:r>
        <w:t>påverknad eit produkt har. Regjeringa støttar opp om FN sine berekraftsmål frå 2015 og a</w:t>
      </w:r>
      <w:r>
        <w:t>r</w:t>
      </w:r>
      <w:r>
        <w:t xml:space="preserve">beider for </w:t>
      </w:r>
      <w:proofErr w:type="gramStart"/>
      <w:r>
        <w:t>å</w:t>
      </w:r>
      <w:proofErr w:type="gramEnd"/>
      <w:r>
        <w:t xml:space="preserve"> leggje til rette for at forbrukarane skal gjere berekraftige forbruksval. Dette er tema i kapittel 13.</w:t>
      </w:r>
    </w:p>
    <w:p w:rsidR="00D30C4D" w:rsidRDefault="00B964E1" w:rsidP="00020FC3">
      <w:r>
        <w:t>God tilgang på mat- og daglegvarer, og god merking av desse varene, er viktig for alle. I k</w:t>
      </w:r>
      <w:r>
        <w:t>a</w:t>
      </w:r>
      <w:r>
        <w:t>pittel 14 er det regjeringa sitt arbeid for å sikre god konkurranse i daglegvaremarknaden, og behovet for korrekt og påliteleg merking av mat- og daglegvarer, som blir omtalt.</w:t>
      </w:r>
    </w:p>
    <w:p w:rsidR="00D30C4D" w:rsidRDefault="00B964E1" w:rsidP="00020FC3">
      <w:r>
        <w:t xml:space="preserve">Marknaden for forbrukarane er attraktiv for kriminelle aktørar, og tilbodet av «svarte tenester» er betydeleg i enkelte bransjar. Til slutt, i kapittel 15, blir regjeringa sitt arbeid for </w:t>
      </w:r>
      <w:proofErr w:type="gramStart"/>
      <w:r>
        <w:t>å</w:t>
      </w:r>
      <w:proofErr w:type="gramEnd"/>
      <w:r>
        <w:t xml:space="preserve"> gjere det enklare for forbrukarane å velje bort useriøse og kriminelle aktørar omtalt.</w:t>
      </w:r>
    </w:p>
    <w:p w:rsidR="00D30C4D" w:rsidRDefault="00B964E1" w:rsidP="00020FC3">
      <w:pPr>
        <w:pStyle w:val="Overskrift1"/>
      </w:pPr>
      <w:r>
        <w:t>Utviklingstrekk i forbruket</w:t>
      </w:r>
    </w:p>
    <w:p w:rsidR="00D30C4D" w:rsidRDefault="00741EEC" w:rsidP="00741EEC">
      <w:pPr>
        <w:pStyle w:val="Figur"/>
      </w:pPr>
      <w:r>
        <w:rPr>
          <w:noProof/>
        </w:rPr>
        <w:t>[:figur:figX-X.jpg]</w:t>
      </w:r>
    </w:p>
    <w:p w:rsidR="00D30C4D" w:rsidRDefault="00B964E1" w:rsidP="00020FC3">
      <w:pPr>
        <w:pStyle w:val="figur-tittel"/>
      </w:pPr>
      <w:r>
        <w:t> </w:t>
      </w:r>
    </w:p>
    <w:p w:rsidR="00D30C4D" w:rsidRDefault="00B964E1" w:rsidP="00020FC3">
      <w:pPr>
        <w:pStyle w:val="figur-noter"/>
      </w:pPr>
      <w:r>
        <w:t>Foto: Johnér</w:t>
      </w:r>
    </w:p>
    <w:p w:rsidR="00D30C4D" w:rsidRDefault="00B964E1" w:rsidP="00E05FE4">
      <w:pPr>
        <w:pStyle w:val="Overskrift2"/>
        <w:numPr>
          <w:ilvl w:val="1"/>
          <w:numId w:val="29"/>
        </w:numPr>
      </w:pPr>
      <w:r>
        <w:t>Innleiing</w:t>
      </w:r>
    </w:p>
    <w:p w:rsidR="00D30C4D" w:rsidRDefault="00B964E1" w:rsidP="00020FC3">
      <w:r>
        <w:t xml:space="preserve">I dette kapittelet blir viktige utviklingstrekk ved forbruket i Noreg dei siste tiåra omtalte. Kunnskap om forbruk og forbrukarutfordringar skal gi eit solid grunnlag for </w:t>
      </w:r>
      <w:proofErr w:type="gramStart"/>
      <w:r>
        <w:t>å</w:t>
      </w:r>
      <w:proofErr w:type="gramEnd"/>
      <w:r>
        <w:t xml:space="preserve"> peike ut in</w:t>
      </w:r>
      <w:r>
        <w:t>n</w:t>
      </w:r>
      <w:r>
        <w:t>satsområde i forbrukarpolitikken.</w:t>
      </w:r>
    </w:p>
    <w:p w:rsidR="00D30C4D" w:rsidRDefault="00B964E1" w:rsidP="00020FC3">
      <w:r>
        <w:t>Nordmenn sine forbruksutgifter har auka i takt med kjøpekrafta. Den største delen av fo</w:t>
      </w:r>
      <w:r>
        <w:t>r</w:t>
      </w:r>
      <w:r>
        <w:t>bruksutgiftene går til bustad- og transportrelaterte kostnader. Fordelinga av forbruksutgiftene har vore relativt stabil over tid. Dei siste tiåra har tendensen vore at ein mindre del av fo</w:t>
      </w:r>
      <w:r>
        <w:t>r</w:t>
      </w:r>
      <w:r>
        <w:t>bruksutgiftene går til basisvarer som mat og klede, og at ein større del går til reiser, uta</w:t>
      </w:r>
      <w:r>
        <w:t>n</w:t>
      </w:r>
      <w:r>
        <w:t>landskonsum og underhaldning. Samstundes har gjeldsbelastinga i hushalda auka kraftig dei siste tiåra.</w:t>
      </w:r>
    </w:p>
    <w:p w:rsidR="00D30C4D" w:rsidRDefault="00B964E1" w:rsidP="00020FC3">
      <w:r>
        <w:t>Til slutt i kapittelet blir nye digitale marknadsplassar og deira implikasjonar for forbruket omtalt i korte trekk.</w:t>
      </w:r>
    </w:p>
    <w:p w:rsidR="00D30C4D" w:rsidRDefault="00B964E1" w:rsidP="00020FC3">
      <w:pPr>
        <w:pStyle w:val="Overskrift2"/>
      </w:pPr>
      <w:r>
        <w:t>Kunnskapsgrunnlag</w:t>
      </w:r>
    </w:p>
    <w:p w:rsidR="00D30C4D" w:rsidRDefault="00B964E1" w:rsidP="00020FC3">
      <w:r>
        <w:t>Dei viktigaste kjeldene til kunnskap om forbruk og forbrukarutfordringar er Forbruksfor</w:t>
      </w:r>
      <w:r>
        <w:t>s</w:t>
      </w:r>
      <w:r>
        <w:t xml:space="preserve">kingsinstituttet SIFO, dei norske forbrukarverksemdene (Forbrukarrådet og Forbrukartilsynet), EU-kommisjonen og Statistisk sentralbyrå (SSB). SIFO samlar årleg inn store mengder data om ulike sider ved forbruket og forbrukarane sin situasjon i marknaden, mellom anna gjennom </w:t>
      </w:r>
      <w:r>
        <w:lastRenderedPageBreak/>
        <w:t>SIFO-surveyen.</w:t>
      </w:r>
      <w:r>
        <w:rPr>
          <w:vertAlign w:val="superscript"/>
        </w:rPr>
        <w:footnoteReference w:id="3"/>
      </w:r>
      <w:r>
        <w:t xml:space="preserve"> SIFO blei tilknytt OsloMet – storbyuniversitetet i 2015 og får eit årleg for</w:t>
      </w:r>
      <w:r>
        <w:t>s</w:t>
      </w:r>
      <w:r>
        <w:t>kingsoppdrag frå Barne- og familiedepartementet. Forskingsoppdraget er knytt til forbruka</w:t>
      </w:r>
      <w:r>
        <w:t>r</w:t>
      </w:r>
      <w:r>
        <w:t>styresmaktene sitt behov for å drive effektiv politikkutvikling, tilsyn og handheving av fo</w:t>
      </w:r>
      <w:r>
        <w:t>r</w:t>
      </w:r>
      <w:r>
        <w:t>brukarvernet.</w:t>
      </w:r>
    </w:p>
    <w:p w:rsidR="00D30C4D" w:rsidRDefault="00B964E1" w:rsidP="00020FC3">
      <w:r>
        <w:t xml:space="preserve">Forbrukarrådet og Forbrukartilsynet er også med på </w:t>
      </w:r>
      <w:proofErr w:type="gramStart"/>
      <w:r>
        <w:t>å</w:t>
      </w:r>
      <w:proofErr w:type="gramEnd"/>
      <w:r>
        <w:t xml:space="preserve"> styrkje kunnskapsgrunnlaget gjennom undersøkingar, produkttestar og statistikk. Klagestatistikken på forbrukarområdet er eit døme. Klagene gir ein peikepinn på kvar skoen trykkjer for forbrukarane.</w:t>
      </w:r>
    </w:p>
    <w:p w:rsidR="00D30C4D" w:rsidRDefault="00B964E1" w:rsidP="00020FC3">
      <w:r>
        <w:t>I tillegg speler undersøkingar i EU-regi ei viktig rolle for kunnskapsgrunnlaget til den norske forbrukarpolitikken. EU-kommisjonen gjennomfører mellom anna to store undersøkingar – Consumer Markets Scoreboard og Consumer Conditions Scoreboard – annakvart år. Gjennom å ta del i det europeiske forbrukarprogrammet er Noreg inkludert i desse undersøkingane som kartlegg forbrukarane si stilling i mange slike marknader i Europa.</w:t>
      </w:r>
    </w:p>
    <w:p w:rsidR="00D30C4D" w:rsidRDefault="00B964E1" w:rsidP="00020FC3">
      <w:pPr>
        <w:pStyle w:val="Overskrift2"/>
      </w:pPr>
      <w:r>
        <w:t>Forbruksutgiftene aukar jamt</w:t>
      </w:r>
    </w:p>
    <w:p w:rsidR="00D30C4D" w:rsidRDefault="00B964E1" w:rsidP="00020FC3">
      <w:r>
        <w:t>Noreg er eit av dei rikaste landa i verda, også målt i kjøpekraft. Dei siste tiåra har kjøpekrafta i befolkninga auka, og nordmenn sine forbruksutgifter har vakse i takt med dette. SSB sine tal frå nasjonalrekneskapen viser at norske hushald konsumerte for 1391,6 milliardar kroner i 2017. Justert for prisstiginga var dei samla forbruksutgiftene 176 prosent høgare i 2017 enn i 1980, og 64 prosent høgare enn i år 2000.</w:t>
      </w:r>
      <w:r>
        <w:rPr>
          <w:vertAlign w:val="superscript"/>
        </w:rPr>
        <w:footnoteReference w:id="4"/>
      </w:r>
    </w:p>
    <w:p w:rsidR="00D30C4D" w:rsidRDefault="00B964E1" w:rsidP="00020FC3">
      <w:r>
        <w:t>Samansetjinga av forbruket har endra seg dei siste tiåra. Figur 3.2 viser korleis forbruket er sett saman i dag, samanlikna med samansetjinga i 1980 og 2000.</w:t>
      </w:r>
    </w:p>
    <w:p w:rsidR="00D30C4D" w:rsidRDefault="00741EEC" w:rsidP="00741EEC">
      <w:pPr>
        <w:pStyle w:val="Figur"/>
      </w:pPr>
      <w:r>
        <w:rPr>
          <w:noProof/>
        </w:rPr>
        <w:t>[:figur:figX-X.jpg]</w:t>
      </w:r>
    </w:p>
    <w:p w:rsidR="00D30C4D" w:rsidRDefault="00B964E1" w:rsidP="00020FC3">
      <w:pPr>
        <w:pStyle w:val="figur-tittel"/>
      </w:pPr>
      <w:r>
        <w:t>Forbrukets samansetjing. Utgiftsdelar i 1980, 2000 og 2017</w:t>
      </w:r>
    </w:p>
    <w:p w:rsidR="00D30C4D" w:rsidRDefault="00B964E1" w:rsidP="00020FC3">
      <w:pPr>
        <w:pStyle w:val="Kilde"/>
        <w:rPr>
          <w:rFonts w:cs="Times New Roman"/>
          <w:sz w:val="24"/>
          <w:szCs w:val="24"/>
          <w:lang w:val="en-GB"/>
        </w:rPr>
      </w:pPr>
      <w:r>
        <w:t>Statistisk sentralbyrå.</w:t>
      </w:r>
    </w:p>
    <w:p w:rsidR="00D30C4D" w:rsidRDefault="00B964E1" w:rsidP="00E05FE4">
      <w:pPr>
        <w:pStyle w:val="Overskrift3"/>
        <w:numPr>
          <w:ilvl w:val="2"/>
          <w:numId w:val="25"/>
        </w:numPr>
      </w:pPr>
      <w:r>
        <w:t>Den største delen av forbruket går til bustad og transport</w:t>
      </w:r>
    </w:p>
    <w:p w:rsidR="00D30C4D" w:rsidRDefault="00B964E1" w:rsidP="00020FC3">
      <w:r>
        <w:t xml:space="preserve">For dei fleste forbrukarar er den største enkeltinvesteringa i livet bustadkjøp. Derfor er det ikkje overraskande at den største delen av hushalda sine samla utgifter går til </w:t>
      </w:r>
      <w:proofErr w:type="gramStart"/>
      <w:r>
        <w:t>å</w:t>
      </w:r>
      <w:proofErr w:type="gramEnd"/>
      <w:r>
        <w:t xml:space="preserve"> dekkje kostnader knytt til bustad. Utgiftsdelen har lege på rundt 20 prosent sidan 1980, men har auka noko dei siste åra.</w:t>
      </w:r>
      <w:r>
        <w:rPr>
          <w:vertAlign w:val="superscript"/>
        </w:rPr>
        <w:footnoteReference w:id="5"/>
      </w:r>
      <w:r>
        <w:t xml:space="preserve"> Med bustadprisveksten dei seinare åra og dei rekordhøge bustadprisane skulle ein </w:t>
      </w:r>
      <w:r>
        <w:lastRenderedPageBreak/>
        <w:t>kanskje tru at bustadutgiftene i dag ville stått for ein enno større del av det samla forbruket. Éi forklaring på at dette ikkje er tilfellet, er det låge rentenivået. Hushalda sine renteutgifter er mindre i dag enn i 1990. Rundt 1990 var det gjennomsnittleg vel 30 prosent av hushalda som hadde renteutgifter som utgjorde over 15 prosent av inntekta. Seinare har talet på hushald med renteutgifter over 15 prosent gått ned, og utgjer i dag rundt 10 prosent.</w:t>
      </w:r>
      <w:r>
        <w:rPr>
          <w:vertAlign w:val="superscript"/>
        </w:rPr>
        <w:footnoteReference w:id="6"/>
      </w:r>
    </w:p>
    <w:p w:rsidR="00D30C4D" w:rsidRDefault="00B964E1" w:rsidP="00020FC3">
      <w:r>
        <w:t>Den nest største utgiftsposten for hushalda er transport. Utgiftsdelen ligg på rundt 15 prosent i 2017. Også denne delen har vore relativt stabil sidan 1980. Utgiftene til bil utgjer ein stor del av transportutgiftene. Det som også gjer at vi bruker så mykje på transport, er at vi flyr meir enn før.</w:t>
      </w:r>
      <w:r>
        <w:rPr>
          <w:vertAlign w:val="superscript"/>
        </w:rPr>
        <w:footnoteReference w:id="7"/>
      </w:r>
    </w:p>
    <w:p w:rsidR="00D30C4D" w:rsidRDefault="00B964E1" w:rsidP="00020FC3">
      <w:pPr>
        <w:pStyle w:val="Overskrift3"/>
      </w:pPr>
      <w:r>
        <w:t>Ein mindre del av forbruket går til mat og klede</w:t>
      </w:r>
    </w:p>
    <w:p w:rsidR="00D30C4D" w:rsidRDefault="00B964E1" w:rsidP="00020FC3">
      <w:r>
        <w:t>Den delen av hushalda sine forbruksutgifter som går til mat, har gått gradvis nedover, frå 20 prosent i 1980 til 11 prosent i 2017. Nedgangen i delen som blir brukt på mat, er eit uttrykk for velstandsutviklinga til hushalda i den same perioden. Sjølv om mat utgjer ein mindre del av det samla forbruket, kjøper vi likevel meir mat no enn tidlegare, målt i volum. Norske forbrukarar har også blitt meir opptekne av matvareprisane.</w:t>
      </w:r>
      <w:r>
        <w:rPr>
          <w:vertAlign w:val="superscript"/>
        </w:rPr>
        <w:footnoteReference w:id="8"/>
      </w:r>
    </w:p>
    <w:p w:rsidR="00D30C4D" w:rsidRDefault="00B964E1" w:rsidP="00020FC3">
      <w:r>
        <w:t>Delen av dei samla forbruksutgiftene som går til klede og sko, har også gått gradvis ned, frå 8 prosent i 1980 til 6 prosent i 2000 og 5 prosent i 2017. Samstundes er dette den forbrukskat</w:t>
      </w:r>
      <w:r>
        <w:t>e</w:t>
      </w:r>
      <w:r>
        <w:t>gorien som har hatt størst volumvekst mellom 2000 og 2017. Forbrukskategorien «klede og sko» har vakse med heile 160 prosent per person i perioden. Dette har samanheng med u</w:t>
      </w:r>
      <w:r>
        <w:t>t</w:t>
      </w:r>
      <w:r>
        <w:t xml:space="preserve">viklinga i prisane på klede. I perioden frå 1980 og fram til i dag har ein sett ein auke i importen av billegare produksjon frå lågkostland. Auken i slik import har samanheng med at prisane på klede i Noreg har </w:t>
      </w:r>
      <w:proofErr w:type="gramStart"/>
      <w:r>
        <w:t>falle</w:t>
      </w:r>
      <w:proofErr w:type="gramEnd"/>
      <w:r>
        <w:t xml:space="preserve"> sidan starten av 1990-talet og no er på nivå med prisane tidleg på 1980-talet.</w:t>
      </w:r>
      <w:r>
        <w:rPr>
          <w:vertAlign w:val="superscript"/>
        </w:rPr>
        <w:footnoteReference w:id="9"/>
      </w:r>
    </w:p>
    <w:p w:rsidR="00D30C4D" w:rsidRDefault="00B964E1" w:rsidP="00020FC3">
      <w:pPr>
        <w:pStyle w:val="Overskrift3"/>
      </w:pPr>
      <w:r>
        <w:t>Vi bruker meir på reiser, utanlandshandel og underhaldning</w:t>
      </w:r>
    </w:p>
    <w:p w:rsidR="00D30C4D" w:rsidRDefault="00B964E1" w:rsidP="00020FC3">
      <w:r>
        <w:t xml:space="preserve">Varer og tenester knytt til reising, kultur og fritid står for ein stadig større del av dei samla forbruksutgiftene som nordmenn har. Spesielt har delen som går til reiser og utanlandskonsum, vakse mykje: frå 3 prosent i 1980 og 5 prosent i år 2000, til 9 prosent i 2017. Utgiftene til </w:t>
      </w:r>
      <w:r>
        <w:lastRenderedPageBreak/>
        <w:t>utanlandskonsum er ein av utgiftspostane som har hatt størst volumendring per person, med 144 prosent i perioden 2000–2017. Det heng saman med at vi reiser meir til utlandet på ferie, og at vi bruker meir per reise. I tillegg har vi hatt ein auke i grensehandelen. Totalt brukte vi 118 milliardar, 22 535 kroner per person, i utlandet i 2017. Delen som går til kultur og fritid, auka frå 9 til 11 prosent i den same perioden.</w:t>
      </w:r>
    </w:p>
    <w:p w:rsidR="00D30C4D" w:rsidRDefault="00B964E1" w:rsidP="00020FC3">
      <w:pPr>
        <w:pStyle w:val="Overskrift3"/>
      </w:pPr>
      <w:r>
        <w:t>Gjeldsbelastinga til hushalda har auka</w:t>
      </w:r>
    </w:p>
    <w:p w:rsidR="00D30C4D" w:rsidRDefault="00B964E1" w:rsidP="00020FC3">
      <w:r>
        <w:t>Gjelda til dei norske hushalda har lenge vakse raskare enn inntektene, og er som del av disp</w:t>
      </w:r>
      <w:r>
        <w:t>o</w:t>
      </w:r>
      <w:r>
        <w:t>nibel inntekt meir enn dobla sidan starten av 1980-talet. I dag har norske hushald i gjennomsnitt gjeld som motsvarer meir enn to gonger den disponible inntekta deira. Det er høgt både hist</w:t>
      </w:r>
      <w:r>
        <w:t>o</w:t>
      </w:r>
      <w:r>
        <w:t>risk og samanlikna med andre land.</w:t>
      </w:r>
    </w:p>
    <w:p w:rsidR="00D30C4D" w:rsidRDefault="00B964E1" w:rsidP="00020FC3">
      <w:r>
        <w:t>Særleg yngre hushald har høg gjeld sett opp mot inntekt. Hushalda der personen med høgast inntekt var mellom 25 og 34 år gammal, hadde i gjennomsnitt den høgaste gjeldsbelastinga i 2016, med om lag 300 prosent.</w:t>
      </w:r>
      <w:r>
        <w:rPr>
          <w:vertAlign w:val="superscript"/>
        </w:rPr>
        <w:footnoteReference w:id="10"/>
      </w:r>
      <w:r>
        <w:t xml:space="preserve"> Det har også vore ein auke over tid i talet på hushald med gjeld på meir enn fem gonger inntekta. Gjeldsveksten i hushalda har nær samanheng med u</w:t>
      </w:r>
      <w:r>
        <w:t>t</w:t>
      </w:r>
      <w:r>
        <w:t>viklinga i bustadprisane. Ifølgje Noregs Bank er 85 prosent av hushalda si gjeld gitt med pant i bustad.</w:t>
      </w:r>
    </w:p>
    <w:p w:rsidR="00D30C4D" w:rsidRDefault="00B964E1" w:rsidP="00020FC3">
      <w:r>
        <w:t>Veksten i usikra forbrukskreditt har også vore kraftig. Etter ein topp på 17 prosent vekst i fyrste kvartal 2017, har veksten minka noko. I andre kvartal 2018 var veksten på 11 prosent. In</w:t>
      </w:r>
      <w:r>
        <w:t>n</w:t>
      </w:r>
      <w:r>
        <w:t>byggjarane sin usikra forbrukskreditt utgjer no meir enn 100 milliardar kroner, og kredittkor</w:t>
      </w:r>
      <w:r>
        <w:t>t</w:t>
      </w:r>
      <w:r>
        <w:t>gjelda svarer til rundt halvparten av dette.</w:t>
      </w:r>
    </w:p>
    <w:p w:rsidR="00D30C4D" w:rsidRDefault="00B964E1" w:rsidP="00020FC3">
      <w:pPr>
        <w:pStyle w:val="Overskrift2"/>
      </w:pPr>
      <w:r>
        <w:t>Meir av forbruket skjer digitalt</w:t>
      </w:r>
    </w:p>
    <w:p w:rsidR="00D30C4D" w:rsidRDefault="00B964E1" w:rsidP="00020FC3">
      <w:r>
        <w:t>Dei aller fleste nordmenn bruker i dag nettet regelmessig. Sidan midten av 1990-talet har delen som bruker internett dagleg, auka frå under 10 prosent til rundt 90 prosent. I gjennomsnitt bruker vi 2 timar og 20 minutt på nettet dagleg, og det er dei i alderen 16–24 år som er dei mest aktive brukarane, med fire timar per døgn. Tal frå SSB viser også at farten på breiband som er tilgjengeleg i privatmarknaden, har auka raskt dei siste åra.</w:t>
      </w:r>
    </w:p>
    <w:p w:rsidR="00D30C4D" w:rsidRDefault="00B964E1" w:rsidP="00020FC3">
      <w:r>
        <w:t>Tilgangen til internett viser seg att i innbyggjarane sine forbruksvanar. Tal frå SSB viser at talet på nordmenn som handlar på nett, har vore relativt stabilt dei siste åra, men at omsetninga til nettbutikkane aukar. Kjøp av reiser og innkvartering er mest populært. 54 prosent i alder</w:t>
      </w:r>
      <w:r>
        <w:t>s</w:t>
      </w:r>
      <w:r>
        <w:t>gruppa 16–79 år brukte internett til dette i 2016. Mange betaler også digitalt for varer og t</w:t>
      </w:r>
      <w:r>
        <w:t>e</w:t>
      </w:r>
      <w:r>
        <w:t>nester. I 2017 hadde 91 prosent av innbyggjarane brukt nettbank i løpet av dei siste 3 månadene.</w:t>
      </w:r>
    </w:p>
    <w:p w:rsidR="00D30C4D" w:rsidRDefault="00B964E1" w:rsidP="00020FC3">
      <w:r>
        <w:t>Noreg har ei kompetent befolkning som ligg på verdstoppen i bruk av internett og ny teknol</w:t>
      </w:r>
      <w:r>
        <w:t>o</w:t>
      </w:r>
      <w:r>
        <w:t>gi.</w:t>
      </w:r>
      <w:r>
        <w:rPr>
          <w:vertAlign w:val="superscript"/>
        </w:rPr>
        <w:footnoteReference w:id="11"/>
      </w:r>
      <w:r>
        <w:t xml:space="preserve"> Dette er med på </w:t>
      </w:r>
      <w:proofErr w:type="gramStart"/>
      <w:r>
        <w:t>å</w:t>
      </w:r>
      <w:proofErr w:type="gramEnd"/>
      <w:r>
        <w:t xml:space="preserve"> gjere den gjennomsnittlege norske forbrukaren godt rusta til å utnytte moglegheitene i den digitale økonomien.</w:t>
      </w:r>
    </w:p>
    <w:p w:rsidR="00D30C4D" w:rsidRDefault="00B964E1" w:rsidP="00020FC3">
      <w:pPr>
        <w:pStyle w:val="Overskrift3"/>
      </w:pPr>
      <w:r>
        <w:lastRenderedPageBreak/>
        <w:t>Vi kjøper «smarte» produkt til hus og helse</w:t>
      </w:r>
    </w:p>
    <w:p w:rsidR="00D30C4D" w:rsidRDefault="00B964E1" w:rsidP="00020FC3">
      <w:r>
        <w:t xml:space="preserve">Omgrepet «tinga sitt internett» skildrar ei utvikling der gjenstandar som bilar, kjøleskåp, låsar og straumbrytarar blir kopla til internett. Tinga blir utstyrte med sensorar, og ein kan ofte styre dei gjennom smarttelefonen. Ei SIFO-undersøking frå </w:t>
      </w:r>
      <w:r>
        <w:rPr>
          <w:spacing w:val="-2"/>
        </w:rPr>
        <w:t>våren 2017 viste at 68 prosent hadde minst éin nett</w:t>
      </w:r>
      <w:r>
        <w:t>tilkopla «ting» i husstanden. OECD forventar at ein gjennomsnittleg husstand vil ha om lag 50 tilkopla einingar i 2022.</w:t>
      </w:r>
      <w:r>
        <w:rPr>
          <w:vertAlign w:val="superscript"/>
        </w:rPr>
        <w:footnoteReference w:id="12"/>
      </w:r>
      <w:r>
        <w:t xml:space="preserve"> Ein estimerer at om få år vil det totale talet på netti</w:t>
      </w:r>
      <w:r>
        <w:t>l</w:t>
      </w:r>
      <w:r>
        <w:t>kopla produkt liggje på mellom 20 og 50 milliardar einingar globalt.</w:t>
      </w:r>
    </w:p>
    <w:p w:rsidR="00D30C4D" w:rsidRDefault="00B964E1" w:rsidP="00020FC3">
      <w:r>
        <w:t>Når dei daglegdagse tinga vi omgir oss med, blir «smarte» og kan kommunisere med brukarane og kvarandre, opnar det store moglegheiter for forbrukarane. Ny teknologi for sjølvtesting, eigenmålingar og informasjon gir forbrukarane høve til å ta større kontroll over eiga helse. Forbrukarane kan kjøpe eit mangfald av digitale hjelpemiddel og helsetenester til privat bruk. Desse gjer det mellom anna mogleg å overvake eiga helse og styre medisinering. Det skjer ei rask teknologisk utvikling på dette feltet.</w:t>
      </w:r>
    </w:p>
    <w:p w:rsidR="00D30C4D" w:rsidRDefault="00B964E1" w:rsidP="00020FC3">
      <w:r>
        <w:t>Ipsos undersøkte i 2017 kor mange som kjenner til eller bruker digitale hjelpemiddel. Unde</w:t>
      </w:r>
      <w:r>
        <w:t>r</w:t>
      </w:r>
      <w:r>
        <w:t>søkinga viser at elektroniske stegteljarar og pulsklokker er dei hjelpemidla som flest har høyrt om og brukt. 42 prosent har brukt elektronisk stegteljar, og 31 prosent har brukt pulsklokke. 18 prosent har brukt hjarte- og blodtrykksmålarar.</w:t>
      </w:r>
      <w:r>
        <w:rPr>
          <w:vertAlign w:val="superscript"/>
        </w:rPr>
        <w:footnoteReference w:id="13"/>
      </w:r>
    </w:p>
    <w:p w:rsidR="00D30C4D" w:rsidRDefault="00B964E1" w:rsidP="00020FC3">
      <w:pPr>
        <w:pStyle w:val="Overskrift3"/>
      </w:pPr>
      <w:r>
        <w:t>Digitale plattformer og delingsøkonomi</w:t>
      </w:r>
    </w:p>
    <w:p w:rsidR="00D30C4D" w:rsidRDefault="00B964E1" w:rsidP="00020FC3">
      <w:r>
        <w:t>Store digitale plattformer som Amazon, Facebook, eBay, Google, Airbnb, Uber, Netflix og Spotify har på kort tid utfordra tradisjonelle forretningsmodellar og verdikjeder i bransjar som finans, musikk og film, overnatting og varehandel.</w:t>
      </w:r>
      <w:r>
        <w:rPr>
          <w:vertAlign w:val="superscript"/>
        </w:rPr>
        <w:footnoteReference w:id="14"/>
      </w:r>
      <w:r>
        <w:t xml:space="preserve"> Dette har ført til at forbrukarane har fått tilgang til ei rekkje nye varer og tenester.</w:t>
      </w:r>
    </w:p>
    <w:p w:rsidR="00D30C4D" w:rsidRDefault="00B964E1" w:rsidP="00020FC3">
      <w:r>
        <w:t xml:space="preserve">Digitale plattformer gir forbrukarane nye moglegheiter. Plattformene legg til rette for enkel kontakt mellom seljar og kjøpar av varer og tenester. Dei fungerer dermed som inngangsportar for forbrukarane til informasjon og tilgang til varer og tenester frå heile verda. Tilbydarane får på si side tilgang til ein stor kundemasse, og kan tilby noko som det elles kanskje ikkje ville vore mogleg </w:t>
      </w:r>
      <w:proofErr w:type="gramStart"/>
      <w:r>
        <w:t>å</w:t>
      </w:r>
      <w:proofErr w:type="gramEnd"/>
      <w:r>
        <w:t xml:space="preserve"> omsetje utan ei stor digital kontaktflate mot forbrukarane.</w:t>
      </w:r>
    </w:p>
    <w:p w:rsidR="00D30C4D" w:rsidRDefault="00B964E1" w:rsidP="00020FC3">
      <w:r>
        <w:lastRenderedPageBreak/>
        <w:t>Ein del av desse plattformene inngår i det som ofte blir omtala som «delingsøkonomien».</w:t>
      </w:r>
      <w:r>
        <w:rPr>
          <w:vertAlign w:val="superscript"/>
        </w:rPr>
        <w:footnoteReference w:id="15"/>
      </w:r>
      <w:r>
        <w:t xml:space="preserve"> Det finst ingen heilskapleg definisjon av delingsøkonomi, men i kjernen av omgrepet finn ein ifølgje SIFO:</w:t>
      </w:r>
    </w:p>
    <w:p w:rsidR="00D30C4D" w:rsidRDefault="00B964E1" w:rsidP="00020FC3">
      <w:pPr>
        <w:pStyle w:val="blokksit"/>
      </w:pPr>
      <w:r>
        <w:t xml:space="preserve">«[…] digitale plattformer eller applikasjoner som gjennom internett muliggjør at ting og tjenester blir tilgjengelig for å gis bort, leies ut eller selges, og som derfor potensielt kan annonseres ut til store forbrukergrupper.» </w:t>
      </w:r>
      <w:r>
        <w:rPr>
          <w:vertAlign w:val="superscript"/>
        </w:rPr>
        <w:footnoteReference w:id="16"/>
      </w:r>
    </w:p>
    <w:p w:rsidR="00D30C4D" w:rsidRDefault="00B964E1" w:rsidP="00020FC3">
      <w:r>
        <w:t>Uber og Airbnb er kjende døme på plattformer i delingsøkonomien. Desse formidlar høvesvis transporttenester og overnatting. I Noreg er Finn.no og Nabobil.no døme på delingsplattformer.</w:t>
      </w:r>
    </w:p>
    <w:p w:rsidR="00D30C4D" w:rsidRDefault="00B964E1" w:rsidP="00020FC3">
      <w:r>
        <w:t>Kartleggingar av forbrukarane sine erfaringar med delingsøkonomien i perioden 2015–2017 viser at stadig fleire kjenner til og bruker delingstenester. I 2017 sa over 80 prosent at dei kjende til éi eller fleire delingstenester, og 32 prosent at dei har brukt éi eller fleire delingstenester.</w:t>
      </w:r>
      <w:r>
        <w:rPr>
          <w:vertAlign w:val="superscript"/>
        </w:rPr>
        <w:footnoteReference w:id="17"/>
      </w:r>
    </w:p>
    <w:p w:rsidR="00D30C4D" w:rsidRDefault="00B964E1" w:rsidP="00020FC3">
      <w:r>
        <w:t>Nokre av hovudårsakene til at forbrukarar bruker delingstenester, er at dei kan spare pengar, at det er spanande å prøve nye tenester, miljøomsyn, tilgang til kvalitetsvarer ein ikkje vil eller kan kjøpe, og det sosiale aspektet i utvekslinga av tenester/varer med «likemenn».</w:t>
      </w:r>
      <w:r>
        <w:rPr>
          <w:vertAlign w:val="superscript"/>
        </w:rPr>
        <w:footnoteReference w:id="18"/>
      </w:r>
      <w:r>
        <w:t xml:space="preserve"> Deling</w:t>
      </w:r>
      <w:r>
        <w:t>s</w:t>
      </w:r>
      <w:r>
        <w:t>tenester kan også vere med på å betre ressursbruken i eit samfunnsperspektiv, ved at uutnytta ressursar blir tekne i bruk.</w:t>
      </w:r>
    </w:p>
    <w:p w:rsidR="00D30C4D" w:rsidRDefault="00B964E1" w:rsidP="00020FC3">
      <w:r>
        <w:t>Delingsøkonomiutvalet presenterte i 2017 si utgreiing om moglegheiter og utfordringar i d</w:t>
      </w:r>
      <w:r>
        <w:t>e</w:t>
      </w:r>
      <w:r>
        <w:t>lingsøkonomien. Utvalet understreka at framveksten av delingstenester representerte ei positiv utvikling for forbrukarane. Det fann lite empirisk bevis for utbreidde forbrukarproblem ved bruk av delingstenester.</w:t>
      </w:r>
    </w:p>
    <w:p w:rsidR="00D30C4D" w:rsidRDefault="00B964E1" w:rsidP="00020FC3">
      <w:pPr>
        <w:pStyle w:val="Overskrift3"/>
      </w:pPr>
      <w:r>
        <w:t>Innsamling og bruk av persondata</w:t>
      </w:r>
    </w:p>
    <w:p w:rsidR="00D30C4D" w:rsidRDefault="00B964E1" w:rsidP="00020FC3">
      <w:r>
        <w:t>Mange av dei digitale plattformene har ein datadriven forretningsmodell. I staden for at fo</w:t>
      </w:r>
      <w:r>
        <w:t>r</w:t>
      </w:r>
      <w:r>
        <w:t xml:space="preserve">brukarane må betale for å bruke plattforma, får dei tilgang i byte mot persondata. Persondata omfattar til dømes kontaktar/venner, preferansar, helse og geografisk posisjon. Plattforma genererer inntekter av analyse og vidarebruk av opplysingane gjennom å tilpasse sine eigne tenester eller å bruke informasjonen om brukarane til </w:t>
      </w:r>
      <w:proofErr w:type="gramStart"/>
      <w:r>
        <w:t>å</w:t>
      </w:r>
      <w:proofErr w:type="gramEnd"/>
      <w:r>
        <w:t xml:space="preserve"> selje målretta reklame i samarbeid med </w:t>
      </w:r>
      <w:r>
        <w:lastRenderedPageBreak/>
        <w:t>annonsørar. Persondata har høg verdi, noko som gir digitale plattformer insentiv til å samle inn så mykje data som mogleg.</w:t>
      </w:r>
      <w:r>
        <w:rPr>
          <w:vertAlign w:val="superscript"/>
        </w:rPr>
        <w:footnoteReference w:id="19"/>
      </w:r>
    </w:p>
    <w:p w:rsidR="00D30C4D" w:rsidRDefault="00B964E1" w:rsidP="00020FC3">
      <w:r>
        <w:t xml:space="preserve">Innsamla data </w:t>
      </w:r>
      <w:proofErr w:type="gramStart"/>
      <w:r>
        <w:t>blir</w:t>
      </w:r>
      <w:proofErr w:type="gramEnd"/>
      <w:r>
        <w:t xml:space="preserve"> </w:t>
      </w:r>
      <w:proofErr w:type="gramStart"/>
      <w:r>
        <w:t>delte</w:t>
      </w:r>
      <w:proofErr w:type="gramEnd"/>
      <w:r>
        <w:t xml:space="preserve"> inn i grupper og gjorde om til store datasett. Desse blir gjerne kalla «big data» eller «stordata». Dei digitale aktørane gjer bruk av stordata gjennom nye teknikkar og verktøy for innhenting, handtering og analyse. Opplysingane blir analyserte og brukte mellom anna til å utvikle produkt/tenester og marknadsføring, og til </w:t>
      </w:r>
      <w:proofErr w:type="gramStart"/>
      <w:r>
        <w:t>å</w:t>
      </w:r>
      <w:proofErr w:type="gramEnd"/>
      <w:r>
        <w:t xml:space="preserve"> føreseie forbrukaråtferd. Alg</w:t>
      </w:r>
      <w:r>
        <w:t>o</w:t>
      </w:r>
      <w:r>
        <w:t>ritmar og maskinlæring er med på å automatisere handteringa av stordata, og utgjer kjernen i verksemda til selskap som Google, Facebook og Amazon.</w:t>
      </w:r>
      <w:r>
        <w:rPr>
          <w:vertAlign w:val="superscript"/>
        </w:rPr>
        <w:footnoteReference w:id="20"/>
      </w:r>
      <w:r>
        <w:t xml:space="preserve"> Dei store internasjonale selskapa har dei beste vilkåra for å leie utviklinga av nye analysemetodar og bruksområde for stordata, då utvikling av nye algoritmar gjerne krev store ressursar. Samstundes har også mange norske aktørar i mellom anna medie-, daglegvare- og finansbransjen bygd opp kompetanse på sto</w:t>
      </w:r>
      <w:r>
        <w:t>r</w:t>
      </w:r>
      <w:r>
        <w:t>dataanalyse dei siste åra.</w:t>
      </w:r>
      <w:r>
        <w:rPr>
          <w:vertAlign w:val="superscript"/>
        </w:rPr>
        <w:footnoteReference w:id="21"/>
      </w:r>
    </w:p>
    <w:p w:rsidR="00D30C4D" w:rsidRDefault="00B964E1" w:rsidP="00020FC3">
      <w:r>
        <w:t>Når forbrukarar betaler for digitale tenester med personopplysingane sine, kjem det ikkje d</w:t>
      </w:r>
      <w:r>
        <w:t>i</w:t>
      </w:r>
      <w:r>
        <w:t xml:space="preserve">rekte til uttrykk som ein økonomisk storleik på lik linje med utgifter til bustadlån, transport, mat og klede. Det er likevel ein transaksjon som både inneber ein ny type kostnad for forbrukarane og ei inntektskjelde for mange næringsdrivande i den digitale økonomien. Ein framtidsretta forbrukarpolitikk må derfor også sikre forbrukarane sine rettar i eit personvernperspektiv. </w:t>
      </w:r>
      <w:proofErr w:type="gramStart"/>
      <w:r>
        <w:t>Dette</w:t>
      </w:r>
      <w:proofErr w:type="gramEnd"/>
      <w:r>
        <w:t xml:space="preserve"> vert omtalt nærare i kap. 6.</w:t>
      </w:r>
    </w:p>
    <w:p w:rsidR="00D30C4D" w:rsidRDefault="00DE6D31" w:rsidP="00020FC3">
      <w:pPr>
        <w:pStyle w:val="del-nr"/>
      </w:pPr>
      <w:r>
        <w:t>Del II</w:t>
      </w:r>
    </w:p>
    <w:p w:rsidR="00D30C4D" w:rsidRDefault="00B964E1" w:rsidP="00020FC3">
      <w:pPr>
        <w:pStyle w:val="del-tittel"/>
        <w:rPr>
          <w:w w:val="100"/>
        </w:rPr>
      </w:pPr>
      <w:r>
        <w:rPr>
          <w:w w:val="100"/>
        </w:rPr>
        <w:t>Eit framtidsretta forbrukarapparat og ein inte</w:t>
      </w:r>
      <w:r>
        <w:rPr>
          <w:w w:val="100"/>
        </w:rPr>
        <w:t>r</w:t>
      </w:r>
      <w:r>
        <w:rPr>
          <w:w w:val="100"/>
        </w:rPr>
        <w:t>nasjonal forbrukarpolitikk</w:t>
      </w:r>
    </w:p>
    <w:p w:rsidR="00D30C4D" w:rsidRDefault="00B964E1" w:rsidP="00020FC3">
      <w:pPr>
        <w:pStyle w:val="Overskrift1"/>
      </w:pPr>
      <w:r>
        <w:t>Eit framtidsretta forbrukarapparat</w:t>
      </w:r>
    </w:p>
    <w:p w:rsidR="00D30C4D" w:rsidRDefault="00741EEC" w:rsidP="00741EEC">
      <w:pPr>
        <w:pStyle w:val="Figur"/>
      </w:pPr>
      <w:r>
        <w:rPr>
          <w:noProof/>
        </w:rPr>
        <w:t>[:figur:figX-X.jpg]</w:t>
      </w:r>
    </w:p>
    <w:p w:rsidR="00D30C4D" w:rsidRDefault="00B964E1" w:rsidP="00020FC3">
      <w:pPr>
        <w:pStyle w:val="figur-tittel"/>
      </w:pPr>
      <w:r>
        <w:t> </w:t>
      </w:r>
    </w:p>
    <w:p w:rsidR="00D30C4D" w:rsidRDefault="00B964E1" w:rsidP="00020FC3">
      <w:pPr>
        <w:pStyle w:val="figur-noter"/>
      </w:pPr>
      <w:r>
        <w:t>Foto: Johnér</w:t>
      </w:r>
    </w:p>
    <w:p w:rsidR="00D30C4D" w:rsidRDefault="00B964E1" w:rsidP="00E05FE4">
      <w:pPr>
        <w:pStyle w:val="Overskrift2"/>
        <w:numPr>
          <w:ilvl w:val="1"/>
          <w:numId w:val="30"/>
        </w:numPr>
      </w:pPr>
      <w:r>
        <w:lastRenderedPageBreak/>
        <w:t>Innleiing</w:t>
      </w:r>
    </w:p>
    <w:p w:rsidR="00D30C4D" w:rsidRDefault="00B964E1" w:rsidP="00020FC3">
      <w:r>
        <w:t>Hovudmålet i forbrukarpolitikken er å sikre forbrukarane ei sterk stilling i marknaden. For å få til dette må ein sjå ulike sektorar og politikkområde i samanheng. Barne- og familiedepart</w:t>
      </w:r>
      <w:r>
        <w:t>e</w:t>
      </w:r>
      <w:r>
        <w:t>mentet (BFD) koordinerer forbrukarpolitikken til regjeringa, men fleire departement har ansvar for område som er svært viktige for forbrukarane. Det er også offentlege verksemder under andre departement som tek hand om viktige forbrukaromsyn – deriblant Finanstilsynet, Ko</w:t>
      </w:r>
      <w:r>
        <w:t>n</w:t>
      </w:r>
      <w:r>
        <w:t>kurransetilsynet, Datatilsynet, Miljødirektoratet, Direktoratet for samfunnstryggleik og b</w:t>
      </w:r>
      <w:r>
        <w:t>e</w:t>
      </w:r>
      <w:r>
        <w:t>redskap og Mattilsynet.</w:t>
      </w:r>
    </w:p>
    <w:p w:rsidR="00D30C4D" w:rsidRDefault="00B964E1" w:rsidP="00020FC3">
      <w:r>
        <w:t>I dette kapittelet ser vi fyrst på dagens organisering av forbrukarapparatet og dei forbrukarp</w:t>
      </w:r>
      <w:r>
        <w:t>o</w:t>
      </w:r>
      <w:r>
        <w:t>litiske verkemidla og oppgåvene som apparatet handterer. Deretter ser vi på sentrale evalu</w:t>
      </w:r>
      <w:r>
        <w:t>e</w:t>
      </w:r>
      <w:r>
        <w:t>ringar og justeringar som er gjennomførte dei siste tiåra. Vi greier også ut om dei endringane i dagens organisering som regjeringa offentleggjorde 10. januar 2019, og grunngjevinga for desse. Til slutt drøftar vi enkelte særskilde spørsmål knytte til forbrukarapparatet som har vore oppe til diskusjon dei seinare åra.</w:t>
      </w:r>
    </w:p>
    <w:p w:rsidR="00D30C4D" w:rsidRDefault="00B964E1" w:rsidP="00020FC3">
      <w:pPr>
        <w:pStyle w:val="Overskrift2"/>
      </w:pPr>
      <w:r>
        <w:t>Forbrukarapparatet</w:t>
      </w:r>
    </w:p>
    <w:p w:rsidR="00D30C4D" w:rsidRDefault="00B964E1" w:rsidP="00020FC3">
      <w:r>
        <w:t>BFD har delegert ei rekkje oppgåver i utøvinga av forbrukarpolitikken til offentlege ver</w:t>
      </w:r>
      <w:r>
        <w:t>k</w:t>
      </w:r>
      <w:r>
        <w:t>semder som administrativt og/eller økonomisk høyrer inn under departementet. Eit mykje brukt samleomgrep på desse organa er «forbrukarapparatet». Dette inkluderer Forbrukarrådet, Fo</w:t>
      </w:r>
      <w:r>
        <w:t>r</w:t>
      </w:r>
      <w:r>
        <w:t>brukartilsynet, Marknadsrådet, Forbrukarklageutvalet, Sekretariatet for Marknadsrådet og Forbrukarklageutvalet og Stiftinga Miljømerking.</w:t>
      </w:r>
    </w:p>
    <w:p w:rsidR="00D30C4D" w:rsidRDefault="00B964E1" w:rsidP="00020FC3">
      <w:pPr>
        <w:pStyle w:val="Overskrift3"/>
      </w:pPr>
      <w:r>
        <w:t>Forbrukarrådet</w:t>
      </w:r>
    </w:p>
    <w:p w:rsidR="00D30C4D" w:rsidRDefault="00B964E1" w:rsidP="00020FC3">
      <w:r>
        <w:t>Forbrukarrådet har om lag 130 tilsette og er organisert som eit forvaltingsorgan med særskilde fullmakter. Forbrukarrådet har hovudkontor i Oslo, men har også kontor i Tromsø / på Sva</w:t>
      </w:r>
      <w:r>
        <w:t>l</w:t>
      </w:r>
      <w:r>
        <w:t>bard, i Stavanger og i Skien. Forbrukarrådet er vertsorganisasjon for Forbrukar Europa, som er det norske kontoret i det europeiske nettverket av forbrukarkontor.</w:t>
      </w:r>
    </w:p>
    <w:p w:rsidR="00D30C4D" w:rsidRDefault="00B964E1" w:rsidP="00020FC3">
      <w:r>
        <w:t>Forbrukarrådet har tre hovudoppgåver som følgjer av vedtektene til rådet:</w:t>
      </w:r>
    </w:p>
    <w:p w:rsidR="00D30C4D" w:rsidRDefault="00B964E1" w:rsidP="00020FC3">
      <w:pPr>
        <w:pStyle w:val="Liste"/>
      </w:pPr>
      <w:r>
        <w:t>Drive interessepolitisk arbeid overfor styresmakter, organisasjonar og næringsdrivande, og setje forbrukarspørsmål på dagsordenen i samfunnsdebatten.</w:t>
      </w:r>
    </w:p>
    <w:p w:rsidR="00D30C4D" w:rsidRDefault="00B964E1" w:rsidP="00020FC3">
      <w:pPr>
        <w:pStyle w:val="Liste"/>
      </w:pPr>
      <w:r>
        <w:t>Hjelpe og utdanne forbrukarar gjennom å gi informasjon, råd og rettleiing om rettar, plikter og andre relevante forbrukarspørsmål.</w:t>
      </w:r>
    </w:p>
    <w:p w:rsidR="00D30C4D" w:rsidRDefault="00B964E1" w:rsidP="00020FC3">
      <w:pPr>
        <w:pStyle w:val="Liste"/>
      </w:pPr>
      <w:r>
        <w:t>Mekle i klagesaker mellom forbrukarar og næringsdrivande og mellom forbrukarar etter lov om godkjenning av klageorgan for forbrukarsaker og tilhøyrande forskrifter.</w:t>
      </w:r>
    </w:p>
    <w:p w:rsidR="00D30C4D" w:rsidRDefault="00B964E1" w:rsidP="00020FC3">
      <w:r>
        <w:t>Forbrukarrådet har ulike roller i dei ulike oppgåvene. Ytterpunkta er den nøytrale klagesak</w:t>
      </w:r>
      <w:r>
        <w:t>s</w:t>
      </w:r>
      <w:r>
        <w:t>handsaminga på område som fell inn under angrerettlova, kjøpslova, forbrukarkjøpslova eller handverkartenestelova på den eine sida, og reindyrka interessepolitiske oppgåver på den andre sida.</w:t>
      </w:r>
    </w:p>
    <w:p w:rsidR="00D30C4D" w:rsidRDefault="00B964E1" w:rsidP="00020FC3">
      <w:r>
        <w:t xml:space="preserve">Forbrukarrådet er medlem av og arbeider saman med internasjonale organisasjonar som The European Consumer Organisation (BEUC), The European Consumer Consultative Group </w:t>
      </w:r>
      <w:r>
        <w:lastRenderedPageBreak/>
        <w:t>(ECCG), Trans Atlantic Consumer Dialogue (TACD) og The European Consumer Voice in Standardisation (ANEC).</w:t>
      </w:r>
    </w:p>
    <w:p w:rsidR="00D30C4D" w:rsidRDefault="00B964E1" w:rsidP="00020FC3">
      <w:pPr>
        <w:pStyle w:val="Overskrift3"/>
      </w:pPr>
      <w:r>
        <w:t>Forbrukartilsynet</w:t>
      </w:r>
    </w:p>
    <w:p w:rsidR="00D30C4D" w:rsidRDefault="00B964E1" w:rsidP="00020FC3">
      <w:r>
        <w:t>Forbrukartilsynet har om lag 35 tilsette og fører kontroll med at næringsdrivande følgjer fo</w:t>
      </w:r>
      <w:r>
        <w:t>r</w:t>
      </w:r>
      <w:r>
        <w:t>brukarvernreglane i marknadsføringslova og ei rekkje andre lover og forskrifter. Som ledd i dette arbeidet utarbeider tilsynet retningslinjer om korleis ein skal forstå regelverket, forhandlar med enkeltaktørar eller heile bransjar og treff vedtak.</w:t>
      </w:r>
    </w:p>
    <w:p w:rsidR="00D30C4D" w:rsidRDefault="00B964E1" w:rsidP="00020FC3">
      <w:r>
        <w:t xml:space="preserve">I samband med namneendringa frå Forbrukarombodet til Forbrukartilsynet i 2018, fekk tilsynet kompetanse til </w:t>
      </w:r>
      <w:proofErr w:type="gramStart"/>
      <w:r>
        <w:t>å</w:t>
      </w:r>
      <w:proofErr w:type="gramEnd"/>
      <w:r>
        <w:t xml:space="preserve"> gjere vedtak om forbod og gebyr i fleire saker. I tillegg fekk tilsynet styrkt retten det har til </w:t>
      </w:r>
      <w:proofErr w:type="gramStart"/>
      <w:r>
        <w:t>å</w:t>
      </w:r>
      <w:proofErr w:type="gramEnd"/>
      <w:r>
        <w:t xml:space="preserve"> krevje informasjon.</w:t>
      </w:r>
    </w:p>
    <w:p w:rsidR="00D30C4D" w:rsidRDefault="00B964E1" w:rsidP="00020FC3">
      <w:r>
        <w:t>Ei ny forordning om forbrukarvern trer i kraft i januar 2020. Forordninga inneber ei ytterlegare styrking av kontrollen med ei rekkje ulike forbrukarvernreglar. Etter dei nye reglane skal mellom anna Forbrukartilsynet, anten sjølv eller via domstolane, kunne stengje nettsider som bryt EU-reglar som vernar forbrukarane. Tilsynet skal også kunne forhandle om kompensasjon til grupper av forbrukarar.</w:t>
      </w:r>
    </w:p>
    <w:p w:rsidR="00D30C4D" w:rsidRDefault="00B964E1" w:rsidP="00020FC3">
      <w:pPr>
        <w:pStyle w:val="Overskrift3"/>
      </w:pPr>
      <w:r>
        <w:t>Forbrukarklageutvalet, Marknadsrådet og Sekretariatet for Marknadsr</w:t>
      </w:r>
      <w:r>
        <w:t>å</w:t>
      </w:r>
      <w:r>
        <w:t>det og Forbrukarklageutvalet</w:t>
      </w:r>
    </w:p>
    <w:p w:rsidR="00D30C4D" w:rsidRDefault="00B964E1" w:rsidP="00020FC3">
      <w:r>
        <w:t>Forbrukarklageutvalet er eit domstolliknande forvaltingsorgan som gjer rettsleg bindande vedtak i forbrukarsaker. Utvalet har totalt nitten medlemmar. Kvar sak blir handsama av tre medlemmar: ein leiar med høg juridisk kompetanse, ein medlem med særleg innsikt i forbr</w:t>
      </w:r>
      <w:r>
        <w:t>u</w:t>
      </w:r>
      <w:r>
        <w:t>karane sine interesser og ein medlem med særleg innsikt i næringsdrivande sine interesser.</w:t>
      </w:r>
    </w:p>
    <w:p w:rsidR="00D30C4D" w:rsidRDefault="00B964E1" w:rsidP="00020FC3">
      <w:r>
        <w:t>Marknadsrådet handsamar i hovudsak klager på vedtak av Forbrukartilsynet i saker om brot på marknadsføringslova og andre forbrukarvernreglar. Rådet har totalt seks medlemmar, og kvar sak blir som regel avgjord av tre medlemmar.</w:t>
      </w:r>
    </w:p>
    <w:p w:rsidR="00D30C4D" w:rsidRDefault="00B964E1" w:rsidP="00020FC3">
      <w:r>
        <w:t>Sakene til Forbrukarklageutvalet og Marknadsrådet blir førebudde av Sekretariatet for Mar</w:t>
      </w:r>
      <w:r>
        <w:t>k</w:t>
      </w:r>
      <w:r>
        <w:t xml:space="preserve">nadsrådet og Forbrukarklageutvalet. Sekretariatet har 12 tilsette. I tillegg til </w:t>
      </w:r>
      <w:proofErr w:type="gramStart"/>
      <w:r>
        <w:t>å</w:t>
      </w:r>
      <w:proofErr w:type="gramEnd"/>
      <w:r>
        <w:t xml:space="preserve"> fastsetje tidspunkt for møte, klarlegg sekretariatet faktum i saka og gjer rettslege vurderingar. I saker for Fo</w:t>
      </w:r>
      <w:r>
        <w:t>r</w:t>
      </w:r>
      <w:r>
        <w:t>brukarklageutvalet skriv sekretariatet også utkast til vedtak.</w:t>
      </w:r>
    </w:p>
    <w:p w:rsidR="00D30C4D" w:rsidRDefault="00B964E1" w:rsidP="00020FC3">
      <w:pPr>
        <w:pStyle w:val="Overskrift3"/>
      </w:pPr>
      <w:r>
        <w:t>Stiftinga Miljømerking</w:t>
      </w:r>
    </w:p>
    <w:p w:rsidR="00D30C4D" w:rsidRDefault="00B964E1" w:rsidP="00020FC3">
      <w:r>
        <w:t>Stiftinga Miljømerking blei oppretta i 1989 for å forvalte den fellesnordiske ordninga med frivillig positiv miljømerking (Svana). Stiftinga har 26 tilsette og forvaltar i dag begge dei offisielle miljømerka i Noreg, Svanemerket og EU Ecolabel. Stiftinga blir finansiert av avgifter for bruk av desse miljømerka, men får også driftstilskot over statsbudsjettet. Stiftinga sikrar at produkt og tenester som nyttar Svana og EU Ecolabel, har vore gjennom ei objektiv milj</w:t>
      </w:r>
      <w:r>
        <w:t>ø</w:t>
      </w:r>
      <w:r>
        <w:t>vurdering.</w:t>
      </w:r>
      <w:r>
        <w:rPr>
          <w:vertAlign w:val="superscript"/>
        </w:rPr>
        <w:footnoteReference w:id="22"/>
      </w:r>
    </w:p>
    <w:p w:rsidR="00D30C4D" w:rsidRDefault="00B964E1" w:rsidP="00020FC3">
      <w:r>
        <w:lastRenderedPageBreak/>
        <w:t>Organisasjonsforma stifting medfører ei særskild uavhengig stilling knytt til stillingsrammer og budsjettdisponering.</w:t>
      </w:r>
    </w:p>
    <w:p w:rsidR="00D30C4D" w:rsidRDefault="00B964E1" w:rsidP="00020FC3">
      <w:pPr>
        <w:pStyle w:val="Overskrift3"/>
      </w:pPr>
      <w:r>
        <w:t>Forbruksforskingsinstituttet SIFO ved OsloMet</w:t>
      </w:r>
    </w:p>
    <w:p w:rsidR="00D30C4D" w:rsidRDefault="00B964E1" w:rsidP="00020FC3">
      <w:r>
        <w:t xml:space="preserve">Forbruksforskingsinstituttet SIFO var fram til 2015 eit forvaltingsorgan underlagt BFD, men er no eit av fleire forskingsinstitutt under OsloMet – storbyuniversitetet. Forskinga til SIFO skal hjelpe til med å kaste lys over og forstå kva for rolle og innverknad forbruket og forbrukarane har i samfunnet. Forskinga skal også vere med på </w:t>
      </w:r>
      <w:proofErr w:type="gramStart"/>
      <w:r>
        <w:t>å</w:t>
      </w:r>
      <w:proofErr w:type="gramEnd"/>
      <w:r>
        <w:t xml:space="preserve"> styrkje kunnskapsgrunnlaget for forbr</w:t>
      </w:r>
      <w:r>
        <w:t>u</w:t>
      </w:r>
      <w:r>
        <w:t>karpolitikken i Noreg. SIFO har 40 tilsette og blir finansiert dels over statsbudsjettet og dels gjennom prosjekt frå Noregs forskingsråd og EU.</w:t>
      </w:r>
    </w:p>
    <w:p w:rsidR="00D30C4D" w:rsidRDefault="00B964E1" w:rsidP="00020FC3">
      <w:pPr>
        <w:pStyle w:val="Overskrift2"/>
      </w:pPr>
      <w:r>
        <w:t>Oppgåver og verkemiddel i forbrukarpolitikken</w:t>
      </w:r>
    </w:p>
    <w:p w:rsidR="00D30C4D" w:rsidRDefault="00B964E1" w:rsidP="00020FC3">
      <w:pPr>
        <w:pStyle w:val="Overskrift3"/>
      </w:pPr>
      <w:r>
        <w:t>Innleiing</w:t>
      </w:r>
    </w:p>
    <w:p w:rsidR="00D30C4D" w:rsidRDefault="00B964E1" w:rsidP="00020FC3">
      <w:r>
        <w:t>Det finst ei rekkje verkemiddel og oppgåver som skal vere med på å vareta forbrukarane sine interesser i marknaden. Dei viktigaste er lovregulering, tilsyn med forbrukarvernreglane, kl</w:t>
      </w:r>
      <w:r>
        <w:t>a</w:t>
      </w:r>
      <w:r>
        <w:t xml:space="preserve">gehandsaming, forbrukarinformasjon og forsking. I tillegg kjem det interessepolitiske arbeidet som går ut på å påverke styresmakter, organisasjonar og næringsdrivande i forbrukarvennleg retning og </w:t>
      </w:r>
      <w:proofErr w:type="gramStart"/>
      <w:r>
        <w:t>å</w:t>
      </w:r>
      <w:proofErr w:type="gramEnd"/>
      <w:r>
        <w:t xml:space="preserve"> setje forbrukarspørsmål på dagsordenen i samfunnsdebatten.</w:t>
      </w:r>
    </w:p>
    <w:p w:rsidR="00D30C4D" w:rsidRDefault="00B964E1" w:rsidP="00020FC3">
      <w:r>
        <w:t>Verksemdene på forbrukarområdet har ei sentral rolle i å gjennomføre forbrukarpolitikken. Styring av, og samspel med, verksemdene er derfor også eit sentralt verkemiddel i forbruka</w:t>
      </w:r>
      <w:r>
        <w:t>r</w:t>
      </w:r>
      <w:r>
        <w:t>politikken. Under følgjer ei kort utgreiing av dei viktigaste verkemidla og oppgåvene i fo</w:t>
      </w:r>
      <w:r>
        <w:t>r</w:t>
      </w:r>
      <w:r>
        <w:t>brukarpolitikken.</w:t>
      </w:r>
    </w:p>
    <w:p w:rsidR="00D30C4D" w:rsidRDefault="00B964E1" w:rsidP="00020FC3">
      <w:pPr>
        <w:pStyle w:val="Overskrift3"/>
      </w:pPr>
      <w:r>
        <w:t>Lovregulering og tilsyn</w:t>
      </w:r>
    </w:p>
    <w:p w:rsidR="00D30C4D" w:rsidRDefault="00B964E1" w:rsidP="00020FC3">
      <w:r>
        <w:t>Lovregulering er eit sentral verkemiddel i arbeidet med å sikre gode rettar for forbrukarane. Forbrukarane sine rettar er sikra både i regelverk der hovudføremålet er å vareta forbr</w:t>
      </w:r>
      <w:r>
        <w:t>u</w:t>
      </w:r>
      <w:r>
        <w:t>karomsyn (t.d. angrerettlova), og i sektorregelverk som har andre hovudføremål (t.d. finan</w:t>
      </w:r>
      <w:r>
        <w:t>s</w:t>
      </w:r>
      <w:r>
        <w:t>avtalelova). Ein stor del av forbrukarlovgivinga i Noreg er i dag basert på EU-direktiv, men Noreg har også særeigen nasjonal lovgiving på nokre område (m.a. gjeldsområdet), som gir norske forbrukarar sterkare vern enn forbrukarane i mange andre europeiske land. Generelt sett har Noreg eit godt lovfesta forbrukarvern.</w:t>
      </w:r>
    </w:p>
    <w:p w:rsidR="00D30C4D" w:rsidRDefault="00B964E1" w:rsidP="00020FC3">
      <w:r>
        <w:t>Effektivt tilsyn med forbrukarvernreglane er viktig for å sikre at forbrukarane sine rettar blir varetekne i praksis. Tilsyn med reglane inneber å overvake ulike marknader, førebyggje og stoppe villeiande marknadsføring, urimelege vilkår og andre former for ulovleg handelspraksis retta mot forbrukarane. Forbrukartilsynet har hovudansvar for tilsyn med forbrukarvernreglane i Noreg. Dei viktigaste verkemidla tilsynet har overfor næringsdrivande, er rettleiing, fo</w:t>
      </w:r>
      <w:r>
        <w:t>r</w:t>
      </w:r>
      <w:r>
        <w:t>handlingar og ulike administrative reaksjonar, til dømes gebyr for brot på lovverket.</w:t>
      </w:r>
    </w:p>
    <w:p w:rsidR="00D30C4D" w:rsidRDefault="00B964E1" w:rsidP="00020FC3">
      <w:r>
        <w:lastRenderedPageBreak/>
        <w:t>Det finst også andre tilsynsorgan som fører tilsyn med reglar som vernar viktige forbrukari</w:t>
      </w:r>
      <w:r>
        <w:t>n</w:t>
      </w:r>
      <w:r>
        <w:t>teresser. Dette omfattar mellom anna Finanstilsynet, Konkurransetilsynet, Datatilsynet, Mi</w:t>
      </w:r>
      <w:r>
        <w:t>l</w:t>
      </w:r>
      <w:r>
        <w:t>jødirektoratet, Direktoratet for samfunnstryggleik og beredskap og Mattilsynet.</w:t>
      </w:r>
    </w:p>
    <w:p w:rsidR="00D30C4D" w:rsidRDefault="00B964E1" w:rsidP="00020FC3">
      <w:pPr>
        <w:pStyle w:val="Overskrift3"/>
      </w:pPr>
      <w:r>
        <w:t>Fremje forbrukarinteresser</w:t>
      </w:r>
    </w:p>
    <w:p w:rsidR="00D30C4D" w:rsidRDefault="00B964E1" w:rsidP="00020FC3">
      <w:r>
        <w:t>I alle dei nordiske landa legg styresmaktene til rette for organisering av forbrukarinteressene og finansierer interessepolitisk verksemd. Føremålet er å sikre at forbrukarane sine interesser blir fremja i relevante prosessar og overfor styresmakter, organisasjonar og næringsdrivande.</w:t>
      </w:r>
      <w:r>
        <w:rPr>
          <w:vertAlign w:val="superscript"/>
        </w:rPr>
        <w:footnoteReference w:id="23"/>
      </w:r>
      <w:r>
        <w:t xml:space="preserve"> Dette blir gjerne kalla ei «pådrivarrolle». Pådrivarrolla er ikkje ei ordinær statleg forvalting</w:t>
      </w:r>
      <w:r>
        <w:t>s</w:t>
      </w:r>
      <w:r>
        <w:t xml:space="preserve">oppgåve, men det finst likevel fleire statlege organ som har eit ansvar for </w:t>
      </w:r>
      <w:proofErr w:type="gramStart"/>
      <w:r>
        <w:t>å</w:t>
      </w:r>
      <w:proofErr w:type="gramEnd"/>
      <w:r>
        <w:t xml:space="preserve"> fremje interessene til særskilde grupper. Dette gjeld til dømes Barneombodet og Likestillings- og diskrimin</w:t>
      </w:r>
      <w:r>
        <w:t>e</w:t>
      </w:r>
      <w:r>
        <w:t>ringsombodet. På forbrukarområdet er det i all hovudsak Forbrukarrådet som har denne op</w:t>
      </w:r>
      <w:r>
        <w:t>p</w:t>
      </w:r>
      <w:r>
        <w:t>gåva. På same måte som dei to nemnde omboda, er Forbrukarrådet uavhengig av forvaltinga og politiske styresmakter i utforminga av faglege eller politiske standpunkt. Rådet driv påver</w:t>
      </w:r>
      <w:r>
        <w:t>k</w:t>
      </w:r>
      <w:r>
        <w:t>nadsarbeid mot andre organisasjonar og avgjerdstakarar.</w:t>
      </w:r>
    </w:p>
    <w:p w:rsidR="00D30C4D" w:rsidRDefault="00B964E1" w:rsidP="00020FC3">
      <w:r>
        <w:t>Forbrukarrådet har ei fri og uavhengig stilling i arbeidet med å definere og fremje interess</w:t>
      </w:r>
      <w:r>
        <w:t>e</w:t>
      </w:r>
      <w:r>
        <w:t>politiske saker. Den interessepolitiske verksemda er omtalt i det årlege tildelingsbrevet frå BFD. I tildelingsbrevet frå departementet til Forbrukarrådet for 2019 er følgjande interessep</w:t>
      </w:r>
      <w:r>
        <w:t>o</w:t>
      </w:r>
      <w:r>
        <w:t>litiske oppgåver vektlagde:</w:t>
      </w:r>
    </w:p>
    <w:p w:rsidR="00D30C4D" w:rsidRDefault="00B964E1" w:rsidP="00020FC3">
      <w:pPr>
        <w:pStyle w:val="Liste"/>
      </w:pPr>
      <w:r>
        <w:t>Forbrukarrådet si politiske verksemd skal skje gjennom medverknads- og haldning</w:t>
      </w:r>
      <w:r>
        <w:t>s</w:t>
      </w:r>
      <w:r>
        <w:t xml:space="preserve">arbeid i </w:t>
      </w:r>
      <w:r>
        <w:rPr>
          <w:spacing w:val="-1"/>
        </w:rPr>
        <w:t>samarbeid med media, forskingsmiljø, nærings</w:t>
      </w:r>
      <w:r>
        <w:t>liv, bransjeorganisasjonar, tilsyn, politiske miljø og interesseorganisasjonar. Forbrukarrådet skal også vere med på å sikre at forbrukarane sine interesser blir varetekne overfor internasjonale avgjerdstakarar, ikkje minst i EU-systemet.</w:t>
      </w:r>
    </w:p>
    <w:p w:rsidR="00D30C4D" w:rsidRDefault="00B964E1" w:rsidP="00020FC3">
      <w:pPr>
        <w:pStyle w:val="Liste"/>
      </w:pPr>
      <w:r>
        <w:t>Forbrukarrådet skal arbeide for å auke kjennskapen til forbrukarane sine rettar og kjennskapen til rettspraksis, inkludert EU/EØS-rett, blant forbrukarar, advokatar, dommarar og andre rettsbrukarar.</w:t>
      </w:r>
    </w:p>
    <w:p w:rsidR="00D30C4D" w:rsidRDefault="00B964E1" w:rsidP="00020FC3">
      <w:pPr>
        <w:pStyle w:val="Liste"/>
      </w:pPr>
      <w:r>
        <w:t>Forbrukarrådet skal drifte eit digitalt verktøy for dialog og innspel frå eit utval fo</w:t>
      </w:r>
      <w:r>
        <w:t>r</w:t>
      </w:r>
      <w:r>
        <w:t>brukarar. Verktøyet skal vere med på å sikre at forbrukarane blir lytta til i utforminga av Forbrukarrådet sin interessepolitikk.</w:t>
      </w:r>
    </w:p>
    <w:p w:rsidR="00D30C4D" w:rsidRDefault="00B964E1" w:rsidP="00020FC3">
      <w:pPr>
        <w:pStyle w:val="Liste"/>
      </w:pPr>
      <w:r>
        <w:t>Forbrukarrådet skal arbeide for god nemndsdekning og for at nemndene supplerer og reflekterer forbrukarane sitt behov for tvisteløysing.</w:t>
      </w:r>
    </w:p>
    <w:p w:rsidR="00D30C4D" w:rsidRDefault="00B964E1" w:rsidP="00020FC3">
      <w:r>
        <w:t>Forbrukarrådet skal også vere med på å sikre forbrukarinteresser i standardiseringsarbeid n</w:t>
      </w:r>
      <w:r>
        <w:t>a</w:t>
      </w:r>
      <w:r>
        <w:t>sjonalt og internasjonalt, mellom anna gjennom styrerepresentasjon i den europeiske standa</w:t>
      </w:r>
      <w:r>
        <w:t>r</w:t>
      </w:r>
      <w:r>
        <w:t>diseringsorganisasjonen ANEC og Fagrådet for forbrukarsaker.</w:t>
      </w:r>
    </w:p>
    <w:p w:rsidR="00D30C4D" w:rsidRDefault="00B964E1" w:rsidP="00020FC3">
      <w:r>
        <w:t xml:space="preserve">Forbrukarrådet står fritt til </w:t>
      </w:r>
      <w:proofErr w:type="gramStart"/>
      <w:r>
        <w:t>å</w:t>
      </w:r>
      <w:proofErr w:type="gramEnd"/>
      <w:r>
        <w:t xml:space="preserve"> velje kva for område dei vil prioritere i det interessepolitiske a</w:t>
      </w:r>
      <w:r>
        <w:t>r</w:t>
      </w:r>
      <w:r>
        <w:t>beidet. I strategiplanen deira for perioden 2015–2020 prioriterer dei følgjande område:</w:t>
      </w:r>
    </w:p>
    <w:p w:rsidR="00D30C4D" w:rsidRDefault="00B964E1" w:rsidP="00020FC3">
      <w:pPr>
        <w:pStyle w:val="Liste"/>
      </w:pPr>
      <w:r>
        <w:t>bustadmarknaden</w:t>
      </w:r>
    </w:p>
    <w:p w:rsidR="00D30C4D" w:rsidRDefault="00B964E1" w:rsidP="00020FC3">
      <w:pPr>
        <w:pStyle w:val="Liste"/>
      </w:pPr>
      <w:r>
        <w:t>digitalmarknaden</w:t>
      </w:r>
    </w:p>
    <w:p w:rsidR="00D30C4D" w:rsidRDefault="00B964E1" w:rsidP="00020FC3">
      <w:pPr>
        <w:pStyle w:val="Liste"/>
      </w:pPr>
      <w:r>
        <w:lastRenderedPageBreak/>
        <w:t>finansmarknaden</w:t>
      </w:r>
    </w:p>
    <w:p w:rsidR="00D30C4D" w:rsidRDefault="00B964E1" w:rsidP="00020FC3">
      <w:pPr>
        <w:pStyle w:val="Liste"/>
      </w:pPr>
      <w:r>
        <w:t>produkttryggleik, mat og handel</w:t>
      </w:r>
    </w:p>
    <w:p w:rsidR="00D30C4D" w:rsidRDefault="00B964E1" w:rsidP="00020FC3">
      <w:pPr>
        <w:pStyle w:val="Liste"/>
      </w:pPr>
      <w:r>
        <w:t>offentlege og helserelaterte tenester</w:t>
      </w:r>
    </w:p>
    <w:p w:rsidR="00D30C4D" w:rsidRDefault="00B964E1" w:rsidP="00020FC3">
      <w:pPr>
        <w:pStyle w:val="Overskrift3"/>
      </w:pPr>
      <w:r>
        <w:t>Forsking, undersøkingar og kartlegging</w:t>
      </w:r>
    </w:p>
    <w:p w:rsidR="00D30C4D" w:rsidRDefault="00B964E1" w:rsidP="00020FC3">
      <w:r>
        <w:t>BFD har eit overordna ansvar for forsking og utvikling i forbrukarsektoren. Målet er å ha eit solid kunnskapsgrunnlag om utfordringane norske forbrukarar møter, som grunnlag for u</w:t>
      </w:r>
      <w:r>
        <w:t>t</w:t>
      </w:r>
      <w:r>
        <w:t>forminga av politikken. BFD hentar inn kunnskap om forbruk og forbrukarutfordringar frå fleire kjelder, deriblant Forbruksforskingsinstituttet SIFO, Forbrukarrådet, Forbrukartilsynet, EU-kommisjonen og SSB.</w:t>
      </w:r>
    </w:p>
    <w:p w:rsidR="00D30C4D" w:rsidRDefault="00B964E1" w:rsidP="00020FC3">
      <w:r>
        <w:t>SIFO speler ei sentral rolle i forbruksforskinga. BFD bestiller forsking frå SIFO gjennom eit årleg forskingsoppdrag. Denne forskinga blir brukt til å kaste lys over sentrale problemsti</w:t>
      </w:r>
      <w:r>
        <w:t>l</w:t>
      </w:r>
      <w:r>
        <w:t xml:space="preserve">lingar i prioriterte saker. Samstundes gir det høve til </w:t>
      </w:r>
      <w:proofErr w:type="gramStart"/>
      <w:r>
        <w:t>å</w:t>
      </w:r>
      <w:proofErr w:type="gramEnd"/>
      <w:r>
        <w:t xml:space="preserve"> setje nye tema på dagsordenen, spesielt på område der forbrukaromsyn ikkje har fått tilstrekkeleg merksemd.</w:t>
      </w:r>
    </w:p>
    <w:p w:rsidR="00D30C4D" w:rsidRDefault="00B964E1" w:rsidP="00020FC3">
      <w:r>
        <w:t xml:space="preserve">Forbrukarrådet og Forbrukartilsynet er også med på </w:t>
      </w:r>
      <w:proofErr w:type="gramStart"/>
      <w:r>
        <w:t>å</w:t>
      </w:r>
      <w:proofErr w:type="gramEnd"/>
      <w:r>
        <w:t xml:space="preserve"> styrkje kunnskapsgrunnlaget i sektoren gjennom undersøkingar, produkttestar og statistikk. Undersøkingar frå EU-kommisjonen speler òg ei viktig rolle i kunnskapsgrunnlaget til den norske forbrukarpolitikken. Gjennom å ta del i det europeiske forbrukarprogrammet er Noreg inkludert i desse undersøkingane som kartlegg forbrukarane si stilling i mange slike marknader i Europa.</w:t>
      </w:r>
    </w:p>
    <w:p w:rsidR="00D30C4D" w:rsidRDefault="00B964E1" w:rsidP="00020FC3">
      <w:pPr>
        <w:pStyle w:val="Overskrift3"/>
      </w:pPr>
      <w:r>
        <w:t>Forbrukarinformasjon og marknadsportalar</w:t>
      </w:r>
    </w:p>
    <w:p w:rsidR="00D30C4D" w:rsidRDefault="00B964E1" w:rsidP="00020FC3">
      <w:r>
        <w:t>Informasjon er eit sentralt verkemiddel i forbrukarpolitikken. Forbrukarretta informasjon handlar gjerne om kva for rettar ein har i marknaden, og korleis ein får gjennomslag for desse. Forbrukarinformasjon kan også handle om å rettleie forbrukaren gjennom til dømes merk</w:t>
      </w:r>
      <w:r>
        <w:t>e</w:t>
      </w:r>
      <w:r>
        <w:t>ordningar, produkttestar eller samanlikningstenester. Det overordna målet er å utdanne fo</w:t>
      </w:r>
      <w:r>
        <w:t>r</w:t>
      </w:r>
      <w:r>
        <w:t xml:space="preserve">brukarane, det vil seie </w:t>
      </w:r>
      <w:proofErr w:type="gramStart"/>
      <w:r>
        <w:t>å</w:t>
      </w:r>
      <w:proofErr w:type="gramEnd"/>
      <w:r>
        <w:t xml:space="preserve"> gjere forbrukarane i stand til å gjere gode og velinformerte val. Alle verksemdene i forbrukarsektoren har vanleg rettleiingsplikt. Forbrukarrådet har på si side eit særskilt ansvar for å gi forbrukarinformasjon. Rådet gjer dette hovudsakleg gjennom digitale informasjonsløysingar, telefonbasert rettleiing og medieutspel om rettar og tilrådingar til fo</w:t>
      </w:r>
      <w:r>
        <w:t>r</w:t>
      </w:r>
      <w:r>
        <w:t>brukarane.</w:t>
      </w:r>
    </w:p>
    <w:p w:rsidR="00D30C4D" w:rsidRDefault="00B964E1" w:rsidP="00020FC3">
      <w:r>
        <w:t>Ein stor del av forbrukarinformasjonen er blitt digital dei siste tiåra. Dette kjem klarast til u</w:t>
      </w:r>
      <w:r>
        <w:t>t</w:t>
      </w:r>
      <w:r>
        <w:t>trykk i utviklinga av offentlege, digitale marknadsportalar. Desse skal gi forbrukarane ei mest mogleg fullstendig oversikt over tilboda i utvalde marknader. Marknadsportalane er verk</w:t>
      </w:r>
      <w:r>
        <w:t>e</w:t>
      </w:r>
      <w:r>
        <w:t xml:space="preserve">middel som skal vere med på </w:t>
      </w:r>
      <w:proofErr w:type="gramStart"/>
      <w:r>
        <w:t>å</w:t>
      </w:r>
      <w:proofErr w:type="gramEnd"/>
      <w:r>
        <w:t xml:space="preserve"> fremje både forbrukar- og konkurransepolitiske mål. Dei skal gi forbrukarane oppdatert, nøytral og samanliknbar informasjon om produkt og tenester. Ved </w:t>
      </w:r>
      <w:proofErr w:type="gramStart"/>
      <w:r>
        <w:t>å</w:t>
      </w:r>
      <w:proofErr w:type="gramEnd"/>
      <w:r>
        <w:t xml:space="preserve"> gjere det lettare å samanlikne varer eller tenester skal portalane også stimulere til auka ku</w:t>
      </w:r>
      <w:r>
        <w:t>n</w:t>
      </w:r>
      <w:r>
        <w:t>demobilitet og konkurranse i marknaden. Dei skal også gi forbrukarane rettleiing for å treffe gode val. Forbrukarrådet har ansvaret for utvikling og drift av portalane, og har i dag portalar for finansielle tenester, tannhelsetenester og straumtenester. Finansportalen.no, som blei eta</w:t>
      </w:r>
      <w:r>
        <w:t>b</w:t>
      </w:r>
      <w:r>
        <w:t>lert i 2008, er den eldste og mest kjende og brukte av marknadsportalane. Forbrukarrådet har prøvd å etablere portalar også for daglegvaremarknaden og marknaden for handverkartenester, men desse har av ulike grunnar ikkje late seg realisere.</w:t>
      </w:r>
    </w:p>
    <w:p w:rsidR="00D30C4D" w:rsidRDefault="00B964E1" w:rsidP="00020FC3">
      <w:pPr>
        <w:pStyle w:val="Overskrift3"/>
      </w:pPr>
      <w:r>
        <w:lastRenderedPageBreak/>
        <w:t>Mekling og klagehandsaming</w:t>
      </w:r>
    </w:p>
    <w:p w:rsidR="00D30C4D" w:rsidRDefault="00B964E1" w:rsidP="00020FC3">
      <w:r>
        <w:t>Det er viktig at forbrukarane har eit klagetilbod dersom noko er gale med ei vare eller teneste dei har kjøpt. I Noreg har ein i dag eit godt utbygd og gratis tilgjengeleg klagehandsaming</w:t>
      </w:r>
      <w:r>
        <w:t>s</w:t>
      </w:r>
      <w:r>
        <w:t>tilbod utanfor rettsapparatet, der Forbrukarrådet (med Forbrukar Europa), Forbrukarklageu</w:t>
      </w:r>
      <w:r>
        <w:t>t</w:t>
      </w:r>
      <w:r>
        <w:t>valet og dei ulike bransjenemndene speler ei sentral rolle. Denne typen utanrettsleg tvistelø</w:t>
      </w:r>
      <w:r>
        <w:t>y</w:t>
      </w:r>
      <w:r>
        <w:t>sing er med på å spare kostnader både for forbrukarane, dei næringsdrivande og domstolane. Oppgåver knytt til klagehandsaming har auka dei seinare åra, særleg fordi EU har fastsett r</w:t>
      </w:r>
      <w:r>
        <w:t>e</w:t>
      </w:r>
      <w:r>
        <w:t>gelverk på området. Regelverket er innlemma i EØS-avtalen og gjennomført i norsk rett.</w:t>
      </w:r>
    </w:p>
    <w:p w:rsidR="00D30C4D" w:rsidRDefault="00B964E1" w:rsidP="00020FC3">
      <w:r>
        <w:t>Forbrukarrådet gir rettleiing, tek imot klager og meklar i saker om kjøp av varer eller tenester. Rådet gjer ikkje vedtak, men prøver å få partane til å komme til ei minneleg løysing. Forbr</w:t>
      </w:r>
      <w:r>
        <w:t>u</w:t>
      </w:r>
      <w:r>
        <w:t xml:space="preserve">karrådet meklar i to typar saker: Saker som ein kan </w:t>
      </w:r>
      <w:r>
        <w:rPr>
          <w:rStyle w:val="kursiv"/>
          <w:sz w:val="21"/>
          <w:szCs w:val="21"/>
        </w:rPr>
        <w:t>klage inn for Forbrukarklageutvalet</w:t>
      </w:r>
      <w:r>
        <w:t>, og fo</w:t>
      </w:r>
      <w:r>
        <w:t>r</w:t>
      </w:r>
      <w:r>
        <w:t xml:space="preserve">brukarsaker som ikkje fell inn under verkeområdet til eit </w:t>
      </w:r>
      <w:r>
        <w:rPr>
          <w:rStyle w:val="kursiv"/>
          <w:sz w:val="21"/>
          <w:szCs w:val="21"/>
        </w:rPr>
        <w:t>innmeldt klageorgan</w:t>
      </w:r>
      <w:r>
        <w:t>, jf. lov om go</w:t>
      </w:r>
      <w:r>
        <w:t>d</w:t>
      </w:r>
      <w:r>
        <w:t>kjenning av klageorganer for forbrukarsaker (godkjenningslova) § 23.</w:t>
      </w:r>
    </w:p>
    <w:p w:rsidR="00D30C4D" w:rsidRDefault="00B964E1" w:rsidP="00020FC3">
      <w:pPr>
        <w:rPr>
          <w:rStyle w:val="kursiv"/>
          <w:sz w:val="21"/>
          <w:szCs w:val="21"/>
        </w:rPr>
      </w:pPr>
      <w:r>
        <w:rPr>
          <w:rStyle w:val="kursiv"/>
          <w:sz w:val="21"/>
          <w:szCs w:val="21"/>
        </w:rPr>
        <w:t>Forbrukarklageutvalet</w:t>
      </w:r>
      <w:r>
        <w:t xml:space="preserve"> handsamar klager på kjøp av ting og handverkartenester i tillegg til avtaler etter angrerettlova, jf. forbrukarklagelova § 1. Mens klager på handverkartenester og avtaler etter angrerettlova krev at forbrukaren har handla frå ein næringsdrivande, handsamar Fo</w:t>
      </w:r>
      <w:r>
        <w:t>r</w:t>
      </w:r>
      <w:r>
        <w:t>brukarklageutvalet også klagesaker ved kjøp av ting mellom forbrukarar.</w:t>
      </w:r>
    </w:p>
    <w:p w:rsidR="00D30C4D" w:rsidRDefault="00B964E1" w:rsidP="00020FC3">
      <w:r>
        <w:t xml:space="preserve">Eit </w:t>
      </w:r>
      <w:r>
        <w:rPr>
          <w:rStyle w:val="kursiv"/>
          <w:sz w:val="21"/>
          <w:szCs w:val="21"/>
        </w:rPr>
        <w:t xml:space="preserve">innmeldt klageorgan </w:t>
      </w:r>
      <w:r>
        <w:t>er eit klageorgan som oppfyller krava i direktivet om alternativ tvist</w:t>
      </w:r>
      <w:r>
        <w:t>e</w:t>
      </w:r>
      <w:r>
        <w:t xml:space="preserve">løysing, og som er meldt inn til EU-kommisjonen si liste over slike klageorgan. Det kan anten vere godkjent av departementet etter godkjenningslova § 3 eller oppretta med heimel i </w:t>
      </w:r>
      <w:proofErr w:type="gramStart"/>
      <w:r>
        <w:t>ei</w:t>
      </w:r>
      <w:proofErr w:type="gramEnd"/>
      <w:r>
        <w:t xml:space="preserve"> lov som oppfyller krava i direktivet.</w:t>
      </w:r>
    </w:p>
    <w:p w:rsidR="00D30C4D" w:rsidRDefault="00B964E1" w:rsidP="00020FC3">
      <w:r>
        <w:t>For å falle inn under verkeområdet til eit innmeldt klageorgan må både sakstypen og den som blir klaga inn, vere omfatta av klageordninga. Klageorgan som er godkjende etter godkje</w:t>
      </w:r>
      <w:r>
        <w:t>n</w:t>
      </w:r>
      <w:r>
        <w:t xml:space="preserve">ningslova, har grunnlaget sitt i </w:t>
      </w:r>
      <w:proofErr w:type="gramStart"/>
      <w:r>
        <w:t>ei</w:t>
      </w:r>
      <w:proofErr w:type="gramEnd"/>
      <w:r>
        <w:t xml:space="preserve"> avtale mellom representantar for næringssida og represe</w:t>
      </w:r>
      <w:r>
        <w:t>n</w:t>
      </w:r>
      <w:r>
        <w:t>tantar for forbrukarsida, som regel Forbrukarrådet. Næringsdrivande som ikkje er ein del av ei bransjeforeining, vil i mange tilfelle heller ikkje vere omfatta av verkeområdet til klageorganet.</w:t>
      </w:r>
    </w:p>
    <w:p w:rsidR="00D30C4D" w:rsidRDefault="00B964E1" w:rsidP="00020FC3">
      <w:r>
        <w:t>Dersom forbrukartvisten har oppstått i samband med eit kjøp over landegrenser i EU/EØS-området, vil Forbrukar Europa gi informasjon og rettleiing om rettar og plikter. Dette kontoret samarbeider med nettverket av tilsvarande kontor i Europa for å få forbrukarklager handsama i det landet der den næringsdrivande har forretningsstad. Det kan også be eit systerkontor om å ta kontakt med den næringsdrivande, eventuelt sende saka vidare til den aktuelle klagenemnda.</w:t>
      </w:r>
    </w:p>
    <w:p w:rsidR="00D30C4D" w:rsidRDefault="00B964E1" w:rsidP="00020FC3">
      <w:pPr>
        <w:pStyle w:val="tittel-ramme"/>
      </w:pPr>
      <w:r>
        <w:t>Bransjenemnder på forbrukarområdet</w:t>
      </w:r>
    </w:p>
    <w:p w:rsidR="00D30C4D" w:rsidRDefault="00B964E1" w:rsidP="00020FC3">
      <w:r>
        <w:t>Bransjenemndene på forbrukarområdet er oppretta gjennom avtaler mellom bransjeorganis</w:t>
      </w:r>
      <w:r>
        <w:t>a</w:t>
      </w:r>
      <w:r>
        <w:t>sjonar for næringsdrivande og representantar for forbrukarinteressene, som regel Forbruka</w:t>
      </w:r>
      <w:r>
        <w:t>r</w:t>
      </w:r>
      <w:r>
        <w:t>rådet. Nemndene er finansierte av bransjen og handsamar forbrukarklager på visse marknader, i hovudsak på tenesteområdet. Den største bransjenemnda er Finansklagenemnda, med om lag 40 tilsette. Med unntak av Parkeringsklagenemnda gjer ikkje bransjenemndene rettsleg bin</w:t>
      </w:r>
      <w:r>
        <w:t>d</w:t>
      </w:r>
      <w:r>
        <w:t>ande vedtak. Avgjerder blir tekne av tre eller fem nemndsmedlemmar. Leiaren er nøytral og har høg juridisk kompetanse (som regel ein dommar eller ein professor), og forbrukar- og n</w:t>
      </w:r>
      <w:r>
        <w:t>æ</w:t>
      </w:r>
      <w:r>
        <w:lastRenderedPageBreak/>
        <w:t xml:space="preserve">ringslivssida er likt representert. I tillegg til </w:t>
      </w:r>
      <w:proofErr w:type="gramStart"/>
      <w:r>
        <w:t>å</w:t>
      </w:r>
      <w:proofErr w:type="gramEnd"/>
      <w:r>
        <w:t xml:space="preserve"> vere avtalepart sit Forbrukarrådet i styret til nemndene og har éin eller to nemndsmedlemmar. Det finst i dag bransjenemnder på ei rekkje ulike tenestemarknader, mellom anna bank og forsikring, inkasso, oppføring av bustader, t</w:t>
      </w:r>
      <w:r>
        <w:t>e</w:t>
      </w:r>
      <w:r>
        <w:t>lefoni og breiband, TV, eigedomsmekling, reise, straum og parkering. Forbrukarrådet meklar ikkje i saker på område der det er oppretta bransjenemnder som er godkjende etter lov om godkjenning av klageorganer for forbrukarsaker.</w:t>
      </w:r>
    </w:p>
    <w:p w:rsidR="00D30C4D" w:rsidRDefault="00B964E1">
      <w:pPr>
        <w:pStyle w:val="Ramme-slutt"/>
        <w:rPr>
          <w:sz w:val="26"/>
          <w:szCs w:val="26"/>
        </w:rPr>
      </w:pPr>
      <w:r>
        <w:rPr>
          <w:sz w:val="26"/>
          <w:szCs w:val="26"/>
        </w:rPr>
        <w:t>[Boks slutt]</w:t>
      </w:r>
    </w:p>
    <w:p w:rsidR="00D30C4D" w:rsidRDefault="00B964E1" w:rsidP="00020FC3">
      <w:pPr>
        <w:pStyle w:val="Overskrift2"/>
      </w:pPr>
      <w:r>
        <w:t>Forbrukarapparatet i dei andre nordiske landa</w:t>
      </w:r>
    </w:p>
    <w:p w:rsidR="00D30C4D" w:rsidRDefault="00B964E1" w:rsidP="00020FC3">
      <w:pPr>
        <w:pStyle w:val="Overskrift3"/>
      </w:pPr>
      <w:r>
        <w:t>Danmark</w:t>
      </w:r>
    </w:p>
    <w:p w:rsidR="00D30C4D" w:rsidRDefault="00B964E1" w:rsidP="00020FC3">
      <w:r>
        <w:t>Ansvaret for forbrukarpolitikken i Danmark ligg hos Erhvervsministeriet. På forbrukarområdet er det tre sentrale statlege organ under Erhvervsministeriet: Konkurrence- og Forbrugerst</w:t>
      </w:r>
      <w:r>
        <w:t>y</w:t>
      </w:r>
      <w:r>
        <w:t>relsen, Nævnenes Hus og Finanstilsynet. I tillegg er Forbrugerombudsmanden ei uavhengig tilsynsstyresmakt, mens Forbrugerrådet Tænk er ein uavhengig organisasjon som vernar om generelle forbrukarinteresser. Det finst også ei rekkje private bransjenemnder der forbrukarar kan klage på produkt dei har kjøpt frå næringsdrivande. Her er både nærings- og forbrukarsida representerte.</w:t>
      </w:r>
    </w:p>
    <w:p w:rsidR="00D30C4D" w:rsidRDefault="00B964E1" w:rsidP="00020FC3">
      <w:pPr>
        <w:rPr>
          <w:rStyle w:val="kursiv"/>
          <w:sz w:val="21"/>
          <w:szCs w:val="21"/>
        </w:rPr>
      </w:pPr>
      <w:r>
        <w:rPr>
          <w:rStyle w:val="kursiv"/>
          <w:sz w:val="21"/>
          <w:szCs w:val="21"/>
        </w:rPr>
        <w:t>Konkurrence- og Forbrugerstyrelsen</w:t>
      </w:r>
      <w:r>
        <w:t xml:space="preserve"> blei oppretta etter ein fusjon mellom Konkurrencestyrelsen og Forbrugerstyrelsen i 2010 og har ei rekkje ulike oppgåver på forbrukarområdet. Om lag 250 personar jobbar her. Styrelsen har tradisjonelle departementsoppgåver som det å førebu nye lover, vere sekretariat for den politiske leiinga og vere med på å utvikle ny politikk. I tillegg kjem styrelsen med analysar av marknadstilhøve og gir forbrukarinformasjon til forbrukarar og næringsdrivande. Samstundes er styrelsen sekretariat for Forbrugerombudsmanden, Forbruger Europa og enkelte private klagenemnder.</w:t>
      </w:r>
    </w:p>
    <w:p w:rsidR="00D30C4D" w:rsidRDefault="00B964E1" w:rsidP="00020FC3">
      <w:pPr>
        <w:rPr>
          <w:rStyle w:val="kursiv"/>
          <w:sz w:val="21"/>
          <w:szCs w:val="21"/>
        </w:rPr>
      </w:pPr>
      <w:r>
        <w:rPr>
          <w:rStyle w:val="kursiv"/>
          <w:sz w:val="21"/>
          <w:szCs w:val="21"/>
        </w:rPr>
        <w:t>Forbrugerombudsmanden</w:t>
      </w:r>
      <w:r>
        <w:t xml:space="preserve"> fører tilsyn med at næringsdrivande følgjer marknadsføringslova og andre forbrukarvernreglar. Forbrugerombudsmanden utarbeider også rettleiingar og retning</w:t>
      </w:r>
      <w:r>
        <w:t>s</w:t>
      </w:r>
      <w:r>
        <w:t>linjer for korleis ein skal forstå forbrukarvernreglar på ulike område. Forbrugerombudsmanden er uavhengig av Erhvervsministeriet og Konkurrence- og Forbrugerstyrelsen, men alle som jobbar for ombudsmanden, er tilsette i Konkurrence- og Forbrugerstyrelsen.</w:t>
      </w:r>
    </w:p>
    <w:p w:rsidR="00D30C4D" w:rsidRDefault="00B964E1" w:rsidP="00020FC3">
      <w:pPr>
        <w:rPr>
          <w:rStyle w:val="kursiv"/>
          <w:sz w:val="21"/>
          <w:szCs w:val="21"/>
        </w:rPr>
      </w:pPr>
      <w:r>
        <w:rPr>
          <w:rStyle w:val="kursiv"/>
          <w:sz w:val="21"/>
          <w:szCs w:val="21"/>
        </w:rPr>
        <w:t>Nævnenes Hus</w:t>
      </w:r>
      <w:r>
        <w:t xml:space="preserve"> blei oppretta i 2017 og har sekretariatsfunksjon for ei rekkje ulike nemnder som handsamar klager på forbrukarkjøp eller forvaltingsvedtak. På forbrukarområdet fungerer det som sekretariat for Forbrugerklagenævnet og klagenemndene for takstmenn og eig</w:t>
      </w:r>
      <w:r>
        <w:t>e</w:t>
      </w:r>
      <w:r>
        <w:t>domsmeklarar. Forbrugerklagenævnet handsamar klager på kjøp av dei aller fleste varer eller tenester. Før saka kan bli handsama av nemnda, skal Nævnenes Hus mekle mellom partane for å finne ei minneleg løysing. Det kostar forbrukaren 100 kroner å få meklingshjelp og 400 kroner å få ei nemndsavgjerd i saka.</w:t>
      </w:r>
    </w:p>
    <w:p w:rsidR="00D30C4D" w:rsidRDefault="00B964E1" w:rsidP="00020FC3">
      <w:pPr>
        <w:rPr>
          <w:rStyle w:val="kursiv"/>
          <w:sz w:val="21"/>
          <w:szCs w:val="21"/>
        </w:rPr>
      </w:pPr>
      <w:r>
        <w:rPr>
          <w:rStyle w:val="kursiv"/>
          <w:sz w:val="21"/>
          <w:szCs w:val="21"/>
        </w:rPr>
        <w:t>Finanstilsynet</w:t>
      </w:r>
      <w:r>
        <w:t xml:space="preserve"> fører kontroll med og gir informasjon om regelverket på finansområdet. Ti</w:t>
      </w:r>
      <w:r>
        <w:t>l</w:t>
      </w:r>
      <w:r>
        <w:t>synsverksemda skjer uavhengig av Erhvervsministeriet.</w:t>
      </w:r>
    </w:p>
    <w:p w:rsidR="00D30C4D" w:rsidRDefault="00B964E1" w:rsidP="00020FC3">
      <w:pPr>
        <w:rPr>
          <w:rFonts w:ascii="Arial" w:hAnsi="Arial" w:cs="Arial"/>
          <w:b/>
          <w:bCs/>
        </w:rPr>
      </w:pPr>
      <w:r>
        <w:rPr>
          <w:rStyle w:val="kursiv"/>
          <w:sz w:val="21"/>
          <w:szCs w:val="21"/>
        </w:rPr>
        <w:t>Forbrugerrådet Tænk</w:t>
      </w:r>
      <w:r>
        <w:t xml:space="preserve"> er ein uavhengig interesseorganisasjon med 75 000 enkeltpersonar og 30 organisasjonar som medlemmar. Organisasjonen har om lag 125 tilsette og blir finansiert av </w:t>
      </w:r>
      <w:r>
        <w:lastRenderedPageBreak/>
        <w:t>medlemsavgifter, offentlege tilskot og prosjektfinansiering. Forbrugerrådet gir alle forbrukarar munnlege råd om forbrukarrettar, og som medlem får ein også hjelp til å skrive ei klage til den næringsdrivande. I tillegg sit rådet som forbrukarrepresentant i forbrukarklagenemndene, testar produkt og driv interessepolitisk verksemd.</w:t>
      </w:r>
    </w:p>
    <w:p w:rsidR="00D30C4D" w:rsidRDefault="00B964E1" w:rsidP="00020FC3">
      <w:pPr>
        <w:pStyle w:val="Overskrift3"/>
      </w:pPr>
      <w:r>
        <w:t>Sverige</w:t>
      </w:r>
    </w:p>
    <w:p w:rsidR="00D30C4D" w:rsidRDefault="00B964E1" w:rsidP="00020FC3">
      <w:r>
        <w:t>Ansvaret for forbrukarpolitikken i Sverige ligg hos Finansdepartementet. På forbrukarområdet har ein tre sentrale statlege organ: Konsumentverket, Allmänna reklamationsnämnden og Fa</w:t>
      </w:r>
      <w:r>
        <w:t>s</w:t>
      </w:r>
      <w:r>
        <w:t xml:space="preserve">tighetsmäklarinspektionen. Det finst også ein generell uavhengig interesseorganisasjon som vernar om forbrukarinteressene: Sveriges Konsumenter. I tillegg finst det fleire uavhengige forbrukarrådgivingstenester i </w:t>
      </w:r>
      <w:proofErr w:type="gramStart"/>
      <w:r>
        <w:t>utvalde</w:t>
      </w:r>
      <w:proofErr w:type="gramEnd"/>
      <w:r>
        <w:t xml:space="preserve"> marknader og kommunale rettleiingstenester.</w:t>
      </w:r>
    </w:p>
    <w:p w:rsidR="00D30C4D" w:rsidRDefault="00B964E1" w:rsidP="00020FC3">
      <w:pPr>
        <w:rPr>
          <w:rStyle w:val="kursiv"/>
          <w:sz w:val="21"/>
          <w:szCs w:val="21"/>
        </w:rPr>
      </w:pPr>
      <w:r>
        <w:rPr>
          <w:rStyle w:val="kursiv"/>
          <w:sz w:val="21"/>
          <w:szCs w:val="21"/>
        </w:rPr>
        <w:t>Konsumentverket</w:t>
      </w:r>
      <w:r>
        <w:t xml:space="preserve"> har om lag 190 tilsette og utfører fleire oppgåver. Det fører tilsyn med fo</w:t>
      </w:r>
      <w:r>
        <w:t>r</w:t>
      </w:r>
      <w:r>
        <w:t>brukarvernreglar, inkludert produkttryggleik, og gir informasjon og rettleiing i forbrukarsaker. Verket innhentar også informasjon om og analyserer ulike forbrukarmarknader og er sekretariat for Konsumentombudsmannen. Konsumentombudsmannen kan gjere vedtak om brot på fo</w:t>
      </w:r>
      <w:r>
        <w:t>r</w:t>
      </w:r>
      <w:r>
        <w:t>brukarvernreglar som Konsumentverket fører tilsyn med, og kan ta saker til domstolane. D</w:t>
      </w:r>
      <w:r>
        <w:t>i</w:t>
      </w:r>
      <w:r>
        <w:t>rektøren i Konsumentverket er også Konsumentombudsmann.</w:t>
      </w:r>
    </w:p>
    <w:p w:rsidR="00D30C4D" w:rsidRDefault="00B964E1" w:rsidP="00020FC3">
      <w:pPr>
        <w:rPr>
          <w:rStyle w:val="kursiv"/>
          <w:sz w:val="21"/>
          <w:szCs w:val="21"/>
        </w:rPr>
      </w:pPr>
      <w:r>
        <w:rPr>
          <w:rStyle w:val="kursiv"/>
          <w:sz w:val="21"/>
          <w:szCs w:val="21"/>
        </w:rPr>
        <w:t>Allmänna reklamationsnämnden</w:t>
      </w:r>
      <w:r>
        <w:t xml:space="preserve"> er ei statleg styresmakt. Nemnda har om lag 45 tilsette og han</w:t>
      </w:r>
      <w:r>
        <w:t>d</w:t>
      </w:r>
      <w:r>
        <w:t>samar forbrukarklager på dei fleste varer og tenester. Nemnda meklar ikkje mellom partane, og handsaminga er gratis for partane.</w:t>
      </w:r>
    </w:p>
    <w:p w:rsidR="00D30C4D" w:rsidRDefault="00B964E1" w:rsidP="00020FC3">
      <w:pPr>
        <w:rPr>
          <w:rStyle w:val="kursiv"/>
          <w:sz w:val="21"/>
          <w:szCs w:val="21"/>
        </w:rPr>
      </w:pPr>
      <w:r>
        <w:rPr>
          <w:rStyle w:val="kursiv"/>
          <w:sz w:val="21"/>
          <w:szCs w:val="21"/>
        </w:rPr>
        <w:t>Fastighetsmäklarinspektionen</w:t>
      </w:r>
      <w:r>
        <w:t xml:space="preserve"> er ei statleg styresmakt med om lag 20 tilsette som fører tilsyn med eigedomsmeklarar.</w:t>
      </w:r>
    </w:p>
    <w:p w:rsidR="00D30C4D" w:rsidRDefault="00B964E1" w:rsidP="00020FC3">
      <w:pPr>
        <w:rPr>
          <w:rFonts w:ascii="Arial" w:hAnsi="Arial" w:cs="Arial"/>
          <w:b/>
          <w:bCs/>
        </w:rPr>
      </w:pPr>
      <w:r>
        <w:rPr>
          <w:rStyle w:val="kursiv"/>
          <w:sz w:val="21"/>
          <w:szCs w:val="21"/>
        </w:rPr>
        <w:t>Sveriges Konsumenter</w:t>
      </w:r>
      <w:r>
        <w:t xml:space="preserve"> er ein uavhengig interesseorganisasjon som fremjar forbrukarinteresser. Organisasjonen er med i ei lang rekkje ulike råd, grupper og nemnder, mellom anna i Allmänna reklamationsnämnden. Sveriges Konsumenter har 21 medlemsorganisasjonar og blir finansiert dels gjennom medlemsavgifter og dels gjennom offentlege tilskot og prosjektmidlar.</w:t>
      </w:r>
    </w:p>
    <w:p w:rsidR="00D30C4D" w:rsidRDefault="00B964E1" w:rsidP="00020FC3">
      <w:pPr>
        <w:pStyle w:val="Overskrift3"/>
      </w:pPr>
      <w:r>
        <w:t>Finland</w:t>
      </w:r>
    </w:p>
    <w:p w:rsidR="00D30C4D" w:rsidRDefault="00B964E1" w:rsidP="00020FC3">
      <w:r>
        <w:t>I Finland er det Arbets- och näringsministeriet som har hovudansvaret for forbrukarpolitikken, og dei sentrale statlege organa på forbrukarområdet er Konkurrence- og konsumentverket og Konsumenttvistnämnden. Eit anna viktig organ er Konsumentförbundet, som er forbrukarane sin interesseorganisasjon.</w:t>
      </w:r>
    </w:p>
    <w:p w:rsidR="00D30C4D" w:rsidRDefault="00B964E1" w:rsidP="00020FC3">
      <w:pPr>
        <w:rPr>
          <w:rStyle w:val="kursiv"/>
          <w:sz w:val="21"/>
          <w:szCs w:val="21"/>
        </w:rPr>
      </w:pPr>
      <w:r>
        <w:rPr>
          <w:rStyle w:val="kursiv"/>
          <w:sz w:val="21"/>
          <w:szCs w:val="21"/>
        </w:rPr>
        <w:t xml:space="preserve">Konkurrence- og konsumentverket </w:t>
      </w:r>
      <w:r>
        <w:t>har om lag 200 tilsette og utfører fleire ulike oppgåver på fo</w:t>
      </w:r>
      <w:r>
        <w:t>r</w:t>
      </w:r>
      <w:r>
        <w:t xml:space="preserve">brukarområdet. Verket tek initiativ til </w:t>
      </w:r>
      <w:proofErr w:type="gramStart"/>
      <w:r>
        <w:t>å</w:t>
      </w:r>
      <w:proofErr w:type="gramEnd"/>
      <w:r>
        <w:t xml:space="preserve"> vidareutvikle forbrukarpolitikken og forbrukarvernet, analyserer ulike forbrukarmarknader og gir forbrukarrettleiing. Rettleiinga går ut på å gi i</w:t>
      </w:r>
      <w:r>
        <w:t>n</w:t>
      </w:r>
      <w:r>
        <w:t>formasjon om forbrukarrettar og å mekle mellom forbrukarar og næringsdrivande. Verket er også sekretariat for Konsumentombudsmannen. Konsumentombudsmannen leiar forbruka</w:t>
      </w:r>
      <w:r>
        <w:t>r</w:t>
      </w:r>
      <w:r>
        <w:t>delen av Konkurrence- og konsumentverket og fører tilsyn med forbrukarvernreglar. Kons</w:t>
      </w:r>
      <w:r>
        <w:t>u</w:t>
      </w:r>
      <w:r>
        <w:t>ment Europa er også ei eiga eining i Konsumentverket.</w:t>
      </w:r>
    </w:p>
    <w:p w:rsidR="00D30C4D" w:rsidRDefault="00B964E1" w:rsidP="00020FC3">
      <w:pPr>
        <w:rPr>
          <w:rStyle w:val="kursiv"/>
          <w:sz w:val="21"/>
          <w:szCs w:val="21"/>
        </w:rPr>
      </w:pPr>
      <w:r>
        <w:rPr>
          <w:rStyle w:val="kursiv"/>
          <w:sz w:val="21"/>
          <w:szCs w:val="21"/>
        </w:rPr>
        <w:lastRenderedPageBreak/>
        <w:t>Konsumenttvistnämnden</w:t>
      </w:r>
      <w:r>
        <w:t xml:space="preserve"> er eit forvaltingsorgan som kjem med rettleiande fråsegner i forbruka</w:t>
      </w:r>
      <w:r>
        <w:t>r</w:t>
      </w:r>
      <w:r>
        <w:t>saker. Nemnda har om lag 40 tilsette og handsamar forbrukarklager på dei fleste varer og t</w:t>
      </w:r>
      <w:r>
        <w:t>e</w:t>
      </w:r>
      <w:r>
        <w:t>nester. Nemnda meklar ikkje mellom partane, og handsaminga er gratis for partane.</w:t>
      </w:r>
    </w:p>
    <w:p w:rsidR="00D30C4D" w:rsidRDefault="00B964E1" w:rsidP="00020FC3">
      <w:pPr>
        <w:rPr>
          <w:rFonts w:ascii="Arial" w:hAnsi="Arial" w:cs="Arial"/>
          <w:b/>
          <w:bCs/>
          <w:spacing w:val="4"/>
          <w:sz w:val="28"/>
          <w:szCs w:val="28"/>
        </w:rPr>
      </w:pPr>
      <w:r>
        <w:rPr>
          <w:rStyle w:val="kursiv"/>
          <w:sz w:val="21"/>
          <w:szCs w:val="21"/>
        </w:rPr>
        <w:t>Konsumentförbundet</w:t>
      </w:r>
      <w:r>
        <w:t xml:space="preserve"> er ein uavhengig interesseorganisasjon med om lag 2000 enkeltpersonar, over 20 lokale forbrukarorganisasjonar og 17 andre organisasjonar som medlemmar. Organ</w:t>
      </w:r>
      <w:r>
        <w:t>i</w:t>
      </w:r>
      <w:r>
        <w:t>sasjonen har om lag 8 tilsette og blir i hovudsak finansiert av offentlege tilskot. Konsumen</w:t>
      </w:r>
      <w:r>
        <w:t>t</w:t>
      </w:r>
      <w:r>
        <w:t>förbundet gir alle forbrukarar juridisk rettleiing i bustadsaker. I andre saker er det berre me</w:t>
      </w:r>
      <w:r>
        <w:t>d</w:t>
      </w:r>
      <w:r>
        <w:t>lemmar som får juridisk rettleiing.</w:t>
      </w:r>
    </w:p>
    <w:p w:rsidR="00D30C4D" w:rsidRDefault="00B964E1" w:rsidP="00020FC3">
      <w:pPr>
        <w:pStyle w:val="Overskrift2"/>
      </w:pPr>
      <w:r>
        <w:t>Evalueringar av forbrukarapparatet og sentrale utviklingstrekk</w:t>
      </w:r>
    </w:p>
    <w:p w:rsidR="00D30C4D" w:rsidRDefault="00B964E1" w:rsidP="00020FC3">
      <w:r>
        <w:t>Sentrale spørsmål rundt organiseringa og innretninga av forbrukarapparatet har vore diskuterte i fleire omgangar dei siste åra. Tema som særleg har vore oppe til diskusjon, er sjølvstendet til Forbrukarrådet og Forbrukartilsynet og nøytraliteten til Forbrukarrådet som meklar i saker mellom forbrukarar og næringsdrivande. Det har også vore påpeika at forbrukarapparatet er fragmentert, med mange små einingar som til dels har overlappande oppgåver. I det følgjande ser vi på dei viktigaste utgreiingane og evalueringane frå dei siste tiåra og kva for endringar dei har ført med seg.</w:t>
      </w:r>
    </w:p>
    <w:p w:rsidR="00D30C4D" w:rsidRDefault="00B964E1" w:rsidP="00020FC3">
      <w:pPr>
        <w:pStyle w:val="Overskrift3"/>
      </w:pPr>
      <w:r>
        <w:t xml:space="preserve">NOU 1995: 21 </w:t>
      </w:r>
      <w:r>
        <w:rPr>
          <w:rStyle w:val="kursiv"/>
        </w:rPr>
        <w:t>Organisering av forbrukerapparatet</w:t>
      </w:r>
    </w:p>
    <w:p w:rsidR="00D30C4D" w:rsidRDefault="00B964E1" w:rsidP="00020FC3">
      <w:r>
        <w:t xml:space="preserve">Mandatet til denne utgreiinga var mellom anna </w:t>
      </w:r>
      <w:proofErr w:type="gramStart"/>
      <w:r>
        <w:t>å</w:t>
      </w:r>
      <w:proofErr w:type="gramEnd"/>
      <w:r>
        <w:t xml:space="preserve"> undersøkje om organiseringa av forbruka</w:t>
      </w:r>
      <w:r>
        <w:t>r</w:t>
      </w:r>
      <w:r>
        <w:t>organa og tilknytinga deira til departementet var føremålstenleg. Utvalet, som blei leidd av Kjeld Rimberg, skulle skissere alternativ organisering, inkludert ei deling av oppgåvene me</w:t>
      </w:r>
      <w:r>
        <w:t>l</w:t>
      </w:r>
      <w:r>
        <w:t>lom ein rein interesseorganisasjon, uavhengige faglege organ og eitt eller fleire forvaltingso</w:t>
      </w:r>
      <w:r>
        <w:t>r</w:t>
      </w:r>
      <w:r>
        <w:t>gan.</w:t>
      </w:r>
    </w:p>
    <w:p w:rsidR="00D30C4D" w:rsidRDefault="00B964E1" w:rsidP="00020FC3">
      <w:r>
        <w:t>I konklusjonen meinte utvalet at det var naudsynt å sikre Forbrukarrådet og SIFO større sjøl</w:t>
      </w:r>
      <w:r>
        <w:t>v</w:t>
      </w:r>
      <w:r>
        <w:t xml:space="preserve">stende. Utvalet var særleg oppteke av at Forbrukarrådet måtte vere tilstrekkeleg sjølvstendig frå staten, slik at rådet fritt kunne kritisere både regjeringa sin politikk på forbrukarområdet og den statlege næringsverksemda. For å sikre dette sjølvstendet føreslo utvalet å opprette eit styre som administrerer Forbrukarrådet, og </w:t>
      </w:r>
      <w:proofErr w:type="gramStart"/>
      <w:r>
        <w:t>å</w:t>
      </w:r>
      <w:proofErr w:type="gramEnd"/>
      <w:r>
        <w:t xml:space="preserve"> gjere om SIFO til ei stifting. Utvalet drøfta i avgrensa grad reindyrking av dei interessepolitiske oppgåvene eller opprettinga av eit direktorat, men tilrådde uansett ikkje desse tiltaka.</w:t>
      </w:r>
    </w:p>
    <w:p w:rsidR="00D30C4D" w:rsidRDefault="00B964E1" w:rsidP="00020FC3">
      <w:pPr>
        <w:pStyle w:val="Overskrift3"/>
      </w:pPr>
      <w:r>
        <w:t xml:space="preserve">St.meld. nr. 40 (1998–99) </w:t>
      </w:r>
      <w:r>
        <w:rPr>
          <w:rStyle w:val="kursiv"/>
        </w:rPr>
        <w:t>Om forbrukerpolitikk og organisering av fo</w:t>
      </w:r>
      <w:r>
        <w:rPr>
          <w:rStyle w:val="kursiv"/>
        </w:rPr>
        <w:t>r</w:t>
      </w:r>
      <w:r>
        <w:rPr>
          <w:rStyle w:val="kursiv"/>
        </w:rPr>
        <w:t>brukerapparatet</w:t>
      </w:r>
    </w:p>
    <w:p w:rsidR="00D30C4D" w:rsidRDefault="00B964E1" w:rsidP="00020FC3">
      <w:r>
        <w:t>Den førre stortingsmeldinga om forbrukarpolitikk blei lagd fram sommaren 1999 av Kjell Magne Bondevik si fyrste regjering og statsråd Valgerd Svarstad Haugland (KrF). Meldinga hadde to hovuddelar. Den eine tok føre seg ulike forbrukarpolitiske tema som berekraftig fo</w:t>
      </w:r>
      <w:r>
        <w:t>r</w:t>
      </w:r>
      <w:r>
        <w:t>bruk, produkttryggleik, bustad og mat. Den andre delen tok føre seg organiseringa av forbr</w:t>
      </w:r>
      <w:r>
        <w:t>u</w:t>
      </w:r>
      <w:r>
        <w:t xml:space="preserve">karapparatet og tilrådingane frå Rimbergutvalet. Meldinga konkluderte med at det kunne liggje potensial for forbetringar og meir effektiv drift ved å samle store delar av forbrukarapparatet i eit direktorat. Samstundes blei det påpeika at den gjeldande modellen gjennomgåande har fungert tilfredsstillande og gitt gode resultat. Regjeringa ønskte derfor ei nærare utgreiing av </w:t>
      </w:r>
      <w:r>
        <w:lastRenderedPageBreak/>
        <w:t>direktoratsmodellen og Rimberguvalet sin reformmodell, og at desse modellane skulle vegast opp mot kvarandre, før det blei konkludert i saka.</w:t>
      </w:r>
    </w:p>
    <w:p w:rsidR="00D30C4D" w:rsidRDefault="00B964E1" w:rsidP="00020FC3">
      <w:r>
        <w:t xml:space="preserve">Stortingsmeldinga blei følgd opp ved at Agenda Utredning &amp; Utvikling AS fekk i oppdrag </w:t>
      </w:r>
      <w:proofErr w:type="gramStart"/>
      <w:r>
        <w:t>å</w:t>
      </w:r>
      <w:proofErr w:type="gramEnd"/>
      <w:r>
        <w:t xml:space="preserve"> sjå nærare på reformmodellen og direktoratsmodellen. Departementet gjekk ikkje vidare med direktoratsmodellen. Prosessen førte til at Forbrukarrådet blei omdanna til eit forvaltingsorgan med særskilde fullmakter og eit eige styre, mellom anna for å markere sjølvstendet frå depa</w:t>
      </w:r>
      <w:r>
        <w:t>r</w:t>
      </w:r>
      <w:r>
        <w:t>tementet.</w:t>
      </w:r>
    </w:p>
    <w:p w:rsidR="00D30C4D" w:rsidRDefault="00B964E1" w:rsidP="00020FC3">
      <w:pPr>
        <w:pStyle w:val="Overskrift3"/>
      </w:pPr>
      <w:r>
        <w:t xml:space="preserve">NOU 2010: 11 </w:t>
      </w:r>
      <w:r>
        <w:rPr>
          <w:rStyle w:val="kursiv"/>
        </w:rPr>
        <w:t>Nemndsbehandling av forbrukertvister</w:t>
      </w:r>
    </w:p>
    <w:p w:rsidR="00D30C4D" w:rsidRDefault="00B964E1" w:rsidP="00020FC3">
      <w:r>
        <w:t>Utvalet, som blei leidd av Liv Synnøve Taraldsrud, skulle sjå nærare på det utanrettslege tvi</w:t>
      </w:r>
      <w:r>
        <w:t>s</w:t>
      </w:r>
      <w:r>
        <w:t>teløysingstilbodet for forbrukarklager. I grove trekk skulle utvalet vurdere naudsynet for utanrettsleg tvisteløysing på ulike marknader og effektivisering av sakshandsaminga i bra</w:t>
      </w:r>
      <w:r>
        <w:t>n</w:t>
      </w:r>
      <w:r>
        <w:t>sjenemndene, Forbrukarrådet og Sekretariatet for Forbrukarklageutvalet (som då heitte Fo</w:t>
      </w:r>
      <w:r>
        <w:t>r</w:t>
      </w:r>
      <w:r>
        <w:t>brukartvistutvalet). Utvalet skulle også vurdere om Sekretariatet for Marknadsrådet og Fo</w:t>
      </w:r>
      <w:r>
        <w:t>r</w:t>
      </w:r>
      <w:r>
        <w:t>brukarklageutvalet burde ta over saksførebuinga til Forbrukarrådet. Utvalet var sett saman av representantar for mellom anna Forbrukarrådet, Forbrukartilsynet (som då heitte Forbr</w:t>
      </w:r>
      <w:r>
        <w:t>u</w:t>
      </w:r>
      <w:r>
        <w:t>karombodet), departementet og næringslivet.</w:t>
      </w:r>
    </w:p>
    <w:p w:rsidR="00D30C4D" w:rsidRDefault="00B964E1" w:rsidP="00020FC3">
      <w:r>
        <w:t>Etter utvalet si vurdering var det naudsynt å utvide det utanrettslege tvisteløysingssystemet slik at det også kunne handsame klager ved kjøp av bustad, persontransporttenester, private u</w:t>
      </w:r>
      <w:r>
        <w:t>t</w:t>
      </w:r>
      <w:r>
        <w:t>danningstilbod og tv-tenester. Vidare meinte utvalet at det var naudsynt med eit felles regelverk og ei offentleg godkjenningsordning for nemndene. Utvalet kom også til at mekling og før</w:t>
      </w:r>
      <w:r>
        <w:t>e</w:t>
      </w:r>
      <w:r>
        <w:t>buing av saker for nemndshandsaming burde liggje hos eitt og same organ. Dette for å unngå dobbelthandsaming. Utvalet føreslo derfor at Sekretariatet for Marknadsrådet og Forbruka</w:t>
      </w:r>
      <w:r>
        <w:t>r</w:t>
      </w:r>
      <w:r>
        <w:t>klageutvalet burde ta over meklingsoppgåvene og den saksførebuande rolla til Forbrukarrådet. I grunngivinga si nemnde utvalet også at Forbrukarrådet si dobbeltrolle som interesseorganis</w:t>
      </w:r>
      <w:r>
        <w:t>a</w:t>
      </w:r>
      <w:r>
        <w:t xml:space="preserve">sjon for forbrukarar og nøytralt saksførebuande organ for Forbrukarklageutvalet, blei oppfatta som problematisk. Utvalet viste i samanheng med dette til SIFO-rapport nr. 4 frå 2007: </w:t>
      </w:r>
      <w:r>
        <w:rPr>
          <w:rStyle w:val="kursiv"/>
          <w:sz w:val="21"/>
          <w:szCs w:val="21"/>
        </w:rPr>
        <w:t>Å få rett – når du har rett</w:t>
      </w:r>
      <w:r>
        <w:t>.</w:t>
      </w:r>
    </w:p>
    <w:p w:rsidR="00D30C4D" w:rsidRDefault="00B964E1" w:rsidP="00020FC3">
      <w:pPr>
        <w:pStyle w:val="Overskrift3"/>
      </w:pPr>
      <w:r>
        <w:t>Rettsakter om handsaming av forbrukarklager</w:t>
      </w:r>
    </w:p>
    <w:p w:rsidR="00D30C4D" w:rsidRDefault="00B964E1" w:rsidP="00020FC3">
      <w:r>
        <w:t>I 2013 vedtok EU eit direktiv om alternativ tvisteløysing i forbrukarsaker (2013/11/EU). D</w:t>
      </w:r>
      <w:r>
        <w:t>i</w:t>
      </w:r>
      <w:r>
        <w:t>rektivet påla alle EU/EØS-land å ha eit utanrettsleg tvisteløysingstilbod på tilnærma alle fo</w:t>
      </w:r>
      <w:r>
        <w:t>r</w:t>
      </w:r>
      <w:r>
        <w:t>brukarmarknader. Direktivet stilte ei rekkje krav til organiseringa av klageorgana og sak</w:t>
      </w:r>
      <w:r>
        <w:t>s</w:t>
      </w:r>
      <w:r>
        <w:t>handsaminga, og påla medlemsstatane å føre tilsyn med at krava blei følgde. Direktivet kravde ikkje at desse organa måtte treffe ei avgjerd. For å oppfylle krava i direktivet var det nok at organa mekla mellom forbrukaren og den næringsdrivande.</w:t>
      </w:r>
    </w:p>
    <w:p w:rsidR="00D30C4D" w:rsidRDefault="00B964E1" w:rsidP="00020FC3">
      <w:r>
        <w:t>Direktivet og Taraldsrudutvalet si utgreiing om direktivet om alternativ tvisteløysing blei følgd opp i to lovproposisjonar: Prop. 32 L (2015–2016) lov om klageorganer for forbrukersaker og Prop. 145 L (2015–2015) lov om Forbrukerklageutvalget.</w:t>
      </w:r>
    </w:p>
    <w:p w:rsidR="00D30C4D" w:rsidRDefault="00B964E1" w:rsidP="00020FC3">
      <w:r>
        <w:t xml:space="preserve">Forslaget til lov om klageorgan stilte krav til organiseringa av og sakshandsaminga til dei utanrettslege klagenemndene, og til Forbrukarrådet si klagehandsaming. Lovforslaget blei </w:t>
      </w:r>
      <w:r>
        <w:lastRenderedPageBreak/>
        <w:t>vedteke av Stortinget i 2016. Lova etablerte ei frivillig godkjenningsordning for dei private bransjenemndene. Gjennom denne lova fekk Forbrukarrådet også utvida meklingsplikta si, slik at rådet no må mekle på dei fleste område som ikkje er omfatta av ei offentleg godkjend bra</w:t>
      </w:r>
      <w:r>
        <w:t>n</w:t>
      </w:r>
      <w:r>
        <w:t>sjenemnd. Eit viktig unntak frå rådet si meklingsplikt er kjøp av fast eigedom. Desse avtalene er ikkje omfatta av Forbrukarrådet si meklingsplikt sjølv om dei i mange tilfelle heller ikkje er omfatta av ei bransjenemnd.</w:t>
      </w:r>
    </w:p>
    <w:p w:rsidR="00D30C4D" w:rsidRDefault="00B964E1" w:rsidP="00020FC3">
      <w:r>
        <w:t>Den nye lova flytta ikkje meklingsoppgåvene frå Forbrukarrådet til Sekretariatet for Forbr</w:t>
      </w:r>
      <w:r>
        <w:t>u</w:t>
      </w:r>
      <w:r>
        <w:t>karklageutvalet og Marknadsrådet, slik Taraldsrudutvalet føreslo. Grunngivinga for dette var dels den lange erfaringa og dei gode resultata Forbrukarrådet kunne vise til med mekling, og dels at ein hos Forbrukarrådet var godt kjend med krava til nøytralitet i meklinga.</w:t>
      </w:r>
    </w:p>
    <w:p w:rsidR="00D30C4D" w:rsidRDefault="00B964E1" w:rsidP="00020FC3">
      <w:r>
        <w:t>Lov om Forbrukerklageutvalget førte vidare tidlegare lov om behandling av forbrukertvister, men med enkelte justeringar som følgje av direktivet om alternativ tvisteløysing.</w:t>
      </w:r>
    </w:p>
    <w:p w:rsidR="00D30C4D" w:rsidRDefault="00B964E1" w:rsidP="00020FC3">
      <w:pPr>
        <w:pStyle w:val="Overskrift3"/>
      </w:pPr>
      <w:r>
        <w:t>Gjennomgang av det statlege forbrukarapparatet i 2015</w:t>
      </w:r>
    </w:p>
    <w:p w:rsidR="00D30C4D" w:rsidRDefault="00B964E1" w:rsidP="00020FC3">
      <w:r>
        <w:t>Fleirtalet i familie- og kulturkomiteen på Stortinget bad hausten 2013 regjeringa om å gje</w:t>
      </w:r>
      <w:r>
        <w:t>n</w:t>
      </w:r>
      <w:r>
        <w:t>nomføre ein heilskapleg gjennomgang av forbrukarapparatet. Oppdraget blei gitt til Direkt</w:t>
      </w:r>
      <w:r>
        <w:t>o</w:t>
      </w:r>
      <w:r>
        <w:t>ratet for forvalting og ikt (Difi). Difi skulle mellom anna vurdere om det var føremålstenleg at Forbrukarrådet hadde forvaltingsoppgåver samstundes som det skulle vere eit uavhengig i</w:t>
      </w:r>
      <w:r>
        <w:t>n</w:t>
      </w:r>
      <w:r>
        <w:t>teresseorgan, om det var naudsynt med ei sterkare demokratisk forankring av den interessep</w:t>
      </w:r>
      <w:r>
        <w:t>o</w:t>
      </w:r>
      <w:r>
        <w:t>litiske verksemda, og om Forbrukarrådet sin struktur med fleire lokalkontor var kostnadse</w:t>
      </w:r>
      <w:r>
        <w:t>f</w:t>
      </w:r>
      <w:r>
        <w:t>fektiv. Difi skulle også undersøkje om det var ei overlapping i oppgåver og aktivitetar mellom Forbrukarrådet og Forbrukarombodet (som no heiter Forbrukartilsynet).</w:t>
      </w:r>
    </w:p>
    <w:p w:rsidR="00D30C4D" w:rsidRDefault="00B964E1" w:rsidP="00020FC3">
      <w:r>
        <w:t xml:space="preserve">Rapporten konkluderte med at verksemdene kunne vise til gode resultat kvar for seg, men at forbrukarapparatet samla sett verka fragmentert og lite kostnadseffektivt. Vidare vurderte Difi at kombinasjonen av interessepolitiske og forvaltingsmessige oppgåver var uryddig og svekte legitimiteten til Forbrukarrådet. Det blei påpeika to primære grunnar til dette: For </w:t>
      </w:r>
      <w:proofErr w:type="gramStart"/>
      <w:r>
        <w:t>det</w:t>
      </w:r>
      <w:proofErr w:type="gramEnd"/>
      <w:r>
        <w:t xml:space="preserve"> fyrste skal den interessepolitiske verksemda vere uavhengig av politisk styring, mens meklinga er unde</w:t>
      </w:r>
      <w:r>
        <w:t>r</w:t>
      </w:r>
      <w:r>
        <w:t xml:space="preserve">lagd politisk kontroll. Det kan vere uklart kor langt det interessepolitiske sjølvstendet rekk, og dette kan gi uheldige utslag dersom det politiske arbeidet til Forbrukarrådet får innverknad på forvaltingsoppgåvene. Den andre grunnen til at kombinasjonen av dei to </w:t>
      </w:r>
      <w:proofErr w:type="gramStart"/>
      <w:r>
        <w:t>rollene</w:t>
      </w:r>
      <w:proofErr w:type="gramEnd"/>
      <w:r>
        <w:t xml:space="preserve"> blei vurdert som problematisk, var at Forbrukarrådet skal fremje forbrukarinteresser og samstundes vere ein nøytral meklar i konfliktar mellom forbrukarar og næringsdrivande. Difi meinte derfor at rolla som interesseorgan burde skiljast frå meklingsoppgåvene.</w:t>
      </w:r>
    </w:p>
    <w:p w:rsidR="00D30C4D" w:rsidRDefault="00B964E1" w:rsidP="00020FC3">
      <w:r>
        <w:t>Etter Difi si oppfatning burde forvaltingsoppgåvene bli samla i eit felles organ under dåverande BLD. Dette for å få ei betre samordning av verkemiddel og oppgåver, noko som på sikt kan gi eit tyngre og meir slagkraftig apparat, basert på ein felles kunnskapsbase. Ei samling av op</w:t>
      </w:r>
      <w:r>
        <w:t>p</w:t>
      </w:r>
      <w:r>
        <w:t>gåver og funksjonar i færre einingar ville også gjere det mogleg å effektivisere administrative funksjonar og fellestenester. Vidare påpeikte Difi at sett utanfrå, gav Forbrukarrådet og Fo</w:t>
      </w:r>
      <w:r>
        <w:t>r</w:t>
      </w:r>
      <w:r>
        <w:t xml:space="preserve">brukarombodet inntrykk av å overlappe kvarandre relativt mykje, og at det var vanskeleg for aktørar både utanfor og innanfor apparatet </w:t>
      </w:r>
      <w:proofErr w:type="gramStart"/>
      <w:r>
        <w:t>å</w:t>
      </w:r>
      <w:proofErr w:type="gramEnd"/>
      <w:r>
        <w:t xml:space="preserve"> skilje mellom dei to verksemdene. Difi meinte at ei tydelegare tilsynsrolle for Forbrukarombodet kunne gi ei meir avklart oppgåvefordeling me</w:t>
      </w:r>
      <w:r>
        <w:t>l</w:t>
      </w:r>
      <w:r>
        <w:t>lom ombodet og Forbrukarrådet.</w:t>
      </w:r>
    </w:p>
    <w:p w:rsidR="00D30C4D" w:rsidRDefault="00B964E1" w:rsidP="00020FC3">
      <w:r>
        <w:lastRenderedPageBreak/>
        <w:t xml:space="preserve">Rapporten blei send på høyring i juni 2015. Difi si tilråding om </w:t>
      </w:r>
      <w:proofErr w:type="gramStart"/>
      <w:r>
        <w:t>å</w:t>
      </w:r>
      <w:proofErr w:type="gramEnd"/>
      <w:r>
        <w:t xml:space="preserve"> skilje Forbrukarrådet si fo</w:t>
      </w:r>
      <w:r>
        <w:t>r</w:t>
      </w:r>
      <w:r>
        <w:t>valtingsverksemd frå den interessepolitiske verksemda fekk støtte frå eit fleirtal av høyring</w:t>
      </w:r>
      <w:r>
        <w:t>s</w:t>
      </w:r>
      <w:r>
        <w:t>instansane. I tillegg til Forbrukarombodet og Norges Automobil-Forbund (NAF) var ei rekkje forvaltingsorgan, departement og bransjeorganisasjonar positive til eit skilje. Som grunngiving for eit skilje blei det, særleg frå bransjeorganisasjonane si side, argumentert med at det var uheldig å kombinere interessepolitiske oppgåver med mekling mellom forbrukarar og n</w:t>
      </w:r>
      <w:r>
        <w:t>æ</w:t>
      </w:r>
      <w:r>
        <w:t>ringsdrivande.</w:t>
      </w:r>
    </w:p>
    <w:p w:rsidR="00D30C4D" w:rsidRDefault="00B964E1" w:rsidP="00020FC3">
      <w:r>
        <w:t>Fleire høyringsinstansar var også einige med Difi om at forvaltingsoppgåvene burde samlast i eit felles organ under departementet. Det blei framheva at dette vil kunne gi ei rekkje positive effektar i form av ei effektivisering av administrative funksjonar og fellestenester, i tillegg til eit breiare og meir heilskapleg kunnskapsgrunnlag for politikkutforminga til dpartementet.</w:t>
      </w:r>
    </w:p>
    <w:p w:rsidR="00D30C4D" w:rsidRDefault="00B964E1" w:rsidP="00020FC3">
      <w:r>
        <w:t>Forbrukarombodet føreslo ei alternativ løysing der tvisteløysinga skulle bli lagt til Sekretariatet for Marknadsrådet og Forbrukartvistutvalet, og Forbrukarrådet sin forbrukarservice og Fo</w:t>
      </w:r>
      <w:r>
        <w:t>r</w:t>
      </w:r>
      <w:r>
        <w:t>brukar Europa skulle bli lagde til Forbrukarombodet.</w:t>
      </w:r>
    </w:p>
    <w:p w:rsidR="00D30C4D" w:rsidRDefault="00B964E1" w:rsidP="00020FC3">
      <w:r>
        <w:t>Høyringsinstansane som var negative til eit skilje, var mellom anna Forbrukarrådet, Blind</w:t>
      </w:r>
      <w:r>
        <w:t>e</w:t>
      </w:r>
      <w:r>
        <w:t>forbundet, Leieboerforeningen, enkelte bransjeorganisasjonar, tilsetteorganisasjonar og dei skandinaviske systerorganisasjonane til Forbrukarrådet. Forbrukarrådet grunngav dette med at gjennomslagskrafta ville bli redusert dersom ein delte rådsoppgåvene. Rådet argumenterte for at ein liten og frittståande interesseorganisasjon ikkje ville ha den same tyngda som dagens organisasjon. Ifølgje Forbrukarrådet ligg det omfattande synergieffektar og gjennomslagskraft i utvekslinga av kompetanse og kunnskap mellom forvaltingsoppgåvene og det interessepol</w:t>
      </w:r>
      <w:r>
        <w:t>i</w:t>
      </w:r>
      <w:r>
        <w:t>tiske arbeidet. Forbrukarrådet påpeikte også at den noverande modellen fungerte bra i praksis, noko som både omdømme- og brukarundersøkingar underbygde.</w:t>
      </w:r>
    </w:p>
    <w:p w:rsidR="00D30C4D" w:rsidRDefault="00B964E1" w:rsidP="00020FC3">
      <w:r>
        <w:t xml:space="preserve">Forbrukarrådet var samstundes tydeleg på at det kan vere naudsynt med ei samordning eller samanslåing av oppgåver. For </w:t>
      </w:r>
      <w:proofErr w:type="gramStart"/>
      <w:r>
        <w:t>det</w:t>
      </w:r>
      <w:proofErr w:type="gramEnd"/>
      <w:r>
        <w:t xml:space="preserve"> fyrste føreslo rådet å opprette ein felles forbrukarportal for alle nemnder, Forbrukartilsynet og Forbrukarrådet, og det ville at Forbrukarrådet skulle drive denne. For det andre blei det føreslått å samlokalisere sekretariata for husleigeutvala eller slå dei saman med lokalkontora til Forbrukarrådet. For det tredje var rådet samd med Difi i at ein burde reindyrke Forbrukarombodet si tilsynsrolle, og lanserte samstundes tanken om å slå ombodet saman med Konkurransetilsynet. Ifølgje Forbrukarrådet ville dette styrkje komp</w:t>
      </w:r>
      <w:r>
        <w:t>e</w:t>
      </w:r>
      <w:r>
        <w:t>tansen og auke forbrukarsatsinga.</w:t>
      </w:r>
    </w:p>
    <w:p w:rsidR="00D30C4D" w:rsidRDefault="00B964E1" w:rsidP="00020FC3">
      <w:r>
        <w:t>Som ei direkte oppfølging av Difi sin gjennomgang, blei det i 2017 gjennomført organisatoriske endringar i Forbrukarrådet. Talet på lokalkontor blei redusert frå ti til tre, i høvesvis Tromsø, Stavanger og Skien, i tillegg til ei hospiteringsordning på Svalbard. Det blei også innført eit organisatorisk skilje i Forbrukarrådet ved at ein skulle drive med interessepolitikk frå hovu</w:t>
      </w:r>
      <w:r>
        <w:t>d</w:t>
      </w:r>
      <w:r>
        <w:t>kontoret i Oslo, mens kontora i Tromsø, Stavanger og Skien skulle ha ansvar for mekling</w:t>
      </w:r>
      <w:r>
        <w:t>s</w:t>
      </w:r>
      <w:r>
        <w:t xml:space="preserve">oppgåvene. Forbrukarombodet si rolle som tilsynsorgan blei gjord tydeleg ved å endre namnet på verksemda frå ombod til tilsyn og ved å gi det nye tilsynet kompetanse til </w:t>
      </w:r>
      <w:proofErr w:type="gramStart"/>
      <w:r>
        <w:t>å</w:t>
      </w:r>
      <w:proofErr w:type="gramEnd"/>
      <w:r>
        <w:t xml:space="preserve"> gjere vedtak i alle saker.</w:t>
      </w:r>
    </w:p>
    <w:p w:rsidR="00D30C4D" w:rsidRDefault="00B964E1" w:rsidP="00020FC3">
      <w:pPr>
        <w:pStyle w:val="Overskrift2"/>
      </w:pPr>
      <w:r>
        <w:lastRenderedPageBreak/>
        <w:t>Framtidig handsaming av forbrukarklager</w:t>
      </w:r>
    </w:p>
    <w:p w:rsidR="00D30C4D" w:rsidRDefault="00B964E1" w:rsidP="00020FC3">
      <w:pPr>
        <w:pStyle w:val="Overskrift3"/>
      </w:pPr>
      <w:r>
        <w:t>Innleiing</w:t>
      </w:r>
    </w:p>
    <w:p w:rsidR="00D30C4D" w:rsidRDefault="00B964E1" w:rsidP="00020FC3">
      <w:r>
        <w:t>Som gjennomgangen ovanfor viser, har det blitt føreslått ei rekkje, til dels omfattande, en</w:t>
      </w:r>
      <w:r>
        <w:t>d</w:t>
      </w:r>
      <w:r>
        <w:t>ringar i forbrukarapparatet dei seinare åra. Dette har ført til fleire justeringar. I arbeidet med stortingsmeldinga om forbrukarpolitikk har det vore vurdert om ein bør gjere meir grunnle</w:t>
      </w:r>
      <w:r>
        <w:t>g</w:t>
      </w:r>
      <w:r>
        <w:t>gjande organisatoriske endringar i forbrukarapparatet. Eit sentralt moment i denne vurderinga har vore om det er mogleg å lage eit meir effektivt forbrukarapparat som på ein betre måte kan verne om forbrukarinteressene i ein stadig meir kompleks og digital kvardag. Når regjeringa har vurdert organisatoriske endringar, har ein viktig føresetnad for det sterke norske forbrukara</w:t>
      </w:r>
      <w:r>
        <w:t>p</w:t>
      </w:r>
      <w:r>
        <w:t>paratet stått fast: nemleg solid og føreseieleg finansiering.</w:t>
      </w:r>
    </w:p>
    <w:p w:rsidR="00D30C4D" w:rsidRDefault="00B964E1" w:rsidP="00020FC3">
      <w:r>
        <w:t xml:space="preserve">Som vist under punkt 4.1. er det særleg to utfordringar med dagens organisering: For </w:t>
      </w:r>
      <w:proofErr w:type="gramStart"/>
      <w:r>
        <w:t>det</w:t>
      </w:r>
      <w:proofErr w:type="gramEnd"/>
      <w:r>
        <w:t xml:space="preserve"> fyrste er forvaltingsoppgåvene på forbrukarområdet fordelte mellom fleire verksemder. Dette kan føre til meir dobbeltarbeid og ei noko svakare samordning enn om oppgåvene hadde vore samla i eitt organ. For det andre har Forbrukarrådet ei uheldig dobbeltrolle: På den eine sida skal rådet vere talerøyr og interesseorganisasjon for forbrukarane, og på den andre sida skal det tilby nøytral mekling i klagesaker.</w:t>
      </w:r>
    </w:p>
    <w:p w:rsidR="00D30C4D" w:rsidRDefault="00B964E1" w:rsidP="00020FC3">
      <w:r>
        <w:t>Regjeringa har vedteke å samle den offentlege handsaminga av forbrukarklager i Forbruka</w:t>
      </w:r>
      <w:r>
        <w:t>r</w:t>
      </w:r>
      <w:r>
        <w:t>tilsynet. Dette vil gjere handsaminga av forbrukarklager meir effektiv og brukarvennleg. Samstundes opnar det for å reindyrke Forbrukarrådet si rolle som interesseorganisasjon og utvikle Forbrukartilsynet si rolle som det sentrale forvaltingsorganet på forbrukarområdet.</w:t>
      </w:r>
    </w:p>
    <w:p w:rsidR="00D30C4D" w:rsidRDefault="00B964E1" w:rsidP="00020FC3">
      <w:r>
        <w:t>Endringa inneber at handsaminga av forbrukarklager blir flytt frå Forbrukarrådet og Sekret</w:t>
      </w:r>
      <w:r>
        <w:t>a</w:t>
      </w:r>
      <w:r>
        <w:t>riatet for Marknadsrådet og Forbrukarklageutvalet til Forbrukartilsynet. Forbrukarrådet har ei eiga avdeling som handsamar forbrukarklager etter kjøp over landegrensene i EØS-området, Forbrukar Europa, som også blir flytt til Forbrukartilsynet.</w:t>
      </w:r>
    </w:p>
    <w:p w:rsidR="00D30C4D" w:rsidRDefault="00B964E1" w:rsidP="00020FC3">
      <w:r>
        <w:t>I det følgjande gir vi ei nærare grunngiving for regjeringa si avgjerd om å samle forvalting</w:t>
      </w:r>
      <w:r>
        <w:t>s</w:t>
      </w:r>
      <w:r>
        <w:t>oppgåvene. Deretter ser vi på nokre av konsekvensane som følgjer i kjølvatnet av denne a</w:t>
      </w:r>
      <w:r>
        <w:t>v</w:t>
      </w:r>
      <w:r>
        <w:t>gjerda, i tillegg til ei grunngiving for lokaliseringa av det utvida tilsynet.</w:t>
      </w:r>
    </w:p>
    <w:p w:rsidR="00D30C4D" w:rsidRDefault="00B964E1" w:rsidP="00020FC3">
      <w:pPr>
        <w:pStyle w:val="Overskrift3"/>
      </w:pPr>
      <w:r>
        <w:t>Om handsaminga av forbrukarklager</w:t>
      </w:r>
    </w:p>
    <w:p w:rsidR="00D30C4D" w:rsidRDefault="00B964E1" w:rsidP="00020FC3">
      <w:r>
        <w:t>Forbrukarrådet har i dag tre hovudoppgåver: å fremje forbrukarane sine interesser, å mekle mellom forbrukarar og næringsdrivande, og å gi informasjon. Dei ulike oppgåvene kan stå i motsetnad til kvarandre, og dette kan skape utfordringar.</w:t>
      </w:r>
    </w:p>
    <w:p w:rsidR="00D30C4D" w:rsidRDefault="00B964E1" w:rsidP="00020FC3">
      <w:r>
        <w:t>Ei av utfordringane er at Forbrukarrådet både skal fremje forbrukarinteresser og samstundes nøytralt mekle mellom forbrukarar og næringsdrivande i enkeltsaker. I høyringa av D</w:t>
      </w:r>
      <w:r>
        <w:t>i</w:t>
      </w:r>
      <w:r>
        <w:t>fi-rapporten var det fleire høyringsinstansar som påpeikte at det er uheldig at same organ har begge desse rollene.</w:t>
      </w:r>
    </w:p>
    <w:p w:rsidR="00D30C4D" w:rsidRDefault="00B964E1" w:rsidP="00020FC3">
      <w:r>
        <w:t>Det finst ingen haldepunkt for å hevde at Forbrukarrådet i dag ikkje reint faktisk er ein nøytral meklingsinstans. Før meklinga går i gang, får partane beskjed om at Forbrukarrådet er nøytralt i meklinga. Dette går også klart fram av interne retningslinjer og Forbrukarrådet si servicee</w:t>
      </w:r>
      <w:r>
        <w:t>r</w:t>
      </w:r>
      <w:r>
        <w:t xml:space="preserve">klæring. Etter departementet si vurdering er ein godt medviten i organisasjonen om kor viktig </w:t>
      </w:r>
      <w:r>
        <w:lastRenderedPageBreak/>
        <w:t xml:space="preserve">det er </w:t>
      </w:r>
      <w:proofErr w:type="gramStart"/>
      <w:r>
        <w:t>å</w:t>
      </w:r>
      <w:proofErr w:type="gramEnd"/>
      <w:r>
        <w:t xml:space="preserve"> vere nøytral. I dag er det eit klart organisatorisk skilje mellom den delen av Forbr</w:t>
      </w:r>
      <w:r>
        <w:t>u</w:t>
      </w:r>
      <w:r>
        <w:t>karrådet som driv påverknadsarbeid, og den delen som meklar mellom forbrukarar og n</w:t>
      </w:r>
      <w:r>
        <w:t>æ</w:t>
      </w:r>
      <w:r>
        <w:t xml:space="preserve">ringsdrivande. Påverknadsarbeidet skjer i Oslo, mens meklinga skjer ved dei tre </w:t>
      </w:r>
      <w:proofErr w:type="gramStart"/>
      <w:r>
        <w:t>lokalkontora</w:t>
      </w:r>
      <w:proofErr w:type="gramEnd"/>
      <w:r>
        <w:t>.</w:t>
      </w:r>
    </w:p>
    <w:p w:rsidR="00D30C4D" w:rsidRDefault="00B964E1" w:rsidP="00020FC3">
      <w:r>
        <w:t>I tillegg til at meklaren skal vere nøytral, er det viktig at partane faktisk oppfattar meklaren som nøytral. Dersom meklaren ikkje blir oppfatta som nøytral, vil dette kunne gjere det vanskel</w:t>
      </w:r>
      <w:r>
        <w:t>e</w:t>
      </w:r>
      <w:r>
        <w:t xml:space="preserve">gare </w:t>
      </w:r>
      <w:proofErr w:type="gramStart"/>
      <w:r>
        <w:t>å komme</w:t>
      </w:r>
      <w:proofErr w:type="gramEnd"/>
      <w:r>
        <w:t xml:space="preserve"> fram til ei minneleg løysing. Forbrukarrådet bruker media aktivt for å påverke både private og offentlege verksemder til </w:t>
      </w:r>
      <w:proofErr w:type="gramStart"/>
      <w:r>
        <w:t>å</w:t>
      </w:r>
      <w:proofErr w:type="gramEnd"/>
      <w:r>
        <w:t xml:space="preserve"> gjere meir forbrukarvennlege val. Dette er ein viktig del av rolla som forbrukarane sitt interesseorgan. Slike </w:t>
      </w:r>
      <w:proofErr w:type="gramStart"/>
      <w:r>
        <w:t>utspel</w:t>
      </w:r>
      <w:proofErr w:type="gramEnd"/>
      <w:r>
        <w:t xml:space="preserve"> utfordrar samstundes dei n</w:t>
      </w:r>
      <w:r>
        <w:t>æ</w:t>
      </w:r>
      <w:r>
        <w:t>ringsdrivande si oppfatning av nøytraliteten til Forbrukarrådet. Dette gjeld særleg der det har vore interessepolitiske utspel i saker som Forbrukarrådet seinare må mekle i. Dersom Forbr</w:t>
      </w:r>
      <w:r>
        <w:t>u</w:t>
      </w:r>
      <w:r>
        <w:t>karrådet skulle ta meir omsyn til si nøytrale meklarrolle i påverknadsarbeidet, vil det på den andre sida kunne føre til at Forbrukarrådet ikkje varetek den forbrukarpolitiske rolla si som pådrivar for forbrukarinteresser i viktige samfunnsspørsmål.</w:t>
      </w:r>
    </w:p>
    <w:p w:rsidR="00D30C4D" w:rsidRDefault="00B964E1" w:rsidP="00020FC3">
      <w:r>
        <w:t>Ei anna utfordring er kombinasjonen av rolla som forvaltingsorgan underlagt styringa til d</w:t>
      </w:r>
      <w:r>
        <w:t>e</w:t>
      </w:r>
      <w:r>
        <w:t>partementet, og rolla som ein uavhengig interesseorganisasjon. Difi trekkjer særleg fram dette perspektivet i konklusjonen om at påverknadsarbeidet bør skiljast frå klagehandsaminga. Difi meiner denne kombinasjonen er uryddig, og påpeikar at dette er særleg problematisk der Fo</w:t>
      </w:r>
      <w:r>
        <w:t>r</w:t>
      </w:r>
      <w:r>
        <w:t>brukarrådet sitt interessepolitiske arbeid fører til nye oppgåver for forvaltingsdelen av ver</w:t>
      </w:r>
      <w:r>
        <w:t>k</w:t>
      </w:r>
      <w:r>
        <w:t>semda.</w:t>
      </w:r>
    </w:p>
    <w:p w:rsidR="00D30C4D" w:rsidRDefault="00B964E1" w:rsidP="00020FC3">
      <w:r>
        <w:t>Som vist over, er det ikkje alltid eit klart skilje mellom kva som er interessepolitisk arbeid, og kva som er forvaltingsarbeid. Desse uklarleikane kan skape utfordringar, både ved at Forbr</w:t>
      </w:r>
      <w:r>
        <w:t>u</w:t>
      </w:r>
      <w:r>
        <w:t>karrådet ikkje er tilstrekkeleg uavhengig i det forbrukarpolitiske arbeidet, og ved at det blir for lite styring av forvaltingsdelen.</w:t>
      </w:r>
    </w:p>
    <w:p w:rsidR="00D30C4D" w:rsidRDefault="00B964E1" w:rsidP="00020FC3">
      <w:r>
        <w:t>I høyringssvaret sitt til Difi-rapporten meinte Forbrukarrådet at ei deling av det interessepol</w:t>
      </w:r>
      <w:r>
        <w:t>i</w:t>
      </w:r>
      <w:r>
        <w:t>tiske arbeidet og meklingsoppgåvene ville svekkje samfunnsoppdraget til forbrukarapparatet. Rådet grunngav dette med at eit samla Forbrukarråd gir tverrfagleg forankring og synergie</w:t>
      </w:r>
      <w:r>
        <w:t>f</w:t>
      </w:r>
      <w:r>
        <w:t>fektar, og uttalte i den samanhengen:</w:t>
      </w:r>
    </w:p>
    <w:p w:rsidR="00D30C4D" w:rsidRDefault="00B964E1" w:rsidP="00020FC3">
      <w:pPr>
        <w:pStyle w:val="blokksit"/>
      </w:pPr>
      <w:r>
        <w:t>«Forbrukerrådets tunge kompetanse på forbrukerjuss, og kunnskap om hvor skoen trykker ut fra de nær 100 000 årlige henvendelsene, gir påvirkningsdelen vesentlig sterkere faglig tyngde og seriøsitet for vurdering og agering i forhold til næringene.»</w:t>
      </w:r>
    </w:p>
    <w:p w:rsidR="00D30C4D" w:rsidRDefault="00B964E1" w:rsidP="00020FC3">
      <w:r>
        <w:t>Poenget blei eksemplifisert ved å vise til tre konkrete saker: Røeggensaka (sak for Høgsterett om strukturerte spareprodukt), arbeidet med å redusere konfliktnivået ved bustadsal og f</w:t>
      </w:r>
      <w:r>
        <w:t>i</w:t>
      </w:r>
      <w:r>
        <w:t>nansportalen.no.</w:t>
      </w:r>
    </w:p>
    <w:p w:rsidR="00D30C4D" w:rsidRDefault="00B964E1" w:rsidP="00020FC3">
      <w:r>
        <w:t>Forbrukarrådet meklar ikkje i saker om bustad eller finans. Desse sakene blir handsama av Finansklagenemnda. At Forbrukarrådet likevel har tatt ei aktiv rolle på desse saksfelta, viser at Forbrukarrådet kan gjere viktig påverknadsarbeid uavhengig av om det har ansvaret for kl</w:t>
      </w:r>
      <w:r>
        <w:t>a</w:t>
      </w:r>
      <w:r>
        <w:t>gehandsaminga. Område som er omfatta av Forbrukarrådet sitt meklingsarbeid og toppar den årlege klagestatistikken, mellom anna bruktbilar og handverkartenester, har Forbrukarrådet tradisjonelt brukt relativt sett mindre ressursar på i det interessepolitiske arbeidet.</w:t>
      </w:r>
    </w:p>
    <w:p w:rsidR="00D30C4D" w:rsidRDefault="00B964E1" w:rsidP="00020FC3">
      <w:r>
        <w:t>Sjølv utan meklingsoppgåver vil Forbrukarrådet kunne ha god innsikt i ulike forbrukarutfor</w:t>
      </w:r>
      <w:r>
        <w:t>d</w:t>
      </w:r>
      <w:r>
        <w:t xml:space="preserve">ringar. Rådet vil framleis ha tilgang på statistikk over saker som blir tekne imot av det nye </w:t>
      </w:r>
      <w:r>
        <w:lastRenderedPageBreak/>
        <w:t>Forbrukartilsynet, og vil få informasjon i det interessepolitiske arbeidet, både gjennom ko</w:t>
      </w:r>
      <w:r>
        <w:t>n</w:t>
      </w:r>
      <w:r>
        <w:t>takten med enkeltforbrukarar og i rolla det har i ulike bransjenemnder. Ettersom Forbrukarrådet har styre- og nemndsmedlemmar i desse nemndene, har det god innsikt i kva for utfordringar forbrukarane møter på ei rekkje ulike marknader.</w:t>
      </w:r>
    </w:p>
    <w:p w:rsidR="00D30C4D" w:rsidRDefault="00B964E1" w:rsidP="00020FC3">
      <w:r>
        <w:t>Etter BFD si vurdering er det synergieffektar og effektivitetsgevinstar ved å samle klag</w:t>
      </w:r>
      <w:r>
        <w:t>e</w:t>
      </w:r>
      <w:r>
        <w:t>handsaminga i Forbrukartilsynet. Det er fleire grunnar til dette.</w:t>
      </w:r>
    </w:p>
    <w:p w:rsidR="00D30C4D" w:rsidRDefault="00B964E1" w:rsidP="00020FC3">
      <w:r>
        <w:t>Å samle tilsynsverksemda og handsaminga av forbrukarklager i eitt organ vil, som Difi p</w:t>
      </w:r>
      <w:r>
        <w:t>å</w:t>
      </w:r>
      <w:r>
        <w:t>peikte i rapporten sin om forbrukarapparatet, kunne gi betre samordning av verkemiddel og oppgåver. Dette kan på sikt gi eit tyngre og meir slagkraftig apparat. Ei auka samordning blir stadig viktigare, mellom anna på grunn av utviklinga i EU. Der får tilsynsorgana ei stadig viktigare rolle i å sikre forbrukarane sine privatrettslege rettar. Som følgje av den nye foror</w:t>
      </w:r>
      <w:r>
        <w:t>d</w:t>
      </w:r>
      <w:r>
        <w:t>ninga om forbrukarvernsamarbeid skal Forbrukartilsynet kunne forhandle med næringsdri</w:t>
      </w:r>
      <w:r>
        <w:t>v</w:t>
      </w:r>
      <w:r>
        <w:t>ande om kompensasjon til forbrukarane, til dømes i form av prisavslag, erstatning eller retting.</w:t>
      </w:r>
    </w:p>
    <w:p w:rsidR="00D30C4D" w:rsidRDefault="00B964E1" w:rsidP="00020FC3">
      <w:r>
        <w:t>Også i dag vil det i mange saker vere dei same reglane ein skal tolke og ta stilling til. Forbr</w:t>
      </w:r>
      <w:r>
        <w:t>u</w:t>
      </w:r>
      <w:r>
        <w:t xml:space="preserve">karane sine privatrettslege rettar er ikkje berre avgjerande for klagehandsaminga, men også for den offentlegrettslege handhevinga av marknadsføringslova. Etter marknadsføringslova skal Forbrukartilsynet slå ned på urimelege avtalevilkår og urimeleg handelspraksis, inkludert systematiske brot på forbrukarane sine privatrettslege rettar. Ved </w:t>
      </w:r>
      <w:proofErr w:type="gramStart"/>
      <w:r>
        <w:t>å</w:t>
      </w:r>
      <w:proofErr w:type="gramEnd"/>
      <w:r>
        <w:t xml:space="preserve"> leggje handsaminga av forbrukarklager og handhevinga av regelverket til eitt organ, vil ein kunne få ei meir ressur</w:t>
      </w:r>
      <w:r>
        <w:t>s</w:t>
      </w:r>
      <w:r>
        <w:t>effektiv og einskapleg tolking av regelverket.</w:t>
      </w:r>
    </w:p>
    <w:p w:rsidR="00D30C4D" w:rsidRDefault="00B964E1" w:rsidP="00020FC3">
      <w:r>
        <w:t>Å samle tilsynsverksemda og handsaminga av forbrukarklager i eitt organ vil også bidra til at ein i endå større grad enn i dag får eit felles kunnskapsgrunnlag for politikkutviklinga på fo</w:t>
      </w:r>
      <w:r>
        <w:t>r</w:t>
      </w:r>
      <w:r>
        <w:t>brukarområdet. I Difi-rapporten om forbrukarapparatet blei dette framheva som eit av fleire argument for å samle forvaltingsoppgåvene i forbrukarsektoren i eitt organ.</w:t>
      </w:r>
    </w:p>
    <w:p w:rsidR="00D30C4D" w:rsidRDefault="00B964E1" w:rsidP="00020FC3">
      <w:r>
        <w:t>Når det gjeld meklinga til Forbrukarrådet og saksførebuinga til sekretariatet, er det i dag mykje overlapping mellom dei to. Alle sakene sekretariatet handsamar, har fyrst vore til handsaming i Forbrukarrådet. Dette inneber at både Forbrukarrådet og sekretariatet må klargjere faktum og juss i éi og same sak. Sjølv om sekretariatet kan byggje på mykje av den informasjonen det får frå Forbrukarrådet, må det også gjere eigne vurderingar. Å samle desse oppgåvene vil derfor kunne innebere ei viss effektivisering, noko som tilseier at klagehandsaminga til Forbruka</w:t>
      </w:r>
      <w:r>
        <w:t>r</w:t>
      </w:r>
      <w:r>
        <w:t>rådet og sekretariatet bør bli samla i eitt organ.</w:t>
      </w:r>
    </w:p>
    <w:p w:rsidR="00D30C4D" w:rsidRDefault="00B964E1" w:rsidP="00020FC3">
      <w:r>
        <w:t>Effektiviseringspotensialet ved å samle klagehandsaminga i Forbrukarrådet og sekretariatet blei også framheva av Taraldsrudutvalet i 2010. Basert på dette og Forbrukarrådet si rolle som interesseorganisasjon, gjekk eit einrøystes utval, inkludert medlemmane frå Forbrukarrådet, Forbrukartilsynet og Forbrukarklageutvalet, inn for å flytte klagehandsaminga frå Forbruka</w:t>
      </w:r>
      <w:r>
        <w:t>r</w:t>
      </w:r>
      <w:r>
        <w:t>rådet til sekretariatet.</w:t>
      </w:r>
    </w:p>
    <w:p w:rsidR="00D30C4D" w:rsidRDefault="00B964E1" w:rsidP="00020FC3">
      <w:r>
        <w:t>På bakgrunn av dette har regjeringa vedteke å samle den statlege handsaminga av forbrukar</w:t>
      </w:r>
      <w:r>
        <w:t>k</w:t>
      </w:r>
      <w:r>
        <w:t>lager hos Forbrukartilsynet.</w:t>
      </w:r>
    </w:p>
    <w:p w:rsidR="00D30C4D" w:rsidRDefault="00B964E1" w:rsidP="00020FC3">
      <w:pPr>
        <w:pStyle w:val="Overskrift3"/>
      </w:pPr>
      <w:r>
        <w:lastRenderedPageBreak/>
        <w:t>Særleg om Forbrukar Europa</w:t>
      </w:r>
    </w:p>
    <w:p w:rsidR="00D30C4D" w:rsidRDefault="00B964E1" w:rsidP="00020FC3">
      <w:r>
        <w:t>Forbrukar Europa er i dag ei eiga avdeling i Forbrukarrådet og held til i Oslo. Forbrukar Europa er finansiert 50 prosent av EU-kommisjonen og 50 prosent av Forbrukarrådet. Forbrukar E</w:t>
      </w:r>
      <w:r>
        <w:t>u</w:t>
      </w:r>
      <w:r>
        <w:t>ropa er ein del av eit større nettverk av forbrukarkontor (The European Consumer Centres Network), oppretta av EU-kommisjonen. Nettverket har kontor i alle EU-land i tillegg til på Island og i Noreg. Nettverket hjelper forbrukarar med klager over landegrensene i EØS-området. Forbrukar Europa handterer saka dersom ho gjeld ein norsk forbrukar eller ein norsk næringsdrivande.</w:t>
      </w:r>
    </w:p>
    <w:p w:rsidR="00D30C4D" w:rsidRDefault="00B964E1" w:rsidP="00020FC3">
      <w:r>
        <w:t>Forbrukar Europa gir informasjon om forbrukarrettar og meklar mellom forbrukarar og n</w:t>
      </w:r>
      <w:r>
        <w:t>æ</w:t>
      </w:r>
      <w:r>
        <w:t>ringsdrivande. Dersom Forbrukar Europa ikkje får til ei minneleg løysing, hjelper det forbr</w:t>
      </w:r>
      <w:r>
        <w:t>u</w:t>
      </w:r>
      <w:r>
        <w:t>karen med å finne riktig nemnd.</w:t>
      </w:r>
    </w:p>
    <w:p w:rsidR="00D30C4D" w:rsidRDefault="00B964E1" w:rsidP="00020FC3">
      <w:r>
        <w:t>Forbrukar Europa skriv også høyringar, tek del i samarbeidsprosjekt med andre kontor i net</w:t>
      </w:r>
      <w:r>
        <w:t>t</w:t>
      </w:r>
      <w:r>
        <w:t>verket og gir innspel til Kommisjonen. Der vil det kunne fortelje om eventuelle manglar det har avdekt i det felleseuropeiske forbrukarvernet. Dette er likevel ein mindre del av arbeidsop</w:t>
      </w:r>
      <w:r>
        <w:t>p</w:t>
      </w:r>
      <w:r>
        <w:t>gåvene.</w:t>
      </w:r>
    </w:p>
    <w:p w:rsidR="00D30C4D" w:rsidRDefault="00B964E1" w:rsidP="00020FC3">
      <w:r>
        <w:t>Regjeringa vurderer derfor Forbrukar Europa som ein del av klagehandsamingstilbodet til Forbrukarrådet som no skal bli flytt til Forbrukartilsynet.</w:t>
      </w:r>
    </w:p>
    <w:p w:rsidR="00D30C4D" w:rsidRDefault="00B964E1" w:rsidP="00020FC3">
      <w:pPr>
        <w:pStyle w:val="Overskrift3"/>
      </w:pPr>
      <w:r>
        <w:t>Ny saksgang</w:t>
      </w:r>
    </w:p>
    <w:p w:rsidR="00D30C4D" w:rsidRDefault="00B964E1" w:rsidP="00020FC3">
      <w:r>
        <w:t>Eitt av motiva til å samle handsaminga av forbrukarsaker i eitt organ er at det kan vere med på å effektivisere klagehandsaminga. Som nemnt ovanfor blir klagene som skal til Forbruka</w:t>
      </w:r>
      <w:r>
        <w:t>r</w:t>
      </w:r>
      <w:r>
        <w:t>klageutvalet, handsama i ein todelt prosess. Fyrst meklar Forbrukarrådet mellom partane. Dersom partane ikkje blir einige og ein av dei ønskjer å få saka handsama i Forbrukarklag</w:t>
      </w:r>
      <w:r>
        <w:t>e</w:t>
      </w:r>
      <w:r>
        <w:t>utvalet, blir saka send over til sekretariatet. Sekretariatet førebur saka for handsaming i utvalet og skriv mellom anna utkast til vedtak. Begge instansane må undersøkje faktum i saka og gjere juridiske vurderingar.</w:t>
      </w:r>
    </w:p>
    <w:p w:rsidR="00D30C4D" w:rsidRDefault="00B964E1" w:rsidP="00020FC3">
      <w:r>
        <w:t>Når desse funksjonane blir plasserte i eitt og same organ, må ein vurdere nærare korleis sak</w:t>
      </w:r>
      <w:r>
        <w:t>s</w:t>
      </w:r>
      <w:r>
        <w:t>gangen bør vere for å få ein mest mogleg ressurseffektiv prosess. Saksgangen er i dag regulert i lov om godkjenning av klageorganer for forbrukarsaker og forbrukarklagelova. Endringar i desse lovene må på høyring. Regjeringa vil derfor skrive eit høyringsnotat med forslag til endringar i det relevante regelverket før framlegging av forslag til lovendringar for Stortinget. I dette høyringsnotatet vil spørsmålet om ny saksgang i forbrukarsaker bli drøfta nærare.</w:t>
      </w:r>
    </w:p>
    <w:p w:rsidR="00D30C4D" w:rsidRDefault="00B964E1" w:rsidP="00020FC3">
      <w:pPr>
        <w:pStyle w:val="Overskrift3"/>
      </w:pPr>
      <w:r>
        <w:t>Lokalisering</w:t>
      </w:r>
    </w:p>
    <w:p w:rsidR="00D30C4D" w:rsidRDefault="00B964E1" w:rsidP="00020FC3">
      <w:r>
        <w:t xml:space="preserve">Regjeringa ønskjer </w:t>
      </w:r>
      <w:proofErr w:type="gramStart"/>
      <w:r>
        <w:t>å</w:t>
      </w:r>
      <w:proofErr w:type="gramEnd"/>
      <w:r>
        <w:t xml:space="preserve"> leggje til rette for vekst og utvikling i heile landet. For å få til dette er det viktig å sikre ei spreiing av statlege arbeidsplassar. På den andre sida er det viktig av omsyn til effektiv ressursbruk at det utvida Forbrukartilsynet ikkje er spreidd utover for mange stader.</w:t>
      </w:r>
    </w:p>
    <w:p w:rsidR="00D30C4D" w:rsidRDefault="00B964E1" w:rsidP="00020FC3">
      <w:r>
        <w:t xml:space="preserve">Forbrukarrådet handsamar i dag klagesaker ved dei tre </w:t>
      </w:r>
      <w:proofErr w:type="gramStart"/>
      <w:r>
        <w:t>kontora</w:t>
      </w:r>
      <w:proofErr w:type="gramEnd"/>
      <w:r>
        <w:t xml:space="preserve"> i Skien, Stavanger og Tromsø. I tillegg er det ei hospiteringsordning på Svalbard. Dette er resultatet av omorganiseringspr</w:t>
      </w:r>
      <w:r>
        <w:t>o</w:t>
      </w:r>
      <w:r>
        <w:t>sessen i 2017, der talet på lokalkontor i Forbrukarrådet blei redusert frå ti kontor. Sjå punkt 4.5.5. for meir informasjon om dette. Som ein konsekvens av at regjeringa vil flytte klag</w:t>
      </w:r>
      <w:r>
        <w:t>e</w:t>
      </w:r>
      <w:r>
        <w:lastRenderedPageBreak/>
        <w:t>sakshandsaminga frå Forbrukarrådet til Forbrukartilsynet, vil Forbrukartilsynet ta over desse kontora.</w:t>
      </w:r>
    </w:p>
    <w:p w:rsidR="00D30C4D" w:rsidRDefault="00B964E1" w:rsidP="00020FC3">
      <w:r>
        <w:t xml:space="preserve">I vurderinga av kvar det utvida tilsynet skal liggje, har det vore viktig for regjeringa </w:t>
      </w:r>
      <w:proofErr w:type="gramStart"/>
      <w:r>
        <w:t>å</w:t>
      </w:r>
      <w:proofErr w:type="gramEnd"/>
      <w:r>
        <w:t xml:space="preserve"> byggje vidare på dei kompetansemiljøa som nyleg har blitt bygde opp i Skien, Stavanger og Tromsø. Det nye Forbrukartilsynet, inkludert tilsynsverksemda som i dag er i Oslo, skal derfor bli l</w:t>
      </w:r>
      <w:r>
        <w:t>o</w:t>
      </w:r>
      <w:r>
        <w:t xml:space="preserve">kalisert med utgangspunkt i dei tre </w:t>
      </w:r>
      <w:proofErr w:type="gramStart"/>
      <w:r>
        <w:t>kontora</w:t>
      </w:r>
      <w:proofErr w:type="gramEnd"/>
      <w:r>
        <w:t xml:space="preserve"> i Tromsø, Stavanger og Skien. Hovudkontoret og tilsynsverksemda skal liggje i Grenlands-området. Forbrukar Europa, som i dag er lokalisert ved Forbrukarrådet sitt hovudkontor i Oslo, blir flytt til det utvida Forbrukartilsynet sitt h</w:t>
      </w:r>
      <w:r>
        <w:t>o</w:t>
      </w:r>
      <w:r>
        <w:t>vudkontor i Grenland. Årsverk knytta til sakshandsaminga av forbrukarsaker som i dag blir utført av Sekretariatet for Marknadsrådet og Forbrukarklageutvalet i Oslo, blir fordelte mellom det utvida Forbrukartilsynet sine kontor i Tromsø, Stavanger og Grenland.</w:t>
      </w:r>
    </w:p>
    <w:p w:rsidR="00D30C4D" w:rsidRDefault="00B964E1" w:rsidP="00020FC3">
      <w:pPr>
        <w:pStyle w:val="Overskrift2"/>
      </w:pPr>
      <w:r>
        <w:t>Ansvaret for forsking og analyse i sektoren</w:t>
      </w:r>
    </w:p>
    <w:p w:rsidR="00D30C4D" w:rsidRDefault="00B964E1" w:rsidP="00020FC3">
      <w:r>
        <w:t>BFD har hovudansvaret for eit godt kunnskapsgrunnlag i forbrukarsektoren. Ein vesentleg del av forbruksforskinga blir utført av Forbruksforskingsinstituttet SIFO. Tidlegare var SIFO o</w:t>
      </w:r>
      <w:r>
        <w:t>r</w:t>
      </w:r>
      <w:r>
        <w:t>ganisert som eit uavhengig forvaltingsorgan med særskilde fullmakter, underlagd depart</w:t>
      </w:r>
      <w:r>
        <w:t>e</w:t>
      </w:r>
      <w:r>
        <w:t>mentet. Parallelt med Difi sin gjennomgang av forbrukarapparatet gjennomførte departementet ei vurdering av verksemda, finansieringsmodellen og tilknytingsforma til SIFO, og ei vurdering av kva tilknyting SIFO har til FoU-sektoren. Bakgrunnen var utfordringane ved å utvikle fo</w:t>
      </w:r>
      <w:r>
        <w:t>r</w:t>
      </w:r>
      <w:r>
        <w:t>bruksforskinga i eit lite og sektortilknytt institutt med ein relativt avgrensa marknad for op</w:t>
      </w:r>
      <w:r>
        <w:t>p</w:t>
      </w:r>
      <w:r>
        <w:t>dragsforsking. Departementet vurderte at det ville vere lurt å knyte SIFO opp mot eit større FoU-miljø, framfor å la instituttet halde fram som eit sjølvstendig og lite forskingsinstitutt. Dette førte til samtalar mellom styra i SIFO og Høyskolen i Oslo og Akershus (HiOA). Sa</w:t>
      </w:r>
      <w:r>
        <w:t>m</w:t>
      </w:r>
      <w:r>
        <w:t>talane førte vidare til eit styrevedtak om verksemdsoverdraging der SIFO blei ein del av HiOA. Departementet slutta seg til dette vedtaket, og overdraginga blei gjennomført i 2016. HiOA fekk universitetsstatus i 2018 og heiter no OsloMet – storbyuniversitetet. I dag er SIFO eitt av fleire institutt under OsloMet.</w:t>
      </w:r>
    </w:p>
    <w:p w:rsidR="00D30C4D" w:rsidRDefault="00B964E1" w:rsidP="00020FC3">
      <w:r>
        <w:t xml:space="preserve">Som ein del av forskingsoppdraget til SIFO blir det gjennomført regelmessige undersøkingar i den såkalla «SIFO-surveyen». Der kartlegg ein haldningar og kunnskap som forbrukarane har om ulike tema, og korleis forbrukarmarknadene fungerer. Spørsmåla kan variere frå år til år, men med </w:t>
      </w:r>
      <w:proofErr w:type="gramStart"/>
      <w:r>
        <w:t>ei</w:t>
      </w:r>
      <w:proofErr w:type="gramEnd"/>
      <w:r>
        <w:t xml:space="preserve"> stamme av faste spørsmål. EU gjennomfører også årlege forbrukarundersøkingar («Consumer Scoreboards») som alle EU-landa, Noreg og Island er med i. SIFO har her ei viktig rolle som bidragsytar, og er mellom anna med på å kvalitetssikre spørsmåla i undersøkingane. Desse undersøkingane gir oss godt grunnlag for </w:t>
      </w:r>
      <w:proofErr w:type="gramStart"/>
      <w:r>
        <w:t>å</w:t>
      </w:r>
      <w:proofErr w:type="gramEnd"/>
      <w:r>
        <w:t xml:space="preserve"> samanlikne tilhøva til forbrukarane i Noreg med 29 andre europeiske land. I nokre tilfelle kjøper BFD også utgreiingar frå forskings- og analysemiljø utanfor sektoren.</w:t>
      </w:r>
    </w:p>
    <w:p w:rsidR="00D30C4D" w:rsidRDefault="00B964E1" w:rsidP="00020FC3">
      <w:r>
        <w:t>Forbrukarrådet har ei fakta- og analyseavdeling som mellom anna analyserer Forbrukarrådet sin eigen klagestatistikk. I tillegg bruker Forbrukarrådet delar av budsjettet sitt til å kjøpe u</w:t>
      </w:r>
      <w:r>
        <w:t>n</w:t>
      </w:r>
      <w:r>
        <w:t>dersøkingar, testar og forskingsrapportar, mellom anna som underlag for det interessepolitiske arbeidet. Forbrukartilsynet fører også statistikk over førespurnadene det får frå publikum, men analyserer berre til ein viss grad desse tala.</w:t>
      </w:r>
    </w:p>
    <w:p w:rsidR="00D30C4D" w:rsidRDefault="00B964E1" w:rsidP="00020FC3">
      <w:r>
        <w:lastRenderedPageBreak/>
        <w:t>Eit godt og heilskapleg kunnskapsgrunnlag er viktig for å sikre eit godt forbrukarvern. Difi påpeikte i gjennomgangen sin i 2015 at det fragmenterte forbrukarapparatet i Noreg også gir eit meir fragmentert grunnlag for utvikling av politikk. Inntrykket var at SIFO og Forbrukarrådet gjerne arbeider kvar for seg med utgreiingar og forsking, og at kunnskapen ikkje blir godt nok utnytta. Difi tilrådde at ein i støre grad bør samle styresmakt- og forvaltingsoppgåver i fo</w:t>
      </w:r>
      <w:r>
        <w:t>r</w:t>
      </w:r>
      <w:r>
        <w:t>brukarsektoren i eit felles organ under dåverande BLD. Dette skulle vere med på å sikre at departementet fekk eit breiare og meir heilskapleg kunnskapsgrunnlag som utgangspunkt for utvikling av politikk, og at departementet dermed kunne bli ein tydelegare forbrukarpolitisk aktør.</w:t>
      </w:r>
    </w:p>
    <w:p w:rsidR="00D30C4D" w:rsidRDefault="00B964E1" w:rsidP="00020FC3">
      <w:r>
        <w:t>Regjeringa meiner det er naturleg at eit utvida Forbrukartilsyn får eit særleg ansvar for kun</w:t>
      </w:r>
      <w:r>
        <w:t>n</w:t>
      </w:r>
      <w:r>
        <w:t xml:space="preserve">skapsgrunnlaget i forbrukarsektoren. Med den føreslåtte omorganiseringa vil Forbrukartilsynet ha den fremste juridiske ekspertisen på forbrukarområdet. Tilsynet vil handsame store mengder førespurnader frå forbrukarane, og dermed </w:t>
      </w:r>
      <w:proofErr w:type="gramStart"/>
      <w:r>
        <w:t>få</w:t>
      </w:r>
      <w:proofErr w:type="gramEnd"/>
      <w:r>
        <w:t xml:space="preserve"> innsikt i kva utfordringar forbrukarane møter, og kva handelspraksis næringslivet har. Samstundes vil Forbrukartilsynet kunne føre ein samla statistikk for klagesaker innan forbrukarsektoren. Juridisk ekspertise, kjennskap til handel</w:t>
      </w:r>
      <w:r>
        <w:t>s</w:t>
      </w:r>
      <w:r>
        <w:t>praksis og klagestatistikk er likevel ikkje nok til å få eit heilskapleg kunnskapsgrunnlag. Ti</w:t>
      </w:r>
      <w:r>
        <w:t>l</w:t>
      </w:r>
      <w:r>
        <w:t>synet bør også kunne innhente forsking og analyse på forbrukarområdet.</w:t>
      </w:r>
    </w:p>
    <w:p w:rsidR="00D30C4D" w:rsidRDefault="00B964E1" w:rsidP="00020FC3">
      <w:r>
        <w:t>Regjeringa meiner samstundes at Forbrukarrådet bør oppretthalde kompetansen det har på å analysere problemstillingar som gjeld forbrukarane. Dette for at Forbrukarrådet framleis skal vere ein slagkraftig interesseorganisasjon for forbrukarane, med høg fagleg kompetanse i fo</w:t>
      </w:r>
      <w:r>
        <w:t>r</w:t>
      </w:r>
      <w:r>
        <w:t>brukarspørsmål.</w:t>
      </w:r>
    </w:p>
    <w:p w:rsidR="00D30C4D" w:rsidRDefault="00B964E1" w:rsidP="00020FC3">
      <w:pPr>
        <w:pStyle w:val="Overskrift2"/>
      </w:pPr>
      <w:r>
        <w:t>Samarbeid mellom bransjenemnder</w:t>
      </w:r>
    </w:p>
    <w:p w:rsidR="00D30C4D" w:rsidRDefault="00B964E1" w:rsidP="00020FC3">
      <w:r>
        <w:t>I dag finst det ei rekkje bransjefinansierte klagenemnder i ulike marknader. Eit stort fleirtal av desse har blitt oppretta på grunnlag av avtaler mellom Forbrukarrådet og ulike bransjeorgan</w:t>
      </w:r>
      <w:r>
        <w:t>i</w:t>
      </w:r>
      <w:r>
        <w:t>sasjonar. Forbrukarrådet innhenta i 2016 ein rapport frå Deloitte om nemndsystemet. Føremålet med rapporten var å få ei vurdering av om auka samarbeid mellom klagenemndene kan spare kostnader og auke kvaliteten i sakshandsaminga og avgjerdene. I rapporten drøfta ein mellom anna eit konsept for korleis ein potensielt kan organisere klagenemndsordninga i Noreg i framtida. Konseptet blei kalla «Nemndenes hus» og innebar i grove trekk at nemndssekretariata blir samla i ein organisasjon med felles administrasjon, leiing og lokale. I rapporten blei det konkludert med at auka samarbeid generelt og konseptet «Nemndenes hus» spesielt gir ei rekkje fordelar. Konseptet legg godt til rette for å sikre meir effektiv drift og sterkare og meir robuste fagmiljø. Det vil også gjere nemndene meir uavhengige av bransjen. Samstundes blir det påpeika i rapporten at det er utfordringar ved å få gjennomført dette konseptet. Nemndene er baserte på avtaler, og partane må ønskje å ta del i eit nærare samarbeid for at dette skal vere mogleg. Intervjua med sekretariatsleiarane som Deloitte gjennomførte, avdekte at det ikkje var nokon som ønskte å gå inn i eit omfattande samarbeid med ein gong. Ei av utfordringane som blei framheva, er at klagenemndene må sjå at eit nærare samarbeid er til fordel for deira se</w:t>
      </w:r>
      <w:r>
        <w:t>k</w:t>
      </w:r>
      <w:r>
        <w:t>retariat – kostnadsnivået må i alle fall ikkje auke. I rapporten tilrår ein derfor at det blir vurdert sterkare innslag av offentleg finansiering.</w:t>
      </w:r>
    </w:p>
    <w:p w:rsidR="00D30C4D" w:rsidRDefault="00B964E1" w:rsidP="00020FC3">
      <w:r>
        <w:lastRenderedPageBreak/>
        <w:t>Også mindre omfattande samarbeid, til dømes samanslåing av enkelte nemndssekretariat, felles klagemottak og/eller felles sakshandsamingssystem, blei vurdert.</w:t>
      </w:r>
    </w:p>
    <w:p w:rsidR="00D30C4D" w:rsidRDefault="00B964E1" w:rsidP="00020FC3">
      <w:r>
        <w:t xml:space="preserve">I etterkant av rapporten har Forbrukarrådet jobba med </w:t>
      </w:r>
      <w:proofErr w:type="gramStart"/>
      <w:r>
        <w:t>utvalde</w:t>
      </w:r>
      <w:proofErr w:type="gramEnd"/>
      <w:r>
        <w:t xml:space="preserve"> nemndssekretariat med tanke på samanslåing.</w:t>
      </w:r>
    </w:p>
    <w:p w:rsidR="00D30C4D" w:rsidRDefault="00B964E1" w:rsidP="00020FC3">
      <w:r>
        <w:t xml:space="preserve">I Granavolden-plattforma tek regjeringa til orde for eit bransjestyrt og digitalt «Nemndenes hus». Regjeringa ser positivt på eit tettare samarbeid mellom nemndene, så lenge partane i nemndsavtalene ønskjer dette. Eit privat finansiert klagehandsamingstilbod etablert gjennom eit frivillig samarbeid mellom ansvarlege næringslivsaktørar og forbrukarrepresentantar, har ei rekkje gunstige konsekvensar. For </w:t>
      </w:r>
      <w:proofErr w:type="gramStart"/>
      <w:r>
        <w:t>det</w:t>
      </w:r>
      <w:proofErr w:type="gramEnd"/>
      <w:r>
        <w:t xml:space="preserve"> fyrste får forbrukarane eit hovudsakleg gratis klag</w:t>
      </w:r>
      <w:r>
        <w:t>e</w:t>
      </w:r>
      <w:r>
        <w:t>handsamingstilbod som gjer det mogleg å ta avgjerder med høg kvalitet. For det andre får næringslivet auka kunnskap om forbrukarane sine utfordringar og frustrasjonar. Dette kan igjen føre til endringar i handelspraksis som forbrukarar har vore misfornøgde med. For det tredje er det eit viktig utgangspunkt at det er næringa sjølv som hovudsakleg betalar for å få løyst fo</w:t>
      </w:r>
      <w:r>
        <w:t>r</w:t>
      </w:r>
      <w:r>
        <w:t xml:space="preserve">brukarklager på sine respektive område, ikkje det offentlege. Det er framfor alt næringa som kan setje inn tiltak for å få redusert talet på klager, og det er derfor viktig å gi næringslivet økonomiske insentiv til </w:t>
      </w:r>
      <w:proofErr w:type="gramStart"/>
      <w:r>
        <w:t>å</w:t>
      </w:r>
      <w:proofErr w:type="gramEnd"/>
      <w:r>
        <w:t xml:space="preserve"> halde klagene på eit lågt nivå.</w:t>
      </w:r>
    </w:p>
    <w:p w:rsidR="00D30C4D" w:rsidRDefault="00B964E1" w:rsidP="00020FC3">
      <w:pPr>
        <w:pStyle w:val="Overskrift2"/>
      </w:pPr>
      <w:r>
        <w:t>Regjeringa vil</w:t>
      </w:r>
    </w:p>
    <w:p w:rsidR="00D30C4D" w:rsidRDefault="00B964E1" w:rsidP="00E05FE4">
      <w:pPr>
        <w:pStyle w:val="Listebombe"/>
        <w:numPr>
          <w:ilvl w:val="0"/>
          <w:numId w:val="1"/>
        </w:numPr>
        <w:ind w:left="320" w:hanging="320"/>
        <w:rPr>
          <w:sz w:val="21"/>
          <w:szCs w:val="21"/>
        </w:rPr>
      </w:pPr>
      <w:r>
        <w:rPr>
          <w:sz w:val="21"/>
          <w:szCs w:val="21"/>
        </w:rPr>
        <w:t>samle klagehandsamingsarbeidet på forbrukarområdet hos Forbrukartilsynet</w:t>
      </w:r>
    </w:p>
    <w:p w:rsidR="00D30C4D" w:rsidRDefault="00B964E1" w:rsidP="00E05FE4">
      <w:pPr>
        <w:pStyle w:val="Listebombe"/>
        <w:numPr>
          <w:ilvl w:val="0"/>
          <w:numId w:val="1"/>
        </w:numPr>
        <w:ind w:left="320" w:hanging="320"/>
        <w:rPr>
          <w:sz w:val="21"/>
          <w:szCs w:val="21"/>
        </w:rPr>
      </w:pPr>
      <w:r>
        <w:rPr>
          <w:sz w:val="21"/>
          <w:szCs w:val="21"/>
        </w:rPr>
        <w:t>gi Forbrukartilsynet eit særleg ansvar for å vareta kunnskapsgrunnlaget på forbrukarområdet</w:t>
      </w:r>
    </w:p>
    <w:p w:rsidR="00D30C4D" w:rsidRDefault="00B964E1" w:rsidP="00E05FE4">
      <w:pPr>
        <w:pStyle w:val="Listebombe"/>
        <w:numPr>
          <w:ilvl w:val="0"/>
          <w:numId w:val="1"/>
        </w:numPr>
        <w:ind w:left="320" w:hanging="320"/>
        <w:rPr>
          <w:sz w:val="21"/>
          <w:szCs w:val="21"/>
        </w:rPr>
      </w:pPr>
      <w:r>
        <w:rPr>
          <w:sz w:val="21"/>
          <w:szCs w:val="21"/>
        </w:rPr>
        <w:t>lokalisere Forbrukartilsynet utanfor Oslo i tråd med retningslinjene for lokalisering av statlege arbeidsplassar og statleg tenesteproduksjon</w:t>
      </w:r>
    </w:p>
    <w:p w:rsidR="00D30C4D" w:rsidRDefault="00B964E1" w:rsidP="00020FC3">
      <w:pPr>
        <w:pStyle w:val="Overskrift1"/>
      </w:pPr>
      <w:r>
        <w:t>Ein internasjonal forbrukarpolitikk</w:t>
      </w:r>
    </w:p>
    <w:p w:rsidR="00D30C4D" w:rsidRDefault="00741EEC" w:rsidP="00741EEC">
      <w:pPr>
        <w:pStyle w:val="Figur"/>
      </w:pPr>
      <w:r>
        <w:rPr>
          <w:noProof/>
        </w:rPr>
        <w:t>[:figur:figX-X.jpg]</w:t>
      </w:r>
    </w:p>
    <w:p w:rsidR="00D30C4D" w:rsidRDefault="00B964E1" w:rsidP="00020FC3">
      <w:pPr>
        <w:pStyle w:val="figur-tittel"/>
      </w:pPr>
      <w:r>
        <w:t> </w:t>
      </w:r>
    </w:p>
    <w:p w:rsidR="00D30C4D" w:rsidRDefault="00B964E1" w:rsidP="00020FC3">
      <w:pPr>
        <w:pStyle w:val="figur-noter"/>
      </w:pPr>
      <w:r>
        <w:t>Foto: Johnér</w:t>
      </w:r>
    </w:p>
    <w:p w:rsidR="00D30C4D" w:rsidRDefault="00B964E1" w:rsidP="00E05FE4">
      <w:pPr>
        <w:pStyle w:val="Overskrift2"/>
        <w:numPr>
          <w:ilvl w:val="1"/>
          <w:numId w:val="31"/>
        </w:numPr>
      </w:pPr>
      <w:r>
        <w:t>Innleiing</w:t>
      </w:r>
    </w:p>
    <w:p w:rsidR="00D30C4D" w:rsidRDefault="00B964E1" w:rsidP="00020FC3">
      <w:r>
        <w:t>Norske forbrukarar kjøper i stort omfang varer og tenester av internasjonale tilbydarar, reiser mykje og tek raskt i bruk nye digitale tenester.</w:t>
      </w:r>
      <w:r>
        <w:rPr>
          <w:vertAlign w:val="superscript"/>
        </w:rPr>
        <w:footnoteReference w:id="24"/>
      </w:r>
      <w:r>
        <w:t xml:space="preserve"> Regjeringa har ein tydeleg ambisjon om å ta del i internasjonalt samarbeid på relevante arenaer, for å utvikle internasjonal forbrukarpolitikk og forbrukarvernregelverk til beste for forbrukarane.</w:t>
      </w:r>
    </w:p>
    <w:p w:rsidR="00D30C4D" w:rsidRDefault="00B964E1" w:rsidP="00020FC3">
      <w:r>
        <w:t xml:space="preserve">Forbruket i dag skjer i stor grad på tvers av landegrenser. Der det tidlegare var éin eller to store globale merkevarer, er det no ei rekkje store internasjonale selskap som pregar kvardagen til forbrukarane. Facebook, Apple, Spotify, Google og Amazon, for </w:t>
      </w:r>
      <w:proofErr w:type="gramStart"/>
      <w:r>
        <w:t>å</w:t>
      </w:r>
      <w:proofErr w:type="gramEnd"/>
      <w:r>
        <w:t xml:space="preserve"> nemne nokon.</w:t>
      </w:r>
    </w:p>
    <w:p w:rsidR="00D30C4D" w:rsidRDefault="00B964E1" w:rsidP="00020FC3">
      <w:r>
        <w:lastRenderedPageBreak/>
        <w:t>Internasjonalisering av forbruket kjem til uttrykk på fleire måtar:</w:t>
      </w:r>
    </w:p>
    <w:p w:rsidR="00D30C4D" w:rsidRDefault="00B964E1" w:rsidP="00020FC3">
      <w:pPr>
        <w:pStyle w:val="Liste"/>
      </w:pPr>
      <w:r>
        <w:t>Handel av varer og tenester over landegrensene. Framveksten og utbreiinga av net</w:t>
      </w:r>
      <w:r>
        <w:t>t</w:t>
      </w:r>
      <w:r>
        <w:t xml:space="preserve">handel har gjort det enklare å handle over landegrenser. For forbrukarane inneber </w:t>
      </w:r>
      <w:proofErr w:type="gramStart"/>
      <w:r>
        <w:t>dette</w:t>
      </w:r>
      <w:proofErr w:type="gramEnd"/>
      <w:r>
        <w:t xml:space="preserve"> tilgang til eit langt større utval av varer og tenester.</w:t>
      </w:r>
    </w:p>
    <w:p w:rsidR="00D30C4D" w:rsidRDefault="00B964E1" w:rsidP="00020FC3">
      <w:pPr>
        <w:pStyle w:val="Liste"/>
      </w:pPr>
      <w:r>
        <w:t>Digitalisering. Digitale plattformer, som Airbnb, gjer det enkelt for kven som helst å inngå avtaler med andre over heile verda. Måten plattformene er innretta på, gjer at ein på ein enkel måte kan finne ein tilbydar i utlandet, inngå avtale og betale. Norske fo</w:t>
      </w:r>
      <w:r>
        <w:t>r</w:t>
      </w:r>
      <w:r>
        <w:t>brukarar er i verdstoppen når det gjeld å ta i bruk nye digitale tenester.</w:t>
      </w:r>
      <w:r>
        <w:rPr>
          <w:vertAlign w:val="superscript"/>
        </w:rPr>
        <w:footnoteReference w:id="25"/>
      </w:r>
    </w:p>
    <w:p w:rsidR="00D30C4D" w:rsidRDefault="00B964E1" w:rsidP="00020FC3">
      <w:pPr>
        <w:pStyle w:val="Liste"/>
      </w:pPr>
      <w:r>
        <w:t xml:space="preserve">Reiseverksemd. God privatøkonomi og auka fleksibilitet i arbeidslivet for mange gjer det mogleg å reise meir. Mange pensjonistar vel </w:t>
      </w:r>
      <w:proofErr w:type="gramStart"/>
      <w:r>
        <w:t>å</w:t>
      </w:r>
      <w:proofErr w:type="gramEnd"/>
      <w:r>
        <w:t xml:space="preserve"> opphalde seg utanlands større delar av året.</w:t>
      </w:r>
    </w:p>
    <w:p w:rsidR="00D30C4D" w:rsidRDefault="00B964E1" w:rsidP="00020FC3">
      <w:pPr>
        <w:pStyle w:val="Liste"/>
      </w:pPr>
      <w:r>
        <w:t>Endra forretningsstruktur. Framveksten av fleire store globale og digitale selskap som tilbyr varer og tenester til forbrukarar.</w:t>
      </w:r>
    </w:p>
    <w:p w:rsidR="00D30C4D" w:rsidRDefault="00B964E1" w:rsidP="00020FC3">
      <w:r>
        <w:t>Internasjonaliseringa byr på nye moglegheiter og eit større tilfang av varer og tenester. I EØS gir felles EU/EØS-reglar godt forbrukarvern og moglegheit til klagehandsaming dersom det oppstår problem. Samarbeid om tilsyn og handheving styrkjer også forbrukarvernet i EØS.</w:t>
      </w:r>
    </w:p>
    <w:p w:rsidR="00D30C4D" w:rsidRDefault="00B964E1" w:rsidP="00020FC3">
      <w:r>
        <w:t>Internasjonaliseringa medfører også nokre utfordringar. Behovet for internasjonalt samarbeid aukar når produksjonen av og handelen med varer og tenester skjer over landegrensene. Ein må ha eit samarbeid om analyse av problem, utvikling av regelverk, tilsyn og handheving. Regj</w:t>
      </w:r>
      <w:r>
        <w:t>e</w:t>
      </w:r>
      <w:r>
        <w:t>ringa prioriterer derfor å ta del i arbeidet for eit sterkt forbrukarvern internasjonalt, ikkje berre i EØS-området, men også globalt, gjennom OECD og FN.</w:t>
      </w:r>
    </w:p>
    <w:p w:rsidR="00D30C4D" w:rsidRDefault="00B964E1" w:rsidP="00020FC3">
      <w:r>
        <w:t>For at ein marknad skal fungere godt, treng ein spelereglar. Effektivt tilsyn med og effektiv handheving av desse spelereglane må til for å sikre rettferdig konkurranse mellom næring</w:t>
      </w:r>
      <w:r>
        <w:t>s</w:t>
      </w:r>
      <w:r>
        <w:t xml:space="preserve">drivande og </w:t>
      </w:r>
      <w:proofErr w:type="gramStart"/>
      <w:r>
        <w:t>å</w:t>
      </w:r>
      <w:proofErr w:type="gramEnd"/>
      <w:r>
        <w:t xml:space="preserve"> sørgje for at forbrukarane har høg tillit til marknaden. Å motverke svindel, urimeleg handelspraksis og annan ulovleg verksemd er derfor ei prioritert forbrukarpolitisk oppgåve for norske styresmakter, også internasjonalt.</w:t>
      </w:r>
    </w:p>
    <w:p w:rsidR="00D30C4D" w:rsidRDefault="00B964E1" w:rsidP="00020FC3">
      <w:r>
        <w:t>Det er etablert ulike arenaer for samarbeid på forbrukarområdet. Arbeidet spenner frå utvek</w:t>
      </w:r>
      <w:r>
        <w:t>s</w:t>
      </w:r>
      <w:r>
        <w:t>ling av beste praksis og rettleiingar om utvikling og handheving av politikk til konkret, bin</w:t>
      </w:r>
      <w:r>
        <w:t>d</w:t>
      </w:r>
      <w:r>
        <w:t>ande regelverk og felles koordinerte tilsynsaksjonar mellom styresmaktene i ulike land.</w:t>
      </w:r>
    </w:p>
    <w:p w:rsidR="00D30C4D" w:rsidRDefault="00B964E1" w:rsidP="00020FC3">
      <w:r>
        <w:t>På forbrukarområdet er EU, OECD og FN særleg aktuelle arenaer for internasjonalt samarbeid. Den viktigaste arenaen er EU, for det er der det i størst grad blir utforma regelverk som er direkte styrande for norske forbrukarar sine rettar og norske næringsdrivande sine plikter. Medverknad i arbeidet med utforming av politikk og regelverk på europeisk nivå har derfor høg prioritet frå norsk side.</w:t>
      </w:r>
    </w:p>
    <w:p w:rsidR="00D30C4D" w:rsidRDefault="00B964E1" w:rsidP="00020FC3">
      <w:pPr>
        <w:pStyle w:val="Overskrift2"/>
      </w:pPr>
      <w:r>
        <w:t>Europeisk samarbeid</w:t>
      </w:r>
    </w:p>
    <w:p w:rsidR="00D30C4D" w:rsidRDefault="00B964E1" w:rsidP="00020FC3">
      <w:r>
        <w:t xml:space="preserve">Norsk tilgang til EU sin indre marknad har vore med på å gi eit breiare vare- og tenestetilbod for norske forbrukarar, auka konkurranse på pris og kvalitet, og tilgang til langt fleire kundar for </w:t>
      </w:r>
      <w:r>
        <w:lastRenderedPageBreak/>
        <w:t>norske verksemder. Gjennomføring av EØS sitt forbrukarvernregelverk har i det store og heile ført til auka forbrukarvern i Noreg. Det meste av ny forbrukarlovgiving i Noreg frå og med 1990-talet er kommen gjennom innføring av EØS-regelverk. Dette gjeld til dømes pakkere</w:t>
      </w:r>
      <w:r>
        <w:t>i</w:t>
      </w:r>
      <w:r>
        <w:t>selova og modernisering av marknadsføringslova og angrerettlova.</w:t>
      </w:r>
    </w:p>
    <w:p w:rsidR="00D30C4D" w:rsidRDefault="00B964E1" w:rsidP="00020FC3">
      <w:r>
        <w:t>Forbrukarpolitikken har fått ein meir sentral plass på agendaen til EU dei seinare åra. Dette kjem delvis av at privat forbruk utgjer 56 prosent av BNP i Europa,</w:t>
      </w:r>
      <w:r>
        <w:rPr>
          <w:vertAlign w:val="superscript"/>
        </w:rPr>
        <w:footnoteReference w:id="26"/>
      </w:r>
      <w:r>
        <w:t xml:space="preserve"> kombinert med erkje</w:t>
      </w:r>
      <w:r>
        <w:t>n</w:t>
      </w:r>
      <w:r>
        <w:t>ninga av at trygge forbrukarar er ein føresetnad for innovasjon og vekst.</w:t>
      </w:r>
      <w:r>
        <w:rPr>
          <w:vertAlign w:val="superscript"/>
        </w:rPr>
        <w:footnoteReference w:id="27"/>
      </w:r>
      <w:r>
        <w:t xml:space="preserve"> Det europeiske samarbeidet med grunnlag i EØS-avtala er derfor ein viktig internasjonal samarbeidsarena for Noreg på forbrukarfeltet.</w:t>
      </w:r>
    </w:p>
    <w:p w:rsidR="00D30C4D" w:rsidRDefault="00B964E1" w:rsidP="00020FC3">
      <w:pPr>
        <w:pStyle w:val="Overskrift3"/>
      </w:pPr>
      <w:r>
        <w:t>Utvikling av felles forbrukarvernreglar</w:t>
      </w:r>
    </w:p>
    <w:p w:rsidR="00D30C4D" w:rsidRDefault="00B964E1" w:rsidP="00020FC3">
      <w:r>
        <w:t>Forbrukarvernreglar har lenge vore eit viktig område i EU-retten, og det er vedteke ei rekkje direktiv som alle er tekne inn i EØS-avtala og dermed også i norsk lovgiving. Dette omfattar reglar om til dømes marknadsføring, timeshare, forbrukarkjøp og garantiar. Noreg har også teke inn forbrukarvernreglar på sektorar som energi, miljø, transport, mat, kosmetikk, pr</w:t>
      </w:r>
      <w:r>
        <w:t>o</w:t>
      </w:r>
      <w:r>
        <w:t>dukttryggleik og telekommunikasjon (t.d. reglar om roaming). For EU sin del er eit sterkt fo</w:t>
      </w:r>
      <w:r>
        <w:t>r</w:t>
      </w:r>
      <w:r>
        <w:t>brukarvern i digitale tenester (roaming, portabilitet, geoblokkering) sentralt for utviklinga av den digitale indre marknaden. Eit einsarta regelverk i heile EØS-området gir forbrukarane auka tryggleik når dei handlar varer og tenester utanfor sitt eige land. Det styrkjer også rettstryg</w:t>
      </w:r>
      <w:r>
        <w:t>g</w:t>
      </w:r>
      <w:r>
        <w:t>leiken for næringsdrivande som opererer over landegrenser.</w:t>
      </w:r>
    </w:p>
    <w:p w:rsidR="00D30C4D" w:rsidRDefault="00B964E1" w:rsidP="00020FC3">
      <w:r>
        <w:t>EØS-forbrukarvernregelverket har tradisjonelt i stor grad vore samansett av minimumsreglar, noko som har vore sett på som viktig for norske myndigheiter og forbrukarorganisasjonar. Der EU vedtek minimumsreglar står EU- og EØS-landa frie til å ha strengare reglar. Minimum</w:t>
      </w:r>
      <w:r>
        <w:t>s</w:t>
      </w:r>
      <w:r>
        <w:t xml:space="preserve">reglar har på mange område styrkt forbrukarvernet i Noreg, samstundes som vi har </w:t>
      </w:r>
      <w:proofErr w:type="gramStart"/>
      <w:r>
        <w:t>kunne</w:t>
      </w:r>
      <w:proofErr w:type="gramEnd"/>
      <w:r>
        <w:t xml:space="preserve"> oppretthalde eller utvikle nytt regelverk som gir sterkare forbrukarvern enn dei europeiske minstekrava. Dette handlingsrommet har også gitt oss høve til raskt å vedta nasjonalt regelverk i Noreg for å møte nye utfordringar. Finansielle tenester er eit døme på eit område der EØS-reglar dekkjer svært mykje, mens område som gjeldsordning og bustad i hovudsak er regulerte av nasjonale føresegner.</w:t>
      </w:r>
    </w:p>
    <w:p w:rsidR="00D30C4D" w:rsidRDefault="00B964E1" w:rsidP="00020FC3">
      <w:r>
        <w:t>Utviklinga den seinare tida har gått mot at EU-kommisjonen i større grad ønskjer fullharm</w:t>
      </w:r>
      <w:r>
        <w:t>o</w:t>
      </w:r>
      <w:r>
        <w:t xml:space="preserve">nisering av regelverket. Det inneber at landa ikkje kan fastsetje nasjonale reglar som gir betre forbrukarvern enn EU-reglane på det aktuelle området. I praksis vil det seie at mange land får eit sterkare forbrukarvern, mens enkelte land har måtte redusere vernet slik at alle er på same nivå. Noreg har på mange område eit høgt forbrukarvernnivå samanlikna med ei rekkje andre land. Utgangspunktet til Noreg har derfor vore at landa bør kunne velje å ha reglar med sterkare </w:t>
      </w:r>
      <w:r>
        <w:lastRenderedPageBreak/>
        <w:t>forbrukarvern enn det som EU vedtek (minimumsharmonisering). Ei sentral sak som illustrerer dette, er reglane for reklamasjon ved forbrukarkjøp. I Noreg er seljaren i utgangspunktet a</w:t>
      </w:r>
      <w:r>
        <w:t>n</w:t>
      </w:r>
      <w:r>
        <w:t>svarleg for feil og manglar som oppstår i to år etter kjøpet. Fristen blir forlenga til fem år der vara er meint å vare vesentleg lenger. Dette gjeld til dømes bilar, kvitevarer og møblar. Kommisjonen føreslo i 2015 nye, fullharmoniserte reglar om forbrukarkjøp av varer, med to års ansvarsperiode for seljar, uansett kor lenge vara er meint å vare. Noreg har saman med E</w:t>
      </w:r>
      <w:r>
        <w:t>F</w:t>
      </w:r>
      <w:r>
        <w:t xml:space="preserve">TA-partnarane Island og Liechtenstein arbeidd for at dei nye reglane blir slik at det vil vere mogleg </w:t>
      </w:r>
      <w:proofErr w:type="gramStart"/>
      <w:r>
        <w:t>å</w:t>
      </w:r>
      <w:proofErr w:type="gramEnd"/>
      <w:r>
        <w:t xml:space="preserve"> fortsetje med ein lengre frist enn to år. Mange land meiner </w:t>
      </w:r>
      <w:proofErr w:type="gramStart"/>
      <w:r>
        <w:t>det</w:t>
      </w:r>
      <w:proofErr w:type="gramEnd"/>
      <w:r>
        <w:t xml:space="preserve"> same, og i direktivet som blei formelt vedteke 20. mai 2019, er reglane om ansvarsperioden minimumsharmoniserte.</w:t>
      </w:r>
    </w:p>
    <w:p w:rsidR="00D30C4D" w:rsidRDefault="00B964E1" w:rsidP="00020FC3">
      <w:r>
        <w:t>EU-kommisjonen har evaluert forbrukarvernregelverket og konkluderte i mai 2017 med at regelverket stort sett fungerer godt, sjølv om nokre av direktiva er over 20 år gamle. Komm</w:t>
      </w:r>
      <w:r>
        <w:t>i</w:t>
      </w:r>
      <w:r>
        <w:t>sjonen såg samstundes at fleire av direktiva trong små oppdateringar. I april 2018 la Komm</w:t>
      </w:r>
      <w:r>
        <w:t>i</w:t>
      </w:r>
      <w:r>
        <w:t xml:space="preserve">sjonen derfor fram to direktivforslag i pakka </w:t>
      </w:r>
      <w:r>
        <w:rPr>
          <w:rStyle w:val="kursiv"/>
          <w:sz w:val="21"/>
          <w:szCs w:val="21"/>
        </w:rPr>
        <w:t>A New Deal for Consumers</w:t>
      </w:r>
      <w:r>
        <w:t xml:space="preserve">. Desse forslaga inneheld fleire element som kan ha mykje </w:t>
      </w:r>
      <w:proofErr w:type="gramStart"/>
      <w:r>
        <w:t>å</w:t>
      </w:r>
      <w:proofErr w:type="gramEnd"/>
      <w:r>
        <w:t xml:space="preserve"> seie for norske forbrukarar og næringsdrivande. Regjeringa arbeider aktivt for å påverke delar av forslaga i tråd med norske interesser. To av forslaga </w:t>
      </w:r>
      <w:proofErr w:type="gramStart"/>
      <w:r>
        <w:t>blir</w:t>
      </w:r>
      <w:proofErr w:type="gramEnd"/>
      <w:r>
        <w:t xml:space="preserve"> </w:t>
      </w:r>
      <w:proofErr w:type="gramStart"/>
      <w:r>
        <w:t>omtalte</w:t>
      </w:r>
      <w:proofErr w:type="gramEnd"/>
      <w:r>
        <w:t xml:space="preserve"> nedanfor i boks 5.1 og 5.2.</w:t>
      </w:r>
    </w:p>
    <w:p w:rsidR="00D30C4D" w:rsidRDefault="00B964E1" w:rsidP="00020FC3">
      <w:pPr>
        <w:pStyle w:val="tittel-ramme"/>
      </w:pPr>
      <w:r>
        <w:t>Forslag som gjeld angrerett</w:t>
      </w:r>
    </w:p>
    <w:p w:rsidR="00D30C4D" w:rsidRDefault="00B964E1" w:rsidP="00020FC3">
      <w:r>
        <w:t xml:space="preserve">EU-kommisjonen har føreslått å innskrenke angreretten til forbrukarane ved nettkjøp og kjøp utanfor fast utsalsstad. Grunngivinga for dette er at enkelte næringsdrivande meiner at dei gjeldande reglane om angrefrist er for strenge. EU-kommisjonen har likevel ikkje lagt fram data som underbyggjer at dagens reglar er for strenge for dei fleste næringsdrivande. Forbrukarar kan også oppfatte innskrenkingar i angreretten som eit signal om at netthandel ikkje lenger vil vere like trygt og enkelt som før. I tillegg til å gi dårlegare forbrukarvern kan dette forslaget derfor verke mot hensikta og gi mindre netthandel generelt. I den felles EØS/EFTA-fråsegna argumenterte ein derfor for at ein bør skrinleggje forslaget. Dette er </w:t>
      </w:r>
      <w:proofErr w:type="gramStart"/>
      <w:r>
        <w:t>ei</w:t>
      </w:r>
      <w:proofErr w:type="gramEnd"/>
      <w:r>
        <w:t xml:space="preserve"> oppfatning som dei fleste medlemslanda og Europaparlamentet deler. I kompromisset som ein blei einige om i mars er derfor dette forslaget tatt ut. Regelverket blir venteleg formelt vedteke i løpet av 2019.</w:t>
      </w:r>
    </w:p>
    <w:p w:rsidR="00D30C4D" w:rsidRDefault="00B964E1">
      <w:pPr>
        <w:pStyle w:val="Ramme-slutt"/>
        <w:rPr>
          <w:sz w:val="26"/>
          <w:szCs w:val="26"/>
        </w:rPr>
      </w:pPr>
      <w:r>
        <w:rPr>
          <w:sz w:val="26"/>
          <w:szCs w:val="26"/>
        </w:rPr>
        <w:t>[Boks slutt]</w:t>
      </w:r>
    </w:p>
    <w:p w:rsidR="00D30C4D" w:rsidRDefault="00B964E1" w:rsidP="00020FC3">
      <w:pPr>
        <w:pStyle w:val="tittel-ramme"/>
      </w:pPr>
      <w:r>
        <w:t>Forslag som gjeld skjult reklame</w:t>
      </w:r>
    </w:p>
    <w:p w:rsidR="00D30C4D" w:rsidRDefault="00B964E1" w:rsidP="00020FC3">
      <w:r>
        <w:t xml:space="preserve">EU-kommisjonen har føreslått </w:t>
      </w:r>
      <w:proofErr w:type="gramStart"/>
      <w:r>
        <w:t>å</w:t>
      </w:r>
      <w:proofErr w:type="gramEnd"/>
      <w:r>
        <w:t xml:space="preserve"> svarteliste skjult reklame i nettbaserte søkjetenester. Dette vil innebere at skjult reklame eksplisitt blir forbode, og at det ikkje vil vere naudsynt å påvise årsakssamanhengen mellom reklamen og forbrukaråtferda for at reklamen skal reknast som ulovleg. I praksis vil eit slikt nytt forbod til dømes innebere at dersom næringsdrivande har betalt for å sikre at tilboda deira får ei god plassering blant søkjeresultata, vil dei måtte opplyse om dette. Noreg støttar dette forslaget, men meiner ein bør utforme det breiare, slik at det også vil gjelde for skjult reklame i bloggar og sosiale medium. I kompromisset som ein blei einige om i mars er ikkje dette forslaget teke inn. Men forbodet er styrkt på anna måte.</w:t>
      </w:r>
    </w:p>
    <w:p w:rsidR="00D30C4D" w:rsidRDefault="00B964E1">
      <w:pPr>
        <w:pStyle w:val="Ramme-slutt"/>
        <w:rPr>
          <w:sz w:val="26"/>
          <w:szCs w:val="26"/>
        </w:rPr>
      </w:pPr>
      <w:r>
        <w:rPr>
          <w:sz w:val="26"/>
          <w:szCs w:val="26"/>
        </w:rPr>
        <w:t>[Boks slutt]</w:t>
      </w:r>
    </w:p>
    <w:p w:rsidR="00D30C4D" w:rsidRDefault="00B964E1" w:rsidP="00020FC3">
      <w:r>
        <w:lastRenderedPageBreak/>
        <w:t xml:space="preserve">Pakka </w:t>
      </w:r>
      <w:r>
        <w:rPr>
          <w:rStyle w:val="kursiv"/>
          <w:sz w:val="21"/>
          <w:szCs w:val="21"/>
        </w:rPr>
        <w:t>A New Deal for Consumers</w:t>
      </w:r>
      <w:r>
        <w:t xml:space="preserve"> inneheld fleire forslag som norske styresmakter er positive til, då dei vil vere med på å sikre eit sterkare forbrukarvern og betre konkurransetilhøve for n</w:t>
      </w:r>
      <w:r>
        <w:t>æ</w:t>
      </w:r>
      <w:r>
        <w:t>ringsdrivande. Dette har Noreg gitt innspel om til dei lovgivande organa i EU, i samarbeid med EFTA-partnarane våre. Hovudbodskapen var som følgjer:</w:t>
      </w:r>
    </w:p>
    <w:p w:rsidR="00D30C4D" w:rsidRDefault="00B964E1" w:rsidP="00020FC3">
      <w:pPr>
        <w:pStyle w:val="Liste"/>
      </w:pPr>
      <w:r>
        <w:t>Det er positivt at det kjem framlegg om å samordne kriterium for økonomiske san</w:t>
      </w:r>
      <w:r>
        <w:t>k</w:t>
      </w:r>
      <w:r>
        <w:t>sjonar ved brot på forbrukarvernlovgivinga, men ein bør ikkje leggje føringar for korleis ein nasjonalt skal fordele innkomne midlar frå slike sanksjonar.</w:t>
      </w:r>
    </w:p>
    <w:p w:rsidR="00D30C4D" w:rsidRDefault="00B964E1" w:rsidP="00020FC3">
      <w:pPr>
        <w:pStyle w:val="Liste"/>
      </w:pPr>
      <w:r>
        <w:t>Det er positivt at forbrukarar som blir utsette for urimeleg handelspraksis, blir sikra rett til å få erstatning eller til å heve kontrakten.</w:t>
      </w:r>
    </w:p>
    <w:p w:rsidR="00D30C4D" w:rsidRDefault="00B964E1" w:rsidP="00020FC3">
      <w:pPr>
        <w:pStyle w:val="Liste"/>
      </w:pPr>
      <w:r>
        <w:t>Ein bør ikkje endre reglane om angrerett ved netthandel slik at forbrukarane får då</w:t>
      </w:r>
      <w:r>
        <w:t>r</w:t>
      </w:r>
      <w:r>
        <w:t>legare rettar.</w:t>
      </w:r>
    </w:p>
    <w:p w:rsidR="00D30C4D" w:rsidRDefault="00B964E1" w:rsidP="00020FC3">
      <w:pPr>
        <w:pStyle w:val="Liste"/>
      </w:pPr>
      <w:r>
        <w:t>Det er positivt at ein føreslår nye informasjonskrav for nettbaserte marknadsplassar, og at forbodet mot skjult marknadsføring i nettbaserte søkjetenester blir klarare. Det er positivt at forbrukarvernreglane også skal gjelde ved kjøp av digitale tenester der fo</w:t>
      </w:r>
      <w:r>
        <w:t>r</w:t>
      </w:r>
      <w:r>
        <w:t>brukarane si motyting ikkje er pengar, men personopplysingar. Samstundes blir det gjort framlegg om forbetringar i desse nye reglane.</w:t>
      </w:r>
    </w:p>
    <w:p w:rsidR="00D30C4D" w:rsidRDefault="00B964E1" w:rsidP="00020FC3">
      <w:r>
        <w:t xml:space="preserve">Regjeringa vil følgje det vidare arbeidet med </w:t>
      </w:r>
      <w:r>
        <w:rPr>
          <w:rStyle w:val="kursiv"/>
          <w:sz w:val="21"/>
          <w:szCs w:val="21"/>
        </w:rPr>
        <w:t>A New Deal for Consumers</w:t>
      </w:r>
      <w:r>
        <w:t xml:space="preserve"> og vere med på å sikre eit strengt forbrukarvern i Europa.</w:t>
      </w:r>
    </w:p>
    <w:p w:rsidR="00D30C4D" w:rsidRDefault="00B964E1" w:rsidP="00020FC3">
      <w:pPr>
        <w:pStyle w:val="Overskrift3"/>
      </w:pPr>
      <w:r>
        <w:t>Utvikling av forbrukarpolitikk gjennom forbrukarprogrammet til EU</w:t>
      </w:r>
    </w:p>
    <w:p w:rsidR="00D30C4D" w:rsidRDefault="00B964E1" w:rsidP="00020FC3">
      <w:r>
        <w:t xml:space="preserve">For perioden 2014–2020 har EU eit pågåande forbrukarprogram som skal sikre ei rekkje ulike forbrukarpolitiske aktivitetar. Føremålet med forbrukarprogrammet er </w:t>
      </w:r>
      <w:proofErr w:type="gramStart"/>
      <w:r>
        <w:t>å</w:t>
      </w:r>
      <w:proofErr w:type="gramEnd"/>
      <w:r>
        <w:t xml:space="preserve"> byggje opp under EU sin politikk om å setje den medvitne forbrukaren i sentrum i den indre marknaden i EU. Pr</w:t>
      </w:r>
      <w:r>
        <w:t>o</w:t>
      </w:r>
      <w:r>
        <w:t>grammet vil gjere dette ved å medverke til aktivitetar for å verne om helse, tryggleik og fo</w:t>
      </w:r>
      <w:r>
        <w:t>r</w:t>
      </w:r>
      <w:r>
        <w:t>brukarane sine økonomiske interesser, i tillegg til å arbeide for forbrukarane sin rett til info</w:t>
      </w:r>
      <w:r>
        <w:t>r</w:t>
      </w:r>
      <w:r>
        <w:t>masjon, utdanning og til å organisere seg. Programmet supplerer, støttar og følgjer medlem</w:t>
      </w:r>
      <w:r>
        <w:t>s</w:t>
      </w:r>
      <w:r>
        <w:t>statane sin politikk på området.</w:t>
      </w:r>
    </w:p>
    <w:p w:rsidR="00D30C4D" w:rsidRDefault="00B964E1" w:rsidP="00020FC3">
      <w:r>
        <w:t xml:space="preserve">Dei viktigaste elementa i programmet er </w:t>
      </w:r>
      <w:proofErr w:type="gramStart"/>
      <w:r>
        <w:t>å</w:t>
      </w:r>
      <w:proofErr w:type="gramEnd"/>
    </w:p>
    <w:p w:rsidR="00D30C4D" w:rsidRDefault="00B964E1" w:rsidP="00020FC3">
      <w:pPr>
        <w:pStyle w:val="Liste"/>
      </w:pPr>
      <w:r>
        <w:t>styrkje arbeidet med produkttryggleik via effektiv marknadsføring</w:t>
      </w:r>
    </w:p>
    <w:p w:rsidR="00D30C4D" w:rsidRDefault="00B964E1" w:rsidP="00020FC3">
      <w:pPr>
        <w:pStyle w:val="Liste"/>
      </w:pPr>
      <w:r>
        <w:t>forbetre informasjon, utdanning og kunnskap om forbrukarane sine rettar, utvikle ein kunnskapsbase som grunnlag for forbrukarpolitikken og støtte forbrukarorganisasjonar</w:t>
      </w:r>
    </w:p>
    <w:p w:rsidR="00D30C4D" w:rsidRDefault="00B964E1" w:rsidP="00020FC3">
      <w:pPr>
        <w:pStyle w:val="Liste"/>
      </w:pPr>
      <w:r>
        <w:t>styrkje forbrukarane sine rettar, særleg gjennom regelverk og forbetring av moglegheita for tvisteløysing, inkludert alternativ tvisteløysing</w:t>
      </w:r>
    </w:p>
    <w:p w:rsidR="00D30C4D" w:rsidRDefault="00B964E1" w:rsidP="00020FC3">
      <w:pPr>
        <w:pStyle w:val="Liste"/>
      </w:pPr>
      <w:r>
        <w:t xml:space="preserve"> dvs utanfor rettsapparatet</w:t>
      </w:r>
    </w:p>
    <w:p w:rsidR="00D30C4D" w:rsidRDefault="00B964E1" w:rsidP="00020FC3">
      <w:pPr>
        <w:pStyle w:val="Liste"/>
      </w:pPr>
      <w:r>
        <w:t xml:space="preserve">forbetre handhevinga av regelverket på tvers av grensene ved </w:t>
      </w:r>
      <w:proofErr w:type="gramStart"/>
      <w:r>
        <w:t>å</w:t>
      </w:r>
      <w:proofErr w:type="gramEnd"/>
      <w:r>
        <w:t xml:space="preserve"> styrkje samarbeidet mellom handhevingsstyresmaktene og gi råd til forbrukarane</w:t>
      </w:r>
    </w:p>
    <w:p w:rsidR="00D30C4D" w:rsidRDefault="00B964E1" w:rsidP="00020FC3">
      <w:r>
        <w:t xml:space="preserve">Noreg tek aktivt del i EU sitt forbrukarprogram for å hjelpe til med utviklinga av regelverk, aktivitetar og andre tiltak som blir utarbeidde i EU på forbrukarområdet. Forbrukarprogrammet gjer det også mogleg for norske verksemder, kunnskapsinstitusjonar og andre organ </w:t>
      </w:r>
      <w:proofErr w:type="gramStart"/>
      <w:r>
        <w:t>å</w:t>
      </w:r>
      <w:proofErr w:type="gramEnd"/>
      <w:r>
        <w:t xml:space="preserve"> søkje midlar frå programmet. Det gjer det i tillegg mogleg for dei å ta del i anbodskonkurransar på forskingsprosjekt. At Noreg er med i tiltak som handhevingsnettverket (Forbrukartilsynet) og European Consumer Centres--nettverket (Forbrukar Europa), gir eit auka vern for norske fo</w:t>
      </w:r>
      <w:r>
        <w:t>r</w:t>
      </w:r>
      <w:r>
        <w:t>brukarar. Også forbruksforskingsinstituttet SIFO tek del i aktivitetar i regi av programmet.</w:t>
      </w:r>
    </w:p>
    <w:p w:rsidR="00D30C4D" w:rsidRDefault="00B964E1" w:rsidP="00020FC3">
      <w:r>
        <w:lastRenderedPageBreak/>
        <w:t>At Noreg er med i forbrukarprogrammet, gjer at vi blir inkluderte i EU sine studiar på lik linje med medlemslanda. Dette gjeld til dømes forbru</w:t>
      </w:r>
      <w:r>
        <w:rPr>
          <w:spacing w:val="-1"/>
        </w:rPr>
        <w:t>karundersøkinga «Consumer Market Scor</w:t>
      </w:r>
      <w:r>
        <w:rPr>
          <w:spacing w:val="-1"/>
        </w:rPr>
        <w:t>e</w:t>
      </w:r>
      <w:r>
        <w:rPr>
          <w:spacing w:val="-1"/>
        </w:rPr>
        <w:t>board»</w:t>
      </w:r>
      <w:r>
        <w:t xml:space="preserve"> og oppfølgingstudiar av problematiske marknader eller aktuelle tema. Studiane dannar grunnlag for politikkutviklinga i EU.</w:t>
      </w:r>
    </w:p>
    <w:p w:rsidR="00D30C4D" w:rsidRDefault="00B964E1" w:rsidP="00020FC3">
      <w:r>
        <w:t>I forslaget til EU-program for neste periode (2021–2027) har ein slått saman fleire program, og Forbrukarprogrammet er då ein del av EU-programmet for den indre marknaden.</w:t>
      </w:r>
    </w:p>
    <w:p w:rsidR="00D30C4D" w:rsidRDefault="00B964E1" w:rsidP="00020FC3">
      <w:pPr>
        <w:pStyle w:val="tittel-ramme"/>
      </w:pPr>
      <w:r>
        <w:t>Informasjon og støtte ved handel over landegrensene</w:t>
      </w:r>
    </w:p>
    <w:p w:rsidR="00D30C4D" w:rsidRDefault="00B964E1" w:rsidP="00020FC3">
      <w:r>
        <w:t>Europeiske forbrukarkontor sikrar forbrukarane hjelp og informasjon ved grenseoverskridande handel. Tiltaket skal gjere det tryggare for forbrukarar å handle i andre EU/EØS-land. I Noreg har Forbrukar Europa denne rolla. Forbrukarrådet er vertsorganisasjon for Forbrukar Europa. EØS-regelverket om tvisteløysing frå 2013 seier at alle medlemsland skal etablere eit klag</w:t>
      </w:r>
      <w:r>
        <w:t>e</w:t>
      </w:r>
      <w:r>
        <w:t>tilbod på lågterskelnivå for nær sagt alle typar varer og tenester. I tillegg har Kommisjonen etablert ein felleseuropeisk nettbasert klageportal som gjer det mogleg å få handsama klager ved netthandel over landegrensene.</w:t>
      </w:r>
    </w:p>
    <w:p w:rsidR="00D30C4D" w:rsidRDefault="00B964E1">
      <w:pPr>
        <w:pStyle w:val="Ramme-slutt"/>
        <w:rPr>
          <w:sz w:val="26"/>
          <w:szCs w:val="26"/>
        </w:rPr>
      </w:pPr>
      <w:r>
        <w:rPr>
          <w:sz w:val="26"/>
          <w:szCs w:val="26"/>
        </w:rPr>
        <w:t>[Boks slutt]</w:t>
      </w:r>
    </w:p>
    <w:p w:rsidR="00D30C4D" w:rsidRDefault="00B964E1" w:rsidP="00020FC3">
      <w:pPr>
        <w:pStyle w:val="Overskrift2"/>
      </w:pPr>
      <w:r>
        <w:t>Internasjonalt samarbeid</w:t>
      </w:r>
    </w:p>
    <w:p w:rsidR="00D30C4D" w:rsidRDefault="00B964E1" w:rsidP="00020FC3">
      <w:r>
        <w:t>OECD er ein viktig arena for internasjonalt samarbeid på forbrukarområdet. I seinare år har arbeidet i OECD særleg vore retta mot forbrukarutfordringar i samband med digitalisering og e-handel. Temaa blir utforska gjennom studiar og kartleggingsprosjekt av moglegheiter og utfordringar for politikkutforming. På bakgrunn av kartleggingane blir det utarbeidd retning</w:t>
      </w:r>
      <w:r>
        <w:t>s</w:t>
      </w:r>
      <w:r>
        <w:t>linjer og anbefalingar for nasjonal politikkutforming som alle medlemslanda stiller seg bak. Arbeidet legg dermed føringar for tiltak og reguleringar i alle medlemslanda i OECD, inkludert fleire land der ein finn store globale selskap (t.d. USA).</w:t>
      </w:r>
    </w:p>
    <w:p w:rsidR="00D30C4D" w:rsidRDefault="00B964E1" w:rsidP="00020FC3">
      <w:r>
        <w:t xml:space="preserve">FN har også forbrukarvern på dagsordenen. Generalforsamlinga vedtok 22. desember 2015 retningslinene </w:t>
      </w:r>
      <w:r>
        <w:rPr>
          <w:rStyle w:val="kursiv"/>
          <w:sz w:val="21"/>
          <w:szCs w:val="21"/>
        </w:rPr>
        <w:t>United Nations Guidelines for Consumer Protection</w:t>
      </w:r>
      <w:r>
        <w:t xml:space="preserve">. Desse inneheld viktige prinsipp for forbrukarvern og dannar eit grunnlag for vidare samarbeid. Føremålet med arbeidet i FN er i stor grad </w:t>
      </w:r>
      <w:proofErr w:type="gramStart"/>
      <w:r>
        <w:t>å</w:t>
      </w:r>
      <w:proofErr w:type="gramEnd"/>
      <w:r>
        <w:t xml:space="preserve"> sørgje for at fleire land kjem opp på eit minimumsnivå, og å stimulere til utvikling av forbrukarvern i alle land.</w:t>
      </w:r>
    </w:p>
    <w:p w:rsidR="00D30C4D" w:rsidRDefault="00B964E1" w:rsidP="00020FC3">
      <w:pPr>
        <w:pStyle w:val="Overskrift2"/>
      </w:pPr>
      <w:r>
        <w:t>Regjeringa vil</w:t>
      </w:r>
    </w:p>
    <w:p w:rsidR="00D30C4D" w:rsidRDefault="00B964E1" w:rsidP="00E05FE4">
      <w:pPr>
        <w:pStyle w:val="Listebombe"/>
        <w:numPr>
          <w:ilvl w:val="0"/>
          <w:numId w:val="1"/>
        </w:numPr>
        <w:ind w:left="320" w:hanging="320"/>
        <w:rPr>
          <w:sz w:val="21"/>
          <w:szCs w:val="21"/>
        </w:rPr>
      </w:pPr>
      <w:r>
        <w:rPr>
          <w:sz w:val="21"/>
          <w:szCs w:val="21"/>
        </w:rPr>
        <w:t>medverke til eit sterkt forbrukarvern gjennom EU/EØS, OECD og FN</w:t>
      </w:r>
    </w:p>
    <w:p w:rsidR="00D30C4D" w:rsidRDefault="00B964E1" w:rsidP="00E05FE4">
      <w:pPr>
        <w:pStyle w:val="Listebombe"/>
        <w:numPr>
          <w:ilvl w:val="0"/>
          <w:numId w:val="1"/>
        </w:numPr>
        <w:ind w:left="320" w:hanging="320"/>
        <w:rPr>
          <w:sz w:val="21"/>
          <w:szCs w:val="21"/>
        </w:rPr>
      </w:pPr>
      <w:r>
        <w:rPr>
          <w:sz w:val="21"/>
          <w:szCs w:val="21"/>
        </w:rPr>
        <w:t>prioritere ein aktiv forbrukarpolitikk i Europa og leggje vekt på samarbeid med ny kommissær og nytt Europaparlament frå hausten 2019</w:t>
      </w:r>
    </w:p>
    <w:p w:rsidR="00D30C4D" w:rsidRDefault="00B964E1" w:rsidP="00E05FE4">
      <w:pPr>
        <w:pStyle w:val="Listebombe"/>
        <w:numPr>
          <w:ilvl w:val="0"/>
          <w:numId w:val="1"/>
        </w:numPr>
        <w:ind w:left="320" w:hanging="320"/>
        <w:rPr>
          <w:sz w:val="21"/>
          <w:szCs w:val="21"/>
        </w:rPr>
      </w:pPr>
      <w:r>
        <w:rPr>
          <w:sz w:val="21"/>
          <w:szCs w:val="21"/>
        </w:rPr>
        <w:t xml:space="preserve">følgje det vidare arbeidet med Kommisjonen si tiltakspakke </w:t>
      </w:r>
      <w:r>
        <w:rPr>
          <w:rStyle w:val="kursiv"/>
          <w:sz w:val="21"/>
          <w:szCs w:val="21"/>
        </w:rPr>
        <w:t>A New Deal for Consumers</w:t>
      </w:r>
      <w:r>
        <w:rPr>
          <w:sz w:val="21"/>
          <w:szCs w:val="21"/>
        </w:rPr>
        <w:t xml:space="preserve"> og arbeide for at utviklinga i det europeiske regelverket fører med seg eit sterkt forbrukarvern</w:t>
      </w:r>
    </w:p>
    <w:p w:rsidR="00D30C4D" w:rsidRDefault="00B964E1" w:rsidP="00E05FE4">
      <w:pPr>
        <w:pStyle w:val="Listebombe"/>
        <w:numPr>
          <w:ilvl w:val="0"/>
          <w:numId w:val="1"/>
        </w:numPr>
        <w:ind w:left="320" w:hanging="320"/>
        <w:rPr>
          <w:sz w:val="21"/>
          <w:szCs w:val="21"/>
        </w:rPr>
      </w:pPr>
      <w:r>
        <w:rPr>
          <w:sz w:val="21"/>
          <w:szCs w:val="21"/>
        </w:rPr>
        <w:t>lytte til aktuelle partar når ein skal utarbeide Noreg sine framlegg til nytt forbrukarregelverk i EU</w:t>
      </w:r>
    </w:p>
    <w:p w:rsidR="00D30C4D" w:rsidRDefault="00B964E1" w:rsidP="00E05FE4">
      <w:pPr>
        <w:pStyle w:val="Listebombe"/>
        <w:numPr>
          <w:ilvl w:val="0"/>
          <w:numId w:val="1"/>
        </w:numPr>
        <w:ind w:left="320" w:hanging="320"/>
        <w:rPr>
          <w:sz w:val="21"/>
          <w:szCs w:val="21"/>
        </w:rPr>
      </w:pPr>
      <w:r>
        <w:rPr>
          <w:sz w:val="21"/>
          <w:szCs w:val="21"/>
        </w:rPr>
        <w:t>prioritere norsk deltaking i EU sitt program for den indre marknaden for perioden 2021–2027, for mellom anna å sikre samarbeid om handheving og tvisteløysing, og for å sikre at norske tilhøve kjem med i kunnskapsgrunnlaget for forbrukarpolitikken i EU</w:t>
      </w:r>
    </w:p>
    <w:p w:rsidR="00D30C4D" w:rsidRDefault="00DE6D31" w:rsidP="00020FC3">
      <w:pPr>
        <w:pStyle w:val="del-nr"/>
      </w:pPr>
      <w:r>
        <w:lastRenderedPageBreak/>
        <w:t>Del III</w:t>
      </w:r>
    </w:p>
    <w:p w:rsidR="00D30C4D" w:rsidRDefault="00B964E1" w:rsidP="00020FC3">
      <w:pPr>
        <w:pStyle w:val="del-tittel"/>
        <w:rPr>
          <w:w w:val="100"/>
        </w:rPr>
      </w:pPr>
      <w:r>
        <w:rPr>
          <w:w w:val="100"/>
        </w:rPr>
        <w:t>Den digitale kvardagen til forbrukarane</w:t>
      </w:r>
    </w:p>
    <w:p w:rsidR="00D30C4D" w:rsidRDefault="00B964E1" w:rsidP="00020FC3">
      <w:pPr>
        <w:pStyle w:val="Overskrift1"/>
      </w:pPr>
      <w:r>
        <w:t>Forbrukarrettar, personvern og konkurranse i den dig</w:t>
      </w:r>
      <w:r>
        <w:t>i</w:t>
      </w:r>
      <w:r>
        <w:t>tale økonomien</w:t>
      </w:r>
    </w:p>
    <w:p w:rsidR="00D30C4D" w:rsidRDefault="00741EEC" w:rsidP="00741EEC">
      <w:pPr>
        <w:pStyle w:val="Figur"/>
      </w:pPr>
      <w:r>
        <w:rPr>
          <w:noProof/>
        </w:rPr>
        <w:t>[:figur:figX-X.jpg]</w:t>
      </w:r>
    </w:p>
    <w:p w:rsidR="00D30C4D" w:rsidRDefault="00B964E1" w:rsidP="00020FC3">
      <w:pPr>
        <w:pStyle w:val="figur-tittel"/>
      </w:pPr>
      <w:r>
        <w:t> </w:t>
      </w:r>
    </w:p>
    <w:p w:rsidR="00D30C4D" w:rsidRDefault="00B964E1" w:rsidP="00020FC3">
      <w:pPr>
        <w:pStyle w:val="figur-noter"/>
      </w:pPr>
      <w:r>
        <w:t>Foto: Johnér</w:t>
      </w:r>
    </w:p>
    <w:p w:rsidR="00D30C4D" w:rsidRDefault="00B964E1" w:rsidP="00E05FE4">
      <w:pPr>
        <w:pStyle w:val="Overskrift2"/>
        <w:numPr>
          <w:ilvl w:val="1"/>
          <w:numId w:val="32"/>
        </w:numPr>
      </w:pPr>
      <w:r>
        <w:t>Innleiing</w:t>
      </w:r>
    </w:p>
    <w:p w:rsidR="00D30C4D" w:rsidRDefault="00B964E1" w:rsidP="00020FC3">
      <w:r>
        <w:t>Digitale tenester og produkt samlar inn store mengder personopplysingar om forbrukarane. Mange digitale tenester gir forbrukaren «gratis» tilgang i byte mot personopplysingar, og mange av tenestene samlar inn langt fleire opplysingar enn det som er naudsynt for å levere tenesta. Personopplysingar er blitt ei verdifull vare som ein kan analysere og bruke til målretta marknadsføring eller andre kommersielle føremål. Når stadig fleire produkt (m.a. bilar, leik</w:t>
      </w:r>
      <w:r>
        <w:t>e</w:t>
      </w:r>
      <w:r>
        <w:t>tøy og klokker) blir kopla til nettet i «tinga sitt internett», blir moglegheitene til å samle inn personopplysingar forsterka, samstundes som produkta blir meir sårbare for tryggleiksbrot.</w:t>
      </w:r>
    </w:p>
    <w:p w:rsidR="00D30C4D" w:rsidRDefault="00B964E1" w:rsidP="00020FC3">
      <w:r>
        <w:t>Digitalisering har fyrst og fremst vore med på å skape nye moglegheiter for forbrukarane. Samstundes inneber digitale forretningsmodellar nye forbrukarutfordringar. Forbrukarane har lite kontroll og oversikt over korleis personopplysingane deira blir brukte. Det er eit gje</w:t>
      </w:r>
      <w:r>
        <w:t>n</w:t>
      </w:r>
      <w:r>
        <w:t>nomgåande problem at næringsdrivande ikkje opplyser godt nok om dette, mellom anna ved at informasjon blir gøymd i lange og komplekse avtalevilkår. Denne utviklinga set etablerte fo</w:t>
      </w:r>
      <w:r>
        <w:t>r</w:t>
      </w:r>
      <w:r>
        <w:t>brukarvern- og personvernprinsipp under press. Når det blir samla inn personopplysingar om forbrukarar gjennom produkt og tenester, er god IKT-tryggleik avgjerande for eit godt pe</w:t>
      </w:r>
      <w:r>
        <w:t>r</w:t>
      </w:r>
      <w:r>
        <w:t>sonvern. Utviklinga har også konkurransemessige implikasjonar.</w:t>
      </w:r>
    </w:p>
    <w:p w:rsidR="00D30C4D" w:rsidRDefault="00B964E1" w:rsidP="00020FC3">
      <w:r>
        <w:t xml:space="preserve">Regjeringa vil arbeide for </w:t>
      </w:r>
      <w:proofErr w:type="gramStart"/>
      <w:r>
        <w:t>å</w:t>
      </w:r>
      <w:proofErr w:type="gramEnd"/>
      <w:r>
        <w:t xml:space="preserve"> styrkje rettane, personvernet og tryggleiken til forbrukarane i d</w:t>
      </w:r>
      <w:r>
        <w:t>i</w:t>
      </w:r>
      <w:r>
        <w:t xml:space="preserve">gitale tenester og produkt. Samstundes vil vi leggje til rette for effektiv konkurranse som eit viktig element i ein godt fungerande økonomi. I arbeidet med </w:t>
      </w:r>
      <w:proofErr w:type="gramStart"/>
      <w:r>
        <w:t>å</w:t>
      </w:r>
      <w:proofErr w:type="gramEnd"/>
      <w:r>
        <w:t xml:space="preserve"> styrkje stillinga til forbrukarane vil regjeringa leggje vekt på betre tilsyn med reglane og styrkt samarbeid mellom styresma</w:t>
      </w:r>
      <w:r>
        <w:t>k</w:t>
      </w:r>
      <w:r>
        <w:t>tene i politikk som gjeld forbrukarsaker, personvern, IKT-tryggleik og konkurranse.</w:t>
      </w:r>
    </w:p>
    <w:p w:rsidR="00D30C4D" w:rsidRDefault="00B964E1" w:rsidP="00020FC3">
      <w:r>
        <w:t xml:space="preserve">Digitale produkt og tenester blir ofte tilbydde i ein internasjonal marknad, i mange tilfelle frå land som har andre kontrakts- og rettstradisjonar enn Noreg. Det er derfor viktig </w:t>
      </w:r>
      <w:proofErr w:type="gramStart"/>
      <w:r>
        <w:t>å</w:t>
      </w:r>
      <w:proofErr w:type="gramEnd"/>
      <w:r>
        <w:t xml:space="preserve"> leggje vekt på internasjonalt samarbeid for å betre forbrukar- og personvernet på området.</w:t>
      </w:r>
    </w:p>
    <w:p w:rsidR="00D30C4D" w:rsidRDefault="00B964E1" w:rsidP="00020FC3">
      <w:pPr>
        <w:pStyle w:val="Overskrift2"/>
      </w:pPr>
      <w:r>
        <w:lastRenderedPageBreak/>
        <w:t>Datadriven innovasjon og personvernet til forbrukarane</w:t>
      </w:r>
    </w:p>
    <w:p w:rsidR="00D30C4D" w:rsidRDefault="00B964E1" w:rsidP="00020FC3">
      <w:r>
        <w:t>I næringslivet si perspektivmelding for 2018 tek ein føre seg tre digitale utviklingstrekk som har prega, og kjem til å prege, næringslivet og økonomien i stor grad framover.</w:t>
      </w:r>
      <w:r>
        <w:rPr>
          <w:vertAlign w:val="superscript"/>
        </w:rPr>
        <w:footnoteReference w:id="28"/>
      </w:r>
      <w:r>
        <w:t xml:space="preserve"> </w:t>
      </w:r>
      <w:r>
        <w:rPr>
          <w:spacing w:val="-1"/>
        </w:rPr>
        <w:t xml:space="preserve">Dei tre </w:t>
      </w:r>
      <w:proofErr w:type="gramStart"/>
      <w:r>
        <w:rPr>
          <w:spacing w:val="-1"/>
        </w:rPr>
        <w:t>trekka</w:t>
      </w:r>
      <w:proofErr w:type="gramEnd"/>
      <w:r>
        <w:rPr>
          <w:spacing w:val="-1"/>
        </w:rPr>
        <w:t xml:space="preserve"> er (1) datadriven innovasjon, (2) digitale plattformer og (3) kommunikasjonsnettverk. Dei same utviklingstrekka er også heilt sentrale for forbrukarane og dermed forbrukarpolitikken.</w:t>
      </w:r>
      <w:r>
        <w:t xml:space="preserve"> Dei har skapt ei rekkje nye moglegheiter, men også nye utfordringar for forbrukarane. Dei siste åra har personvern- og forbrukarmyndigheitene særleg sett utfordringar knytte til datadriven innov</w:t>
      </w:r>
      <w:r>
        <w:t>a</w:t>
      </w:r>
      <w:r>
        <w:t>sjon basert på innsamling av personopplysingar og stordataanalyse.</w:t>
      </w:r>
    </w:p>
    <w:p w:rsidR="00D30C4D" w:rsidRDefault="00B964E1" w:rsidP="00020FC3">
      <w:r>
        <w:t>Datadriven innovasjon, der store mengder data inngår i produksjonsprosessar og forretning</w:t>
      </w:r>
      <w:r>
        <w:t>s</w:t>
      </w:r>
      <w:r>
        <w:t>modellar, omfattar mellom anna stordataanalyse, tinga sitt internett og kunstig intelligens. Det er heilt klart at denne innovasjonen har store kommersielle og sosiale gevinstar. For næring</w:t>
      </w:r>
      <w:r>
        <w:t>s</w:t>
      </w:r>
      <w:r>
        <w:t>drivande er stordataanalyse viktig mellom anna for å utvikle individualiserte tenester til fo</w:t>
      </w:r>
      <w:r>
        <w:t>r</w:t>
      </w:r>
      <w:r>
        <w:t>brukarane. Stordataanalyse kan også brukast til ei rekkje samfunnsnyttige føremål. Til dømes kan innovativ bruk av data vere med på å løyse viktige utfordringar i helsesektoren. For fo</w:t>
      </w:r>
      <w:r>
        <w:t>r</w:t>
      </w:r>
      <w:r>
        <w:t>brukarar er dei fleste sidene ved denne utviklinga også positive, ved at det blir utvikla stadig nye tenester som forenklar kvardagen.</w:t>
      </w:r>
    </w:p>
    <w:p w:rsidR="00D30C4D" w:rsidRDefault="00B964E1" w:rsidP="00020FC3">
      <w:r>
        <w:t>Samstundes ser ein ei aukande uro internasjonalt for at næringsdrivande ikkje tek personvernet tilstrekkeleg på alvor.</w:t>
      </w:r>
      <w:r>
        <w:rPr>
          <w:vertAlign w:val="superscript"/>
        </w:rPr>
        <w:footnoteReference w:id="29"/>
      </w:r>
      <w:r>
        <w:t xml:space="preserve"> Sjølv om datadriven innovasjon har ført med seg mange nyttige t</w:t>
      </w:r>
      <w:r>
        <w:t>e</w:t>
      </w:r>
      <w:r>
        <w:t>nester for forbrukarane, kan ein stille spørsmål ved omfanget av datainnsamlinga og måten ho skjer på. Datainnsamlinga er svært omfattande og skjer gjerne i det skjulte. Opplysingane blir også brukte til ei rekkje kommersielle føremål som næringsdrivande ikkje legg vekt på når dei kommuniserer med forbrukaren (t.d. vidaresal av opplysingane og målretta marknadsføring). Personopplysingar om enkeltpersonar er ein sentral innsatsfaktor i den datadrivne innovasj</w:t>
      </w:r>
      <w:r>
        <w:t>o</w:t>
      </w:r>
      <w:r>
        <w:t>nen. Desse enkeltpersonane har rett til å ha kontroll over korleis personopplysingane blir samla inn og brukte. Dei har rett til personvern.</w:t>
      </w:r>
    </w:p>
    <w:p w:rsidR="00D30C4D" w:rsidRDefault="00B964E1" w:rsidP="00020FC3">
      <w:r>
        <w:t>Forbrukarane seier sjølve at det er vanskeleg å vareta personvernet sitt. Ei SIFO-undersøking frå 2018 viser til dømes at 80 prosent av norske forbrukarar meiner det er vanskeleg å finne ut kva som blir lagra om dei, og nesten 70 prosent seier at personverninnstillingane i digitale tenester er forvirrande og uoversiktlege.</w:t>
      </w:r>
      <w:r>
        <w:rPr>
          <w:vertAlign w:val="superscript"/>
        </w:rPr>
        <w:footnoteReference w:id="30"/>
      </w:r>
      <w:r>
        <w:t xml:space="preserve"> Ei undersøking av Datatilsynet og Teknologirådet frå 2016 viser at eit fleirtal av forbrukarane opplever det som ubehageleg at personopplysin</w:t>
      </w:r>
      <w:r>
        <w:t>g</w:t>
      </w:r>
      <w:r>
        <w:t xml:space="preserve">ane deira blir samla inn og analyserte. Eit godt personvern er tufta på </w:t>
      </w:r>
      <w:proofErr w:type="gramStart"/>
      <w:r>
        <w:t>medvitne</w:t>
      </w:r>
      <w:proofErr w:type="gramEnd"/>
      <w:r>
        <w:t xml:space="preserve"> forbrukarval, </w:t>
      </w:r>
      <w:r>
        <w:lastRenderedPageBreak/>
        <w:t>informasjon og reell valfridom. Likevel seier forbrukarane at vala deira er prega av lite va</w:t>
      </w:r>
      <w:r>
        <w:t>l</w:t>
      </w:r>
      <w:r>
        <w:t>fridom, lite informasjon og manglande kunnskap om datainnsamlinga.</w:t>
      </w:r>
      <w:r>
        <w:rPr>
          <w:vertAlign w:val="superscript"/>
        </w:rPr>
        <w:footnoteReference w:id="31"/>
      </w:r>
    </w:p>
    <w:p w:rsidR="00D30C4D" w:rsidRDefault="00B964E1" w:rsidP="00020FC3">
      <w:r>
        <w:t xml:space="preserve">Det er viktig med ein open debatt om balansen mellom teknologisk innovasjon i næringslivet og retten forbrukarane har til personvern ved bruk av digitale tenester og produkt. Regjeringa meiner at det er behov for </w:t>
      </w:r>
      <w:proofErr w:type="gramStart"/>
      <w:r>
        <w:t>å</w:t>
      </w:r>
      <w:proofErr w:type="gramEnd"/>
      <w:r>
        <w:t xml:space="preserve"> styrkje stillinga til forbrukarane og leggje til rette for ein betre balanse mellom næringsdrivande og forbrukarar på dette området. Det er mogleg å verne om personvernet til forbrukarane samstundes som stordataanalyse blir meir sentralt i næringslivet. Det krev at næringsdrivande er opne om datainnsamlinga og føremålet med denne, at dei ikkje samlar inn fleire opplysingar enn dei treng, og at dei faktisk gir forbrukarane moglegheit til </w:t>
      </w:r>
      <w:proofErr w:type="gramStart"/>
      <w:r>
        <w:t>å</w:t>
      </w:r>
      <w:proofErr w:type="gramEnd"/>
      <w:r>
        <w:t xml:space="preserve"> velje om dei vil gi frå seg personopplysingar eller ikkje. Regjeringa ønskjer ei utvikling der forbrukarane i større grad kan velje personvernvennlege alternativ, og der personvern blir eit konkurranseelement.</w:t>
      </w:r>
    </w:p>
    <w:p w:rsidR="00D30C4D" w:rsidRDefault="00B964E1" w:rsidP="00020FC3">
      <w:pPr>
        <w:pStyle w:val="Overskrift2"/>
      </w:pPr>
      <w:r>
        <w:t>Forbrukarrettar i den digitale økonomien</w:t>
      </w:r>
    </w:p>
    <w:p w:rsidR="00D30C4D" w:rsidRDefault="00B964E1" w:rsidP="00020FC3">
      <w:r>
        <w:t>Dei norske forbrukarvernreglane gir forbrukarane eit sterkt vern. Når samfunnet i dag er ti</w:t>
      </w:r>
      <w:r>
        <w:t>l</w:t>
      </w:r>
      <w:r>
        <w:t>nærma gjennomdigitalisert, er det avgjerande at eksisterande forbrukarrettar også blir varetekne i den digitale økonomien. Det meste av forbrukarlovgivinga er teknologinøytral. Likevel har utviklinga med auka grad av datainnsamling og framveksten av digitale plattformer skapt e</w:t>
      </w:r>
      <w:r>
        <w:t>n</w:t>
      </w:r>
      <w:r>
        <w:t>kelte nye utfordringar for forbrukarane. Desse utfordringane handlar om næringsdrivande sin praksis ved utforming av digitale avtalevilkår, ting som er uklare i gjeldande reglar, og han</w:t>
      </w:r>
      <w:r>
        <w:t>d</w:t>
      </w:r>
      <w:r>
        <w:t>heving av regelverket.</w:t>
      </w:r>
    </w:p>
    <w:p w:rsidR="00D30C4D" w:rsidRDefault="00B964E1" w:rsidP="00020FC3">
      <w:pPr>
        <w:pStyle w:val="Overskrift3"/>
      </w:pPr>
      <w:r>
        <w:t>Kompliserte og ubalanserte avtalevilkår</w:t>
      </w:r>
    </w:p>
    <w:p w:rsidR="00D30C4D" w:rsidRDefault="00B964E1" w:rsidP="00020FC3">
      <w:r>
        <w:t xml:space="preserve">Når ein skal ta i bruk ei digital teneste, til dømes ein app til smarttelefonen, må ein inngå </w:t>
      </w:r>
      <w:proofErr w:type="gramStart"/>
      <w:r>
        <w:t>ei</w:t>
      </w:r>
      <w:proofErr w:type="gramEnd"/>
      <w:r>
        <w:t xml:space="preserve"> avtale med selskapet bak tenesta før ein kan bruke ho. Avtalevilkåra regulerer mellom anna kva partane har rett og plikt til </w:t>
      </w:r>
      <w:proofErr w:type="gramStart"/>
      <w:r>
        <w:t>å</w:t>
      </w:r>
      <w:proofErr w:type="gramEnd"/>
      <w:r>
        <w:t xml:space="preserve"> gjere overfor den andre, og korleis ein skal løyse saka dersom partane blir ueinige. Vilkåra skal gi informasjon om korleis brukarane sine personopplysingar blir samla inn og handsama gjennom tenesta. Marknadsføringslova stiller krav til at avtal</w:t>
      </w:r>
      <w:r>
        <w:t>e</w:t>
      </w:r>
      <w:r>
        <w:t>vilkåra er klare og balanserte, og urimelege avtalevilkår er forbodne. Angrerettlova krev at forbrukaren får sjå visse opplysingar om varene eller tenestene, til dømes dei viktigaste e</w:t>
      </w:r>
      <w:r>
        <w:t>i</w:t>
      </w:r>
      <w:r>
        <w:t>genskapane, prisen og eventuell bindingstid, i framheva form rett før avtala blir inngått ele</w:t>
      </w:r>
      <w:r>
        <w:t>k</w:t>
      </w:r>
      <w:r>
        <w:t>tronisk. I tillegg må avtalevilkåra som gjeld handsaming av personopplysingar, vere i tråd med personvernreglane.</w:t>
      </w:r>
    </w:p>
    <w:p w:rsidR="00D30C4D" w:rsidRDefault="00B964E1" w:rsidP="00020FC3">
      <w:r>
        <w:t>Dei siste tiåra har det utvikla seg ein praksis for utforming av digitale avtalevilkår som inneber utfordringar for forbrukarane. Utfordringane er godt dokumenterte, mellom anna av Forbr</w:t>
      </w:r>
      <w:r>
        <w:t>u</w:t>
      </w:r>
      <w:r>
        <w:t>karrådet og forbrukarorganisasjonar i andre land. Dei same problema er felles for ei rekkje tenester og produkt, som appar, tilkopla produkt og digitale plattformer for kjøp og sal. Ein kan oppsummere utfordringane i fire punkt:</w:t>
      </w:r>
    </w:p>
    <w:p w:rsidR="00D30C4D" w:rsidRDefault="00B964E1" w:rsidP="00020FC3">
      <w:pPr>
        <w:pStyle w:val="friliste"/>
      </w:pPr>
      <w:r>
        <w:lastRenderedPageBreak/>
        <w:t>1.</w:t>
      </w:r>
      <w:r>
        <w:tab/>
        <w:t xml:space="preserve">Vilkåra er i mange tilfelle uklare og kompliserte, med eit teknisk og juridisk språk som det er vanskeleg å forstå. Det er krevjande for forbrukaren </w:t>
      </w:r>
      <w:proofErr w:type="gramStart"/>
      <w:r>
        <w:t>å</w:t>
      </w:r>
      <w:proofErr w:type="gramEnd"/>
      <w:r>
        <w:t xml:space="preserve"> setje seg inn i føresetnadene for bruk av tenesta eller produktet.</w:t>
      </w:r>
    </w:p>
    <w:p w:rsidR="00D30C4D" w:rsidRDefault="00B964E1" w:rsidP="00020FC3">
      <w:pPr>
        <w:pStyle w:val="friliste"/>
      </w:pPr>
      <w:r>
        <w:t>2.</w:t>
      </w:r>
      <w:r>
        <w:tab/>
        <w:t>Vilkåra er svært omfattande, noko som gjer det urealistisk å forvente at forbrukarane les gjennom dei.</w:t>
      </w:r>
      <w:r>
        <w:rPr>
          <w:vertAlign w:val="superscript"/>
        </w:rPr>
        <w:footnoteReference w:id="32"/>
      </w:r>
      <w:r>
        <w:t xml:space="preserve"> Dette gjeld til dømes når forbrukarane skal lese og ta stilling til avtalevilkår på ein liten skjerm på mobilen. Dei aller fleste samtykkjer derfor til ei rekkje avtalevilkår som dei ikkje har </w:t>
      </w:r>
      <w:proofErr w:type="gramStart"/>
      <w:r>
        <w:t>lese</w:t>
      </w:r>
      <w:proofErr w:type="gramEnd"/>
      <w:r>
        <w:t>.</w:t>
      </w:r>
    </w:p>
    <w:p w:rsidR="00D30C4D" w:rsidRDefault="00B964E1" w:rsidP="00020FC3">
      <w:pPr>
        <w:pStyle w:val="friliste"/>
      </w:pPr>
      <w:r>
        <w:t>3.</w:t>
      </w:r>
      <w:r>
        <w:tab/>
        <w:t>Vilkåra kan innehalde klausular som gjer at forbrukarane mistar lovfesta rettar og favor</w:t>
      </w:r>
      <w:r>
        <w:t>i</w:t>
      </w:r>
      <w:r>
        <w:t xml:space="preserve">serer den næringsdrivande framfor forbrukaren. I så fall oppstår det </w:t>
      </w:r>
      <w:proofErr w:type="gramStart"/>
      <w:r>
        <w:t>ei</w:t>
      </w:r>
      <w:proofErr w:type="gramEnd"/>
      <w:r>
        <w:t xml:space="preserve"> ubalanse i ko</w:t>
      </w:r>
      <w:r>
        <w:t>n</w:t>
      </w:r>
      <w:r>
        <w:t>traktstilhøvet. Eit døme er klausular som gir selskapet stor fridom til å endre på pliktene sine undervegs i avtaleperioden.</w:t>
      </w:r>
      <w:r>
        <w:rPr>
          <w:vertAlign w:val="superscript"/>
        </w:rPr>
        <w:footnoteReference w:id="33"/>
      </w:r>
      <w:r>
        <w:t xml:space="preserve"> Marknadsføringslova stiller krav til at det ikkje blir brukt urimelege innelåsande mekanismar i forbrukaravtaler.</w:t>
      </w:r>
    </w:p>
    <w:p w:rsidR="00D30C4D" w:rsidRDefault="00B964E1" w:rsidP="00020FC3">
      <w:pPr>
        <w:pStyle w:val="friliste"/>
      </w:pPr>
      <w:r>
        <w:t>4.</w:t>
      </w:r>
      <w:r>
        <w:tab/>
        <w:t>Vilkåra kan innehalde omfattande føresetnader om innsamling av personopplysingar, noko som kan vere i strid med personvernreglane. I mange tilfelle ber tilbydaren om å få samle inn langt fleire opplysingar enn det som er naudsynt for å drive tenesta. Samstundes må forbrukaren godta alle vilkår for å ta i bruk tenesta.</w:t>
      </w:r>
    </w:p>
    <w:p w:rsidR="00D30C4D" w:rsidRDefault="00B964E1" w:rsidP="00020FC3">
      <w:r>
        <w:t>Når forbrukaren «samtykkjer» utan å ha lest vilkåra, vil ho derfor kunne godta vilkår som er i strid med både forbrukarvern- og personvernreglane. Dersom vilkår er i strid med reglane, er dei eigentleg ikkje gyldige, sjølv om forbrukaren samtykkjer. Like fullt vil forbrukarane vere påverka av dei så lenge reglane ikkje blir handheva, og forbrukarane trur dei er gyldige.</w:t>
      </w:r>
    </w:p>
    <w:p w:rsidR="00D30C4D" w:rsidRDefault="00B964E1" w:rsidP="00020FC3">
      <w:pPr>
        <w:pStyle w:val="tittel-ramme"/>
      </w:pPr>
      <w:r>
        <w:t>Forbodet i marknadsføringslova mot urimelege avtalevilkår</w:t>
      </w:r>
    </w:p>
    <w:p w:rsidR="00D30C4D" w:rsidRDefault="00B964E1" w:rsidP="00020FC3">
      <w:r>
        <w:t>Marknadsføringslova § 22 forbyr urimelege vilkår. I vurderinga av om eit vilkår er urimeleg, skal ein leggje vekt på omsynet til balanse mellom partane sine rettar og plikter, i tillegg til omsynet til klarleik i kontraktstilhøvet. Det er Forbrukartilsynet som fører tilsyn med reglane.</w:t>
      </w:r>
    </w:p>
    <w:p w:rsidR="00D30C4D" w:rsidRDefault="00B964E1" w:rsidP="00020FC3">
      <w:r>
        <w:t>Reglane om marknadsføring og opplysingsplikt før ein inngår avtale, er eit viktig supplement til marknadsføringslova § 22. Der § 22 stiller krav til klarleik og balanse ved utforminga av sjølve vilkåra, inneber reglane om marknadsføring og opplysingsplikt at forbrukarane skal få viktig informasjon som dei treng, på eit tidspunkt og ein måte som gjer at dei kan bruke informasjonen til å ta ei avgjerd. Det inneber at ein ikkje kan gøyme bort viktig informasjon i avtalevilkåra – sjølv om informasjonen er presentert på ein klar måte og i tråd med § 22.</w:t>
      </w:r>
    </w:p>
    <w:p w:rsidR="00D30C4D" w:rsidRDefault="00B964E1" w:rsidP="00020FC3">
      <w:r>
        <w:t>Innhenting og bruk av personopplysingar i den digitale økonomien blir regulert både av pe</w:t>
      </w:r>
      <w:r>
        <w:t>r</w:t>
      </w:r>
      <w:r>
        <w:t>sonopplysingslova og marknadsføringslova. Forbrukarlovgivinga supplerer personoppl</w:t>
      </w:r>
      <w:r>
        <w:t>y</w:t>
      </w:r>
      <w:r>
        <w:t xml:space="preserve">singslova på heilt sentrale punkt for å sikre at forbrukarane får den informasjonen dei treng for </w:t>
      </w:r>
      <w:proofErr w:type="gramStart"/>
      <w:r>
        <w:t>å</w:t>
      </w:r>
      <w:proofErr w:type="gramEnd"/>
      <w:r>
        <w:t xml:space="preserve"> gjere informerte val.</w:t>
      </w:r>
    </w:p>
    <w:p w:rsidR="00D30C4D" w:rsidRDefault="00B964E1">
      <w:pPr>
        <w:pStyle w:val="Ramme-slutt"/>
        <w:rPr>
          <w:sz w:val="26"/>
          <w:szCs w:val="26"/>
        </w:rPr>
      </w:pPr>
      <w:r>
        <w:rPr>
          <w:sz w:val="26"/>
          <w:szCs w:val="26"/>
        </w:rPr>
        <w:lastRenderedPageBreak/>
        <w:t>[Boks slutt]</w:t>
      </w:r>
    </w:p>
    <w:p w:rsidR="00D30C4D" w:rsidRDefault="00B964E1" w:rsidP="00020FC3">
      <w:r>
        <w:t>Forbrukarrådet og Forbrukartilsynet arbeider for enklare avtalevilkår i digitale tenester. Fo</w:t>
      </w:r>
      <w:r>
        <w:t>r</w:t>
      </w:r>
      <w:r>
        <w:t xml:space="preserve">brukarrådet har undersøkt avtalevilkåra i mellom anna </w:t>
      </w:r>
      <w:proofErr w:type="gramStart"/>
      <w:r>
        <w:t>skytenester</w:t>
      </w:r>
      <w:proofErr w:type="gramEnd"/>
      <w:r>
        <w:t>, appar og tilkopla produkt som helsearmband. Rådet har avdekt ubalanserte, lange og uforståelege avtalevilkår, man</w:t>
      </w:r>
      <w:r>
        <w:t>g</w:t>
      </w:r>
      <w:r>
        <w:t>lande tryggleik og svak ivaretaking av personvernet til brukarane. Særleg alvorlege tilhøve har blitt klaga inn til Forbrukartilsynet og Datatilsynet for brot på forbrukar- og personvernreglane. Forbrukarrådet har fått stor merksemd om resultata i media, også internasjonalt, med inform</w:t>
      </w:r>
      <w:r>
        <w:t>a</w:t>
      </w:r>
      <w:r>
        <w:t>sjonskampanjar som «Appfail», «Toyfail» og «Watchout».</w:t>
      </w:r>
    </w:p>
    <w:p w:rsidR="00D30C4D" w:rsidRDefault="00B964E1" w:rsidP="00020FC3">
      <w:r>
        <w:t>Forbrukartilsynet har målretta innsatsen mot å føre tilsyn med digitale avtalevilkår og følgje opp urimelege avtalevilkår i forhandlingar med store internasjonale selskap som Tinder og Airbnb. Dette har i fleire tilfelle ført til at selskapa har endra dei globale avtalevilkåra sine i meir forbrukarvennleg retning. Forbrukartilsynet har også styrkt samarbeidet med Datatilsynet og teke på seg ei leiarrolle i internasjonalt tilsynssamarbeid. Dette gjeld både på nordisk nivå, europeisk nivå og i det globale tilsynsnettverket ICPEN.</w:t>
      </w:r>
    </w:p>
    <w:p w:rsidR="00D30C4D" w:rsidRDefault="00B964E1" w:rsidP="00020FC3">
      <w:pPr>
        <w:pStyle w:val="tittel-ramme"/>
      </w:pPr>
      <w:r>
        <w:t>Forbrukartilsynet sine forhandlingar med Tinder</w:t>
      </w:r>
    </w:p>
    <w:p w:rsidR="00D30C4D" w:rsidRDefault="00B964E1" w:rsidP="00020FC3">
      <w:r>
        <w:t>Den populære datingappen Tinder blei klaga inn til Forbrukartilsynet som del av #ap</w:t>
      </w:r>
      <w:r>
        <w:t>p</w:t>
      </w:r>
      <w:r>
        <w:t>fail-kampanjen til Forbrukarrådet. Forbrukartilsynet vurderte at avtalevilkåra til Tinder braut med marknadsføringslova. Forbrukartilsynet fekk også hjelp frå Datatilsynet til å vurdere personvernkonsekvensar av enkelte av Tinder-vilkåra. Gjennom forhandlingar med det am</w:t>
      </w:r>
      <w:r>
        <w:t>e</w:t>
      </w:r>
      <w:r>
        <w:t>rikanske selskapet blei det gjort ei rekkje endringar i vilkåra, som selskapet innførte globalt. Til dømes blei vilkåra gjorde enklare og kortare, og brukarane skal no få ei oppsummering av dei viktigaste vilkåra før dei eventuelt inngår avtale. I tillegg blei det endra på ei rekkje punkt for å sikre at grunnleggjande forbrukarrettar blir følgde. Eit anna resultat er at vilkåra ikkje lenger opnar for at Tinder kan nytte brukarane sine bilete og samtaleloggar i marknadsføring utan samtykke frå brukarane.</w:t>
      </w:r>
    </w:p>
    <w:p w:rsidR="00D30C4D" w:rsidRDefault="00B964E1">
      <w:pPr>
        <w:pStyle w:val="Ramme-slutt"/>
        <w:rPr>
          <w:sz w:val="26"/>
          <w:szCs w:val="26"/>
        </w:rPr>
      </w:pPr>
      <w:r>
        <w:rPr>
          <w:sz w:val="26"/>
          <w:szCs w:val="26"/>
        </w:rPr>
        <w:t>[Boks slutt]</w:t>
      </w:r>
    </w:p>
    <w:p w:rsidR="00D30C4D" w:rsidRDefault="00B964E1" w:rsidP="00020FC3">
      <w:r>
        <w:t>Forbrukartilsynet har utvikla rettleiingsmateriell retta mot næringsdrivande. Våren 2018 la</w:t>
      </w:r>
      <w:r>
        <w:t>n</w:t>
      </w:r>
      <w:r>
        <w:t>serte tilsynet ei rettleiing med dei viktigaste krava til balanserte og rimelege avtalevilkår. Krava gjeld både for store, internasjonale selskap og mindre næringsdrivande. Det er lagt vekt på at også utviklarmiljø og oppstartsverksemder skal ta i bruk rettleiinga. Rettleiinga gir tips til utforminga av enkle og forståelege avtalevilkår til digitale tenester.</w:t>
      </w:r>
    </w:p>
    <w:p w:rsidR="00D30C4D" w:rsidRDefault="00B964E1" w:rsidP="00020FC3">
      <w:r>
        <w:t>Regjeringa vil mellom anna løfte arbeidet for enklare avtalevilkår i digitale tenester, i ein ny strategi for den digitale kvardagen til forbrukarane.</w:t>
      </w:r>
      <w:r>
        <w:rPr>
          <w:vertAlign w:val="superscript"/>
        </w:rPr>
        <w:footnoteReference w:id="34"/>
      </w:r>
    </w:p>
    <w:p w:rsidR="00D30C4D" w:rsidRDefault="00B964E1" w:rsidP="00020FC3">
      <w:pPr>
        <w:pStyle w:val="Overskrift3"/>
      </w:pPr>
      <w:r>
        <w:lastRenderedPageBreak/>
        <w:t>Internasjonalt samarbeid om forbrukarvernreglar i ein digital kvardag</w:t>
      </w:r>
    </w:p>
    <w:p w:rsidR="00D30C4D" w:rsidRDefault="00B964E1" w:rsidP="00020FC3">
      <w:r>
        <w:t>Digitale plattformer og datadriven innovasjon utfordra dei gjeldande forbrukarvernreglane i Noreg og EU. Utviklinga har reist fleire spørsmål. Eitt av dei er kva rettar forbrukarane har når dei «betaler» for tenester med personopplysingar. Etter gjeldande reglar har forbrukarane til dømes ikkje angrerett ved bruk av «gratis» digitale tenester, der forbrukaren gir frå seg pe</w:t>
      </w:r>
      <w:r>
        <w:t>r</w:t>
      </w:r>
      <w:r>
        <w:t>sonopplysingar som motyting. Eit anna spørsmål er kva rettar forbrukarane har ved kjøp frå ein privatperson (framfor ein profesjonell næringsdrivande) på ei digital plattform, og kva ansvar den digitale plattforma har i slike situasjonar. Dette spørsmålet har vore mykje diskutert, særleg når det gjeld delingsplattformer som Airbnb og Uber.</w:t>
      </w:r>
    </w:p>
    <w:p w:rsidR="00D30C4D" w:rsidRDefault="00B964E1" w:rsidP="00020FC3">
      <w:r>
        <w:t xml:space="preserve">Det er naudsynt med internasjonalt samarbeid om lovregulering av datadriven innovasjon og digitale plattformer, ettersom mange av dei sentrale næringsdrivande har opphavet sitt utanfor Noreg. EU-arbeidet er særleg viktig. EU-kommisjonen har i forslagspakka </w:t>
      </w:r>
      <w:r>
        <w:rPr>
          <w:rStyle w:val="kursiv"/>
          <w:sz w:val="21"/>
          <w:szCs w:val="21"/>
        </w:rPr>
        <w:t>A New Deal for Consumers</w:t>
      </w:r>
      <w:r>
        <w:t xml:space="preserve"> frå 2018 føreslått å modernisere forbrukarrettane i lys av den digitale utviklinga.</w:t>
      </w:r>
    </w:p>
    <w:p w:rsidR="00D30C4D" w:rsidRDefault="00B964E1" w:rsidP="00020FC3">
      <w:r>
        <w:t>Forslaget til Kommisjonen inneber mellom anna å utvide rettane til forbrukarar som gir frå seg personopplysingar i bytte mot digitale tenester. Dette vil i så fall kunne føre til at forbrukarar kan krevje meir informasjon, stadfesting på inngåtte avtaler og angrerett. Forslaget inneber såleis ei styrking av forbrukarrettane i Noreg. EU-kommisjonen har også føreslått å auke i</w:t>
      </w:r>
      <w:r>
        <w:t>n</w:t>
      </w:r>
      <w:r>
        <w:t>formasjonskrava til digitale plattformer, slik at det skal bli tydeleg for forbrukaren om han eller ho handlar med ein privatperson eller ein profesjonell næringsdrivande.</w:t>
      </w:r>
    </w:p>
    <w:p w:rsidR="00D30C4D" w:rsidRDefault="00B964E1" w:rsidP="00020FC3">
      <w:pPr>
        <w:pStyle w:val="tittel-ramme"/>
      </w:pPr>
      <w:r>
        <w:t>Forbrukartilsynet leiar felleseuropeisk sak overfor Airbnb</w:t>
      </w:r>
    </w:p>
    <w:p w:rsidR="00D30C4D" w:rsidRDefault="00B964E1" w:rsidP="00020FC3">
      <w:r>
        <w:t>Som del av ei satsing på forbrukarvern i plattformøkonomien har dei nordiske landa teke in</w:t>
      </w:r>
      <w:r>
        <w:t>i</w:t>
      </w:r>
      <w:r>
        <w:t>tiativ til ei felleseuropeisk sak overfor Airbnb. Prosessen blir leia av Forbrukartilsynet i Noreg i samarbeid med EU-kommisjonen. Prosessen har ført til at dei europeiske tilsynsstyresmaktene har hatt ein grundig diskusjon om bruken av forbrukarvernregelverket på delingsplattformer som Airbnb. Resultatet er ei felles haldning overfor Airbnb, som blir lagd til grunn i handh</w:t>
      </w:r>
      <w:r>
        <w:t>e</w:t>
      </w:r>
      <w:r>
        <w:t>vingssaka. I 2018 starta Forbrukartilsynet og EU-kommisjonen forhandlingar med Airbnb på bakgrunn av det omforeinte europeiske standpunktet. Dei mest sentrale temaa var villeiande prisar og manglande skilje mellom profesjonelle og private utleigarar. Eit anna sentralt tema var urimelege avtalevilkår om mellom anna kva tvisteløysing ein skal bruke dersom noko går gale ved bruk av tenesta. Forbrukartilsynet vurderer om Airbnb sine framlegg til løysingar er i tråd med lova. Tilsynet får hjelp av EU-kommisjonen til å koordinere vurderingane med dei andre EU/EØS-landa. Saka vil bli avslutta i 2019. Medlemslanda vil undersøkje om Airbnb innrettar seg i tråd med forhandlingsresultata.</w:t>
      </w:r>
    </w:p>
    <w:p w:rsidR="00D30C4D" w:rsidRDefault="00B964E1">
      <w:pPr>
        <w:pStyle w:val="Ramme-slutt"/>
        <w:rPr>
          <w:sz w:val="26"/>
          <w:szCs w:val="26"/>
        </w:rPr>
      </w:pPr>
      <w:r>
        <w:rPr>
          <w:sz w:val="26"/>
          <w:szCs w:val="26"/>
        </w:rPr>
        <w:t>[Boks slutt]</w:t>
      </w:r>
    </w:p>
    <w:p w:rsidR="00D30C4D" w:rsidRDefault="00B964E1" w:rsidP="00020FC3">
      <w:pPr>
        <w:pStyle w:val="Overskrift3"/>
      </w:pPr>
      <w:r>
        <w:t>Handheving av digitale forbrukarrettar</w:t>
      </w:r>
    </w:p>
    <w:p w:rsidR="00D30C4D" w:rsidRDefault="00B964E1" w:rsidP="00020FC3">
      <w:r>
        <w:t xml:space="preserve">Det er ikkje nok at forbrukarar har gode rettar på papiret, dersom vernet ikkje fungerer godt nok i praksis. Derfor er det særleg viktig å sikre at forbrukarane sine digitale rettar blir handheva på ein god måte. Dette gjeld både nasjonalt, der ein treng å rettleie norske næringsdrivande om forbrukarrettar, og internasjonalt, der ein treng både tilsynsarbeid på tvers av landegrensene og utvikling av felles praksis. Handhevingsarbeidet kan vere krevjande, ettersom dagens økonomi </w:t>
      </w:r>
      <w:r>
        <w:lastRenderedPageBreak/>
        <w:t>er både digital, internasjonal og prega av komplekse verdikjeder. Like fullt er innsatsen som norske styresmakter gjer, viktig.</w:t>
      </w:r>
    </w:p>
    <w:p w:rsidR="00D30C4D" w:rsidRDefault="00B964E1" w:rsidP="00020FC3">
      <w:r>
        <w:t>Forbrukartilsynet legg vekt på å utveksle erfaringar med andre styresmaktene i andre land – både i og utanfor Europa – og å samarbeide om konkrete saker. Denne dialogen gjer at ein kan løyse forbrukarproblem som oppstår i den digitale økonomien, på ein likearta måte. Det gjeld uavhengig av kva land den næringsdrivande tilbyr tenestene sine frå. Det er også effektivt at styresmaktene i ulike land koordinerer arbeidet sitt, med sikte på å unngå dobbeltarbeid i handheving av enkeltsaker som gjer seg gjeldande i fleire land.</w:t>
      </w:r>
    </w:p>
    <w:p w:rsidR="00D30C4D" w:rsidRDefault="00B964E1" w:rsidP="00020FC3">
      <w:r>
        <w:t xml:space="preserve">Regjeringa har i 2019 auka løyvinga til Forbrukartilsynet med 6 millionar kroner. Målet med dette er </w:t>
      </w:r>
      <w:proofErr w:type="gramStart"/>
      <w:r>
        <w:t>å</w:t>
      </w:r>
      <w:proofErr w:type="gramEnd"/>
      <w:r>
        <w:t xml:space="preserve"> styrkje tilsynet med, og rettleiinga om, forbrukarvernreglane i den digitale økon</w:t>
      </w:r>
      <w:r>
        <w:t>o</w:t>
      </w:r>
      <w:r>
        <w:t xml:space="preserve">mien. Satsinga er også med på </w:t>
      </w:r>
      <w:proofErr w:type="gramStart"/>
      <w:r>
        <w:t>å</w:t>
      </w:r>
      <w:proofErr w:type="gramEnd"/>
      <w:r>
        <w:t xml:space="preserve"> styrkje Forbrukartilsynet sitt internasjonale arbeid med mellom anna koordinerte tilsynsaksjonar over landegrensene. Regjeringa vil framover leggje vekt på tettare samarbeid mellom tilsyn på fleire område for </w:t>
      </w:r>
      <w:proofErr w:type="gramStart"/>
      <w:r>
        <w:t>å</w:t>
      </w:r>
      <w:proofErr w:type="gramEnd"/>
      <w:r>
        <w:t xml:space="preserve"> styrkje handhevinga av forbrukarver</w:t>
      </w:r>
      <w:r>
        <w:t>n</w:t>
      </w:r>
      <w:r>
        <w:t>reglane.</w:t>
      </w:r>
    </w:p>
    <w:p w:rsidR="00D30C4D" w:rsidRDefault="00B964E1" w:rsidP="00020FC3">
      <w:pPr>
        <w:pStyle w:val="Overskrift3"/>
      </w:pPr>
      <w:r>
        <w:t>Strategi for å verne om digitale forbrukarrettar</w:t>
      </w:r>
    </w:p>
    <w:p w:rsidR="00D30C4D" w:rsidRDefault="00B964E1" w:rsidP="00020FC3">
      <w:r>
        <w:t>Forbrukarstyresmaktene har dei siste åra hatt søkjelyset på problemstillingar knytte til fo</w:t>
      </w:r>
      <w:r>
        <w:t>r</w:t>
      </w:r>
      <w:r>
        <w:t>brukarrettar i den digitale økonomien. Forbrukarrådet har undersøkt vilkår i nye digitale t</w:t>
      </w:r>
      <w:r>
        <w:t>e</w:t>
      </w:r>
      <w:r>
        <w:t>nester og produkt. Forbrukartilsynet har følgt opp med tilsyn og vedtak i enkeltsaker og for</w:t>
      </w:r>
      <w:r>
        <w:t>s</w:t>
      </w:r>
      <w:r>
        <w:t>kingsinstituttet SIFO har gått nærare inn på viktige problemstillingar. Datatilsynet har også følgt opp Forbrukarrådet sine funn med tilsyn og vedtak.</w:t>
      </w:r>
    </w:p>
    <w:p w:rsidR="00D30C4D" w:rsidRDefault="00B964E1" w:rsidP="00020FC3">
      <w:r>
        <w:t xml:space="preserve">Regjeringa vil byggje vidare på dette samarbeidet og gjere det breiare og meir langsiktig og strukturert. Regjeringa vil utarbeide ein forbrukarpolitisk strategi for den digitale kvardagen som ei ramme for denne innsatsen. Strategien skal slå fast prinsipp for forbrukarane sin digitale kvardag, og leggje retninga for aktivitetar og tiltak på dette området framover. Regjeringa vil i dette </w:t>
      </w:r>
      <w:proofErr w:type="gramStart"/>
      <w:r>
        <w:t>arbeidet</w:t>
      </w:r>
      <w:proofErr w:type="gramEnd"/>
      <w:r>
        <w:t xml:space="preserve"> sjå på tilsvarande initiativ i nabolanda våre. Mellom anna har det danske E</w:t>
      </w:r>
      <w:r>
        <w:t>r</w:t>
      </w:r>
      <w:r>
        <w:t xml:space="preserve">hvervsministeriet i 2018 lansert den danske regjeringa </w:t>
      </w:r>
      <w:proofErr w:type="gramStart"/>
      <w:r>
        <w:t>sin</w:t>
      </w:r>
      <w:proofErr w:type="gramEnd"/>
      <w:r>
        <w:t xml:space="preserve"> forbrukarpolitiske strategi, med tittelen </w:t>
      </w:r>
      <w:r>
        <w:rPr>
          <w:rStyle w:val="kursiv"/>
          <w:sz w:val="21"/>
          <w:szCs w:val="21"/>
        </w:rPr>
        <w:t>Forbruger i en digital verden</w:t>
      </w:r>
      <w:r>
        <w:t>. Denne strategien integrerer også nyare innsikt frå åtferd</w:t>
      </w:r>
      <w:r>
        <w:t>s</w:t>
      </w:r>
      <w:r>
        <w:t xml:space="preserve">økonomien i </w:t>
      </w:r>
      <w:proofErr w:type="gramStart"/>
      <w:r>
        <w:t>danskane</w:t>
      </w:r>
      <w:proofErr w:type="gramEnd"/>
      <w:r>
        <w:t xml:space="preserve"> sin forbrukarpolitikk for den digitale kvardagen.</w:t>
      </w:r>
    </w:p>
    <w:p w:rsidR="00D30C4D" w:rsidRDefault="00741EEC" w:rsidP="00741EEC">
      <w:pPr>
        <w:pStyle w:val="Figur"/>
      </w:pPr>
      <w:r>
        <w:rPr>
          <w:noProof/>
        </w:rPr>
        <w:t>[:figur:figX-X.jpg]</w:t>
      </w:r>
    </w:p>
    <w:p w:rsidR="00D30C4D" w:rsidRDefault="00B964E1" w:rsidP="00020FC3">
      <w:pPr>
        <w:pStyle w:val="figur-tittel"/>
      </w:pPr>
      <w:r>
        <w:t> </w:t>
      </w:r>
    </w:p>
    <w:p w:rsidR="00D30C4D" w:rsidRDefault="00B964E1" w:rsidP="00020FC3">
      <w:pPr>
        <w:pStyle w:val="figur-noter"/>
        <w:rPr>
          <w:sz w:val="21"/>
          <w:szCs w:val="21"/>
        </w:rPr>
      </w:pPr>
      <w:r>
        <w:t>Foto: Johnér</w:t>
      </w:r>
    </w:p>
    <w:p w:rsidR="00D30C4D" w:rsidRDefault="00B964E1" w:rsidP="00020FC3">
      <w:pPr>
        <w:pStyle w:val="Overskrift2"/>
      </w:pPr>
      <w:r>
        <w:t>Personvern i digitale tenester og produkt</w:t>
      </w:r>
    </w:p>
    <w:p w:rsidR="00D30C4D" w:rsidRDefault="00B964E1" w:rsidP="00020FC3">
      <w:r>
        <w:t>Den digitale utviklinga har som nemnt gjort at forbrukaren må betale for ei rekkje digitale tenester og produkt med personopplysingane sine. Dette har gitt meir overlapping mellom personvernpolitikken og forbrukarpolitikken. Den nye europeiske personvernforordninga, som tredde i kraft i Noreg med ny personopplysingslov i 2018, inneber ei styrking av forbruka</w:t>
      </w:r>
      <w:r>
        <w:t>r</w:t>
      </w:r>
      <w:r>
        <w:t>rettane. I denne delen gjer vi greie for personvernforordninga og dei nye forbrukarrettane, i tillegg til regjeringa sin plan for det vidare arbeidet.</w:t>
      </w:r>
    </w:p>
    <w:p w:rsidR="00D30C4D" w:rsidRDefault="00B964E1" w:rsidP="00020FC3">
      <w:pPr>
        <w:pStyle w:val="Overskrift3"/>
      </w:pPr>
      <w:r>
        <w:lastRenderedPageBreak/>
        <w:t>Personvernforordninga</w:t>
      </w:r>
    </w:p>
    <w:p w:rsidR="00D30C4D" w:rsidRDefault="00B964E1" w:rsidP="00020FC3">
      <w:r>
        <w:t>Då EU-kommisjonen la fram forslag til nytt personvernregelverk i starten av 2012, var ivar</w:t>
      </w:r>
      <w:r>
        <w:t>e</w:t>
      </w:r>
      <w:r>
        <w:t xml:space="preserve">taking og styrking av personvernet til borgarane eit viktig premiss for arbeidet. Det hadde over lang tid vore tydeleg at personverndirektivet (direktiv 95/46) blei praktisert ganske ulikt i dei europeiske landa. For borgarane innebar dette at relativt lik handsaming av personopplysingar kunne vere ulikt regulert i dei ulike landa, og at dette innebar ulike rettar for borgarane. Med aukande internasjonal handel og samhandling var det blitt stadig vanskelegare for borgarane å ha oversikt over personvernrettane sine i dei ulike landa. Tilsvarande var det blitt vanskeleg for verksemder som leverte tenester i fleire land, </w:t>
      </w:r>
      <w:proofErr w:type="gramStart"/>
      <w:r>
        <w:t>å</w:t>
      </w:r>
      <w:proofErr w:type="gramEnd"/>
      <w:r>
        <w:t xml:space="preserve"> halde seg oppdaterte på regelverket i dei ulike landa. For mindre verksemder kunne dette vere særleg krevjande.</w:t>
      </w:r>
    </w:p>
    <w:p w:rsidR="00D30C4D" w:rsidRDefault="00B964E1" w:rsidP="00020FC3">
      <w:r>
        <w:t xml:space="preserve">Føremålet med dei nye felleseuropeiske reglane er derfor ikkje berre </w:t>
      </w:r>
      <w:proofErr w:type="gramStart"/>
      <w:r>
        <w:t>å</w:t>
      </w:r>
      <w:proofErr w:type="gramEnd"/>
      <w:r>
        <w:t xml:space="preserve"> styrkje borgarane sine rettar, men også å gjere etterleving og administrasjon enklare for dei som handsamar perso</w:t>
      </w:r>
      <w:r>
        <w:t>n</w:t>
      </w:r>
      <w:r>
        <w:t>opplysingar. Dette kan i sin tur ha positiv innverknad på personvernet til borgarane.</w:t>
      </w:r>
    </w:p>
    <w:p w:rsidR="00D30C4D" w:rsidRDefault="00B964E1" w:rsidP="00020FC3">
      <w:r>
        <w:t>Samarbeidet mellom europeiske personvern- og forbrukarstyresmakter har auka dei seinare åra. Datatilsynet og Forbrukartilsynet har vore sentrale aktørar i arbeidet med å starte dette sa</w:t>
      </w:r>
      <w:r>
        <w:t>m</w:t>
      </w:r>
      <w:r>
        <w:t>arbeidet på europeisk nivå. Tilsyna har samarbeidd tett for å finne ut korleis forbrukarver</w:t>
      </w:r>
      <w:r>
        <w:t>n</w:t>
      </w:r>
      <w:r>
        <w:t xml:space="preserve">reglane og personvernreglane utfyller kvarandre. Målet har vore </w:t>
      </w:r>
      <w:proofErr w:type="gramStart"/>
      <w:r>
        <w:t>å</w:t>
      </w:r>
      <w:proofErr w:type="gramEnd"/>
      <w:r>
        <w:t xml:space="preserve"> kartleggje kva for lovverk som står nærast og vil vere mest effektivt, både i enkeltsaker og i sakstypar.</w:t>
      </w:r>
    </w:p>
    <w:p w:rsidR="00D30C4D" w:rsidRDefault="00B964E1" w:rsidP="00020FC3">
      <w:r>
        <w:t>Regjeringa meiner det er viktig at Datatilsynet er aktivt i det europeiske samarbeidet innan personvern, og fremjar samarbeid med forbrukarstyresmaktene nasjonalt og internasjonalt for å finne gode løysingar på forbrukarane sine personvernutfordringar.</w:t>
      </w:r>
    </w:p>
    <w:p w:rsidR="00D30C4D" w:rsidRDefault="00B964E1" w:rsidP="00020FC3">
      <w:r>
        <w:t>Dei nye personvernreglane inneber styrkte rettar for forbrukarane samanlikna med dei gamle reglane. Dette kan forklarast kort i fire punkt:</w:t>
      </w:r>
    </w:p>
    <w:p w:rsidR="00D30C4D" w:rsidRDefault="00B964E1" w:rsidP="00020FC3">
      <w:pPr>
        <w:pStyle w:val="friliste"/>
      </w:pPr>
      <w:r>
        <w:t>1.</w:t>
      </w:r>
      <w:r>
        <w:tab/>
        <w:t>Forbrukarane har fått ein meir omfattande rett til informasjon om, og innsyn i, korleis næringsdrivande handsamar personopplysingane deira. Forbrukarane skal forstå kven som handsamar personopplysingane deira, kva personopplysingar som blir handsama, og kva føremål personopplysingane skal brukast til. I tillegg skal forbrukarane få denne inform</w:t>
      </w:r>
      <w:r>
        <w:t>a</w:t>
      </w:r>
      <w:r>
        <w:t>sjonen utan å måtte spørje.</w:t>
      </w:r>
    </w:p>
    <w:p w:rsidR="00D30C4D" w:rsidRDefault="00B964E1" w:rsidP="00020FC3">
      <w:pPr>
        <w:pStyle w:val="friliste"/>
      </w:pPr>
      <w:r>
        <w:t>2.</w:t>
      </w:r>
      <w:r>
        <w:tab/>
        <w:t>Krava til gyldig samtykke i forbrukaravtaler er skjerpa i dei nye reglane. Dette inneber at forbrukarane i prinsippet skal kunne seie nei til å dele personopplysingar, og likevel kunne få tilgang til ei teneste. Føresetnaden er at innsamlinga av personopplysingar ikkje er naudsynt for å yte tenesta.</w:t>
      </w:r>
    </w:p>
    <w:p w:rsidR="00D30C4D" w:rsidRDefault="00B964E1" w:rsidP="00020FC3">
      <w:pPr>
        <w:pStyle w:val="friliste"/>
      </w:pPr>
      <w:r>
        <w:t>3.</w:t>
      </w:r>
      <w:r>
        <w:tab/>
        <w:t xml:space="preserve">Forbrukarane har fått ein ny rett til dataportabilitet. Denne retten inneber at forbrukaren har rett til </w:t>
      </w:r>
      <w:proofErr w:type="gramStart"/>
      <w:r>
        <w:t>å</w:t>
      </w:r>
      <w:proofErr w:type="gramEnd"/>
      <w:r>
        <w:t xml:space="preserve"> krevje utlevert opplysingar om seg sjølv i eit strukturert, vanleg format for å kunne flytte dei til andre tenestetilbydarar.</w:t>
      </w:r>
    </w:p>
    <w:p w:rsidR="00D30C4D" w:rsidRDefault="00B964E1" w:rsidP="00020FC3">
      <w:pPr>
        <w:pStyle w:val="friliste"/>
      </w:pPr>
      <w:r>
        <w:t>4.</w:t>
      </w:r>
      <w:r>
        <w:tab/>
        <w:t>Det blir innført ei ordning med personvernsertifisering der private eller offentlege aktørar kan få sertifisert personvernsegla og -merka sine. Personvernforordninga oppmuntrar dermed til at ein skal oppretthalde merkeordningar for personvern.</w:t>
      </w:r>
    </w:p>
    <w:p w:rsidR="00D30C4D" w:rsidRDefault="00B964E1" w:rsidP="00020FC3">
      <w:r>
        <w:t xml:space="preserve">Dei to </w:t>
      </w:r>
      <w:proofErr w:type="gramStart"/>
      <w:r>
        <w:t>fyrste</w:t>
      </w:r>
      <w:proofErr w:type="gramEnd"/>
      <w:r>
        <w:t xml:space="preserve"> punkta inneber styrking av eksisterande personvernrettar. Dei to siste rettane er heilt nye, og begge ordningane er både konkurranse- og forbrukarrelaterte. Dei legg til rette for at forbrukarane enkelt skal kunne ta med seg personopplysingane sine når dei byter leverandør, i alle fall for ein god del tenester. Det gjer det enklare å skifte tenesteleverandør, og kan skape </w:t>
      </w:r>
      <w:r>
        <w:lastRenderedPageBreak/>
        <w:t>auka forbrukarmobilitet og konkurranse. Samstundes har begge ordningane eit klart perso</w:t>
      </w:r>
      <w:r>
        <w:t>n</w:t>
      </w:r>
      <w:r>
        <w:t>verntilsnitt, då dei også opnar for at godt personvern kan brukast som ledd i marknadsføring. På denne måten kan det å vareta personvernet til kundane skape større konkurranse mellom ti</w:t>
      </w:r>
      <w:r>
        <w:t>l</w:t>
      </w:r>
      <w:r>
        <w:t>bydarane. Nedanfor omtaler vi rettane meir inngåande.</w:t>
      </w:r>
    </w:p>
    <w:p w:rsidR="00D30C4D" w:rsidRDefault="00B964E1" w:rsidP="00020FC3">
      <w:pPr>
        <w:pStyle w:val="Overskrift3"/>
      </w:pPr>
      <w:r>
        <w:t>Større rett til informasjon og innsyn</w:t>
      </w:r>
    </w:p>
    <w:p w:rsidR="00D30C4D" w:rsidRDefault="00B964E1" w:rsidP="00020FC3">
      <w:r>
        <w:t>Artikkel 12 i forordninga gir visse generelle reglar om gjennomføringa av rettane til den r</w:t>
      </w:r>
      <w:r>
        <w:t>e</w:t>
      </w:r>
      <w:r>
        <w:t>gistrerte. Reglane stiller mellom anna krav om forståeleg og lett tilgjengeleg informasjon og kommunikasjon til forbrukaren. Vidare pliktar den handsamingsansvarlege som hovudregel å svare på førespurnader om rettar innan ein månad.</w:t>
      </w:r>
      <w:r>
        <w:rPr>
          <w:vertAlign w:val="superscript"/>
        </w:rPr>
        <w:footnoteReference w:id="35"/>
      </w:r>
    </w:p>
    <w:p w:rsidR="00D30C4D" w:rsidRDefault="00B964E1" w:rsidP="00020FC3">
      <w:r>
        <w:t>Innsyns- og informasjonsrettane er regulerte i artikkel 13 til 15 i personvernforordninga. Kort fortalt inneber desse rettane at forbrukaren har ein rett til å bli informert om kva personoppl</w:t>
      </w:r>
      <w:r>
        <w:t>y</w:t>
      </w:r>
      <w:r>
        <w:t>singar som blir samla inn, korleis dei blir brukte, kor lenge den næringsdrivande vil lagre opplysingane, og om opplysingane kjem til å bli delte med tredjepartar. Dette skal bli formidla til forbrukaren på eit forståeleg språk. Vidare kan forbrukaren be den næringsdrivande om innsyn i personopplysingane sine. Den næringsdrivande vil då ha plikt til å levere ein kopi av alle personopplysingar om denne forbrukaren innan ein månad. Forbrukaren har vidare rett til å be den næringsdrivande om å oppdatere eller slette personopplysingar om seg, eller be om at den næringsdrivande avgrensar bruken av opplysingane til visse føremål. Utvidinga av retten til informasjon og innsyn er viktig for at forbrukarane skal kunne rå over personopplysingane sine.</w:t>
      </w:r>
    </w:p>
    <w:p w:rsidR="00D30C4D" w:rsidRDefault="00B964E1" w:rsidP="00020FC3">
      <w:pPr>
        <w:pStyle w:val="tittel-ramme"/>
      </w:pPr>
      <w:r>
        <w:t>Slettmeg.no</w:t>
      </w:r>
    </w:p>
    <w:p w:rsidR="00D30C4D" w:rsidRDefault="00B964E1" w:rsidP="00020FC3">
      <w:r>
        <w:t>I nokre tilfelle kan du krevje at personopplysingar om deg blir sletta. Dette blir også kalla «retten til å bli gløymd». Slettmeg.no er ei gratis råd- og rettleiingsteneste for deg som føler deg krenkt på nettet. På denne nettsida kan ein mellom anna finne oppdaterte rettleiingar og råd for korleis ein skal gå fram for å fjerne krenkjande eller uønskt innhald frå nettet. Tenesta gir mellom anna råd om korleis ein kan slette profilen sin på sosiale medium, eller korleis ein kan slette eit treff frå ein søkjemotor. Ein kan kontakte slettmeg.no via e-post, sosiale medium, telefon eller kontaktskjema på nettsidene.</w:t>
      </w:r>
    </w:p>
    <w:p w:rsidR="00D30C4D" w:rsidRDefault="00B964E1">
      <w:pPr>
        <w:pStyle w:val="Ramme-slutt"/>
        <w:rPr>
          <w:sz w:val="26"/>
          <w:szCs w:val="26"/>
        </w:rPr>
      </w:pPr>
      <w:r>
        <w:rPr>
          <w:sz w:val="26"/>
          <w:szCs w:val="26"/>
        </w:rPr>
        <w:t>[Boks slutt]</w:t>
      </w:r>
    </w:p>
    <w:p w:rsidR="00D30C4D" w:rsidRDefault="00B964E1" w:rsidP="00020FC3">
      <w:pPr>
        <w:pStyle w:val="Overskrift3"/>
      </w:pPr>
      <w:r>
        <w:t>Skjerpte krav til samtykke ved inngåing av forbrukaravtaler</w:t>
      </w:r>
    </w:p>
    <w:p w:rsidR="00D30C4D" w:rsidRDefault="00B964E1" w:rsidP="00020FC3">
      <w:r>
        <w:t>Som tidlegare omtalt inneber mange forbrukaravtaler på nettet at den næringsdrivande får rett til å bruke forbrukaren sine personopplysingar. Det rettslege grunnlaget for handsaming av personopplysingane vil i desse tilfella vere samtykke i samsvar med personvernforordninga.</w:t>
      </w:r>
      <w:r>
        <w:rPr>
          <w:vertAlign w:val="superscript"/>
        </w:rPr>
        <w:footnoteReference w:id="36"/>
      </w:r>
      <w:r>
        <w:t xml:space="preserve"> </w:t>
      </w:r>
      <w:r>
        <w:lastRenderedPageBreak/>
        <w:t>Så lenge forbrukaren har samtykt til bruken av personopplysingane, kan seljaren bruke dei i tråd med samtykket.</w:t>
      </w:r>
    </w:p>
    <w:p w:rsidR="00D30C4D" w:rsidRDefault="00B964E1" w:rsidP="00020FC3">
      <w:r>
        <w:t>Personvernforordninga set strenge vilkår for kva eit gyldig samtykke inneber. Samtykket må vere ei frivillig, spesifikk, informert og utvitydig viljeytring frå den registrerte.</w:t>
      </w:r>
      <w:r>
        <w:rPr>
          <w:vertAlign w:val="superscript"/>
        </w:rPr>
        <w:footnoteReference w:id="37"/>
      </w:r>
      <w:r>
        <w:t xml:space="preserve"> Artikkel 7 i personvernforordninga stiller ei rekkje vilkår for korleis ein kan innhente samtykke. Desse må vere oppfylte for at ein skal kunne bruke samtykket som rettsleg grunnlag for handsaming av personopplysingar. Ein kan seie at forordningskrava til samtykke set grenser for kor «van</w:t>
      </w:r>
      <w:r>
        <w:t>s</w:t>
      </w:r>
      <w:r>
        <w:t>keleg» ei avtale kan vere å forstå. Tenesteytaren må informere forbrukarane på ein slik måte at det er enkelt for dei å forstå kva dei samtykkjer til. Dersom vilkår er «gøymde» i ein lang og komplisert tekst, vil ikkje kravet om gyldig samtykke vere oppfylt. Dette er ein viktig forbr</w:t>
      </w:r>
      <w:r>
        <w:t>u</w:t>
      </w:r>
      <w:r>
        <w:t>karrett.</w:t>
      </w:r>
    </w:p>
    <w:p w:rsidR="00D30C4D" w:rsidRDefault="00B964E1" w:rsidP="00020FC3">
      <w:r>
        <w:t xml:space="preserve">Den nye personvernforordninga inneheld også strengare krav til kva eit «frivillig samtykke» faktisk inneber. I fortala punkt 42 heiter det at «samtykket skal ikke anses som frivillig dersom den </w:t>
      </w:r>
      <w:proofErr w:type="gramStart"/>
      <w:r>
        <w:t>registrerte ikke</w:t>
      </w:r>
      <w:proofErr w:type="gramEnd"/>
      <w:r>
        <w:t xml:space="preserve"> har en reell valgfrihet». Dei nærare grensene for omfanget av denne in</w:t>
      </w:r>
      <w:r>
        <w:t>n</w:t>
      </w:r>
      <w:r>
        <w:t xml:space="preserve">skjerpinga vil måtte bli fastsette i praksis framover. Like fullt er det grunn til å tru at mange digitale tenester i dag vil måtte endre vilkåra sine slik at forbrukaren får høve til </w:t>
      </w:r>
      <w:proofErr w:type="gramStart"/>
      <w:r>
        <w:t>å</w:t>
      </w:r>
      <w:proofErr w:type="gramEnd"/>
      <w:r>
        <w:t xml:space="preserve"> velje bort all handsaming av personopplysingar som ikkje er naudsynt for å yte tenesta.</w:t>
      </w:r>
    </w:p>
    <w:p w:rsidR="00D30C4D" w:rsidRDefault="00B964E1" w:rsidP="00020FC3">
      <w:r>
        <w:t>Eit døme er ein fotoredigeringsapp, som krev tilgang til GPS-lokalisering og som også opplyser om at brukardata vil bli brukte til direkte marknadsføring. Verken GPS-lokalisering eller handsaming av personopplysingar for direkte marknadsføring er naudsynt for å levere fotor</w:t>
      </w:r>
      <w:r>
        <w:t>e</w:t>
      </w:r>
      <w:r>
        <w:t>digeringstenesta. Dersom brukaren ikkje kan bruke appen utan å godta desse avtalevilkåra, er ikkje samtykket gitt frivillig.</w:t>
      </w:r>
    </w:p>
    <w:p w:rsidR="00D30C4D" w:rsidRDefault="00B964E1" w:rsidP="00020FC3">
      <w:r>
        <w:t>Regjeringa er positiv til dei skjerpa krava til samtykke, då desse vil gjere det enklare for fo</w:t>
      </w:r>
      <w:r>
        <w:t>r</w:t>
      </w:r>
      <w:r>
        <w:t>brukarar å vareta eige personvern.</w:t>
      </w:r>
    </w:p>
    <w:p w:rsidR="00D30C4D" w:rsidRDefault="00B964E1" w:rsidP="00020FC3">
      <w:pPr>
        <w:pStyle w:val="Overskrift3"/>
      </w:pPr>
      <w:r>
        <w:t>Forbrukaren skal enkelt kunne flytte opplysingane sine</w:t>
      </w:r>
    </w:p>
    <w:p w:rsidR="00D30C4D" w:rsidRDefault="00B964E1" w:rsidP="00020FC3">
      <w:r>
        <w:t xml:space="preserve">Retten til dataportabilitet er nedfelt i artikkel 20 i personvernforordninga. Dette er ein rett den registrerte har til </w:t>
      </w:r>
      <w:proofErr w:type="gramStart"/>
      <w:r>
        <w:t>å</w:t>
      </w:r>
      <w:proofErr w:type="gramEnd"/>
      <w:r>
        <w:t xml:space="preserve"> krevje å få utlevert opplysingar om seg sjølv i ei strukturert, vanleg og maskinlesbart format for å kunne flytte dei til andre tenestetilbydarar.</w:t>
      </w:r>
    </w:p>
    <w:p w:rsidR="00D30C4D" w:rsidRDefault="00B964E1" w:rsidP="00020FC3">
      <w:r>
        <w:t>Det er i hovudsak opplysingar som forbrukaren sjølv har gitt til den handsamingsansvarlege, som er omfatta av retten til dataportabilitet. Det går likevel fram av ei EU-fråsegn at også opplysingar om den registrerte som er genererte eller samla inn i samband med bruk av ei teneste, er omfatta av dataportabiliteten.</w:t>
      </w:r>
      <w:r>
        <w:rPr>
          <w:vertAlign w:val="superscript"/>
        </w:rPr>
        <w:footnoteReference w:id="38"/>
      </w:r>
      <w:r>
        <w:t xml:space="preserve"> Det inneber til dømes at spelelister i strøymetenester vil vere opplysingar forbrukaren kan krevje utleverte som følgje av retten til dataportabilitet. </w:t>
      </w:r>
      <w:r>
        <w:lastRenderedPageBreak/>
        <w:t>Dette gjer det mykje enklare for forbrukarar å skifte tenestetilbydar utan samstundes å måtte byggje opp kundetilhøvet sitt frå botnen igjen.</w:t>
      </w:r>
    </w:p>
    <w:p w:rsidR="00D30C4D" w:rsidRDefault="00B964E1" w:rsidP="00020FC3">
      <w:r>
        <w:t>Den registrerte kan krevje å få opplysingane utleverte til seg sjølv, slik at han eller ho kan gi opplysingane vidare til ein ny tenestetilbydar. Alternativt kan ein krevje opplysingane overført direkte til ein ny tenestetilbydar, utan sjølv å måtte opptre som mellommann. Den siste metoden vil vere enklare, ettersom han ikkje krev teknisk utstyr eller kompetanse. Retten til å få utlevert opplysingar om seg sjølv gjeld berre der handsaming av personopplysingar er basert på fo</w:t>
      </w:r>
      <w:r>
        <w:t>r</w:t>
      </w:r>
      <w:r>
        <w:t xml:space="preserve">brukaren sitt samtykke, eller der dette er naudsynt for å oppfylle </w:t>
      </w:r>
      <w:proofErr w:type="gramStart"/>
      <w:r>
        <w:t>ei</w:t>
      </w:r>
      <w:proofErr w:type="gramEnd"/>
      <w:r>
        <w:t xml:space="preserve"> avtale med vedkomande. Den registrerte kan ikkje bruke retten til dataportabilitet til å få utlevert opplysingar frå o</w:t>
      </w:r>
      <w:r>
        <w:t>f</w:t>
      </w:r>
      <w:r>
        <w:t>fentlege styresmakter. Med andre ord gjeld denne retten berre i samanhengar der den registrerte opptrer som forbrukar.</w:t>
      </w:r>
    </w:p>
    <w:p w:rsidR="00D30C4D" w:rsidRDefault="00B964E1" w:rsidP="00020FC3">
      <w:r>
        <w:t xml:space="preserve">Ei samanliknbar teneste er retten til nummerportabilitet når ein skiftar tilbydar av teletenester. Dei fleste synest det er lite praktisk </w:t>
      </w:r>
      <w:proofErr w:type="gramStart"/>
      <w:r>
        <w:t>å</w:t>
      </w:r>
      <w:proofErr w:type="gramEnd"/>
      <w:r>
        <w:t xml:space="preserve"> byte telefonnummer. Denne informasjonen har brukaren gjerne delt med svært mange, og det er krevjande </w:t>
      </w:r>
      <w:proofErr w:type="gramStart"/>
      <w:r>
        <w:t>å</w:t>
      </w:r>
      <w:proofErr w:type="gramEnd"/>
      <w:r>
        <w:t xml:space="preserve"> sørgje for at alle kontaktar får oppdatert informasjon dersom ein må byte nummer. Dette kan føre til ein viss innlåsingseffekt ved at forbrukaren vegrar seg mot </w:t>
      </w:r>
      <w:proofErr w:type="gramStart"/>
      <w:r>
        <w:t>å</w:t>
      </w:r>
      <w:proofErr w:type="gramEnd"/>
      <w:r>
        <w:t xml:space="preserve"> byte tilbydar og telefonnummer. Med innføring av nummerpo</w:t>
      </w:r>
      <w:r>
        <w:t>r</w:t>
      </w:r>
      <w:r>
        <w:t>tabilitet måtte ein ikkje lenger byte telefonnummer ved skifte av teletilbydar, og dermed var nummerproblematikken heller ikkje lenger noko konkurransehinder. Tilsvarande vil forbr</w:t>
      </w:r>
      <w:r>
        <w:t>u</w:t>
      </w:r>
      <w:r>
        <w:t>karar framover lettare kunne skifte tilbydar av til dømes strøymetenester, fordi dei kan ta med seg opparbeidd og systematisert informasjon til andre tilbydarar.</w:t>
      </w:r>
    </w:p>
    <w:p w:rsidR="00D30C4D" w:rsidRDefault="00B964E1" w:rsidP="00020FC3">
      <w:r>
        <w:t xml:space="preserve">Ein må sjå retten til dataportabilitet i samanheng med forbrukarvernreglane. For å kunne ta med seg opplysingane sine til ein annan tenestetilbydar må forbrukaren faktisk vere i stand til </w:t>
      </w:r>
      <w:proofErr w:type="gramStart"/>
      <w:r>
        <w:t>å</w:t>
      </w:r>
      <w:proofErr w:type="gramEnd"/>
      <w:r>
        <w:t xml:space="preserve"> byte. Dersom forbrukaren er låst til ein tilbydar av andre grunnar enn at det er vanskeleg å flytte opplysingar, til dømes som følgje av lang bindingstid, vil det vere vanskeleg for forbrukaren å bruke retten til dataportabilitet. Marknadsføringslova stiller krav til at det ikkje blir brukt urimelege innelåsande mekanismar i forbrukaravtaler.</w:t>
      </w:r>
    </w:p>
    <w:p w:rsidR="00D30C4D" w:rsidRDefault="00B964E1" w:rsidP="00020FC3">
      <w:r>
        <w:t xml:space="preserve">Retten til dataportabilitet gjer det enkelt </w:t>
      </w:r>
      <w:proofErr w:type="gramStart"/>
      <w:r>
        <w:t>å</w:t>
      </w:r>
      <w:proofErr w:type="gramEnd"/>
      <w:r>
        <w:t xml:space="preserve"> byte tenestetilbydar dersom ein er misfornøgd med tenesta ein bruker. I ei strøymeteneste for musikk kan til dømes dårleg utval eller høg pris gi grunnlag for misnøye og ønskje om </w:t>
      </w:r>
      <w:proofErr w:type="gramStart"/>
      <w:r>
        <w:t>å</w:t>
      </w:r>
      <w:proofErr w:type="gramEnd"/>
      <w:r>
        <w:t xml:space="preserve"> byte tilbydar. I andre tilfelle kan misnøya vere knytt til manglande varetaking av personvernet i tenesta. Då vil personvern vere utslagsgivande for om brukaren byter tilbydar. Slik sett kan retten til dataportabilitet vere med på </w:t>
      </w:r>
      <w:proofErr w:type="gramStart"/>
      <w:r>
        <w:t>å</w:t>
      </w:r>
      <w:proofErr w:type="gramEnd"/>
      <w:r>
        <w:t xml:space="preserve"> gjere personvern til eit viktigare konkurranseelement.</w:t>
      </w:r>
    </w:p>
    <w:p w:rsidR="00D30C4D" w:rsidRDefault="00B964E1" w:rsidP="00020FC3">
      <w:r>
        <w:t>Regjeringa er positiv til at ivaretaking av personvern blir eit konkurranseelement. Dette kan vere med på å sikre auka etterleving av reglane og betre personvern for forbrukarane.</w:t>
      </w:r>
    </w:p>
    <w:p w:rsidR="00D30C4D" w:rsidRDefault="00B964E1" w:rsidP="00020FC3">
      <w:pPr>
        <w:pStyle w:val="Overskrift3"/>
      </w:pPr>
      <w:r>
        <w:t>Merkeordning for personvern</w:t>
      </w:r>
    </w:p>
    <w:p w:rsidR="00D30C4D" w:rsidRDefault="00B964E1" w:rsidP="00020FC3">
      <w:r>
        <w:t>Personvernforordninga legg til rette for ei ny merkeordning for godt personvern. Forordninga legg opp til at produkt og tenester der det blir handsama personopplysingar, kan bli sertifiserte etter nærare fastsette standardar. Som eit minimum må ein gå ut frå at ein standard minst vil oppfylle krava i forordninga.</w:t>
      </w:r>
    </w:p>
    <w:p w:rsidR="00D30C4D" w:rsidRDefault="00B964E1" w:rsidP="00020FC3">
      <w:r>
        <w:lastRenderedPageBreak/>
        <w:t xml:space="preserve">Sertifisering etter personvernforordninga skal gjerast av eit akkreditert sertifiseringsorgan, eller av tilsynsstyresmakta som er oppretta i samsvar med forordninga. I Noreg er desse organa høvesvis Norsk akkreditering og Datatilsynet. Sertifiseringskriteria skal vere godkjende av tilsynsstyresmakta, eller av Personvernrådet, som er eit organ som er samansett av leiarane for alle dei europeiske datatilsynsstyresmaktene. Kriterium som er godkjende av Personvernrådet, kan leie fram til ei felleseuropeisk sertifiseringsordning. I forordninga blir denne ordninga omtalt som det europeiske personvernseglet. Dersom sertifiseringa skjer i samsvar med slike felleseuropeiske </w:t>
      </w:r>
      <w:proofErr w:type="gramStart"/>
      <w:r>
        <w:t>kriterium</w:t>
      </w:r>
      <w:proofErr w:type="gramEnd"/>
      <w:r>
        <w:t>, vil datahandsamaren eller den handsamingsansvarlege kunne bruke ei kvalitetsmerking som vil vere kjend i heile EU/EØS-området.</w:t>
      </w:r>
    </w:p>
    <w:p w:rsidR="00D30C4D" w:rsidRDefault="00B964E1" w:rsidP="00020FC3">
      <w:r>
        <w:t>Erfaring viser at svært få forbrukarar les lange tekstar med informasjon om korleis perso</w:t>
      </w:r>
      <w:r>
        <w:t>n</w:t>
      </w:r>
      <w:r>
        <w:t>opplysingar blir handsama. Samstundes er stadig fleire opptekne av korleis opplysingane om dei blir samla inn og brukte, og kunnskapen om personvern har auka dei siste åra. Negative hendingar der næringsdrivande har samla inn og handsama personopplysingar langt utover det brukarane har vore kjende med og samtykt til, har vore med på å gi auka merksemd om temaet. Cambridge Analytica-saka i 2017–2018 er eit slikt døme (Boks 6.5).</w:t>
      </w:r>
    </w:p>
    <w:p w:rsidR="00D30C4D" w:rsidRDefault="00B964E1" w:rsidP="00020FC3">
      <w:pPr>
        <w:pStyle w:val="tittel-ramme"/>
      </w:pPr>
      <w:r>
        <w:t>Saka om Facebook og Cambridge Analytica</w:t>
      </w:r>
    </w:p>
    <w:p w:rsidR="00D30C4D" w:rsidRDefault="00B964E1" w:rsidP="00020FC3">
      <w:r>
        <w:t>I mars 2017 avslørte New York Times at Facebook-informasjon som omfattar 50 millionar brukarar, har hamna hos analyseselskapet Cambridge Analytica. Varslaren Christopher Wylie, som fram til 2014 jobba i selskapet, har blitt intervjua om metodikken. Han meiner at den tidlegare arbeidsgivaren hans sit på ei rekkje verkemidlar som kan brukast til å påverke folk. Seinare har ein justert opp talet på brukarar som truleg har blitt ramma, til minst 87 millionar.</w:t>
      </w:r>
    </w:p>
    <w:p w:rsidR="00D30C4D" w:rsidRDefault="00B964E1" w:rsidP="00020FC3">
      <w:r>
        <w:t xml:space="preserve">Selskapet fekk tak i informasjonen via ein app som folk brukte til å teste personlegdommen sin på Facebook. Informasjonen blei brukt under den amerikanske valkampen i 2016 til fordel for den republikanske presidentkandidaten Donald Trump, og før brexit-valet i Storbritannia. Ein kunne bruke materialet til </w:t>
      </w:r>
      <w:proofErr w:type="gramStart"/>
      <w:r>
        <w:t>å</w:t>
      </w:r>
      <w:proofErr w:type="gramEnd"/>
      <w:r>
        <w:t xml:space="preserve"> kartleggje og føreseie politiske synspunkt. På denne måten kunne ein påverke veljarane. Facebook fekk sterk kritikk frå britiske og amerikanske styresmakter for at informasjon om brukarane var lett tilgjengeleg for uvedkomande. Opplysingane blei ikkje stolne, men henta ut ved at brukarane tok quizar og lasta ned appar hos eksterne aktørar. Facebook har blitt klaga inn til datatilsynsstyresmaktene i fleire europeiske land for brot på personvernlovgivinga. </w:t>
      </w:r>
    </w:p>
    <w:p w:rsidR="00D30C4D" w:rsidRDefault="00B964E1">
      <w:pPr>
        <w:pStyle w:val="Ramme-slutt"/>
        <w:rPr>
          <w:sz w:val="26"/>
          <w:szCs w:val="26"/>
        </w:rPr>
      </w:pPr>
      <w:r>
        <w:rPr>
          <w:sz w:val="26"/>
          <w:szCs w:val="26"/>
        </w:rPr>
        <w:t>[Boks slutt]</w:t>
      </w:r>
    </w:p>
    <w:p w:rsidR="00D30C4D" w:rsidRDefault="00B964E1" w:rsidP="00020FC3">
      <w:r>
        <w:t>Ei merkeordning for godt personvern, basert på tydelege kriterium som er lette å etterprøve, vil kunne gjere det lettare for forbrukarane å vurdere om tilbydaren eller produktet er til å stole på. Ei slik ordning kan også vere med på å sikre større openheit om handsaming av personoppl</w:t>
      </w:r>
      <w:r>
        <w:t>y</w:t>
      </w:r>
      <w:r>
        <w:t>singar. Ei merkeordning vil kunne føre til at personvern blir eit konkurransefortrinn, dersom forbrukarane vel tilbydarar og produkt som er sertifiserte. Regjeringa er positiv til utvikling og bruk av ei merkeordning om personvern.</w:t>
      </w:r>
    </w:p>
    <w:p w:rsidR="00D30C4D" w:rsidRDefault="00B964E1" w:rsidP="00020FC3">
      <w:pPr>
        <w:pStyle w:val="Overskrift3"/>
      </w:pPr>
      <w:r>
        <w:lastRenderedPageBreak/>
        <w:t xml:space="preserve">Vegen vidare for </w:t>
      </w:r>
      <w:proofErr w:type="gramStart"/>
      <w:r>
        <w:t>å</w:t>
      </w:r>
      <w:proofErr w:type="gramEnd"/>
      <w:r>
        <w:t xml:space="preserve"> styrkje personvernet til forbrukarane</w:t>
      </w:r>
    </w:p>
    <w:p w:rsidR="00D30C4D" w:rsidRDefault="00B964E1" w:rsidP="00020FC3">
      <w:r>
        <w:t>Personvernforordninga har gitt forbrukarar i Noreg og EU sterkare personvernrettar. Det nye lovverket gjer at Europa ligg eit steg føre mange andre delar av verda, der forbrukarane ikkje har tilsvarande rettar på dette området. Samstundes gjeld reglane for alle næringsdrivande som handsamar personopplysingar om borgarar i EU/EØS-området. Det gjer at reglane har rin</w:t>
      </w:r>
      <w:r>
        <w:t>g</w:t>
      </w:r>
      <w:r>
        <w:t>verknader for næringsdrivande også i andre delar av verda.</w:t>
      </w:r>
    </w:p>
    <w:p w:rsidR="00D30C4D" w:rsidRDefault="00B964E1" w:rsidP="00020FC3">
      <w:r>
        <w:t>Personvernregelverket er framleis relativt nytt. Det vil derfor truleg ta noko tid før det blir godt innarbeidd hos folk. Førebels er det svært få forbrukarar (9 prosent, ifølgje SIFO) som har sett seg inn i reglane.</w:t>
      </w:r>
      <w:r>
        <w:rPr>
          <w:vertAlign w:val="superscript"/>
        </w:rPr>
        <w:footnoteReference w:id="39"/>
      </w:r>
      <w:r>
        <w:t xml:space="preserve"> Resultata tilseier at det kan vere naudsynt å heve kunnskapen om kva dei nye rettane inneber. Rapportar frå forbrukarorganisasjonar i Noreg og Europa tyder på at det også er naudsynt å auke etterlevinga og forståinga av personvernreglane hos næringsdrivande.</w:t>
      </w:r>
    </w:p>
    <w:p w:rsidR="00D30C4D" w:rsidRDefault="00B964E1" w:rsidP="00020FC3">
      <w:r>
        <w:t xml:space="preserve">Regjeringa vil arbeide for </w:t>
      </w:r>
      <w:proofErr w:type="gramStart"/>
      <w:r>
        <w:t>å</w:t>
      </w:r>
      <w:proofErr w:type="gramEnd"/>
      <w:r>
        <w:t xml:space="preserve"> styrkje kunnskapen om personvernreglane hos forbrukarar og næringsdrivande. Det er også viktig at ein handhevar rettane etter personvernreglane, for </w:t>
      </w:r>
      <w:proofErr w:type="gramStart"/>
      <w:r>
        <w:t>å</w:t>
      </w:r>
      <w:proofErr w:type="gramEnd"/>
      <w:r>
        <w:t xml:space="preserve"> vere sikre på at næringsdrivande følgjer regelverket. Regjeringa vil derfor vurdere om ein bør styrkje arbeidet med personvern på forbrukarområdet, slik at det blir enklare å handheve personver</w:t>
      </w:r>
      <w:r>
        <w:t>n</w:t>
      </w:r>
      <w:r>
        <w:t>regelverket i forbrukarsaker.</w:t>
      </w:r>
    </w:p>
    <w:p w:rsidR="00D30C4D" w:rsidRDefault="00B964E1" w:rsidP="00020FC3">
      <w:r>
        <w:t>Regjeringa ønskjer ei utvikling der forbrukarane i større grad kan velje personvernvennlege alternativ, og der personvern blir eit konkurranseelement. Innføringa av det nye personver</w:t>
      </w:r>
      <w:r>
        <w:t>n</w:t>
      </w:r>
      <w:r>
        <w:t>regelverket kan føre til at næringsdrivande i større grad konkurrerer på godt personvern.</w:t>
      </w:r>
    </w:p>
    <w:p w:rsidR="00D30C4D" w:rsidRDefault="00B964E1" w:rsidP="00020FC3">
      <w:pPr>
        <w:pStyle w:val="Overskrift2"/>
      </w:pPr>
      <w:r>
        <w:t>IKT-tryggleik i tilkopla produkt</w:t>
      </w:r>
    </w:p>
    <w:p w:rsidR="00D30C4D" w:rsidRDefault="00B964E1" w:rsidP="00020FC3">
      <w:r>
        <w:t>Dei siste åra har ei rekkje tilkopla forbrukarprodukt blitt lanserte på den norske marknaden. I tillegg til at dei er kopla til nettet, samlar slike produkt inn personopplysingar om forbrukarane. Når produkt og tenester samlar inn personopplysingar, er god IKT-tryggleik avgjerande for eit godt personvern. Regjeringa legg vekt på at ein skal kunne bruke produkt som blir kopla til nett, utan at ein må vere redd for at personopplysingar skal bli misbrukte. God tryggleik er òg ein føresetnad for at produkta skal fungere som venta. Det er ingen tvil om at dette er eit område der utviklinga går fort. Samstundes er det viktig å løyse tryggleiksutfordringar tidleg dersom ein skal lukkast med å skape ei positiv utvikling på området.</w:t>
      </w:r>
    </w:p>
    <w:p w:rsidR="00D30C4D" w:rsidRDefault="00B964E1" w:rsidP="00020FC3">
      <w:pPr>
        <w:pStyle w:val="Overskrift3"/>
      </w:pPr>
      <w:r>
        <w:t>Moglegheiter ved tilkopla forbrukarprodukt</w:t>
      </w:r>
    </w:p>
    <w:p w:rsidR="00D30C4D" w:rsidRDefault="00B964E1" w:rsidP="00020FC3">
      <w:r>
        <w:t xml:space="preserve">Fysiske produkt blir i aukande grad utstyrte med innebygd internettilkopling. Dette gjer at ting som termostatar, joggesko, bilar og tv-ar får sensorar og netttilkopling. «Tinga sitt internett» er nettverket av identifiserbare gjenstandar som er utstyrte med elektronikk, programvare og sensorar som gjer gjenstandane i stand til å kople seg til kvarandre og utveksle data. Produkta </w:t>
      </w:r>
      <w:r>
        <w:lastRenderedPageBreak/>
        <w:t>kan automatisk samle inn, tolke og dele informasjon om til dømes kva tid du står opp, kor fort du køyrer til jobben, kor ofte du trenar, og kva du ser på tv.</w:t>
      </w:r>
      <w:r>
        <w:rPr>
          <w:vertAlign w:val="superscript"/>
        </w:rPr>
        <w:footnoteReference w:id="40"/>
      </w:r>
    </w:p>
    <w:p w:rsidR="00D30C4D" w:rsidRDefault="00B964E1" w:rsidP="00020FC3">
      <w:r>
        <w:t>Tilkopla produkt gir store moglegheiter og forenklar dei daglege aktivitetane og rutinane til forbrukarane. Forbrukarar kan til dømes bli meir medvitne om den daglege fysiske aktiviteten sin, spare straum eller fjernstyre ulike funksjonar med slike nettilkopla produkt. Smar</w:t>
      </w:r>
      <w:r>
        <w:t>t</w:t>
      </w:r>
      <w:r>
        <w:t>hus-teknologi gjer det til dømes mogleg med intelligent styring av varme og lys, og på sikt fjernstyring av det meste av elektrisk utstyr vi har rundt oss. Dette gir forbrukarane moglegheit til å styre eller overvake bustaden frå mobiltelefonen.</w:t>
      </w:r>
    </w:p>
    <w:p w:rsidR="00D30C4D" w:rsidRDefault="00B964E1" w:rsidP="00020FC3">
      <w:r>
        <w:t>Det ligg også moglegheiter innanfor medisinsk overvaking og behandling ved bruk av tilkopla forbrukarprodukt. Hjarte-, lunge- og diabetespasientar kan til dømes dra nytte av slikt utstyr og truleg på sikt kunne få eigentilpassa assistanse frå avanserte informasjonsdatabasar eller m</w:t>
      </w:r>
      <w:r>
        <w:t>e</w:t>
      </w:r>
      <w:r>
        <w:t>disinsk ekspertise.</w:t>
      </w:r>
    </w:p>
    <w:p w:rsidR="00D30C4D" w:rsidRDefault="00B964E1" w:rsidP="00020FC3">
      <w:r>
        <w:t>Tilkopla produkt og smarthusløysingar er allereie utbreidd i Noreg. SIFO kartla i 2017 kva for tilkopla produkt forbrukarar har i husstanden. Dei tilkopla produkta som flest hadde i hu</w:t>
      </w:r>
      <w:r>
        <w:t>s</w:t>
      </w:r>
      <w:r>
        <w:t>standen, var tilkopla bilar (28 prosent), treningsarmband (23 prosent), smart kjøleskap eller frysar (21 prosent), smartklokke (16 prosent), baderomsvekt (16 prosent), garasjeport (15 prosent), kjæledyr med chip for identifisering (14 prosent), leiketøy (13 prosent), varmestyring (10 prosent), styring av lys (9 prosent), straumstyring (8 prosent) og støvsugarrobot (7 pr</w:t>
      </w:r>
      <w:r>
        <w:t>o</w:t>
      </w:r>
      <w:r>
        <w:t>sent).</w:t>
      </w:r>
      <w:r>
        <w:rPr>
          <w:vertAlign w:val="superscript"/>
        </w:rPr>
        <w:footnoteReference w:id="41"/>
      </w:r>
    </w:p>
    <w:p w:rsidR="00D30C4D" w:rsidRDefault="00B964E1" w:rsidP="00020FC3">
      <w:pPr>
        <w:pStyle w:val="Overskrift3"/>
      </w:pPr>
      <w:r>
        <w:t>Tryggleiksutfordringar</w:t>
      </w:r>
    </w:p>
    <w:p w:rsidR="00D30C4D" w:rsidRDefault="00B964E1" w:rsidP="00020FC3">
      <w:r>
        <w:t>Produkt som kjem på marknaden, skal vere sikre og ikkje utgjere ein fare for helse og miljø eller materielle verdiar. Produsentane, og dei som sel produkta, er ansvarlege for at produkta er sikre og i tråd med regelverket. For eit produkt som har innebygd programvare som saman med elektronikk eller anna «handfast» utforming utgjer produktet, er det heilskapen av produktet som til kvar tid skal vere sikker. Derfor må produsenten stå inne for tryggleiken til produktet, inkludert programvara som styrer det.</w:t>
      </w:r>
    </w:p>
    <w:p w:rsidR="00D30C4D" w:rsidRDefault="00B964E1" w:rsidP="00020FC3">
      <w:pPr>
        <w:pStyle w:val="tittel-ramme"/>
      </w:pPr>
      <w:r>
        <w:t>Cayla og i-Que</w:t>
      </w:r>
    </w:p>
    <w:p w:rsidR="00D30C4D" w:rsidRDefault="00B964E1" w:rsidP="00020FC3">
      <w:r>
        <w:t>I desember 2016 la Forbrukarrådet fram ei undersøking av dokka Cayla og roboten i-Que. Undersøkinga viste at leikene var utstyrte med billege Bluetooth-brikker som gjorde at alle i nærleiken kunne kople seg på, utan noka form for tryggleiksverifisering. Dermed kunne uvedkomande lytte eller kommunisere med barn gjennom leikene. Forbrukarorganisasjonar i Storbritannia, Belgia, Tyskland og Spania har gjort tilsvarande funn i liknande undersøkingar av nettilkopla leiker. Undersøkinga frå Forbrukarrådet fekk store konsekvensar. Butikklev</w:t>
      </w:r>
      <w:r>
        <w:t>e</w:t>
      </w:r>
      <w:r>
        <w:lastRenderedPageBreak/>
        <w:t>randørar i fleire land trekte produkta frå marknaden i kjølvatnet av undersøkinga. I Tyskland blei dokka Cayla forboden etter spionlovgivinga i landet, og styresmaktene påla foreldre å destruere henne.</w:t>
      </w:r>
    </w:p>
    <w:p w:rsidR="00D30C4D" w:rsidRDefault="00B964E1">
      <w:pPr>
        <w:pStyle w:val="Ramme-slutt"/>
        <w:rPr>
          <w:sz w:val="26"/>
          <w:szCs w:val="26"/>
        </w:rPr>
      </w:pPr>
      <w:r>
        <w:rPr>
          <w:sz w:val="26"/>
          <w:szCs w:val="26"/>
        </w:rPr>
        <w:t>[Boks slutt]</w:t>
      </w:r>
    </w:p>
    <w:p w:rsidR="00D30C4D" w:rsidRDefault="00B964E1" w:rsidP="00020FC3">
      <w:r>
        <w:t>Men det er mange utfordringar. Auken i talet på tilkopla produkt i samfunnet inneber fleire sårbarheiter som hackarar kan utnytte. Dersom brukaren til dømes lastar ned programvare frå ein tredjepart (som produsenten ikkje har akseptert), er det ikkje sikkert at det er trygt å bruke produktet. Produkta kan også bli sårbare dersom datakommunikasjonen ikkje fungerer, eller dersom nettstaden (skyteneste eller liknande) ikkje er operativ. I tillegg kan produkta vere sårbare for overvaking og hacking. Manglar i IKT-tryggleik i tilkopla produkt kan gjere at forbrukarar blir utsette for identitetstjuveri, manipulasjon eller svindel.</w:t>
      </w:r>
    </w:p>
    <w:p w:rsidR="00D30C4D" w:rsidRDefault="00B964E1" w:rsidP="00020FC3">
      <w:pPr>
        <w:pStyle w:val="tittel-ramme"/>
      </w:pPr>
      <w:r>
        <w:t>Undersøking av GPS-klokker</w:t>
      </w:r>
    </w:p>
    <w:p w:rsidR="00D30C4D" w:rsidRDefault="00B964E1" w:rsidP="00020FC3">
      <w:r>
        <w:t>I oktober 2017 la Forbrukarrådet fram ei undersøking av tre GPS-klokker for barn. Klokkene var tilgjengelege på den norske marknaden.</w:t>
      </w:r>
      <w:r>
        <w:rPr>
          <w:rStyle w:val="skrift-hevet"/>
          <w:sz w:val="21"/>
          <w:szCs w:val="21"/>
        </w:rPr>
        <w:t>1</w:t>
      </w:r>
      <w:r>
        <w:t xml:space="preserve"> Klokkene er tilkopla produkt, og føremålet med dei er at foreldre skal kunne kommunisere med barna og spore kvar dei er. Undersøkinga frå Forbrukarrådet viste at både klokkene og dei tilhøyrande mobilappane mangla grunnleggjande tryggleiksfunksjonar. Uvedkomande kunne ta kontroll over klokkene for å spore eller ko</w:t>
      </w:r>
      <w:r>
        <w:t>m</w:t>
      </w:r>
      <w:r>
        <w:t>munisere med barna. To av klokkene gjorde det også mogleg for uvedkomande å avlytte barna. Forbrukarrådet klaga dei tre GPS-klokkene inn til Forbrukartilsynet og Datatilsynet for brot på høvesvis marknadsføringslova og personopplysingslova.</w:t>
      </w:r>
    </w:p>
    <w:p w:rsidR="00D30C4D" w:rsidRDefault="00B964E1" w:rsidP="00020FC3">
      <w:r>
        <w:t>I desember 2017 gav Datatilsynet leverandørane av dei tre GPS-klokkene pålegg om å stanse all handsaming av personopplysingar om kundane sine, då dei ikkje hadde sikra god nok info</w:t>
      </w:r>
      <w:r>
        <w:t>r</w:t>
      </w:r>
      <w:r>
        <w:t>masjonstryggleik i klokkene. Tilsynet oppfordra samstundes forbrukarane til å kontakte ti</w:t>
      </w:r>
      <w:r>
        <w:t>l</w:t>
      </w:r>
      <w:r>
        <w:t xml:space="preserve">bydarane for å heve kjøpet. Forbrukartilsynet kalla inn alle tre leverandørane til eit møte og oppretta sak mot dei, på bakgrunn av brot på </w:t>
      </w:r>
      <w:r>
        <w:rPr>
          <w:spacing w:val="-1"/>
        </w:rPr>
        <w:t>marknadsføringslova. Forbrukartilsynet avslutta</w:t>
      </w:r>
      <w:r>
        <w:t xml:space="preserve"> den siste saka mot to av leverandørane i juni 2018 etter å ha pålagt dei å gjennomføre vesentlege endringar i marknadsføringa og vilkåra til klokkene.</w:t>
      </w:r>
    </w:p>
    <w:p w:rsidR="00D30C4D" w:rsidRDefault="00B964E1" w:rsidP="00020FC3">
      <w:r>
        <w:rPr>
          <w:spacing w:val="-4"/>
        </w:rPr>
        <w:t>Nasjonal kommunikasjonsmyndigheit (Nkom)</w:t>
      </w:r>
      <w:r>
        <w:t xml:space="preserve"> gjennomførte parallelt ein marknadskontroll av 18 smartklokker for barn på den norske marknaden, etter krava i radioutstyrsforskrifta. Nkom konkluderte med at ingen av klokkene oppfylte krava for å kunne seljast i Noreg. I ettertid har Nkom følgt opp funna overfor dei enkelte tilbydarane, med krav om å rette opp i avvika dersom dei ønskjer </w:t>
      </w:r>
      <w:proofErr w:type="gramStart"/>
      <w:r>
        <w:t>å</w:t>
      </w:r>
      <w:proofErr w:type="gramEnd"/>
      <w:r>
        <w:t xml:space="preserve"> halde fram med å selje klokkene på den norske marknaden.</w:t>
      </w:r>
    </w:p>
    <w:p w:rsidR="00D30C4D" w:rsidRDefault="00B964E1" w:rsidP="00020FC3">
      <w:pPr>
        <w:pStyle w:val="ramme-noter"/>
      </w:pPr>
      <w:r>
        <w:rPr>
          <w:rStyle w:val="skrift-hevet"/>
          <w:sz w:val="17"/>
          <w:szCs w:val="17"/>
        </w:rPr>
        <w:t>1</w:t>
      </w:r>
      <w:r>
        <w:tab/>
        <w:t xml:space="preserve">Forbrukarrådet, </w:t>
      </w:r>
      <w:r>
        <w:rPr>
          <w:rStyle w:val="kursiv"/>
          <w:sz w:val="17"/>
          <w:szCs w:val="17"/>
        </w:rPr>
        <w:t>#WatchOut – Analysis of smartwatches for children</w:t>
      </w:r>
      <w:r>
        <w:t>, 2017.</w:t>
      </w:r>
    </w:p>
    <w:p w:rsidR="00D30C4D" w:rsidRDefault="00B964E1">
      <w:pPr>
        <w:pStyle w:val="Ramme-slutt"/>
        <w:rPr>
          <w:sz w:val="26"/>
          <w:szCs w:val="26"/>
        </w:rPr>
      </w:pPr>
      <w:r>
        <w:rPr>
          <w:sz w:val="26"/>
          <w:szCs w:val="26"/>
        </w:rPr>
        <w:t>[Boks slutt]</w:t>
      </w:r>
    </w:p>
    <w:p w:rsidR="00D30C4D" w:rsidRDefault="00B964E1" w:rsidP="00020FC3">
      <w:r>
        <w:t>Undersøkingar utført av både Forbrukarrådet og av fleire europeiske forbrukarorganisasjonar har vist at personvernet og IKT-tryggleiken ofte ikkje er godt nok sikra i tilkopla produkt. Ifølgje dei europeiske forbrukarorganisasjonane BEUC og ANEC blir mange produkt som er tilgjengelege på den europeiske marknaden, produserte utan grunnleggjande tryggleiksfun</w:t>
      </w:r>
      <w:r>
        <w:t>k</w:t>
      </w:r>
      <w:r>
        <w:lastRenderedPageBreak/>
        <w:t>sjonar i programvara.</w:t>
      </w:r>
      <w:r>
        <w:rPr>
          <w:vertAlign w:val="superscript"/>
        </w:rPr>
        <w:footnoteReference w:id="42"/>
      </w:r>
      <w:r>
        <w:t xml:space="preserve"> Ei utfordring er at marknaden for slike produkt er uoversiktleg. I tillegg finst det få retningslinjer. Mange importerte produkt, til dømes frå Kina, har ikkje god nok IKT-tryggleik. Desse produkta er derfor svært sårbare og lette </w:t>
      </w:r>
      <w:proofErr w:type="gramStart"/>
      <w:r>
        <w:t>å</w:t>
      </w:r>
      <w:proofErr w:type="gramEnd"/>
      <w:r>
        <w:t xml:space="preserve"> hacke.</w:t>
      </w:r>
      <w:r>
        <w:rPr>
          <w:vertAlign w:val="superscript"/>
        </w:rPr>
        <w:footnoteReference w:id="43"/>
      </w:r>
      <w:r>
        <w:t xml:space="preserve"> Ein rapport frå Consumers International hevdar at næringsdrivande i iveren etter å få dei tilkopla produkta ut på marknaden, har nedprioritert forbrukarvern og tryggleik.</w:t>
      </w:r>
      <w:r>
        <w:rPr>
          <w:vertAlign w:val="superscript"/>
        </w:rPr>
        <w:footnoteReference w:id="44"/>
      </w:r>
    </w:p>
    <w:p w:rsidR="00D30C4D" w:rsidRDefault="00B964E1" w:rsidP="00020FC3">
      <w:r>
        <w:t>Det er ikkje rimeleg å forvente at den jamne forbrukaren har spesialisert teknisk kunnskap om korleis ein kan sikre kvart enkelt nettilkopla produkt mot inntrengarar. IKT-tryggleiksutvalet som regjeringa peikte ut, konkluderte med at ein i større grad bør flytte ansvaret for IKT-tryggleik frå forbrukaren til produsentane og leverandørane. Dersom ein gjer seg avhengig av denne typen teknologi, er det samstundes viktig å forstå at ein også gjer seg svært sårbar for både ustabil straumforsyning og ustabile datanett. Spesielt har dette vore trekt fram med tanke på bruk av nettilkopla produkt innanfor medisinsk behandling og overvaking.</w:t>
      </w:r>
    </w:p>
    <w:p w:rsidR="00D30C4D" w:rsidRDefault="00B964E1" w:rsidP="00020FC3">
      <w:pPr>
        <w:pStyle w:val="Overskrift3"/>
      </w:pPr>
      <w:r>
        <w:t>Regelverk og handheving</w:t>
      </w:r>
    </w:p>
    <w:p w:rsidR="00D30C4D" w:rsidRDefault="00B964E1" w:rsidP="00020FC3">
      <w:r>
        <w:t>I dag er tryggleikskrava til tilkopla produkt regulerte gjennom ulike regelverk, som igjen blir følgde opp av ei rekkje ulike styresmakter. Produktkontrollova set krav til at produkt skal vere sikre og ikkje utgjere ein fare for helseskade eller miljøforstyrring. Lova gjeld alle produkt og produkttypar som ikkje er underlagde eit særskilt sektorregelverk, og ho blir forvalta av D</w:t>
      </w:r>
      <w:r>
        <w:t>i</w:t>
      </w:r>
      <w:r>
        <w:t>rektoratet for samfunnstryggleik og beredskap (DSB) og Miljødirektoratet. Produktkontrollova og dei fleste særregelverka regulerer likevel ikkje IKT-tryggleik ved tilkopla produkt. Elek</w:t>
      </w:r>
      <w:r>
        <w:t>t</w:t>
      </w:r>
      <w:r>
        <w:t>riske produkt som er tilkopla internett og ikkje er omfatta av særregelverk, til dømes leiketøy og elektromedisinsk utstyr, er regulerte av ekomlova og blir forvalta av Nkom. Datatilsynet fører tilsyn med personopplysingslova, som stiller krav til IKT-tryggleik ved handsaming av pe</w:t>
      </w:r>
      <w:r>
        <w:t>r</w:t>
      </w:r>
      <w:r>
        <w:t>sonopplysingar.</w:t>
      </w:r>
    </w:p>
    <w:p w:rsidR="00D30C4D" w:rsidRDefault="00B964E1" w:rsidP="00020FC3">
      <w:r>
        <w:t>Når regelverket som varetek tilkopla produkt, er spreidd på fleire lovverk og styresmakter, er det ein risiko for at enkelte saker fell mellom to stolar. Derfor er det viktig med ein samordna innsats frå styresmaktene. IKT-tryggleiksutvalet, som la fram utgreiinga si i desember 2018, tilrådde eit tettare samarbeid mellom tilsyna på området.</w:t>
      </w:r>
      <w:r>
        <w:rPr>
          <w:vertAlign w:val="superscript"/>
        </w:rPr>
        <w:footnoteReference w:id="45"/>
      </w:r>
    </w:p>
    <w:p w:rsidR="00D30C4D" w:rsidRDefault="00B964E1" w:rsidP="00020FC3">
      <w:r>
        <w:t xml:space="preserve">IKT-tryggleiksutvalet slo også fast at norske styresmakter ikkje har heimel i regelverket til å kalle tilbake produkt som følgje av manglande IKT-tryggleik, slik til dømes DSB kan kalle </w:t>
      </w:r>
      <w:r>
        <w:lastRenderedPageBreak/>
        <w:t>tilbake produkt på grunn av brannfare. Utvalet meinte også at det var uklart om ein forbrukar kan krevje å heve eit kjøp dersom produktet ikkje har god nok IKT-tryggleik. Utvalet kon</w:t>
      </w:r>
      <w:r>
        <w:t>k</w:t>
      </w:r>
      <w:r>
        <w:t>luderte med at det totalt sett kan sjå ut til at dagens regelverk gir svake insentiv til å produsere og selje forbrukarprodukt med god nok IKT-tryggleik.</w:t>
      </w:r>
    </w:p>
    <w:p w:rsidR="00D30C4D" w:rsidRDefault="00B964E1" w:rsidP="00020FC3">
      <w:pPr>
        <w:pStyle w:val="Overskrift3"/>
      </w:pPr>
      <w:r>
        <w:t xml:space="preserve">Vegen vidare for </w:t>
      </w:r>
      <w:proofErr w:type="gramStart"/>
      <w:r>
        <w:t>å</w:t>
      </w:r>
      <w:proofErr w:type="gramEnd"/>
      <w:r>
        <w:t xml:space="preserve"> styrkje IKT-tryggleiken</w:t>
      </w:r>
    </w:p>
    <w:p w:rsidR="00D30C4D" w:rsidRDefault="00B964E1" w:rsidP="00020FC3">
      <w:r>
        <w:t xml:space="preserve">Forbrukarrådet har kartlagt utfordringar ved tilkopla forbrukarprodukt. IKT-tryggleiksutvalet har vidare komme med tilrådingar om korleis styresmaktene best bør arbeide vidare for </w:t>
      </w:r>
      <w:proofErr w:type="gramStart"/>
      <w:r>
        <w:t>å</w:t>
      </w:r>
      <w:proofErr w:type="gramEnd"/>
      <w:r>
        <w:t xml:space="preserve"> styrkje IKT-tryggleiken i tilkopla produkt. Regjeringa vil framover arbeide for </w:t>
      </w:r>
      <w:proofErr w:type="gramStart"/>
      <w:r>
        <w:t>å</w:t>
      </w:r>
      <w:proofErr w:type="gramEnd"/>
      <w:r>
        <w:t xml:space="preserve"> styrkje IKT-tryggleiken i tilkopla produkt på tinga sitt internett. Dette vil skje på fleire måtar.</w:t>
      </w:r>
    </w:p>
    <w:p w:rsidR="00D30C4D" w:rsidRDefault="00B964E1" w:rsidP="00020FC3">
      <w:r>
        <w:t>Når det gjeld moglege endringar i regelverket, vil regjeringa prioritere internasjonalt arbeid, særleg overfor EU. Det meste av regelverket som regulerer tryggleikskrav til produkt og utstyr, er basert på felleseuropeiske reglar. Forbrukarorganisasjonar i Noreg og Europa påpeikar at desse reglane ikkje er tilpassa utviklinga av tinga sitt internett.</w:t>
      </w:r>
      <w:r>
        <w:rPr>
          <w:vertAlign w:val="superscript"/>
        </w:rPr>
        <w:footnoteReference w:id="46"/>
      </w:r>
      <w:r>
        <w:t xml:space="preserve"> I EU arbeider ein for å utvikle krav og sikre at regelverk og standardar heng med på utviklinga. Regjeringa vil følgje rege</w:t>
      </w:r>
      <w:r>
        <w:t>l</w:t>
      </w:r>
      <w:r>
        <w:t>verksutviklinga i EU tett og vere ein pådrivar for at IKT-tryggleiken i tilkopla produkt skal vere sikra i det nye regelverket.</w:t>
      </w:r>
    </w:p>
    <w:p w:rsidR="00D30C4D" w:rsidRDefault="00B964E1" w:rsidP="00020FC3">
      <w:r>
        <w:t>Regjeringa ser at ein treng eit styrkt samarbeid mellom tilsynsstyresmakter med ansvar for tilkopla produkt.</w:t>
      </w:r>
    </w:p>
    <w:p w:rsidR="00D30C4D" w:rsidRDefault="00B964E1" w:rsidP="00020FC3">
      <w:r>
        <w:t>Utvikling av standardar er viktig for å sikre minstekrav til IKT-tryggleik i tilkopla produkt. Regjeringa meiner at standardisering bør spele ei viktig rolle som ein del av løysinga for å sikre at tilkopla produkt som blir lanserte på den norske marknaden, skal vere trygge for forbruk</w:t>
      </w:r>
      <w:r>
        <w:t>a</w:t>
      </w:r>
      <w:r>
        <w:t xml:space="preserve">rane. Regjeringa meiner også at krav om innebygd tryggleik (security </w:t>
      </w:r>
      <w:proofErr w:type="gramStart"/>
      <w:r>
        <w:t>by</w:t>
      </w:r>
      <w:proofErr w:type="gramEnd"/>
      <w:r>
        <w:t xml:space="preserve"> design) vil vere viktig i det vidare arbeidet med standardisering.</w:t>
      </w:r>
    </w:p>
    <w:p w:rsidR="00D30C4D" w:rsidRDefault="00B964E1" w:rsidP="00020FC3">
      <w:r>
        <w:t>Importørar og forhandlarar i Noreg er ikkje tilstrekkeleg klar over krava til tilkopla produkt som blir lanserte på den norske marknaden. Det viser erfaringa frå sakene om tilkopla leiker og GPS-klokker. Regjeringa vil derfor vurdere om ein må gi importørar og forhandlarar av tilkopla produkt betre rettleiing, slik at ein kan redusere risikoen for at produkt med manglande IKT-tryggleik endar opp på forbrukarmarknaden.</w:t>
      </w:r>
    </w:p>
    <w:p w:rsidR="00D30C4D" w:rsidRDefault="00B964E1" w:rsidP="00020FC3">
      <w:pPr>
        <w:pStyle w:val="Overskrift2"/>
      </w:pPr>
      <w:r>
        <w:t>Konkurranse i digitale marknader</w:t>
      </w:r>
    </w:p>
    <w:p w:rsidR="00D30C4D" w:rsidRDefault="00B964E1" w:rsidP="00020FC3">
      <w:r>
        <w:t>Digitaliseringa har positive effektar på konkurransen i mange marknader. Dette gir gevinstar for forbrukarane i form av nye tenester og produkt. Døme på tenester som forbrukaren nyt godt av, er digitale plattformer, delingstenester og nettbaserte marknadsplassar. Samstundes er det fare for at digitaliseringa kan føre til marknadskonsenstrasjon og negative effektar på konku</w:t>
      </w:r>
      <w:r>
        <w:t>r</w:t>
      </w:r>
      <w:r>
        <w:t xml:space="preserve">ransen. Personvern har ikkje vore eit sentralt konkurranseelement i den digitale økonomien </w:t>
      </w:r>
      <w:r>
        <w:lastRenderedPageBreak/>
        <w:t>fram til no. Men med innføringa av dei nye personvernreglane kan personvern i større grad komme til å bli eit konkurranseelement.</w:t>
      </w:r>
    </w:p>
    <w:p w:rsidR="00D30C4D" w:rsidRDefault="00B964E1" w:rsidP="00020FC3">
      <w:pPr>
        <w:pStyle w:val="Overskrift3"/>
      </w:pPr>
      <w:r>
        <w:t>Digitale plattformer og marknadskonsentrasjon</w:t>
      </w:r>
    </w:p>
    <w:p w:rsidR="00D30C4D" w:rsidRDefault="00B964E1" w:rsidP="00020FC3">
      <w:r>
        <w:t>Konkurransen i digitale marknader har særtrekk som kan føre til konsentrasjon i marknaden.</w:t>
      </w:r>
      <w:r>
        <w:rPr>
          <w:vertAlign w:val="superscript"/>
        </w:rPr>
        <w:footnoteReference w:id="47"/>
      </w:r>
      <w:r>
        <w:t xml:space="preserve"> Eit viktig trekk er at digitale plattformer utnyttar nettverkseffektar. Dette inneber at verdien av ei teneste aukar jo fleire som bruker ho. For brukarar av sosiale medium er det til dømes viktig at flest mogleg av dei dei kjenner, bruker same plattform som dei sjølve. Vidare kan dei digitale plattformene vekse og leggje til nye brukarar raskt og nesten utan kostnad, ettersom dei ikkje produserer fysiske varer. Det er heller ingen geografiske grenser for vekst i den digitale øk</w:t>
      </w:r>
      <w:r>
        <w:t>o</w:t>
      </w:r>
      <w:r>
        <w:t>nomien. Dette inneber at selskap kan komme inn i ein positiv spiral med vekst av brukarar, auka verdi og til slutt ei dominerande stilling på tenesteområdet sitt. Døme på dette er Facebook når det gjeld sosiale medium, og Google når det gjeld søkjetenester.</w:t>
      </w:r>
    </w:p>
    <w:p w:rsidR="00D30C4D" w:rsidRDefault="00B964E1" w:rsidP="00020FC3">
      <w:r>
        <w:t xml:space="preserve">For </w:t>
      </w:r>
      <w:proofErr w:type="gramStart"/>
      <w:r>
        <w:t>å</w:t>
      </w:r>
      <w:proofErr w:type="gramEnd"/>
      <w:r>
        <w:t xml:space="preserve"> tiltrekkje seg flest mogleg brukarar tilbyr mange digitale plattformer forbrukaren gratis tilgang. I tillegg baserer dei forretningsmodellen sin heilt eller delvis på innsamling og utny</w:t>
      </w:r>
      <w:r>
        <w:t>t</w:t>
      </w:r>
      <w:r>
        <w:t>ting av personopplysingar og andre data. Dei største digitale plattformene, som Google, Facebook, Apple, Amazon, Yahoo og Alibaba, har tilgang til enorme datamengder om kundar, produkt og transaksjonar, og er også leiande innanfor stordataanalyse. Konkurransestyre</w:t>
      </w:r>
      <w:r>
        <w:t>s</w:t>
      </w:r>
      <w:r>
        <w:t>maktene har vore opptekne av korleis dei skal reagere på bruken av stordata, som potensielt kan føre med seg negative konkurranseeffektar. Eit døme er bruk av algoritmar til stillteiande samarbeid.</w:t>
      </w:r>
      <w:r>
        <w:rPr>
          <w:vertAlign w:val="superscript"/>
        </w:rPr>
        <w:footnoteReference w:id="48"/>
      </w:r>
    </w:p>
    <w:p w:rsidR="00D30C4D" w:rsidRDefault="00B964E1" w:rsidP="00020FC3">
      <w:pPr>
        <w:pStyle w:val="Overskrift3"/>
      </w:pPr>
      <w:r>
        <w:t>Asymmetrisk informasjon</w:t>
      </w:r>
    </w:p>
    <w:p w:rsidR="00D30C4D" w:rsidRDefault="00B964E1" w:rsidP="00020FC3">
      <w:r>
        <w:t>Ein annan ting som digitale marknader er prega av, er asymmetrisk informasjon mellom ti</w:t>
      </w:r>
      <w:r>
        <w:t>l</w:t>
      </w:r>
      <w:r>
        <w:t>bydaren og forbrukaren. Store digitale plattformer på tilbydarsida har inngåande kunnskap om korleis datainnsamlinga skjer, og kva for data som blir samla inn. Forbrukaren har på si side svært lite informasjon om dette. Ifølgje Datatilsynet er denne ujamne fordelinga av informasjon med på å skape ein konkurransesituasjon som oppmuntrar aktørane i marknaden til å ta i bruk verkemiddel som stadig grip meir inn i personvernet.</w:t>
      </w:r>
      <w:r>
        <w:rPr>
          <w:vertAlign w:val="superscript"/>
        </w:rPr>
        <w:footnoteReference w:id="49"/>
      </w:r>
      <w:r>
        <w:t xml:space="preserve"> Manglande informasjon om korleis datainnsamlinga skjer, gjer at forbrukaren ikkje kan vurdere personvernet i produktet eller tenesta ho kjøper. Dersom forbrukaren ikkje kan finne ut kor godt personvernet er sikra i ulike </w:t>
      </w:r>
      <w:r>
        <w:lastRenderedPageBreak/>
        <w:t>digitale tenester, vil heller ikkje god ivaretaking av personvern vere eit konkurransefortrinn for næringsdrivande.</w:t>
      </w:r>
    </w:p>
    <w:p w:rsidR="00D30C4D" w:rsidRDefault="00B964E1" w:rsidP="00020FC3">
      <w:pPr>
        <w:pStyle w:val="Overskrift3"/>
      </w:pPr>
      <w:r>
        <w:t>Forbrukarmobilitet</w:t>
      </w:r>
    </w:p>
    <w:p w:rsidR="00D30C4D" w:rsidRDefault="00B964E1" w:rsidP="00020FC3">
      <w:r>
        <w:t>Forbrukarmobilitet handlar om at forbrukaren har moglegheit og evne til å bytte tilbydar de</w:t>
      </w:r>
      <w:r>
        <w:t>r</w:t>
      </w:r>
      <w:r>
        <w:t>som ho eller han er misfornøgd med den noverande tilbydaren sin. Slik mobilitet er ein viktig føresetnad for godt fungerande konkurranse i marknaden.</w:t>
      </w:r>
    </w:p>
    <w:p w:rsidR="00D30C4D" w:rsidRDefault="00B964E1" w:rsidP="00020FC3">
      <w:r>
        <w:t>Når marknaden er konsentrert, slik ein ser i fleire digitale marknader (som sosiale medium og nettbaserte marknadsplassar) i dag, har forbrukaren i realiteten få alternativ. Moglegheita til forbrukarmobilitet er dermed avgrensa. For forbrukaren er det ei utfordring dersom det einaste reelle alternativet på marknaden er ei teneste som ikkje sikrar personvernet. Forbrukar- og personvernstyresmaktene har kritisert dei største digitale plattformene, som Facebook og Google, for at dei ikkje sikrar personvernet til brukarane sine godt nok.</w:t>
      </w:r>
    </w:p>
    <w:p w:rsidR="00D30C4D" w:rsidRDefault="00B964E1" w:rsidP="00020FC3">
      <w:r>
        <w:t>Mange digitale tenester er også prega av innlåsingseffektar, noko som kan avgrense forbr</w:t>
      </w:r>
      <w:r>
        <w:t>u</w:t>
      </w:r>
      <w:r>
        <w:t>karmobiliteten. Slike mekanismar kan vere både tekniske, praktiske eller økonomiske, og dei kan inngå i avtalevilkår. Døme på innelåsande vilkår er lange bindingstider og høge brotgebyr, lange oppseiingstider eller krav om at oppseiing må skje på visse måtar.</w:t>
      </w:r>
    </w:p>
    <w:p w:rsidR="00D30C4D" w:rsidRDefault="00B964E1" w:rsidP="00020FC3">
      <w:r>
        <w:t>Innlåsing kan skje dersom det er manglande kompatibilitet mellom digitale tenester. Det kan til dømes innebere at det ikkje er mogleg å ta med seg sitt eige innhald frå ei teneste til ei anna, noko som kan gjere det tungvint for brukarar å skifte teneste. Dersom ein til dømes har laga spelelister på ei strøymeteneste som Spotify og ikkje kan få med seg desse over til ei konku</w:t>
      </w:r>
      <w:r>
        <w:t>r</w:t>
      </w:r>
      <w:r>
        <w:t xml:space="preserve">rerande teneste (som Apple Music), får ein høgare terskel for </w:t>
      </w:r>
      <w:proofErr w:type="gramStart"/>
      <w:r>
        <w:t>å</w:t>
      </w:r>
      <w:proofErr w:type="gramEnd"/>
      <w:r>
        <w:t xml:space="preserve"> byte.</w:t>
      </w:r>
      <w:r>
        <w:rPr>
          <w:vertAlign w:val="superscript"/>
        </w:rPr>
        <w:footnoteReference w:id="50"/>
      </w:r>
      <w:r>
        <w:t xml:space="preserve"> I denne samanhengen er den nye retten til dataportabilitet viktig, for han gjer det mogleg for forbrukaren å ta med seg opplysingane sine og tenesteinnhaldet sitt frå ei teneste til ei anna.</w:t>
      </w:r>
    </w:p>
    <w:p w:rsidR="00D30C4D" w:rsidRDefault="00B964E1" w:rsidP="00020FC3">
      <w:r>
        <w:t>Regjeringa ønskjer ei utvikling der forbrukarane i større grad kan velje personvernvennlege alternativ, og der personvern blir eit konkurranseelement. Innføring av det nye personvernr</w:t>
      </w:r>
      <w:r>
        <w:t>e</w:t>
      </w:r>
      <w:r>
        <w:t>gelverket, som inneber ein styrkt rett til informasjon og innsyn, ein rett til dataportabilitet og ei merkeordning for personvern, kan føre til at næringsdrivande i større grad konkurrerer på godt personvern.</w:t>
      </w:r>
    </w:p>
    <w:p w:rsidR="00D30C4D" w:rsidRDefault="00B964E1" w:rsidP="00020FC3">
      <w:pPr>
        <w:pStyle w:val="Overskrift2"/>
      </w:pPr>
      <w:r>
        <w:t>Samordning av innsatsen styresmaktene gjer på området</w:t>
      </w:r>
    </w:p>
    <w:p w:rsidR="00D30C4D" w:rsidRDefault="00B964E1" w:rsidP="00020FC3">
      <w:r>
        <w:t xml:space="preserve">Det er mange overlappande utfordringar og problemstillingar på politikkområda som gjeld forbrukarar, personvern, IKT-tryggleik og konkurranse. Regjeringa er oppteken av </w:t>
      </w:r>
      <w:proofErr w:type="gramStart"/>
      <w:r>
        <w:t>å</w:t>
      </w:r>
      <w:proofErr w:type="gramEnd"/>
      <w:r>
        <w:t xml:space="preserve"> sjå pol</w:t>
      </w:r>
      <w:r>
        <w:t>i</w:t>
      </w:r>
      <w:r>
        <w:t>tikk og regelverk på desse områda i samanheng. Dei siste åra har Forbrukartilsynet og Dat</w:t>
      </w:r>
      <w:r>
        <w:t>a</w:t>
      </w:r>
      <w:r>
        <w:lastRenderedPageBreak/>
        <w:t xml:space="preserve">tilsynet etablert eit godt samarbeid om forbrukar- og personvernspørsmål i digitale tenester og produkt. Framover blir det viktig </w:t>
      </w:r>
      <w:proofErr w:type="gramStart"/>
      <w:r>
        <w:t>å</w:t>
      </w:r>
      <w:proofErr w:type="gramEnd"/>
      <w:r>
        <w:t xml:space="preserve"> styrkje samarbeidet mellom fleire av tilsyna i Noreg.</w:t>
      </w:r>
    </w:p>
    <w:p w:rsidR="00D30C4D" w:rsidRDefault="00B964E1" w:rsidP="00020FC3">
      <w:r>
        <w:t>I europeisk samanheng har European Data Protection Supervisor etablert initiativet «Digital Clearinghouse». Her skal styresmakter med ansvar for konkurranse, personvern og forbr</w:t>
      </w:r>
      <w:r>
        <w:t>u</w:t>
      </w:r>
      <w:r>
        <w:t>karvern kunne diskutere korleis ein kan bruke dei ulike regelsetta saman, for å sikre at den digitale økonomien fungerer godt. Regjeringa vil etablere eit nasjonalt samarbeidsforum for desse styresmaktene, etter modell av det europeiske «Digital Clearinghouse». Føremålet er mellom anna å effektivisere handsaminga av enkeltsaker, unngå dobbeltarbeid og samstundes sikre ei heilskapleg tilnærming til forbrukarutfordringane i den digitale økonomien.</w:t>
      </w:r>
    </w:p>
    <w:p w:rsidR="00D30C4D" w:rsidRDefault="00B964E1" w:rsidP="00020FC3">
      <w:pPr>
        <w:pStyle w:val="Overskrift2"/>
      </w:pPr>
      <w:r>
        <w:t>Regjeringa vil</w:t>
      </w:r>
    </w:p>
    <w:p w:rsidR="00D30C4D" w:rsidRDefault="00B964E1" w:rsidP="00E05FE4">
      <w:pPr>
        <w:pStyle w:val="Listebombe"/>
        <w:numPr>
          <w:ilvl w:val="0"/>
          <w:numId w:val="1"/>
        </w:numPr>
        <w:ind w:left="320" w:hanging="320"/>
        <w:rPr>
          <w:sz w:val="21"/>
          <w:szCs w:val="21"/>
        </w:rPr>
      </w:pPr>
      <w:r>
        <w:rPr>
          <w:sz w:val="21"/>
          <w:szCs w:val="21"/>
        </w:rPr>
        <w:t xml:space="preserve">etablere eit nasjonalt samarbeidsforum for </w:t>
      </w:r>
      <w:proofErr w:type="gramStart"/>
      <w:r>
        <w:rPr>
          <w:sz w:val="21"/>
          <w:szCs w:val="21"/>
        </w:rPr>
        <w:t>å</w:t>
      </w:r>
      <w:proofErr w:type="gramEnd"/>
      <w:r>
        <w:rPr>
          <w:sz w:val="21"/>
          <w:szCs w:val="21"/>
        </w:rPr>
        <w:t xml:space="preserve"> styrkje tilsynet på digitalområdet, etter modell av det europeiske «Digital Clearinghouse»</w:t>
      </w:r>
    </w:p>
    <w:p w:rsidR="00D30C4D" w:rsidRDefault="00B964E1" w:rsidP="00E05FE4">
      <w:pPr>
        <w:pStyle w:val="Listebombe"/>
        <w:numPr>
          <w:ilvl w:val="0"/>
          <w:numId w:val="1"/>
        </w:numPr>
        <w:ind w:left="320" w:hanging="320"/>
        <w:rPr>
          <w:sz w:val="21"/>
          <w:szCs w:val="21"/>
        </w:rPr>
      </w:pPr>
      <w:r>
        <w:rPr>
          <w:sz w:val="21"/>
          <w:szCs w:val="21"/>
        </w:rPr>
        <w:t>utarbeide ein forbrukarpolitisk strategi for den digitale kvardagen</w:t>
      </w:r>
    </w:p>
    <w:p w:rsidR="00D30C4D" w:rsidRDefault="00B964E1" w:rsidP="00E05FE4">
      <w:pPr>
        <w:pStyle w:val="Listebombe"/>
        <w:numPr>
          <w:ilvl w:val="0"/>
          <w:numId w:val="1"/>
        </w:numPr>
        <w:ind w:left="320" w:hanging="320"/>
        <w:rPr>
          <w:sz w:val="21"/>
          <w:szCs w:val="21"/>
        </w:rPr>
      </w:pPr>
      <w:r>
        <w:rPr>
          <w:sz w:val="21"/>
          <w:szCs w:val="21"/>
        </w:rPr>
        <w:t>vere med på å oppdatere dei felleseuropeiske forbrukarvernreglane til den digitale økonomien</w:t>
      </w:r>
    </w:p>
    <w:p w:rsidR="00D30C4D" w:rsidRDefault="00B964E1" w:rsidP="00E05FE4">
      <w:pPr>
        <w:pStyle w:val="Listebombe"/>
        <w:numPr>
          <w:ilvl w:val="0"/>
          <w:numId w:val="1"/>
        </w:numPr>
        <w:ind w:left="320" w:hanging="320"/>
        <w:rPr>
          <w:sz w:val="21"/>
          <w:szCs w:val="21"/>
        </w:rPr>
      </w:pPr>
      <w:r>
        <w:rPr>
          <w:sz w:val="21"/>
          <w:szCs w:val="21"/>
        </w:rPr>
        <w:t>styrkje kunnskapen om dei nye personvernreglane hos forbrukarar og næringsdrivande</w:t>
      </w:r>
    </w:p>
    <w:p w:rsidR="00D30C4D" w:rsidRDefault="00B964E1" w:rsidP="00E05FE4">
      <w:pPr>
        <w:pStyle w:val="Listebombe"/>
        <w:numPr>
          <w:ilvl w:val="0"/>
          <w:numId w:val="1"/>
        </w:numPr>
        <w:ind w:left="320" w:hanging="320"/>
        <w:rPr>
          <w:sz w:val="21"/>
          <w:szCs w:val="21"/>
        </w:rPr>
      </w:pPr>
      <w:r>
        <w:rPr>
          <w:sz w:val="21"/>
          <w:szCs w:val="21"/>
        </w:rPr>
        <w:t>støtte initiativ for å opprette ei merkeordning for personvern</w:t>
      </w:r>
    </w:p>
    <w:p w:rsidR="00D30C4D" w:rsidRDefault="00B964E1" w:rsidP="00E05FE4">
      <w:pPr>
        <w:pStyle w:val="Listebombe"/>
        <w:numPr>
          <w:ilvl w:val="0"/>
          <w:numId w:val="1"/>
        </w:numPr>
        <w:ind w:left="320" w:hanging="320"/>
        <w:rPr>
          <w:sz w:val="21"/>
          <w:szCs w:val="21"/>
        </w:rPr>
      </w:pPr>
      <w:r>
        <w:rPr>
          <w:sz w:val="21"/>
          <w:szCs w:val="21"/>
        </w:rPr>
        <w:t xml:space="preserve">vurdere behovet for </w:t>
      </w:r>
      <w:proofErr w:type="gramStart"/>
      <w:r>
        <w:rPr>
          <w:sz w:val="21"/>
          <w:szCs w:val="21"/>
        </w:rPr>
        <w:t>å</w:t>
      </w:r>
      <w:proofErr w:type="gramEnd"/>
      <w:r>
        <w:rPr>
          <w:sz w:val="21"/>
          <w:szCs w:val="21"/>
        </w:rPr>
        <w:t xml:space="preserve"> styrkje arbeidet med personvern på forbrukarområdet, slik at det blir enklare å handheve personvernregelverket i forbrukarsaker</w:t>
      </w:r>
    </w:p>
    <w:p w:rsidR="00D30C4D" w:rsidRDefault="00B964E1" w:rsidP="00E05FE4">
      <w:pPr>
        <w:pStyle w:val="Listebombe"/>
        <w:numPr>
          <w:ilvl w:val="0"/>
          <w:numId w:val="1"/>
        </w:numPr>
        <w:ind w:left="320" w:hanging="320"/>
        <w:rPr>
          <w:sz w:val="21"/>
          <w:szCs w:val="21"/>
        </w:rPr>
      </w:pPr>
      <w:r>
        <w:rPr>
          <w:sz w:val="21"/>
          <w:szCs w:val="21"/>
        </w:rPr>
        <w:t>styrkje IKT-tryggleiken i tilkopla produkt i «tinga sitt internett»</w:t>
      </w:r>
    </w:p>
    <w:p w:rsidR="00D30C4D" w:rsidRDefault="00B964E1" w:rsidP="00E05FE4">
      <w:pPr>
        <w:pStyle w:val="Listebombe"/>
        <w:numPr>
          <w:ilvl w:val="0"/>
          <w:numId w:val="1"/>
        </w:numPr>
        <w:ind w:left="320" w:hanging="320"/>
        <w:rPr>
          <w:sz w:val="21"/>
          <w:szCs w:val="21"/>
        </w:rPr>
      </w:pPr>
      <w:r>
        <w:rPr>
          <w:sz w:val="21"/>
          <w:szCs w:val="21"/>
        </w:rPr>
        <w:t>prioritere internasjonalt samarbeid for å betre forbrukar- og personvernet i den digitale verda</w:t>
      </w:r>
    </w:p>
    <w:p w:rsidR="00D30C4D" w:rsidRDefault="00B964E1" w:rsidP="00020FC3">
      <w:pPr>
        <w:pStyle w:val="Overskrift1"/>
      </w:pPr>
      <w:r>
        <w:t>Den digitale kvardagen til barn og unge</w:t>
      </w:r>
    </w:p>
    <w:p w:rsidR="00D30C4D" w:rsidRDefault="00741EEC" w:rsidP="00741EEC">
      <w:pPr>
        <w:pStyle w:val="Figur"/>
      </w:pPr>
      <w:r>
        <w:rPr>
          <w:noProof/>
        </w:rPr>
        <w:t>[:figur:figX-X.jpg]</w:t>
      </w:r>
    </w:p>
    <w:p w:rsidR="00D30C4D" w:rsidRDefault="00B964E1" w:rsidP="00020FC3">
      <w:pPr>
        <w:pStyle w:val="figur-tittel"/>
      </w:pPr>
      <w:r>
        <w:t> </w:t>
      </w:r>
    </w:p>
    <w:p w:rsidR="00D30C4D" w:rsidRDefault="00B964E1" w:rsidP="00020FC3">
      <w:pPr>
        <w:pStyle w:val="figur-noter"/>
      </w:pPr>
      <w:r>
        <w:t>Foto: Johnér</w:t>
      </w:r>
    </w:p>
    <w:p w:rsidR="00D30C4D" w:rsidRDefault="00B964E1" w:rsidP="00E05FE4">
      <w:pPr>
        <w:pStyle w:val="Overskrift2"/>
        <w:numPr>
          <w:ilvl w:val="1"/>
          <w:numId w:val="33"/>
        </w:numPr>
      </w:pPr>
      <w:r>
        <w:t>Innleiing</w:t>
      </w:r>
    </w:p>
    <w:p w:rsidR="00D30C4D" w:rsidRDefault="00B964E1" w:rsidP="00020FC3">
      <w:r>
        <w:t>Barn og unge møter mange utfordringar som forbrukarar. Barn og unge er sårbare, både i tr</w:t>
      </w:r>
      <w:r>
        <w:t>a</w:t>
      </w:r>
      <w:r>
        <w:t>disjo</w:t>
      </w:r>
      <w:r>
        <w:rPr>
          <w:spacing w:val="-2"/>
        </w:rPr>
        <w:t>nelle kjøpssituasjonar og på nettet. I dette kapittelet</w:t>
      </w:r>
      <w:r>
        <w:t xml:space="preserve"> legg vi vekt på kva utfordringar barn og unge har i den digitale kvardagen. Nettet er ein marknadsplass for både seriøse og useriøse aktørar. Frå perspektivet til kvar enkelt forbrukar kan informasjonsmengda vere overveldande, og freistingane og fallgruvene mange. På nettet opplever barn og unge utfordringar knytt til mellom anna marknadsføring, kroppspress og kjøpepress. Vi vil omtale desse utfordringane nærare i dette kapittelet.</w:t>
      </w:r>
    </w:p>
    <w:p w:rsidR="00D30C4D" w:rsidRDefault="00B964E1" w:rsidP="00020FC3">
      <w:r>
        <w:t xml:space="preserve">Regjeringa er oppteken av at barn og unge utviklar god digital forbrukarkompetanse. Dette omfattar mellom anna evna til </w:t>
      </w:r>
      <w:proofErr w:type="gramStart"/>
      <w:r>
        <w:t>å</w:t>
      </w:r>
      <w:proofErr w:type="gramEnd"/>
      <w:r>
        <w:t xml:space="preserve"> vere kritisk til målretta marknadsføring i sosiale medium. Regjeringa har styrkt tilsynet med reklame i digitale rom der barn og unge er, til dømes sosiale medium og spel. Målet er å avgrense det kommersielle presset mot barn og unge.</w:t>
      </w:r>
    </w:p>
    <w:p w:rsidR="00D30C4D" w:rsidRDefault="00B964E1" w:rsidP="00020FC3">
      <w:pPr>
        <w:pStyle w:val="Overskrift2"/>
      </w:pPr>
      <w:r>
        <w:lastRenderedPageBreak/>
        <w:t>Barn og unge som sårbare forbrukarar på nettet</w:t>
      </w:r>
    </w:p>
    <w:p w:rsidR="00D30C4D" w:rsidRDefault="00B964E1" w:rsidP="00020FC3">
      <w:proofErr w:type="gramStart"/>
      <w:r>
        <w:t>Å</w:t>
      </w:r>
      <w:proofErr w:type="gramEnd"/>
      <w:r>
        <w:t xml:space="preserve"> meistre den digitale marknadsplassen som forbrukar omfattar meir enn berre å ha grun</w:t>
      </w:r>
      <w:r>
        <w:t>n</w:t>
      </w:r>
      <w:r>
        <w:t>leggjande IKT-ferdigheiter. Ein treng også kritisk vurderingsevne og kunnskap om valmo</w:t>
      </w:r>
      <w:r>
        <w:t>g</w:t>
      </w:r>
      <w:r>
        <w:t>legheitene og rettane ein har på nettet.</w:t>
      </w:r>
    </w:p>
    <w:p w:rsidR="00D30C4D" w:rsidRDefault="00B964E1" w:rsidP="00020FC3">
      <w:r>
        <w:t xml:space="preserve">Barn og unge bruker digitale verktøy og tenester aktivt. Dette gjer at barn og unge utviklar gode IKT-ferdigheiter. Samstundes gjer den omfattande bruken deira av digitale tenester at dei blir sårbare. Gjennom til dømes smarttelefonen kan barn og unge kommunisere, bli underhaldne og lære, men dei kan også bli utsette for skadeleg innhald og </w:t>
      </w:r>
      <w:proofErr w:type="gramStart"/>
      <w:r>
        <w:t>ei</w:t>
      </w:r>
      <w:proofErr w:type="gramEnd"/>
      <w:r>
        <w:t xml:space="preserve"> stor mengde kommersielle bo</w:t>
      </w:r>
      <w:r>
        <w:t>d</w:t>
      </w:r>
      <w:r>
        <w:t>skap. Marknadsføringspresset mot barn og unge er stort, og stadig nye kanalar blir tekne i bruk for å nå barn og unge der dei er på nettet.</w:t>
      </w:r>
    </w:p>
    <w:p w:rsidR="00D30C4D" w:rsidRDefault="00B964E1" w:rsidP="00020FC3">
      <w:r>
        <w:t>Ifølgje ein SIFO-rapport frå 2014 er unge mellom 18 og 30 år meir sårbare enn eldre i fo</w:t>
      </w:r>
      <w:r>
        <w:t>r</w:t>
      </w:r>
      <w:r>
        <w:t>brukarrolla.</w:t>
      </w:r>
      <w:r>
        <w:rPr>
          <w:vertAlign w:val="superscript"/>
        </w:rPr>
        <w:footnoteReference w:id="51"/>
      </w:r>
      <w:r>
        <w:t xml:space="preserve"> SIFO peikar på at eldre er meir ansvarlege og kan vere mindre sårbare enn unge i den digitale kvardagen, fordi dei er mindre eksponerte.</w:t>
      </w:r>
    </w:p>
    <w:p w:rsidR="00D30C4D" w:rsidRDefault="00B964E1" w:rsidP="00020FC3">
      <w:pPr>
        <w:pStyle w:val="tittel-ramme"/>
      </w:pPr>
      <w:r>
        <w:t>Vern av barn og unge mot skadeleg innhald</w:t>
      </w:r>
    </w:p>
    <w:p w:rsidR="00D30C4D" w:rsidRDefault="00B964E1" w:rsidP="00020FC3">
      <w:r>
        <w:t>Lov 6. februar 2015 nr. 7 om beskyttelse av mindreårige mot skadelige bildeprogram mv. inneheld reglar som skal verne mindreårige mot skadelege biletprogram. Lova omfattar alle dei viktigaste plattformene for formidling av levande bilete, til dømes fjernsyn, audiovisuelle b</w:t>
      </w:r>
      <w:r>
        <w:t>e</w:t>
      </w:r>
      <w:r>
        <w:t xml:space="preserve">stillingstenester (on-demand) og kinoframsyning. Lova inneheld følgjande vernetiltak: a) plikt til </w:t>
      </w:r>
      <w:proofErr w:type="gramStart"/>
      <w:r>
        <w:t>å</w:t>
      </w:r>
      <w:proofErr w:type="gramEnd"/>
      <w:r>
        <w:t xml:space="preserve"> setje aldersgrense på biletprogram som fell inn under verkeområdet til lova, b) plikt til å informere om aldersgrense og c) plikt til å setje i verk tiltak for å sikre at aldersgrensene blir overhaldne, til dømes tekniske vernetiltak for audiovisuelle bestillingstenester.</w:t>
      </w:r>
    </w:p>
    <w:p w:rsidR="00D30C4D" w:rsidRDefault="00B964E1" w:rsidP="00020FC3">
      <w:r>
        <w:t xml:space="preserve">Det blei vedteke eit revidert AMT-direktiv i november 2018. Dette direktivet er så langt ikkje innlemma i EØS-avtala eller teke inn i norsk lovgiving. Det reviderte direktivet er utvida frå å omfatte tradisjonelle tv-sendingar og audiovisuelle bestillingstenester som Netflix til også å </w:t>
      </w:r>
      <w:r>
        <w:rPr>
          <w:spacing w:val="-2"/>
        </w:rPr>
        <w:t>omfatte «videodelingsplattformer» som YouTube.</w:t>
      </w:r>
      <w:r>
        <w:t xml:space="preserve"> Det som kjenneteiknar videodelingsplat</w:t>
      </w:r>
      <w:r>
        <w:t>t</w:t>
      </w:r>
      <w:r>
        <w:t>former, er at dei organiserer innhald utan å ha noko redaksjonelt ansvar for det. Sosiale m</w:t>
      </w:r>
      <w:r>
        <w:t>e</w:t>
      </w:r>
      <w:r>
        <w:t>dietenester blir rekna som videodelingsplattformtenester – og er dermed omfatta av verkeo</w:t>
      </w:r>
      <w:r>
        <w:t>m</w:t>
      </w:r>
      <w:r>
        <w:t>rådet til direktivet – dersom leveringa av program og brukargenererte videoar utgjer ein v</w:t>
      </w:r>
      <w:r>
        <w:t>e</w:t>
      </w:r>
      <w:r>
        <w:t>sentleg funksjon i tenesta. Det reviderte direktivet krev at tilbydarar av videodelingsplattformer innfører eigna tiltak, til dømes for å verne mindreårige mot skadeleg innhald. Slike tiltak kan mellom anna vere system for alderskontroll og tilgangskontroll for brukarane av slike tenester.</w:t>
      </w:r>
    </w:p>
    <w:p w:rsidR="00D30C4D" w:rsidRDefault="00B964E1">
      <w:pPr>
        <w:pStyle w:val="Ramme-slutt"/>
        <w:rPr>
          <w:sz w:val="26"/>
          <w:szCs w:val="26"/>
        </w:rPr>
      </w:pPr>
      <w:r>
        <w:rPr>
          <w:sz w:val="26"/>
          <w:szCs w:val="26"/>
        </w:rPr>
        <w:t>[Boks slutt]</w:t>
      </w:r>
    </w:p>
    <w:p w:rsidR="00D30C4D" w:rsidRDefault="00B964E1" w:rsidP="00020FC3">
      <w:r>
        <w:t>Sidan barn og unge har ein veldig personalisert bruk av internett og sosiale medium, risikerer dei også å gi frå seg mange personlege opplysingar. På oppdrag frå dåverande Barne- og lik</w:t>
      </w:r>
      <w:r>
        <w:t>e</w:t>
      </w:r>
      <w:r>
        <w:t xml:space="preserve">stillingsdepartementet undersøkte SIFO i 2018 kva barn i alderen 15–16 år gjer for å verne om eigne personverninteresser på sosiale medium, og kva som kan vere med på å auke den digitale </w:t>
      </w:r>
      <w:r>
        <w:lastRenderedPageBreak/>
        <w:t>forbrukarkompetansen til barn på dette området.</w:t>
      </w:r>
      <w:r>
        <w:rPr>
          <w:vertAlign w:val="superscript"/>
        </w:rPr>
        <w:footnoteReference w:id="52"/>
      </w:r>
      <w:r>
        <w:t xml:space="preserve"> Studien til SIFO viste at barn har beky</w:t>
      </w:r>
      <w:r>
        <w:t>m</w:t>
      </w:r>
      <w:r>
        <w:t>ringar knytt til personvern, og at dei gjer tiltak for å sikre seg. Barna i undersøkinga var særleg opptekne av å ha kontroll på delinga av personlege data med andre på sosiale medium. Spesielt gjaldt dette deling av synlege data – til dømes bilete. Undersøkinga viste likevel at barna hadde høg tillit til at store plattformer som Facebook, YouTube og Snapchat vernar om personvernet deira, inkludert opplysingar om alder, kjønn, interesser og nettsøk. Barna endra derfor i liten grad på personverninnstillingane sine på desse plattformene, og dei gav også uttrykk for at dei ikkje orka å lese lange brukarvilkår.</w:t>
      </w:r>
    </w:p>
    <w:p w:rsidR="00D30C4D" w:rsidRDefault="00B964E1" w:rsidP="00020FC3">
      <w:r>
        <w:t xml:space="preserve">Regjeringa meiner at det er viktig at barn og unge utviklar kunnskap om digitale rettar og valmoglegheiter. Regjeringa vil fortsetje </w:t>
      </w:r>
      <w:proofErr w:type="gramStart"/>
      <w:r>
        <w:t>å</w:t>
      </w:r>
      <w:proofErr w:type="gramEnd"/>
      <w:r>
        <w:t xml:space="preserve"> kartleggje den digitale forbrukarkompentansen hos barn og unge for å vurdere målretta tiltak. På oppdrag frå BFD skal SIFO i 2019 byggje vidare på studien sin frå 2018. Målet er mellom anna </w:t>
      </w:r>
      <w:proofErr w:type="gramStart"/>
      <w:r>
        <w:t>å</w:t>
      </w:r>
      <w:proofErr w:type="gramEnd"/>
      <w:r>
        <w:t xml:space="preserve"> undersøkje korleis den digitale forbruka</w:t>
      </w:r>
      <w:r>
        <w:t>r</w:t>
      </w:r>
      <w:r>
        <w:t>kompetansen til barn utviklar seg.</w:t>
      </w:r>
    </w:p>
    <w:p w:rsidR="00D30C4D" w:rsidRDefault="00B964E1" w:rsidP="00020FC3">
      <w:pPr>
        <w:pStyle w:val="Overskrift2"/>
      </w:pPr>
      <w:r>
        <w:t>Marknadsføringspress mot barn og unge</w:t>
      </w:r>
    </w:p>
    <w:p w:rsidR="00D30C4D" w:rsidRDefault="00B964E1" w:rsidP="00020FC3">
      <w:r>
        <w:t>Digitaliseringa har ført med seg ei rekkje nye marknadsføringsmetodar på ulike typar digitale plattformer, som nettaviser, sosiale medium, bloggar og digitale spel. Når marknadsføringa blir integrert i så mange digitale plattformer, aukar det totale kommersielle trykket mot forbruk</w:t>
      </w:r>
      <w:r>
        <w:t>a</w:t>
      </w:r>
      <w:r>
        <w:t xml:space="preserve">rane. Tidlegare var ein i større grad verna mot uønskt marknadsføring eller kunne velje bort reklame. Med digitaliseringa er marknadsføringa til stades i nær sagt alle kanalar og i ulike former og innpakkingar. For forbrukarar kan det vere krevjande </w:t>
      </w:r>
      <w:proofErr w:type="gramStart"/>
      <w:r>
        <w:t>å</w:t>
      </w:r>
      <w:proofErr w:type="gramEnd"/>
      <w:r>
        <w:t xml:space="preserve"> skilje mellom kva som er personleg innhald, redaksjonelt innhald og reklame i det digitale medielandskapet. Dette krev auka kritisk refleksjon og digital forbrukarkompetanse.</w:t>
      </w:r>
      <w:r>
        <w:rPr>
          <w:vertAlign w:val="superscript"/>
        </w:rPr>
        <w:footnoteReference w:id="53"/>
      </w:r>
    </w:p>
    <w:p w:rsidR="00D30C4D" w:rsidRDefault="00B964E1" w:rsidP="00020FC3">
      <w:r>
        <w:t>For barn og unge fører utviklinga med seg større utfordringar enn for vaksne. Grunnen til dette er at barn og unge har større vanskar med å identifisere og forstå reklame. Det kan vere kre</w:t>
      </w:r>
      <w:r>
        <w:t>v</w:t>
      </w:r>
      <w:r>
        <w:t>jande for dei unge å forstå nye og skjulte former for reklame, til dømes marknadsføring gje</w:t>
      </w:r>
      <w:r>
        <w:t>n</w:t>
      </w:r>
      <w:r>
        <w:t>nom sosiale medium og bloggar, og reklame i digitale spel. Derfor blir det stilt strengare krav til reklame som er retta mot barn.</w:t>
      </w:r>
    </w:p>
    <w:p w:rsidR="00D30C4D" w:rsidRDefault="00B964E1" w:rsidP="00020FC3">
      <w:pPr>
        <w:pStyle w:val="tittel-ramme"/>
      </w:pPr>
      <w:r>
        <w:t>Det særskilde vernet barn har mot marknadsføring</w:t>
      </w:r>
    </w:p>
    <w:p w:rsidR="00D30C4D" w:rsidRDefault="00B964E1" w:rsidP="00020FC3">
      <w:r>
        <w:t>Barn har eit særskilt vern mot urimeleg handelspraksis. I tillegg blir reglane for marknadsføring vurderte strengare når barn blir utsette for reklame. «Barn» er i denne samanhengen personar under 18 år. Det er mellom anna forbode å rette direkte oppmodingar om kjøp, til dømes av typen «klikk her for å bestille» eller liknande, mot barn. Reglane for marknadsføring retta mot barn er regulerte av kapittel 4 i marknadsføringslova.</w:t>
      </w:r>
    </w:p>
    <w:p w:rsidR="00D30C4D" w:rsidRDefault="00B964E1" w:rsidP="00020FC3">
      <w:r>
        <w:lastRenderedPageBreak/>
        <w:t>Etter § 3 i marknadsføringslova skal reklame vere utforma slik at han tydeleg framstår som reklame. Når reklamen er retta mot barn, eller barn kan sjå eller høyre han, må den næring</w:t>
      </w:r>
      <w:r>
        <w:t>s</w:t>
      </w:r>
      <w:r>
        <w:t>drivande vere ekstra nøye med å informere tydeleg om kva som er reklame, på eit språk som barn kan forstå.</w:t>
      </w:r>
    </w:p>
    <w:p w:rsidR="00D30C4D" w:rsidRDefault="00B964E1">
      <w:pPr>
        <w:pStyle w:val="Ramme-slutt"/>
        <w:rPr>
          <w:sz w:val="26"/>
          <w:szCs w:val="26"/>
        </w:rPr>
      </w:pPr>
      <w:r>
        <w:rPr>
          <w:sz w:val="26"/>
          <w:szCs w:val="26"/>
        </w:rPr>
        <w:t>[Boks slutt]</w:t>
      </w:r>
    </w:p>
    <w:p w:rsidR="00D30C4D" w:rsidRDefault="00B964E1" w:rsidP="00E05FE4">
      <w:pPr>
        <w:pStyle w:val="Overskrift3"/>
        <w:numPr>
          <w:ilvl w:val="2"/>
          <w:numId w:val="26"/>
        </w:numPr>
      </w:pPr>
      <w:r>
        <w:t>Marknadsføring i sosiale medium</w:t>
      </w:r>
    </w:p>
    <w:p w:rsidR="00D30C4D" w:rsidRDefault="00B964E1" w:rsidP="00020FC3">
      <w:r>
        <w:t xml:space="preserve">Bruk av sosiale medium er svært utbreidd, og det har gjort sosiale medium til attraktive kanalar for </w:t>
      </w:r>
      <w:r>
        <w:rPr>
          <w:spacing w:val="-3"/>
        </w:rPr>
        <w:t>marknadsføring for næringsdrivande. Barn og unge</w:t>
      </w:r>
      <w:r>
        <w:t xml:space="preserve"> er aktive brukarar av sosiale medium. 95 prosent av norske barn mellom 9 og 18 år har smarttelefon, og 89 prosent av desse bruker eitt eller fleire sosiale medium.</w:t>
      </w:r>
      <w:r>
        <w:rPr>
          <w:vertAlign w:val="superscript"/>
        </w:rPr>
        <w:footnoteReference w:id="54"/>
      </w:r>
      <w:r>
        <w:t xml:space="preserve"> Medietilsynet har kartlagt at nesten halvparten av alle barn mellom 9 og 16 år bruker sosiale medium kvar dag.</w:t>
      </w:r>
      <w:r>
        <w:rPr>
          <w:vertAlign w:val="superscript"/>
        </w:rPr>
        <w:footnoteReference w:id="55"/>
      </w:r>
      <w:r>
        <w:t xml:space="preserve"> Ved å bruke dei ulike sosiale kanalane eller plattformene blir barna eksponerte for ein konstant straum av marknadsføring. Særleg gjeld </w:t>
      </w:r>
      <w:proofErr w:type="gramStart"/>
      <w:r>
        <w:t>dette plattformene</w:t>
      </w:r>
      <w:proofErr w:type="gramEnd"/>
      <w:r>
        <w:t xml:space="preserve"> der brukaren får tilgang til ei nærast uendeleg mengde profilar og innlegg, til dømes Instagram og Snapchat.</w:t>
      </w:r>
    </w:p>
    <w:p w:rsidR="00D30C4D" w:rsidRDefault="00B964E1" w:rsidP="00020FC3">
      <w:r>
        <w:t xml:space="preserve">Marknadsføring i sosiale medium er kjenneteikna av </w:t>
      </w:r>
      <w:proofErr w:type="gramStart"/>
      <w:r>
        <w:t>å</w:t>
      </w:r>
      <w:proofErr w:type="gramEnd"/>
      <w:r>
        <w:t xml:space="preserve"> vere interaktiv og skreddarsydd for kvar enkelt forbrukar. Marknadsføringa blir tilpassa ved hjelp av informasjon som forbrukaren har gitt gjennom dei ulike brukarprofilane sine og internettaktiviteten og søkjehistorikken sin. Målet med den skreddarsydde marknadsføringa er at dess meir relevant og personleg ho er for forbrukaren, dess større påverknadskraft får ho.</w:t>
      </w:r>
      <w:r>
        <w:rPr>
          <w:vertAlign w:val="superscript"/>
        </w:rPr>
        <w:footnoteReference w:id="56"/>
      </w:r>
    </w:p>
    <w:p w:rsidR="00D30C4D" w:rsidRDefault="00B964E1" w:rsidP="00020FC3">
      <w:r>
        <w:t>På oppdrag frå departementet har SIFO kartlagt marknadsføringa barn i alderen 15–16 år får på sosiale medium.</w:t>
      </w:r>
      <w:r>
        <w:rPr>
          <w:vertAlign w:val="superscript"/>
        </w:rPr>
        <w:footnoteReference w:id="57"/>
      </w:r>
      <w:r>
        <w:t xml:space="preserve"> SIFO gjennomførte undersøkinga ved å analysere skjermbilete av mar</w:t>
      </w:r>
      <w:r>
        <w:t>k</w:t>
      </w:r>
      <w:r>
        <w:t>nadsføring som barna har fått på sosiale medium. Undersøkinga viser at den digitale mar</w:t>
      </w:r>
      <w:r>
        <w:t>k</w:t>
      </w:r>
      <w:r>
        <w:t xml:space="preserve">nadsføringa barn møter, i stor grad er skreddarsydd etter dei personlege opplysingane deira, som kjønn, bustad, alder, etnisitet og digitale aktivitetar. Den tydelegaste skreddarsaumen gjeld kjønn. Undersøkingane frå SIFO viser at gutar og jenter får marknadsføring for ulike produkt, og at dei får kommersielle bodskap som strir med ideal om kjønnslikeverd. Marknadsføringa jenter får, tenderer mot </w:t>
      </w:r>
      <w:proofErr w:type="gramStart"/>
      <w:r>
        <w:t>å</w:t>
      </w:r>
      <w:proofErr w:type="gramEnd"/>
      <w:r>
        <w:t xml:space="preserve"> vere seksualisert og kroppsorientert, og å spele på usikkerheit. Gutar får meir marknadsføring knytt til aktivitetar, teknologi og spel. Undersøkingane frå SIFO a</w:t>
      </w:r>
      <w:r>
        <w:t>v</w:t>
      </w:r>
      <w:r>
        <w:lastRenderedPageBreak/>
        <w:t>dekte også at begge kjønn blei eksponerte for marknadsføring for alkohol, pengespel, kosm</w:t>
      </w:r>
      <w:r>
        <w:t>e</w:t>
      </w:r>
      <w:r>
        <w:t>tiske behandlingar og slankeprodukt.</w:t>
      </w:r>
    </w:p>
    <w:p w:rsidR="00D30C4D" w:rsidRDefault="00B964E1" w:rsidP="00020FC3">
      <w:r>
        <w:t>SIFO har også undersøkt korleis barn forstår og relaterer seg til marknadsføringa dei får. U</w:t>
      </w:r>
      <w:r>
        <w:t>n</w:t>
      </w:r>
      <w:r>
        <w:t xml:space="preserve">dersøkinga viser at barna lett identifiserer tradisjonell og merkt marknadsføring. Dette er marknadsføring barna forventar å finne, og som dei er kritiske til. Men barna er mindre kritiske til den marknadsføringa dei møter mest av på sosiale medium: sponsa lenkjer, kjendissponsing og rabattkodar. Dette er marknadsføringsstrategiar som gjer det vanskeleg </w:t>
      </w:r>
      <w:proofErr w:type="gramStart"/>
      <w:r>
        <w:t>å</w:t>
      </w:r>
      <w:proofErr w:type="gramEnd"/>
      <w:r>
        <w:t xml:space="preserve"> skilje kommersiell marknadsføring frå anna innhald.</w:t>
      </w:r>
    </w:p>
    <w:p w:rsidR="00D30C4D" w:rsidRDefault="00B964E1" w:rsidP="00020FC3">
      <w:r>
        <w:t xml:space="preserve">Det er svært vanleg at næringsdrivande bruker såkalla «influensarar» (påverkarar) til </w:t>
      </w:r>
      <w:proofErr w:type="gramStart"/>
      <w:r>
        <w:t>å</w:t>
      </w:r>
      <w:proofErr w:type="gramEnd"/>
      <w:r>
        <w:t xml:space="preserve"> byggje merkevarer og marknadsføre produkt på sosiale medium. Påverkarane anbefaler tenester og produkt til følgjarane sine. Det blir også stadig meir populært for næringsdrivande å bruke såkalla «mikropåverkarar». Desse har færre følgjarar enn dei største profilane, men til gjengjeld er følgjarane ofte meir aktive og engasjerte i marknadsføringsbodskapen til påverkaren. Mange av mikropåverkarane inngår såkalla «ambassadøravtaler» der dei får produkt i byte mot ek</w:t>
      </w:r>
      <w:r>
        <w:t>s</w:t>
      </w:r>
      <w:r>
        <w:t>ponering av selskapet i sosiale medium.</w:t>
      </w:r>
    </w:p>
    <w:p w:rsidR="00D30C4D" w:rsidRDefault="00B964E1" w:rsidP="00020FC3">
      <w:r>
        <w:t>Det kan vere vanskeleg, særleg for barn, å oppfatte skiljet mellom personlege anbefalingar og betalte innlegg i form av reklame der ein bruker påverkarar. Derfor er det også reglar om at all reklame tydeleg skal kunne identifiserast eller merkast som reklame. Likevel har Forbruka</w:t>
      </w:r>
      <w:r>
        <w:t>r</w:t>
      </w:r>
      <w:r>
        <w:t>tilsynet si kartlegging av sosiale medium og bloggar vist at påverkarar merkar reklame for dårleg.</w:t>
      </w:r>
    </w:p>
    <w:p w:rsidR="00D30C4D" w:rsidRDefault="00B964E1" w:rsidP="00020FC3">
      <w:pPr>
        <w:pStyle w:val="tittel-ramme"/>
      </w:pPr>
      <w:r>
        <w:t>Tilsyn med skjult reklame i sosiale medium og bloggar</w:t>
      </w:r>
    </w:p>
    <w:p w:rsidR="00D30C4D" w:rsidRDefault="00B964E1" w:rsidP="00020FC3">
      <w:r>
        <w:t>I 2017 gjennomførte Forbrukarombodet (no Forbrukartilsynet) eit tilsyn med korleis 20 av dei største påverkarane i Noreg identifiserer reklameinnlegg i sosiale medium. Blant dei som blei undersøkte, var dei største bloggprofilane i Noreg og profilar i sport- og musikkbransjen.</w:t>
      </w:r>
    </w:p>
    <w:p w:rsidR="00D30C4D" w:rsidRDefault="00B964E1" w:rsidP="00020FC3">
      <w:r>
        <w:t xml:space="preserve">Føremålet med tilsynsaksjonen var </w:t>
      </w:r>
      <w:proofErr w:type="gramStart"/>
      <w:r>
        <w:t>å</w:t>
      </w:r>
      <w:proofErr w:type="gramEnd"/>
      <w:r>
        <w:t xml:space="preserve"> undersøkje om reklame i sosiale medium tydeleg framstår som reklame, i tråd med reglane i marknadsføringslova. Tilsynet avdekte at 7 av 10 reklam</w:t>
      </w:r>
      <w:r>
        <w:t>e</w:t>
      </w:r>
      <w:r>
        <w:t>innlegg var i strid med marknadsføringslova.</w:t>
      </w:r>
    </w:p>
    <w:p w:rsidR="00D30C4D" w:rsidRDefault="00B964E1" w:rsidP="00020FC3">
      <w:r>
        <w:t>Etter dialog med påverkarane gjennomførte Forbrukartilsynet eit nytt tilsyn med dei same påverkarane i 2018. Resultata viste at tilsynet hadde hatt stor effekt, og at talet på brot hadde gått svært mykje ned.</w:t>
      </w:r>
    </w:p>
    <w:p w:rsidR="00D30C4D" w:rsidRDefault="00B964E1" w:rsidP="00020FC3">
      <w:r>
        <w:t xml:space="preserve">Det er annonsørane som har hovudansvaret for at marknadsføringa som skjer på vegner av dei, er i tråd med marknadsføringslova. Forbrukartilsynet har i 2018 jobba mykje med </w:t>
      </w:r>
      <w:proofErr w:type="gramStart"/>
      <w:r>
        <w:t>å</w:t>
      </w:r>
      <w:proofErr w:type="gramEnd"/>
      <w:r>
        <w:t xml:space="preserve"> følgje opp annonsørar som bruker påverkarar til å reklamere for seg utan at dei har god nok kontroll på om forbrukarane kan identifisere innlegga som reklame.</w:t>
      </w:r>
    </w:p>
    <w:p w:rsidR="00D30C4D" w:rsidRDefault="00B964E1">
      <w:pPr>
        <w:pStyle w:val="Ramme-slutt"/>
        <w:rPr>
          <w:sz w:val="26"/>
          <w:szCs w:val="26"/>
        </w:rPr>
      </w:pPr>
      <w:r>
        <w:rPr>
          <w:sz w:val="26"/>
          <w:szCs w:val="26"/>
        </w:rPr>
        <w:t>[Boks slutt]</w:t>
      </w:r>
    </w:p>
    <w:p w:rsidR="00D30C4D" w:rsidRDefault="00B964E1" w:rsidP="00020FC3">
      <w:r>
        <w:t xml:space="preserve">Det er lett å engasjere barn og unge gjennom konkurransar og venneverving. Desse verkemidla kan derfor brukast til </w:t>
      </w:r>
      <w:proofErr w:type="gramStart"/>
      <w:r>
        <w:t>å</w:t>
      </w:r>
      <w:proofErr w:type="gramEnd"/>
      <w:r>
        <w:t xml:space="preserve"> marknadsføre produkt og tenester til denne målgruppa. Konkurransar i sosiale medium har blitt ein svært vanleg marknadsføringsvariant. For å ta del i slike konku</w:t>
      </w:r>
      <w:r>
        <w:t>r</w:t>
      </w:r>
      <w:r>
        <w:t xml:space="preserve">ransar må ein til dømes like eller dele eit bilete. På den måten oppnår den næringsdrivande ein </w:t>
      </w:r>
      <w:r>
        <w:lastRenderedPageBreak/>
        <w:t xml:space="preserve">marknadsføringseffekt. Nokre næringsdrivande tilbyr også brukarar av sosiale medium eit gratis produkt, ei teneste eller ein rabatt som påskjøning dersom dei «liker» eller deler reklame frå den næringsdrivande på Facebook. Det er i tillegg vanleg </w:t>
      </w:r>
      <w:proofErr w:type="gramStart"/>
      <w:r>
        <w:t>å</w:t>
      </w:r>
      <w:proofErr w:type="gramEnd"/>
      <w:r>
        <w:t xml:space="preserve"> krevje at følgjarar må tagge venner i innlegga for å kunne ta del i konkurransar. Ved denne forma for marknadsføring bruker ein forbrukarar til å gjennomføre marknadsføringa. Slik praksis kan vere i strid med reglane i marknadsføringslova dersom konkurransen og marknadsføringa er retta mot barn.</w:t>
      </w:r>
    </w:p>
    <w:p w:rsidR="00D30C4D" w:rsidRDefault="00B964E1" w:rsidP="00020FC3">
      <w:r>
        <w:t xml:space="preserve">I 2017 tok Forbrukarombodet (no Forbrukartilsynet) opp ei sak om marknadsføring av ein konkurranse på Snapchat. Eit vilkår for å vinne premiar var at deltakarane måtte sende vidare ein «snap» (eit bilete eller ein film) frå kontoen til den næringsdrivande til alle vennene sine på Snapchat. Det blei understreka at før premien blei utdelt, kom den næringsdrivande til å sjekke om dette faktisk hadde blitt gjort. Forbrukartilsynet fann at konkurransen var i strid med fleire reglar i kapittel 4 i marknadsføringslova om særleg vern av barn. Forbrukartilsynet meinte mellom anna at marknadsføringa fekk karakter av </w:t>
      </w:r>
      <w:proofErr w:type="gramStart"/>
      <w:r>
        <w:t>å</w:t>
      </w:r>
      <w:proofErr w:type="gramEnd"/>
      <w:r>
        <w:t xml:space="preserve"> vere skjult, fordi ho utnytta barna sine eigne kvardagslege kommunikasjonskanalar, der dei ikkje forventar å få reklame.</w:t>
      </w:r>
    </w:p>
    <w:p w:rsidR="00D30C4D" w:rsidRDefault="00B964E1" w:rsidP="00020FC3">
      <w:r>
        <w:t xml:space="preserve">Forbrukartilsynet har dei siste åra jobba aktivt for </w:t>
      </w:r>
      <w:proofErr w:type="gramStart"/>
      <w:r>
        <w:t>å</w:t>
      </w:r>
      <w:proofErr w:type="gramEnd"/>
      <w:r>
        <w:t xml:space="preserve"> førebyggje brot på marknadsføringslova i digitale rom. Tilsynet har mellom anna utarbeidd rettleiingar for merking av reklame i sosiale medium og for handelspraksis overfor barn og unge. Tilsynet har også laga ein animasjonsfilm og informasjonsvideo som forklarer regelverket.</w:t>
      </w:r>
    </w:p>
    <w:p w:rsidR="00D30C4D" w:rsidRDefault="00B964E1" w:rsidP="00020FC3">
      <w:r>
        <w:t>Forbrukartilsynet og dei øvrige nordiske forbrukarstyresmaktene har utarbeidd eit felles no</w:t>
      </w:r>
      <w:r>
        <w:t>r</w:t>
      </w:r>
      <w:r>
        <w:t>disk standpunkt om skjult reklame overfor EU. EU-kommisjonen har også dei seinare åra retta søkjelys mot dette. Kommisjonen har mellom anna utarbeidd ei omfattande rettleiing om ko</w:t>
      </w:r>
      <w:r>
        <w:t>r</w:t>
      </w:r>
      <w:r>
        <w:t>leis ein skal forstå og handheve forbrukarregelverket i møte med den digitale røynda.</w:t>
      </w:r>
    </w:p>
    <w:p w:rsidR="00D30C4D" w:rsidRDefault="00B964E1" w:rsidP="00020FC3">
      <w:r>
        <w:t xml:space="preserve">Regjeringa er oppteken av </w:t>
      </w:r>
      <w:proofErr w:type="gramStart"/>
      <w:r>
        <w:t>å</w:t>
      </w:r>
      <w:proofErr w:type="gramEnd"/>
      <w:r>
        <w:t xml:space="preserve"> styrkje tilsynet med digital marknadsføring retta mot barn og unge. Derfor har regjeringa auka løyvinga til Forbrukartilsynet for 2019 med 6 millionar kroner. Midlane skal mellom anna brukast til å auke tilsynet med marknadsføring retta mot barn i sosiale medium og til å rettleie aktørar som bloggarar og påverkarar i kva for reglar som gjeld for marknadsføringa.</w:t>
      </w:r>
    </w:p>
    <w:p w:rsidR="00D30C4D" w:rsidRDefault="00B964E1" w:rsidP="00020FC3">
      <w:r>
        <w:t>Ei utfordring med sosiale medium er det store omfanget, som gjer det omfattande og tidkre</w:t>
      </w:r>
      <w:r>
        <w:t>v</w:t>
      </w:r>
      <w:r>
        <w:t>jande å føre tilsyn med området. Forbrukarstyresmaktene vil utforske moglegheitene for å utvikle automatiserte digitale verktøy som kan skanne sosiale medium etter potensielle brot på marknadsføringslova. Dette vil kunne gjere tilsynet meir effektivt.</w:t>
      </w:r>
    </w:p>
    <w:p w:rsidR="00D30C4D" w:rsidRDefault="00B964E1" w:rsidP="00020FC3">
      <w:r>
        <w:t>I tillegg til tilsyn og rettleiing til næringsdrivande er regjeringa oppteken av å formidle kun</w:t>
      </w:r>
      <w:r>
        <w:t>n</w:t>
      </w:r>
      <w:r>
        <w:t>skap til barn og unge om reklame og korleis reklame kan påverke oss. Departementet har derfor, i samarbeid med Mediekompasset (tidlegare Avis i skolen), fått utarbeidd eit underv</w:t>
      </w:r>
      <w:r>
        <w:t>i</w:t>
      </w:r>
      <w:r>
        <w:t>singshefte om reklame til bruk i skulen. I dette heftet finn ein mellom anna opplæring i ulike verkemiddel som blir brukte i reklame, kva reklamekanalar som finst, og korleis reklamen påverkar oss. Målet med heftet er å gi barn og unge sunne og medvitne haldningar til reklame. Sidan 2016 har det blitt distribuert over 60 000 hefte, og etterspurnaden er framleis stor. Heftet blei sist oppdatert i 2013, og utviklinga på området reklame og sosiale medium går raskt. D</w:t>
      </w:r>
      <w:r>
        <w:t>e</w:t>
      </w:r>
      <w:r>
        <w:t>partementet vil derfor revidere heftet, slik at nye marknadsføringskanalar, som sosiale medium, blir tekne med. Det reviderte heftet vil også bli tilgjengeleg digitalt.</w:t>
      </w:r>
    </w:p>
    <w:p w:rsidR="00D30C4D" w:rsidRDefault="00B964E1" w:rsidP="00020FC3">
      <w:pPr>
        <w:pStyle w:val="Overskrift3"/>
      </w:pPr>
      <w:r>
        <w:lastRenderedPageBreak/>
        <w:t>Særleg om kroppspress i sosiale medium</w:t>
      </w:r>
    </w:p>
    <w:p w:rsidR="00D30C4D" w:rsidRDefault="00B964E1" w:rsidP="00020FC3">
      <w:r>
        <w:t>Kroppspress har lenge vore eit problem blant barn og unge. Fleire forskingsrapportar, mellom anna ei undersøking gjennomført av NOVA, tyder på at det er ein samanheng mellom auka bruk av sosiale medium og auka kroppspress.</w:t>
      </w:r>
      <w:r>
        <w:rPr>
          <w:vertAlign w:val="superscript"/>
        </w:rPr>
        <w:footnoteReference w:id="58"/>
      </w:r>
      <w:r>
        <w:t xml:space="preserve"> Kroppspress er ifølgje studiane éin av fleire faktorar som kan ha noko </w:t>
      </w:r>
      <w:proofErr w:type="gramStart"/>
      <w:r>
        <w:t>å</w:t>
      </w:r>
      <w:proofErr w:type="gramEnd"/>
      <w:r>
        <w:t xml:space="preserve"> seie for den psykiske helsa til barn og unge. Sosiale medium kan dermed vere ein faktor som er med på å auke førekomsten av psykiske lidingar hos barn og unge.</w:t>
      </w:r>
    </w:p>
    <w:p w:rsidR="00D30C4D" w:rsidRDefault="00B964E1" w:rsidP="00020FC3">
      <w:r>
        <w:t>Marknadsføring i sosiale medium er ein viktig del av dette biletet. Skjønnheitsbransjen mar</w:t>
      </w:r>
      <w:r>
        <w:t>k</w:t>
      </w:r>
      <w:r>
        <w:t xml:space="preserve">nadsfører i stor grad produkta sine i sosiale medium, og det blir ofte brukt påverkarar for å rette reklamen mot unge forbrukarar. Sosiale medium er prega av innlegg som gir barn og unge </w:t>
      </w:r>
      <w:proofErr w:type="gramStart"/>
      <w:r>
        <w:t>ei</w:t>
      </w:r>
      <w:proofErr w:type="gramEnd"/>
      <w:r>
        <w:t xml:space="preserve"> oppfatning av korleis dei bør sjå ut, og korleis ein kan betre utsjånaden sin, for å leve opp til skjønnheitsideal. Bruken av påverkarar gir reklamen ein ekstra sterk verknad ved at han kjem frå personar som ungdommar ser opp til og beundrar.</w:t>
      </w:r>
    </w:p>
    <w:p w:rsidR="00D30C4D" w:rsidRDefault="00B964E1" w:rsidP="00020FC3">
      <w:r>
        <w:t>Mykje av det som blir lagt ut i sosiale medium, og som er med på å skape kroppspress, blir ikkje rekna som marknadsføring. Dermed fell det utanfor verkeområdet til marknadsføringslova. Dette gjeld til dømes dersom ein påverkar omtaler eigne kosmetiske inngrep utan å ha ei kommersiell binding til ein næringsdrivande. Slike innlegg kan likevel vere med på å auke kroppspresset hos barn og unge.</w:t>
      </w:r>
    </w:p>
    <w:p w:rsidR="00D30C4D" w:rsidRDefault="00B964E1" w:rsidP="00020FC3">
      <w:r>
        <w:t>Dåverande Barne- og likestillingsdepartementet gav i 2018 Medietilsynet i oppdrag å utarbeide ei skisse til etiske retningslinjer for påverkarar, nettverk og annonsørar. Forbrukartilsynet tok del i arbeidet som ein fagleg ressurs med kunnskap og erfaring frå tilsynsarbeidet sitt. Etter at skissa blei levert til departementet i oktober 2018, inviterte Barne- og likestillingsministeren og folkehelseministeren til eit diskusjonsmøte. Her var påverkarar, nettverket deira, annonsørar, ungdom og andre interessentar med. Føremålet med møtet var å få innspel til skissa frå delt</w:t>
      </w:r>
      <w:r>
        <w:t>a</w:t>
      </w:r>
      <w:r>
        <w:t>karane, for å få på plass nokre endelege etiske retningslinjer for bransjen. Endelege retning</w:t>
      </w:r>
      <w:r>
        <w:t>s</w:t>
      </w:r>
      <w:r>
        <w:t>linjer blir ferdigstilte av bransjen sjølv. Målet er å få bransjen til å ta eit større ansvar for den påverknaden dei har på unge i sosiale medium.</w:t>
      </w:r>
    </w:p>
    <w:p w:rsidR="00D30C4D" w:rsidRDefault="00B964E1" w:rsidP="00020FC3">
      <w:r>
        <w:t>Regjeringa vil arbeide for å motverke kroppspress på sosiale medium og vil leggje til rette for det vidare arbeidet med etiske retningslinjer for påverkarbransjen. Retningslinjene skal fungere som felles køyrereglar. Dei skal komme i tillegg til gjeldande lovgiving. Regjeringa arbeider også med endringar i regelverket for kosmetiske injeksjonar og kosmetisk kirurgi. Endringar i marknadsføringslova, for å motverke kroppspress hos barn og unge, er også under utarbeiding. Dei føreslåtte endringane vil vere ein del av oppfølginga av oppmodingsvedtak frå Stortinget, og dei omfattar mellom anna reglar om merking av retusjert reklame.</w:t>
      </w:r>
    </w:p>
    <w:p w:rsidR="00D30C4D" w:rsidRDefault="00B964E1" w:rsidP="00020FC3">
      <w:pPr>
        <w:pStyle w:val="Overskrift3"/>
      </w:pPr>
      <w:r>
        <w:lastRenderedPageBreak/>
        <w:t>Kjøpepress i digitale spel</w:t>
      </w:r>
    </w:p>
    <w:p w:rsidR="00D30C4D" w:rsidRDefault="00B964E1" w:rsidP="00020FC3">
      <w:r>
        <w:t xml:space="preserve">Kjøp av virtuelle gjenstandar i dataspel har i lengre tid vore ei utfordring for barn og foreldre. I mange spel kan ein betale for oppgradering av utstyr. Dette kan vere betre våpen, nye drakter eller finare utstyr til figurane i spela. For at barna skal kunne bruke spela, må dei føresette opprette ein profil der dei også legg inn bankkortinformasjon. Det finst mange døme på foreldre som har fått høge rekningar fordi barna har handla ting i slike </w:t>
      </w:r>
      <w:proofErr w:type="gramStart"/>
      <w:r>
        <w:t>spel</w:t>
      </w:r>
      <w:proofErr w:type="gramEnd"/>
      <w:r>
        <w:t>.</w:t>
      </w:r>
    </w:p>
    <w:p w:rsidR="00D30C4D" w:rsidRDefault="00B964E1" w:rsidP="00020FC3">
      <w:r>
        <w:t>I desember 2013 stilte forbrukarstyresmaktene i Europa felles krav til Apple og Google om endringar i marknadsføringa av spel gjennom appbutikkar. Svært mange spel i dei ulike ap</w:t>
      </w:r>
      <w:r>
        <w:t>p</w:t>
      </w:r>
      <w:r>
        <w:t>butikkane blei marknadsførte som «gratis». Dermed fekk ikkje foreldra indikasjonar på at ein kunne kjøpe ting i spela. Sjølv om nedlastinga av spela var gratis, var konseptet ofte basert på at ein kunne gjere kjøp inne i spelet. Standardinnstillingane i appbutikkane gjorde at ein kunne gjennomføre slike kjøp med nokre få tastetrykk. Forbrukarstyresmaktene i Europa gjekk derfor saman om å stille krav til Apple og Google for å få til ei endring. Dette førte til at selskapa forplikta seg til ikkje å bruke ordet «gratis» om spel ein kan kjøpe ting i. Standardinnstillingane blei endra slik at ein må stadfeste betalinga før kvart kjøp, med mindre brukaren aktivt vel å endre desse innstillingane sjølv. Det blei også utvikla retningslinjer for apputviklarar for å forhindre direkte kjøpsoppmodingar til barn. Trass i dette arbeidet er det framleis eit utbreidd problem at barn blir oppmoda til å kjøpe virtuelle gjenstandar i spel, og at foreldre opplever at barna belastar bankkortet til foreldra utan lov.</w:t>
      </w:r>
    </w:p>
    <w:p w:rsidR="00D30C4D" w:rsidRDefault="00B964E1" w:rsidP="00020FC3">
      <w:pPr>
        <w:rPr>
          <w:rFonts w:cs="Times New Roman"/>
          <w:szCs w:val="24"/>
          <w:lang w:val="en-GB"/>
        </w:rPr>
      </w:pPr>
      <w:r>
        <w:t>Dei store plattformene og spelutviklarane er globale aktørar som ein best kan påverke gjennom internasjonalt samarbeid. Norske forbrukarstyresmakter skal vere aktive pådrivarar i intern</w:t>
      </w:r>
      <w:r>
        <w:t>a</w:t>
      </w:r>
      <w:r>
        <w:t xml:space="preserve">sjonale forum, for </w:t>
      </w:r>
      <w:proofErr w:type="gramStart"/>
      <w:r>
        <w:t>å</w:t>
      </w:r>
      <w:proofErr w:type="gramEnd"/>
      <w:r>
        <w:t xml:space="preserve"> vere med på setje kjøpepress i digitale spel på dagsordenen.</w:t>
      </w:r>
    </w:p>
    <w:p w:rsidR="00D30C4D" w:rsidRDefault="00B964E1" w:rsidP="00020FC3">
      <w:pPr>
        <w:pStyle w:val="Overskrift2"/>
      </w:pPr>
      <w:r>
        <w:t>Regjeringa vil</w:t>
      </w:r>
    </w:p>
    <w:p w:rsidR="00D30C4D" w:rsidRDefault="00B964E1" w:rsidP="00E05FE4">
      <w:pPr>
        <w:pStyle w:val="Listebombe"/>
        <w:numPr>
          <w:ilvl w:val="0"/>
          <w:numId w:val="1"/>
        </w:numPr>
        <w:ind w:left="320" w:hanging="320"/>
        <w:rPr>
          <w:sz w:val="21"/>
          <w:szCs w:val="21"/>
        </w:rPr>
      </w:pPr>
      <w:r>
        <w:rPr>
          <w:sz w:val="21"/>
          <w:szCs w:val="21"/>
        </w:rPr>
        <w:t>kartleggje den digitale forbrukarkompetansen med særleg vekt på barn og unge</w:t>
      </w:r>
    </w:p>
    <w:p w:rsidR="00D30C4D" w:rsidRDefault="00B964E1" w:rsidP="00E05FE4">
      <w:pPr>
        <w:pStyle w:val="Listebombe"/>
        <w:numPr>
          <w:ilvl w:val="0"/>
          <w:numId w:val="1"/>
        </w:numPr>
        <w:ind w:left="320" w:hanging="320"/>
        <w:rPr>
          <w:sz w:val="21"/>
          <w:szCs w:val="21"/>
        </w:rPr>
      </w:pPr>
      <w:r>
        <w:rPr>
          <w:sz w:val="21"/>
          <w:szCs w:val="21"/>
        </w:rPr>
        <w:t xml:space="preserve">særleg leggje vekt på tilsyn med digital marknadsføring retta mot barn og unge, gjennom </w:t>
      </w:r>
      <w:proofErr w:type="gramStart"/>
      <w:r>
        <w:rPr>
          <w:sz w:val="21"/>
          <w:szCs w:val="21"/>
        </w:rPr>
        <w:t>å</w:t>
      </w:r>
      <w:proofErr w:type="gramEnd"/>
      <w:r>
        <w:rPr>
          <w:sz w:val="21"/>
          <w:szCs w:val="21"/>
        </w:rPr>
        <w:t xml:space="preserve"> styrkje arbeidet til Forbrukartilsynet frå 2019</w:t>
      </w:r>
    </w:p>
    <w:p w:rsidR="00D30C4D" w:rsidRDefault="00B964E1" w:rsidP="00E05FE4">
      <w:pPr>
        <w:pStyle w:val="Listebombe"/>
        <w:numPr>
          <w:ilvl w:val="0"/>
          <w:numId w:val="1"/>
        </w:numPr>
        <w:ind w:left="320" w:hanging="320"/>
        <w:rPr>
          <w:sz w:val="21"/>
          <w:szCs w:val="21"/>
        </w:rPr>
      </w:pPr>
      <w:r>
        <w:rPr>
          <w:sz w:val="21"/>
          <w:szCs w:val="21"/>
        </w:rPr>
        <w:t>oppdatere undervisingsheftet om reklame, mellom anna ved å ta inn omtale av nye marknadsf</w:t>
      </w:r>
      <w:r>
        <w:rPr>
          <w:sz w:val="21"/>
          <w:szCs w:val="21"/>
        </w:rPr>
        <w:t>ø</w:t>
      </w:r>
      <w:r>
        <w:rPr>
          <w:sz w:val="21"/>
          <w:szCs w:val="21"/>
        </w:rPr>
        <w:t>ringskanalar</w:t>
      </w:r>
    </w:p>
    <w:p w:rsidR="00D30C4D" w:rsidRDefault="00B964E1" w:rsidP="00E05FE4">
      <w:pPr>
        <w:pStyle w:val="Listebombe"/>
        <w:numPr>
          <w:ilvl w:val="0"/>
          <w:numId w:val="1"/>
        </w:numPr>
        <w:ind w:left="320" w:hanging="320"/>
        <w:rPr>
          <w:sz w:val="21"/>
          <w:szCs w:val="21"/>
        </w:rPr>
      </w:pPr>
      <w:r>
        <w:rPr>
          <w:sz w:val="21"/>
          <w:szCs w:val="21"/>
        </w:rPr>
        <w:t>leggje til rette for det vidare arbeidet med etiske retningslinjer for bloggarar, påverkarar, nettverk og annonsørar</w:t>
      </w:r>
    </w:p>
    <w:p w:rsidR="00D30C4D" w:rsidRDefault="00B964E1" w:rsidP="00020FC3">
      <w:pPr>
        <w:pStyle w:val="Overskrift1"/>
      </w:pPr>
      <w:r>
        <w:t>Digital kompetanse, deltaking og tilgang</w:t>
      </w:r>
    </w:p>
    <w:p w:rsidR="00D30C4D" w:rsidRDefault="00741EEC" w:rsidP="00741EEC">
      <w:pPr>
        <w:pStyle w:val="Figur"/>
      </w:pPr>
      <w:r>
        <w:rPr>
          <w:noProof/>
        </w:rPr>
        <w:t>[:figur:figX-X.jpg]</w:t>
      </w:r>
    </w:p>
    <w:p w:rsidR="00D30C4D" w:rsidRDefault="00B964E1" w:rsidP="00020FC3">
      <w:pPr>
        <w:pStyle w:val="figur-tittel"/>
      </w:pPr>
      <w:r>
        <w:t> </w:t>
      </w:r>
    </w:p>
    <w:p w:rsidR="00D30C4D" w:rsidRDefault="00B964E1" w:rsidP="00020FC3">
      <w:pPr>
        <w:pStyle w:val="figur-noter"/>
      </w:pPr>
      <w:r>
        <w:t>Foto: Johnér</w:t>
      </w:r>
    </w:p>
    <w:p w:rsidR="00D30C4D" w:rsidRDefault="00B964E1" w:rsidP="00E05FE4">
      <w:pPr>
        <w:pStyle w:val="Overskrift2"/>
        <w:numPr>
          <w:ilvl w:val="1"/>
          <w:numId w:val="34"/>
        </w:numPr>
      </w:pPr>
      <w:r>
        <w:t>Innleiing</w:t>
      </w:r>
    </w:p>
    <w:p w:rsidR="00D30C4D" w:rsidRDefault="00B964E1" w:rsidP="00020FC3">
      <w:r>
        <w:t xml:space="preserve">Gjennom internett får forbrukarane tilgang til fleire, betre og meir tilpassa varer og tenester frå heile verda. Det gjer det lettare </w:t>
      </w:r>
      <w:proofErr w:type="gramStart"/>
      <w:r>
        <w:t>å</w:t>
      </w:r>
      <w:proofErr w:type="gramEnd"/>
      <w:r>
        <w:t xml:space="preserve"> samanlikne produkt og tenester og finne informasjon om rettane sine på nettet. Noreg toppar internasjonale samanlikningar over internettilgang, og </w:t>
      </w:r>
      <w:r>
        <w:lastRenderedPageBreak/>
        <w:t>norske mobilnett har blitt kåra til dei raskaste i verda. Det er likevel framleis ein del av b</w:t>
      </w:r>
      <w:r>
        <w:t>e</w:t>
      </w:r>
      <w:r>
        <w:t>folkninga som ikkje ønskjer eller evnar å ta i bruk digitale løysingar. Mange digitale produkt og tenester er også utilgjengelege for mange forbrukarar sidan dei ikkje er universelt utforma.</w:t>
      </w:r>
    </w:p>
    <w:p w:rsidR="00D30C4D" w:rsidRDefault="00B964E1" w:rsidP="00020FC3">
      <w:r>
        <w:t xml:space="preserve">Regjeringa legg vekt på </w:t>
      </w:r>
      <w:proofErr w:type="gramStart"/>
      <w:r>
        <w:t>å</w:t>
      </w:r>
      <w:proofErr w:type="gramEnd"/>
      <w:r>
        <w:t xml:space="preserve"> styrkje den digitale deltakinga og kompetansen i befolkninga. R</w:t>
      </w:r>
      <w:r>
        <w:t>e</w:t>
      </w:r>
      <w:r>
        <w:t xml:space="preserve">gjeringa vil vidare vere med på </w:t>
      </w:r>
      <w:proofErr w:type="gramStart"/>
      <w:r>
        <w:t>å</w:t>
      </w:r>
      <w:proofErr w:type="gramEnd"/>
      <w:r>
        <w:t xml:space="preserve"> leggje til rette for universell utforming av IKT-løysingar som forbrukarane får tilbod om, og synleggjere korleis helse- og velferdsteknologi kan gjere livet til forbrukarane enklare.</w:t>
      </w:r>
    </w:p>
    <w:p w:rsidR="00D30C4D" w:rsidRDefault="00B964E1" w:rsidP="00020FC3">
      <w:pPr>
        <w:pStyle w:val="Overskrift2"/>
      </w:pPr>
      <w:r>
        <w:t>Status for digital kompetanse og deltaking i Noreg</w:t>
      </w:r>
    </w:p>
    <w:p w:rsidR="00D30C4D" w:rsidRDefault="00B964E1" w:rsidP="00020FC3">
      <w:r>
        <w:t>Noreg er eit av dei fremste landa i verda når det gjeld tilgang på IKT-utstyr og tilgang til og bruk av internett. 90 prosent av innbyggjarane i aldersgruppa 9–79 år brukte internett dagleg i 2017.</w:t>
      </w:r>
      <w:r>
        <w:rPr>
          <w:vertAlign w:val="superscript"/>
        </w:rPr>
        <w:footnoteReference w:id="59"/>
      </w:r>
      <w:r>
        <w:t xml:space="preserve"> Bruken er høgast blant dei unge 9–15 år (93 prosent) og yngre vaksne 16–24 år (98 prosent), mens 60 prosent i aldersgruppa 67–79 år seier at dei bruker internett dagleg. Eldre over 80 er ikkje med i undersøkinga til SSB, men studiar gjorde av SIFO</w:t>
      </w:r>
      <w:r>
        <w:rPr>
          <w:vertAlign w:val="superscript"/>
        </w:rPr>
        <w:footnoteReference w:id="60"/>
      </w:r>
      <w:r>
        <w:t xml:space="preserve"> og Difi</w:t>
      </w:r>
      <w:r>
        <w:rPr>
          <w:vertAlign w:val="superscript"/>
        </w:rPr>
        <w:footnoteReference w:id="61"/>
      </w:r>
      <w:r>
        <w:t xml:space="preserve"> i 2014 viser tydeleg at mange eldre frå slutten av 60-åra og oppover heng etter i bruk av internett. Samstundes viser desse studiane at mange eldre nettbrukarar ønskjer </w:t>
      </w:r>
      <w:proofErr w:type="gramStart"/>
      <w:r>
        <w:t>å</w:t>
      </w:r>
      <w:proofErr w:type="gramEnd"/>
      <w:r>
        <w:t xml:space="preserve"> vidareutvikle eigen IKT-kompetanse, og at dei fleste ønskjer å gjere dette via kurs. Tala frå SSB viser at det er skilnader i bruk og tilgang mellom kvinner og menn, og mellom personar med lågare og høgare utdanning, men skilnaden er mindre enn for nokre år sidan.</w:t>
      </w:r>
    </w:p>
    <w:p w:rsidR="00D30C4D" w:rsidRDefault="00B964E1" w:rsidP="00020FC3">
      <w:r>
        <w:t xml:space="preserve">Noreg er eit av dei mest digitaliserte landa i verda, og utviklinga skjer raskt. Dei som føler seg utanfor, kan derfor oppleve den digitale utestenginga som større i Noreg enn i mange andre land. Det digitale skiljet har utvikla seg over tid, og mens det før handla om kven som hadde tilgang til datautstyr og internett eller ikkje, handlar det no mykje meir om kven som har kunnskap og kompetanse til å bruke nettet. Dei gruppene ein reknar som mest sårbare, er i hovudsak innvandrarar av fyrste generasjon, eldre over 65 år, med hovudvekt på kvinner, menneske med funksjonsnedsetjingar, spesielt blinde og svaksynte, og dei som står utanfor arbeids- og samfunnslivet eller er i risikosona for </w:t>
      </w:r>
      <w:proofErr w:type="gramStart"/>
      <w:r>
        <w:t>å</w:t>
      </w:r>
      <w:proofErr w:type="gramEnd"/>
      <w:r>
        <w:t xml:space="preserve"> hamne utanfor.</w:t>
      </w:r>
    </w:p>
    <w:p w:rsidR="00D30C4D" w:rsidRDefault="00B964E1" w:rsidP="00020FC3">
      <w:r>
        <w:t xml:space="preserve">Digital kompetanse og deltaking er ein viktig føresetnad for å oppnå verdiskaping i eit stadig meir digitalt samfunn. I tillegg er slik kompetanse og deltaking med på å sikre demokratiet, ved at alle innbyggjarar kan gjere informerte val og orientere seg om ulike samfunnsspørsmål. Digital kompetanse er også ein føresetnad for å kunne fungere som forbrukar i den digitale </w:t>
      </w:r>
      <w:r>
        <w:lastRenderedPageBreak/>
        <w:t>økonomien. Tiltak for å auke den digitale kompetansen til innbyggjarane er viktige for å hindre digital utanforskap og sikre at flest mogleg blir trygge og sjølvstendige digitale brukarar. Derfor er styrkt digital kompetanse og deltaking ei av hovudprioriteringane i IKT-politikken til r</w:t>
      </w:r>
      <w:r>
        <w:t>e</w:t>
      </w:r>
      <w:r>
        <w:t xml:space="preserve">gjeringa. Dette blei framheva i Meld. St. 27 (2015–2016) </w:t>
      </w:r>
      <w:r>
        <w:rPr>
          <w:rStyle w:val="kursiv"/>
          <w:sz w:val="21"/>
          <w:szCs w:val="21"/>
        </w:rPr>
        <w:t>Digital agenda for Norge</w:t>
      </w:r>
      <w:r>
        <w:t xml:space="preserve">. I kjølvatnet av denne stortingsmeldinga har regjeringa sett i gang fleire tiltak for </w:t>
      </w:r>
      <w:proofErr w:type="gramStart"/>
      <w:r>
        <w:t>å</w:t>
      </w:r>
      <w:proofErr w:type="gramEnd"/>
      <w:r>
        <w:t xml:space="preserve"> styrkje den digitale ko</w:t>
      </w:r>
      <w:r>
        <w:t>m</w:t>
      </w:r>
      <w:r>
        <w:t>petansen til innbyggjarane. Vi går kort gjennom dei viktigaste tiltaka nedanfor.</w:t>
      </w:r>
    </w:p>
    <w:p w:rsidR="00D30C4D" w:rsidRDefault="00B964E1" w:rsidP="00020FC3">
      <w:pPr>
        <w:pStyle w:val="Overskrift3"/>
      </w:pPr>
      <w:r>
        <w:t>Digidel-programmet</w:t>
      </w:r>
    </w:p>
    <w:p w:rsidR="00D30C4D" w:rsidRDefault="00B964E1" w:rsidP="00020FC3">
      <w:r>
        <w:t>Kommunal- og moderniseringsdepartementet gjennomførte frå 2015 til 2017 Dig</w:t>
      </w:r>
      <w:r>
        <w:t>i</w:t>
      </w:r>
      <w:r>
        <w:t>del-programmet, som er eit nasjonalt program for auka digital deltaking og kompetanse i b</w:t>
      </w:r>
      <w:r>
        <w:t>e</w:t>
      </w:r>
      <w:r>
        <w:t>folkninga. Programmet henta inn kunnskap og utvikla kurs- og opplæringsmateriell for alle som driv med opplæring i grunnleggjande digitale ferdigheiter. Opplæringsressursane blei utvikla i samarbeid med statlege, kommunale, private og frivillige verksemder. Alle som vil tilby kurs og opplæring, kan hente ressursane gratis på www.digidel.no. Frå 2018 har dire</w:t>
      </w:r>
      <w:r>
        <w:t>k</w:t>
      </w:r>
      <w:r>
        <w:t>toratet Kompetanse Noreg tatt over ansvaret for drift og vidareutvikling av kurs- og oppl</w:t>
      </w:r>
      <w:r>
        <w:t>æ</w:t>
      </w:r>
      <w:r>
        <w:t>ringsmateriell. Direktoratet vil sikre at ressursane er gratis for alle som vil drive med opplæring og rettleiing i digitale ferdigheiter.</w:t>
      </w:r>
    </w:p>
    <w:p w:rsidR="00D30C4D" w:rsidRDefault="00B964E1" w:rsidP="00020FC3">
      <w:pPr>
        <w:pStyle w:val="Overskrift3"/>
      </w:pPr>
      <w:r>
        <w:t>Digihjelpen</w:t>
      </w:r>
    </w:p>
    <w:p w:rsidR="00D30C4D" w:rsidRDefault="00B964E1" w:rsidP="00020FC3">
      <w:r>
        <w:t>Kommunal- og moderniseringsdepartementet og KS, interesseorganisasjonen til kommun</w:t>
      </w:r>
      <w:r>
        <w:t>e</w:t>
      </w:r>
      <w:r>
        <w:t xml:space="preserve">sektoren, har saman forplikta seg til </w:t>
      </w:r>
      <w:proofErr w:type="gramStart"/>
      <w:r>
        <w:t>å</w:t>
      </w:r>
      <w:proofErr w:type="gramEnd"/>
      <w:r>
        <w:t xml:space="preserve"> leggje til rette for at kommunane kan gi innbyggjarar som har liten eller ingen digital kompetanse, eit grunnleggjande rettleiingstilbod, slik at dei i større grad blir digitalt inkluderte. Saman med representantar frå både statleg sektor og kommun</w:t>
      </w:r>
      <w:r>
        <w:t>e</w:t>
      </w:r>
      <w:r>
        <w:t>sektoren gjekk dei i 2017 i gang med prosjektet Digihjelpen. Prosjektet har samla og system</w:t>
      </w:r>
      <w:r>
        <w:t>a</w:t>
      </w:r>
      <w:r>
        <w:t xml:space="preserve">tisert erfaringar og utvikla eit konsept som kan understøtte arbeidet kommunane har gjort med å utvikle eit rettleiingstilbod innanfor digital kompetanse til innbyggjarane. På nettsidene til KS er det lansert </w:t>
      </w:r>
      <w:proofErr w:type="gramStart"/>
      <w:r>
        <w:t>ei</w:t>
      </w:r>
      <w:proofErr w:type="gramEnd"/>
      <w:r>
        <w:t xml:space="preserve"> netthandbok. Denne handboka er eit praktisk hjelpemiddel for kommunar som ønskjer å etablere, eller vidareutvikle, eit rettleiingstilbod for grunnleggjande digital komp</w:t>
      </w:r>
      <w:r>
        <w:t>e</w:t>
      </w:r>
      <w:r>
        <w:t>tanse. Kommunal- og moderniseringsdepartementet har ei tilskotsordning for digital komp</w:t>
      </w:r>
      <w:r>
        <w:t>e</w:t>
      </w:r>
      <w:r>
        <w:t>tanse der mellom anna kommunar som ønskjer å etablere Digihjelpen-tilbod, kan søkje om støtte.</w:t>
      </w:r>
    </w:p>
    <w:p w:rsidR="00D30C4D" w:rsidRDefault="00B964E1" w:rsidP="00020FC3">
      <w:r>
        <w:t xml:space="preserve">Kommunal- og moderniseringsdepartementet, Skattedirektoratet, KS og NAV sentralt har inngått </w:t>
      </w:r>
      <w:proofErr w:type="gramStart"/>
      <w:r>
        <w:t>ei</w:t>
      </w:r>
      <w:proofErr w:type="gramEnd"/>
      <w:r>
        <w:t xml:space="preserve"> samarbeidsavtale om å sikre tiltak for å styrkje den digitale rettleiinga til grupper med låg digital kompetanse. Føremålet med avtala er at partane skal samarbeide om å auke kval</w:t>
      </w:r>
      <w:r>
        <w:t>i</w:t>
      </w:r>
      <w:r>
        <w:t>teten på og styrkje den kommunale rettleiinga til dei gruppene i befolkninga som har låg digital kompetanse. Gjennom samarbeidet skal partane realisere felles mål om digital inkludering og god utnytting av statlege og kommunale digitale tenester. Avtala gjeld ut 2021. Eit av fleire tiltak vil vere at partane i samarbeid arrangerer ulike møteplassar rundt om i landet for å hjelpe kommunar som ikkje har etablert eit Digihjelpen-tilbod, med å komme i gang.</w:t>
      </w:r>
    </w:p>
    <w:p w:rsidR="00D30C4D" w:rsidRDefault="00B964E1" w:rsidP="00020FC3">
      <w:pPr>
        <w:pStyle w:val="Overskrift3"/>
      </w:pPr>
      <w:r>
        <w:lastRenderedPageBreak/>
        <w:t>Andre tiltak og initiativ</w:t>
      </w:r>
    </w:p>
    <w:p w:rsidR="00D30C4D" w:rsidRDefault="00B964E1" w:rsidP="00020FC3">
      <w:r>
        <w:t xml:space="preserve">Det finst også ein del andre tiltak og initiativ for </w:t>
      </w:r>
      <w:proofErr w:type="gramStart"/>
      <w:r>
        <w:t>å</w:t>
      </w:r>
      <w:proofErr w:type="gramEnd"/>
      <w:r>
        <w:t xml:space="preserve"> styrkje den digitale kompetansen og delt</w:t>
      </w:r>
      <w:r>
        <w:t>a</w:t>
      </w:r>
      <w:r>
        <w:t>kinga i befolkninga. Verksemder og frivillige organisasjonar kan søkje om pengar gjennom Kompetansepluss hos Kompetanse Noreg. Desse pengane skal gå til opplæring i grunnle</w:t>
      </w:r>
      <w:r>
        <w:t>g</w:t>
      </w:r>
      <w:r>
        <w:t>gjande ferdigheiter, inkludert i IKT. Kompetansepluss er ei tilskotsordning som er meint å sikre at fleire vaksne, gjennom opplæring i grunnleggjande ferdigheiter (lesing, skriving, snakking, rekning, IKT og norsk eller samisk), kan ta del i vidare opplæring og utdanning og styrkje deltakinga si i arbeids- og samfunnslivet.</w:t>
      </w:r>
    </w:p>
    <w:p w:rsidR="00D30C4D" w:rsidRDefault="00B964E1" w:rsidP="00020FC3">
      <w:r>
        <w:t>Mange kommunale folkebibliotek tilbyr i dag hjelp og rettleiing i bruk av digitale verktøy og tenester for innbyggjarane. Nasjonalbiblioteket disponerer prosjektmidlar som skal stimulere til utvikling i norske folke- og fagbibliotek. Midlane skal vere med på å utvikle bibliotekfeltet, dei skal ha verdi utover kvart enkelt bibliotek, og dei skal fremje nye tilbod.</w:t>
      </w:r>
    </w:p>
    <w:p w:rsidR="00D30C4D" w:rsidRDefault="00B964E1" w:rsidP="00020FC3">
      <w:r>
        <w:t xml:space="preserve">Seniornett Noreg er ein uavhengig, ideell organisasjon som arbeider for </w:t>
      </w:r>
      <w:proofErr w:type="gramStart"/>
      <w:r>
        <w:t>å</w:t>
      </w:r>
      <w:proofErr w:type="gramEnd"/>
      <w:r>
        <w:t xml:space="preserve"> styrkje den digitale kompetansen hos seniorar gjennom opplærings- og informasjonstiltak. Arbeidet med å få fleire over 55 år på nettet skjer både lokalt og nasjonalt, og i samarbeid med andre aktørar. Seniornett Noreg hadde 225 lokale klubbar i 2017. Foreiningane er spreidde over heile landet. Dei lokale klubbane tilbyr seniorar grunnleggjande opplæring i bruk av IKT og internett med vekt på «temakurs» i bruk av nettbank, Facebook, slektsforsking, Skype og sikker digital postkasse, for </w:t>
      </w:r>
      <w:proofErr w:type="gramStart"/>
      <w:r>
        <w:t>å</w:t>
      </w:r>
      <w:proofErr w:type="gramEnd"/>
      <w:r>
        <w:t xml:space="preserve"> nemne noko. I tillegg til Seniornett finst det andre aktørar og stiftingar som tilbyr kurs og opplæring i bruk av digitale verktøy, mellom anna via frivilligsentralar, Raudekrossen og Studieforbundet AOF. Ulike private selskap gir også hjelp og rettleiing til kundane sine i bruk av digitale tenester, til dømes nettbankar, IT- og telekomselskap og nettbutikkar.</w:t>
      </w:r>
    </w:p>
    <w:p w:rsidR="00D30C4D" w:rsidRDefault="00B964E1" w:rsidP="00020FC3">
      <w:r>
        <w:t xml:space="preserve">Regjeringa vil framover arbeide for </w:t>
      </w:r>
      <w:proofErr w:type="gramStart"/>
      <w:r>
        <w:t>å</w:t>
      </w:r>
      <w:proofErr w:type="gramEnd"/>
      <w:r>
        <w:t xml:space="preserve"> styrkje den digitale kompetansen og deltakinga i b</w:t>
      </w:r>
      <w:r>
        <w:t>e</w:t>
      </w:r>
      <w:r>
        <w:t>folkninga, i samarbeid med offentlege verksemder, kommunar og andre organisasjonar.</w:t>
      </w:r>
    </w:p>
    <w:p w:rsidR="00D30C4D" w:rsidRDefault="00B964E1" w:rsidP="00020FC3">
      <w:pPr>
        <w:pStyle w:val="Overskrift3"/>
      </w:pPr>
      <w:r>
        <w:t>Digital kompetanse som er særskild viktig for forbrukarar</w:t>
      </w:r>
    </w:p>
    <w:p w:rsidR="00D30C4D" w:rsidRDefault="00B964E1" w:rsidP="00020FC3">
      <w:r>
        <w:t xml:space="preserve">I arbeidet med </w:t>
      </w:r>
      <w:proofErr w:type="gramStart"/>
      <w:r>
        <w:t>å</w:t>
      </w:r>
      <w:proofErr w:type="gramEnd"/>
      <w:r>
        <w:t xml:space="preserve"> styrkje den digitale kompetansen i befolkninga har regjeringa så langt lagt vekt på generelle ferdigheiter og kunnskapar på nett, som er noko folk treng for å kunne utnytte moglegheitene i den digitale økonomien. </w:t>
      </w:r>
      <w:proofErr w:type="gramStart"/>
      <w:r>
        <w:t>Å</w:t>
      </w:r>
      <w:proofErr w:type="gramEnd"/>
      <w:r>
        <w:t xml:space="preserve"> meistre den digitale marknadsplassen som fo</w:t>
      </w:r>
      <w:r>
        <w:t>r</w:t>
      </w:r>
      <w:r>
        <w:t>brukar inneber likevel noko meir enn slik generell kompetanse. EU-kommisjonen har utvikla eit rammeverk for digital kompetanse som er særskilt retta mot forbrukarar.</w:t>
      </w:r>
      <w:r>
        <w:rPr>
          <w:vertAlign w:val="superscript"/>
        </w:rPr>
        <w:footnoteReference w:id="62"/>
      </w:r>
      <w:r>
        <w:t xml:space="preserve"> Dette ramm</w:t>
      </w:r>
      <w:r>
        <w:t>e</w:t>
      </w:r>
      <w:r>
        <w:t>verket definerer den kunnskapen og dei digitale ferdigheitene som er særleg naudsynte for å fungere aktivt, trygt og sjølvsikkert på den digitale marknadsplassen. EU-kommisjonen sitt rammeverk for digital forbrukarkompetanse legg vekt på at forbrukarane mellom anna bør kunne</w:t>
      </w:r>
    </w:p>
    <w:p w:rsidR="00D30C4D" w:rsidRDefault="00B964E1" w:rsidP="00020FC3">
      <w:pPr>
        <w:pStyle w:val="Liste"/>
      </w:pPr>
      <w:r>
        <w:t>gjere informerte val på den digitale marknadsplassen</w:t>
      </w:r>
    </w:p>
    <w:p w:rsidR="00D30C4D" w:rsidRDefault="00B964E1" w:rsidP="00020FC3">
      <w:pPr>
        <w:pStyle w:val="Liste"/>
      </w:pPr>
      <w:r>
        <w:t>opptre trygt på nettet og unngå å bli offer for villeiande eller bedragersk handelspraksis</w:t>
      </w:r>
    </w:p>
    <w:p w:rsidR="00D30C4D" w:rsidRDefault="00B964E1" w:rsidP="00020FC3">
      <w:pPr>
        <w:pStyle w:val="Liste"/>
      </w:pPr>
      <w:r>
        <w:t>forstå digital marknadsføring</w:t>
      </w:r>
    </w:p>
    <w:p w:rsidR="00D30C4D" w:rsidRDefault="00B964E1" w:rsidP="00020FC3">
      <w:pPr>
        <w:pStyle w:val="Liste"/>
      </w:pPr>
      <w:r>
        <w:lastRenderedPageBreak/>
        <w:t>meistre kjøp og sal av varer og tenester på nettet</w:t>
      </w:r>
    </w:p>
    <w:p w:rsidR="00D30C4D" w:rsidRDefault="00B964E1" w:rsidP="00020FC3">
      <w:pPr>
        <w:pStyle w:val="Liste"/>
      </w:pPr>
      <w:r>
        <w:t>forstå risikoane og fordelane ved digital datainnsamling</w:t>
      </w:r>
    </w:p>
    <w:p w:rsidR="00D30C4D" w:rsidRDefault="00B964E1" w:rsidP="00020FC3">
      <w:r>
        <w:t xml:space="preserve">I rammeverket gir Kommisjonen </w:t>
      </w:r>
      <w:proofErr w:type="gramStart"/>
      <w:r>
        <w:t>ei</w:t>
      </w:r>
      <w:proofErr w:type="gramEnd"/>
      <w:r>
        <w:t xml:space="preserve"> oversikt over kva for ferdigheiter forbrukaren treng i fasane før, under og etter nettkjøp. Rammeverket til EU-kommisjonen er ikkje omsett til norsk eller prøvd ut i Noreg. Samstundes treng ein forsking og undersøkingar om kvar skoen trykkjer når det gjeld digital forbrukarkompetanse for ulike grupper forbrukarar. Regjeringa vil derfor bruke dette rammeverket som utgangspunkt for ei kartlegging av den digitale forbrukarkompetansen til den norske befolkninga.</w:t>
      </w:r>
    </w:p>
    <w:p w:rsidR="00D30C4D" w:rsidRDefault="00B964E1" w:rsidP="00020FC3">
      <w:pPr>
        <w:pStyle w:val="Overskrift2"/>
      </w:pPr>
      <w:r>
        <w:t>Tilgang til og universell utforming av IKT</w:t>
      </w:r>
    </w:p>
    <w:p w:rsidR="00D30C4D" w:rsidRDefault="00B964E1" w:rsidP="00020FC3">
      <w:r>
        <w:t>Digitalisering og nedbygging av manuell tenesteyting aukar kravet til sjølvhjelp. Det blir i aukande grad forventa at alle forbrukarar skal hjelpe seg sjølve via ein skjerm, anten det er i banken, butikken eller på bussen. Når stadig fleire løysingar baserer seg på digital sjølvhjelp, vil enkelte grupper oppleve redusert tilgang. Det er til dømes ikkje alle som meistrar ove</w:t>
      </w:r>
      <w:r>
        <w:t>r</w:t>
      </w:r>
      <w:r>
        <w:t>gangen frå fysiske bankfilialar til nettbank. Eit anna døme er overgangen frå sal av togbillettar i «luka» til sal via automatar eller appar. Utfordringane gjeld spesielt for eldre over 65 år og personar med funksjonsnedsetjingar, særleg blinde og svaksynte.</w:t>
      </w:r>
      <w:r>
        <w:rPr>
          <w:vertAlign w:val="superscript"/>
        </w:rPr>
        <w:footnoteReference w:id="63"/>
      </w:r>
      <w:r>
        <w:t xml:space="preserve"> At nokre grupper ikkje meistrar den nye teknologien, kan dels ha samanheng med manglande digital kompetanse, som nemnt ovanfor. Samstundes handlar det også i stor grad om utforminga av tenestene og pr</w:t>
      </w:r>
      <w:r>
        <w:t>o</w:t>
      </w:r>
      <w:r>
        <w:t>dukta.</w:t>
      </w:r>
    </w:p>
    <w:p w:rsidR="00D30C4D" w:rsidRDefault="00B964E1" w:rsidP="00020FC3">
      <w:pPr>
        <w:pStyle w:val="Overskrift3"/>
      </w:pPr>
      <w:r>
        <w:t>Universell utforming av IKT</w:t>
      </w:r>
    </w:p>
    <w:p w:rsidR="00D30C4D" w:rsidRDefault="00B964E1" w:rsidP="00020FC3">
      <w:r>
        <w:t xml:space="preserve">Universell utforming handlar om å utforme produkt og omgivnader slik at alle </w:t>
      </w:r>
      <w:proofErr w:type="gramStart"/>
      <w:r>
        <w:t>menneske</w:t>
      </w:r>
      <w:proofErr w:type="gramEnd"/>
      <w:r>
        <w:t xml:space="preserve"> kan bruke dei, i så stor utstrekning som mogleg, og utan at ein treng tilpassing eller spesielt utstyr. IKT som er universelt utforma, gir fleire menneske enklare tilgang til digitale varer og tenester. Motsett kan manglande universell utforming skape barrierar for forbrukarar med nedsett funksjonsevne. Det finst mange døme på næringsdrivande som legg vekt på universell utfo</w:t>
      </w:r>
      <w:r>
        <w:t>r</w:t>
      </w:r>
      <w:r>
        <w:t>ming av løysingane sine. Nettbutikken Kolonial.no og verksemda No Isolation er to av desse. Det finst også lovgiving som set krav om universell utforming av IKT for både private og offentlege verksemder.</w:t>
      </w:r>
    </w:p>
    <w:p w:rsidR="00D30C4D" w:rsidRDefault="00B964E1" w:rsidP="00020FC3">
      <w:r>
        <w:t xml:space="preserve">Likevel er det framleis ei utfordring at mange nettsider og IKT-produkt ikkje er universelt utforma. Direktoratet for forvalting og ikt (Difi) publiserte i desember 2018 ei statusmåling for universell utforming av nettsider i privat og offentleg sektor i Noreg. Difi hadde gjennomført 26 818 enkelttestar på 278 nettsider. Nettsidene blei </w:t>
      </w:r>
      <w:proofErr w:type="gramStart"/>
      <w:r>
        <w:t>valde</w:t>
      </w:r>
      <w:proofErr w:type="gramEnd"/>
      <w:r>
        <w:t xml:space="preserve"> ut frå brukarvolum, og i privat sektor sjekka direktoratet mellom anna nettaviser, nettbutikkar og nettstader for transport, reise og overnatting. Statusmålinga viste at 60 prosent av testane gav resultat som indikerte at krava til universell utforming av IKT var oppfylte. Dette vil seie at 40 prosent av testane gav resultat som indikerte at krava til universell utforming av IKT ikkje var oppfylte. Sjølv om denne m</w:t>
      </w:r>
      <w:r>
        <w:t>å</w:t>
      </w:r>
      <w:r>
        <w:lastRenderedPageBreak/>
        <w:t>linga viste framgang frå den førre målinga, viser ho også at det framleis er eit stykke igjen før alle norske nettstader er universelt utforma.</w:t>
      </w:r>
      <w:r>
        <w:rPr>
          <w:vertAlign w:val="superscript"/>
        </w:rPr>
        <w:footnoteReference w:id="64"/>
      </w:r>
    </w:p>
    <w:p w:rsidR="00D30C4D" w:rsidRDefault="00B964E1" w:rsidP="00020FC3">
      <w:r>
        <w:t>Difi vurderer også nettbutikkar og varehandel som eit risikoområde. Bakgrunnen er at net</w:t>
      </w:r>
      <w:r>
        <w:t>t</w:t>
      </w:r>
      <w:r>
        <w:t>handelen er i kraftig vekst, både i omsetning og i talet på brukarar. Samstundes avdekte Difi nokså svake resultat for universell utforming av nettbutikkane som var med i målinga.</w:t>
      </w:r>
    </w:p>
    <w:p w:rsidR="00D30C4D" w:rsidRDefault="00B964E1" w:rsidP="00020FC3">
      <w:r>
        <w:t xml:space="preserve">Regjeringa jobbar aktivt for </w:t>
      </w:r>
      <w:proofErr w:type="gramStart"/>
      <w:r>
        <w:t>å</w:t>
      </w:r>
      <w:proofErr w:type="gramEnd"/>
      <w:r>
        <w:t xml:space="preserve"> fremje universell utforming av IKT. </w:t>
      </w:r>
      <w:r>
        <w:rPr>
          <w:rStyle w:val="kursiv"/>
          <w:sz w:val="21"/>
          <w:szCs w:val="21"/>
        </w:rPr>
        <w:t>Handlingsplan for universell utforming 2015–2019</w:t>
      </w:r>
      <w:r>
        <w:t xml:space="preserve"> frå regjeringa følgjer opp mange viktige samfunnsområde, men legg h</w:t>
      </w:r>
      <w:r>
        <w:t>o</w:t>
      </w:r>
      <w:r>
        <w:t>vudvekt på IKT og velferdsteknologi. Handlingsplanen inneheld mellom anna tiltak for auka tilsyn med verksemder knytt til universell utforming av IKT, forbrukarinformasjon om kva</w:t>
      </w:r>
      <w:r>
        <w:t>r</w:t>
      </w:r>
      <w:r>
        <w:t xml:space="preserve">dagsteknologi og praktiske løysingar, i tillegg til standardisering av brukargrensesnitt og infrastruktur for kvardagsteknologi. Bufdir-programmet UnIKT (Universell utforming av IKT) er eit av tiltaka i handlingsplanen. Programmet legg vekt på </w:t>
      </w:r>
      <w:proofErr w:type="gramStart"/>
      <w:r>
        <w:t>å</w:t>
      </w:r>
      <w:proofErr w:type="gramEnd"/>
      <w:r>
        <w:t xml:space="preserve"> styrkje digital deltaking. UnIKT inkluderer eit forum med tre årlege nettverksmøte om aktuelle tema, og ei tilskotsordning som skal stimulere til inkluderande digitale prosjekt retta mot eit breitt publikum.</w:t>
      </w:r>
    </w:p>
    <w:p w:rsidR="00D30C4D" w:rsidRDefault="00B964E1" w:rsidP="00020FC3">
      <w:r>
        <w:t xml:space="preserve">I europeisk samanheng ligg Noreg langt framme i arbeidet med universell utforming av IKT. EU vedtok i oktober 2016 direktivet </w:t>
      </w:r>
      <w:r>
        <w:rPr>
          <w:rStyle w:val="kursiv"/>
          <w:sz w:val="21"/>
          <w:szCs w:val="21"/>
        </w:rPr>
        <w:t>Web Accessibility Directive</w:t>
      </w:r>
      <w:r>
        <w:t xml:space="preserve"> (WAD). Direktivet stiller krav om tilgang til nettsider og mobilappar. Det pålegg verksemder i offentleg sektor </w:t>
      </w:r>
      <w:proofErr w:type="gramStart"/>
      <w:r>
        <w:t>å</w:t>
      </w:r>
      <w:proofErr w:type="gramEnd"/>
      <w:r>
        <w:t xml:space="preserve"> gjere IKT-løysingar tilgjengelege ved å følgje europeiske standardar for universell utforming. H</w:t>
      </w:r>
      <w:r>
        <w:t>o</w:t>
      </w:r>
      <w:r>
        <w:t>vudføremålet med direktivet er å harmonisere lover og forskrifter når det gjeld tilgang til net</w:t>
      </w:r>
      <w:r>
        <w:t>t</w:t>
      </w:r>
      <w:r>
        <w:t>sider og mobilappar. Føremålet er vidare å auke den digitale deltakinga i samfunnet, auke den digitale kommunikasjonen innbyggjarane har med det offentlege, og gjere tenestene meir ti</w:t>
      </w:r>
      <w:r>
        <w:t>l</w:t>
      </w:r>
      <w:r>
        <w:t>gjengelege. Direktivet er ein del av EU-strategien for den digitale indre marknaden. Det er også ei oppfølging av FN-konvensjonen om rettane til personar med nedsett funksjonsevne. Den nasjonale reguleringa i Noreg byggjer på felles regulering av både offentleg og privat sektor, og Noreg oppfyller allereie mange av krava i direktivet. Sidan dette direktivet er eit minimum</w:t>
      </w:r>
      <w:r>
        <w:t>s</w:t>
      </w:r>
      <w:r>
        <w:t>krav, kan Noreg føre vidare den sterke norske lovgivinga på feltet.</w:t>
      </w:r>
    </w:p>
    <w:p w:rsidR="00D30C4D" w:rsidRDefault="00B964E1" w:rsidP="00020FC3">
      <w:pPr>
        <w:pStyle w:val="tittel-ramme"/>
      </w:pPr>
      <w:r>
        <w:t>Lovgivinga om universell utforming av IKT</w:t>
      </w:r>
    </w:p>
    <w:p w:rsidR="00D30C4D" w:rsidRDefault="00B964E1" w:rsidP="00020FC3">
      <w:r>
        <w:t>Likestillings- og diskrimineringslova krev at dei vanlegaste funksjonane til offentlege og pr</w:t>
      </w:r>
      <w:r>
        <w:t>i</w:t>
      </w:r>
      <w:r>
        <w:t>vate verksemder skal vere universelt utforma. Løysingar for IKT som underbyggjer dei va</w:t>
      </w:r>
      <w:r>
        <w:t>n</w:t>
      </w:r>
      <w:r>
        <w:t>legaste funksjonane til verksemda, og som er hovudløysingar retta mot eller gjorde tilgjeng</w:t>
      </w:r>
      <w:r>
        <w:t>e</w:t>
      </w:r>
      <w:r>
        <w:t>lege for folk flest, skal vere universelt utforma innan fastsette fristar.</w:t>
      </w:r>
    </w:p>
    <w:p w:rsidR="00D30C4D" w:rsidRDefault="00B964E1" w:rsidP="00020FC3">
      <w:r>
        <w:t>Forskrifta om universell universell utforming av IKT fastset nærare krav til standardar for universell utforming, tilsyn, krav til dokumentasjon og rett til å klage. Difi fører tilsyn med forskrifta.</w:t>
      </w:r>
    </w:p>
    <w:p w:rsidR="00D30C4D" w:rsidRDefault="00B964E1">
      <w:pPr>
        <w:pStyle w:val="Ramme-slutt"/>
        <w:rPr>
          <w:sz w:val="26"/>
          <w:szCs w:val="26"/>
        </w:rPr>
      </w:pPr>
      <w:r>
        <w:rPr>
          <w:sz w:val="26"/>
          <w:szCs w:val="26"/>
        </w:rPr>
        <w:t>[Boks slutt]</w:t>
      </w:r>
    </w:p>
    <w:p w:rsidR="00D30C4D" w:rsidRDefault="00B964E1" w:rsidP="00020FC3">
      <w:r>
        <w:lastRenderedPageBreak/>
        <w:t xml:space="preserve">Regjeringa vil fortsetje arbeidet med </w:t>
      </w:r>
      <w:proofErr w:type="gramStart"/>
      <w:r>
        <w:t>å</w:t>
      </w:r>
      <w:proofErr w:type="gramEnd"/>
      <w:r>
        <w:t xml:space="preserve"> fremje universell utforming av IKT. Det vil mellom anna vere viktig </w:t>
      </w:r>
      <w:proofErr w:type="gramStart"/>
      <w:r>
        <w:t>å</w:t>
      </w:r>
      <w:proofErr w:type="gramEnd"/>
      <w:r>
        <w:t xml:space="preserve"> fortsetje med tilsyn og statusmålingar på feltet. Reglane for universell utforming av IKT har fram til no vore gjeldande for nettstader som er oppretta etter 1. juli 2014. Frå 2021 skal alle offentlege og private nettstader vere universelt utforma. Regjeringa forventar at pr</w:t>
      </w:r>
      <w:r>
        <w:t>i</w:t>
      </w:r>
      <w:r>
        <w:t>vate og offentlege verksemder innrettar seg etter desse reglane.</w:t>
      </w:r>
    </w:p>
    <w:p w:rsidR="00D30C4D" w:rsidRDefault="00B964E1" w:rsidP="00020FC3">
      <w:pPr>
        <w:pStyle w:val="Overskrift3"/>
      </w:pPr>
      <w:r>
        <w:t>Produktutvikling og brukarstøtte for å inkludere ei aldrande befolkning</w:t>
      </w:r>
    </w:p>
    <w:p w:rsidR="00D30C4D" w:rsidRDefault="00B964E1" w:rsidP="00020FC3">
      <w:r>
        <w:t xml:space="preserve">Eldre menneske blir i aukande grad digitale innbyggjarar, men mange rapporterer at det blir vanskelegare </w:t>
      </w:r>
      <w:proofErr w:type="gramStart"/>
      <w:r>
        <w:t>å</w:t>
      </w:r>
      <w:proofErr w:type="gramEnd"/>
      <w:r>
        <w:t xml:space="preserve"> følgje med på den digitale og teknologiske utviklinga når ein mistar kontakten med arbeidslivet og brukarstøtte for pc-bruk. Med alderen vil også fleire få funksjonsnedse</w:t>
      </w:r>
      <w:r>
        <w:t>t</w:t>
      </w:r>
      <w:r>
        <w:t xml:space="preserve">jingar og kognitive problem som kan gjere det utfordrande å bruke ulike produkt. Ei viktig oppgåve blir derfor </w:t>
      </w:r>
      <w:proofErr w:type="gramStart"/>
      <w:r>
        <w:t>å</w:t>
      </w:r>
      <w:proofErr w:type="gramEnd"/>
      <w:r>
        <w:t xml:space="preserve"> sørgje for enkel opplæring og brukarstøtte. Like viktig er det likevel at dei som produserer og designar digitale produkt, legg større vekt på brukarvennleg utforming, og at produkta er tilpassa behova til dei eldre.</w:t>
      </w:r>
    </w:p>
    <w:p w:rsidR="00D30C4D" w:rsidRDefault="00B964E1" w:rsidP="00020FC3">
      <w:r>
        <w:t>Sidan det stadig blir fleire eldre i samfunnet, vil eldrevennleg utforming av produkt også r</w:t>
      </w:r>
      <w:r>
        <w:t>e</w:t>
      </w:r>
      <w:r>
        <w:t>presentere store moglegheiter for næringslivet. Næringslivet kan hjelpe til ved å tilby produkt og løysingar for dei som treng enklare løysingar og meir støtte enn andre forbrukargrupper. Dette er mellom anna eit av føremåla med EU-satsinga på «silver economy» gjennom det europeiske innovasjonssamarbeidet for sunn og aktiv aldring (EIPHAA).</w:t>
      </w:r>
    </w:p>
    <w:p w:rsidR="00D30C4D" w:rsidRDefault="00B964E1" w:rsidP="00020FC3">
      <w:r>
        <w:t xml:space="preserve">I stortingsmeldinga om reforma </w:t>
      </w:r>
      <w:r>
        <w:rPr>
          <w:rStyle w:val="kursiv"/>
          <w:sz w:val="21"/>
          <w:szCs w:val="21"/>
        </w:rPr>
        <w:t>Leve hele livet</w:t>
      </w:r>
      <w:r>
        <w:t xml:space="preserve">, som blei lagd fram våren 2018, er det etablert eit program for eit aldersvennleg Noreg. Gjennom programmet skal ein stimulere til samarbeid og nettverk for </w:t>
      </w:r>
      <w:proofErr w:type="gramStart"/>
      <w:r>
        <w:t>å</w:t>
      </w:r>
      <w:proofErr w:type="gramEnd"/>
      <w:r>
        <w:t xml:space="preserve"> fremje ei aldersvennleg samfunnsutvikling. Programmet skal omfatte involvering frå eldre sjølve og frå kommunar, arbeids- og næringsutvikling, sivilsamfunn og forsking og innovasjon. Tiltak for å auke den digitale kompetansen, fremje moglegheiter som ligg i digitale verktøy, og fremje meir aldersvennleg digital og teknologisk produktutvikling vil vere ein del av dette programmet.</w:t>
      </w:r>
    </w:p>
    <w:p w:rsidR="00D30C4D" w:rsidRDefault="00B964E1" w:rsidP="00020FC3">
      <w:pPr>
        <w:pStyle w:val="Overskrift2"/>
      </w:pPr>
      <w:r>
        <w:t>Helse- og velferdsteknologi</w:t>
      </w:r>
    </w:p>
    <w:p w:rsidR="00D30C4D" w:rsidRDefault="00B964E1" w:rsidP="00020FC3">
      <w:r>
        <w:t>Som nemnt ovanfor kan ny digital teknologi som ikkje er universelt utforma, skape barrierar for mange forbrukarar. Dette gjeld til dømes eldre (over 65 år) og personar med funksjonsnedse</w:t>
      </w:r>
      <w:r>
        <w:t>t</w:t>
      </w:r>
      <w:r>
        <w:t>jingar. Til gjengjeld blir det utvikla mange nye digitale produkt og tenester som er spesielt retta mot forbrukarar i sårbare livssituasjonar, og som kan vere med på å heve livskvaliteten deira. Dette gjeld til dømes tryggleiksalarmar, digitale blodtrykkmålarar og mobilappar som ove</w:t>
      </w:r>
      <w:r>
        <w:t>r</w:t>
      </w:r>
      <w:r>
        <w:t>vaker helsedata. Helse- og velferdsteknologi har tradisjonelt vore sterkt knytt til den offentlege helse- og omsorgssektoren, men er no også breitt tilgjengeleg på den kommersielle marknaden.</w:t>
      </w:r>
    </w:p>
    <w:p w:rsidR="00D30C4D" w:rsidRDefault="00B964E1" w:rsidP="00020FC3">
      <w:r>
        <w:t>Ipsos undersøkte i 2017 kor mange som kjenner til eller bruker digitale hjelpemiddel i Noreg i dag. Undersøkinga viste at kjennskap til, og bruk av, digitale/mobile helsehjelpemiddel som heimetestar, måleapparat, helseappar og liknande, varierer både etter alder og kjønn. Elektr</w:t>
      </w:r>
      <w:r>
        <w:t>o</w:t>
      </w:r>
      <w:r>
        <w:t xml:space="preserve">niske stegteljarar og pulsklokker er dei hjelpemidla som flest har høyrt om og brukt. 42 prosent </w:t>
      </w:r>
      <w:r>
        <w:lastRenderedPageBreak/>
        <w:t>har brukt elektronisk stegteljar, og 31 prosent har brukt pulsklokke. I tillegg har 18 prosent brukt hjarte- og blodtrykksmålarar.</w:t>
      </w:r>
      <w:r>
        <w:rPr>
          <w:vertAlign w:val="superscript"/>
        </w:rPr>
        <w:footnoteReference w:id="65"/>
      </w:r>
    </w:p>
    <w:p w:rsidR="00D30C4D" w:rsidRDefault="00B964E1" w:rsidP="00020FC3">
      <w:r>
        <w:t>Mange digitale hjelpemiddel kan mellom anna vere med på å lette overgangen til alderdommen. Dei kan også leggje til rette for at fleire kan leve sjølvstendige liv lengre. Den store tilgangen til informasjon og høvet til å utføre eigenmålingar og sjølvtesting krev samstundes kunnskap hos både forbrukarar, pasientar og helsepersonell om korleis ein bruker løysingane, vurderer kv</w:t>
      </w:r>
      <w:r>
        <w:t>a</w:t>
      </w:r>
      <w:r>
        <w:t>liteten på informasjonen og tolkar råda og måleresultata.</w:t>
      </w:r>
    </w:p>
    <w:p w:rsidR="00D30C4D" w:rsidRDefault="00B964E1" w:rsidP="00020FC3">
      <w:r>
        <w:t xml:space="preserve">For forbrukarar som kjøper helse- og velferdsteknologi, er det i tillegg viktig </w:t>
      </w:r>
      <w:proofErr w:type="gramStart"/>
      <w:r>
        <w:t>å</w:t>
      </w:r>
      <w:proofErr w:type="gramEnd"/>
      <w:r>
        <w:t xml:space="preserve"> vere merksame på korleis dei digitale hjelpemidla varetek personvernet og IKT-tryggleiken. Teknologien gjer at sensitive opplysingar om helse og sjukdom kan </w:t>
      </w:r>
      <w:proofErr w:type="gramStart"/>
      <w:r>
        <w:t>lagrast</w:t>
      </w:r>
      <w:proofErr w:type="gramEnd"/>
      <w:r>
        <w:t xml:space="preserve"> og brukast på ulike måtar. Forbr</w:t>
      </w:r>
      <w:r>
        <w:t>u</w:t>
      </w:r>
      <w:r>
        <w:t xml:space="preserve">karrådet gjennomførte ei undersøking av tilkopla blodtrykkmålarar og blodsukkerapparat i 2017. Undersøkinga viste at produkta samla sett gav nøyaktige mål, men at dei var svake på tryggleik og personvern. Det kan vere vanskeleg for den enkelte forbrukaren å ha kontroll på korleis ein handterer personlege data. Næringsdrivande har eit stort ansvar for at produkta deira sikrar personvernet til brukarane. Som nemnt i kapittel 6 vil regjeringa arbeide for </w:t>
      </w:r>
      <w:proofErr w:type="gramStart"/>
      <w:r>
        <w:t>å</w:t>
      </w:r>
      <w:proofErr w:type="gramEnd"/>
      <w:r>
        <w:t xml:space="preserve"> styrkje kunnskapen dei næringsdrivande har om dei nye personvernreglane. Regjeringa vil også a</w:t>
      </w:r>
      <w:r>
        <w:t>r</w:t>
      </w:r>
      <w:r>
        <w:t xml:space="preserve">beide for </w:t>
      </w:r>
      <w:proofErr w:type="gramStart"/>
      <w:r>
        <w:t>å</w:t>
      </w:r>
      <w:proofErr w:type="gramEnd"/>
      <w:r>
        <w:t xml:space="preserve"> styrkje IKT-tryggleiken i tilkopla produkt, som mange produkt innan helse- og velferdsteknologien er eit døme på.</w:t>
      </w:r>
    </w:p>
    <w:p w:rsidR="00D30C4D" w:rsidRDefault="00B964E1" w:rsidP="00020FC3">
      <w:pPr>
        <w:pStyle w:val="tittel-ramme"/>
      </w:pPr>
      <w:r>
        <w:t>Regelverk og tilsyn med velferdsteknologi</w:t>
      </w:r>
    </w:p>
    <w:p w:rsidR="00D30C4D" w:rsidRDefault="00B964E1" w:rsidP="00020FC3">
      <w:r>
        <w:t>Produkt som gjer det mogleg å utføre eigenmålingar og sjølvtestar, er medisinsk utstyr dersom dei blir brukte til behandling eller diagnostisering av sjukdom. Slike produkt er regulerte av lover og forskrifter om medisinsk utstyr. Statens legemiddelverk er fag- og tilsynsstyresmakt på dette området i Noreg.</w:t>
      </w:r>
    </w:p>
    <w:p w:rsidR="00D30C4D" w:rsidRDefault="00B964E1" w:rsidP="00020FC3">
      <w:r>
        <w:t>Både medisinsk utstyr, eigenmålingsprodukt og sjølvtestar som fell utanfor lovgivinga for medisinsk utstyr, er regulert av marknadsføringslova, angrerettlova og personopplysingslova. Forbrukartilsynet fører tilsyn med marknadsføringslova og angrerettlova, mens Datatilsynet fører tilsyn med personopplysingslova.</w:t>
      </w:r>
    </w:p>
    <w:p w:rsidR="00D30C4D" w:rsidRDefault="00B964E1" w:rsidP="00020FC3">
      <w:r>
        <w:t xml:space="preserve">I tillegg gjeld lov om alternativ behandling for eigenmålingsprodukt og sjølvtestar som ikkje er medisinsk utstyr, men som siktar mot </w:t>
      </w:r>
      <w:proofErr w:type="gramStart"/>
      <w:r>
        <w:t>å</w:t>
      </w:r>
      <w:proofErr w:type="gramEnd"/>
      <w:r>
        <w:t xml:space="preserve"> førebyggje sjukdom eller lidingar. Forbrukartilsynet skal, også ut frå omsynet til forbrukarane, føre tilsyn med at marknadsføringa til utøvarar av alternativ behandling er i samsvar med denne lova.</w:t>
      </w:r>
    </w:p>
    <w:p w:rsidR="00D30C4D" w:rsidRDefault="00B964E1">
      <w:pPr>
        <w:pStyle w:val="Ramme-slutt"/>
        <w:rPr>
          <w:sz w:val="26"/>
          <w:szCs w:val="26"/>
        </w:rPr>
      </w:pPr>
      <w:r>
        <w:rPr>
          <w:sz w:val="26"/>
          <w:szCs w:val="26"/>
        </w:rPr>
        <w:t>[Boks slutt]</w:t>
      </w:r>
    </w:p>
    <w:p w:rsidR="00D30C4D" w:rsidRDefault="00B964E1" w:rsidP="00020FC3">
      <w:r>
        <w:t xml:space="preserve">Regjeringa vil leggje til rette for å etablere ein portal for kvardagsteknologi. Hovudmålet med dette er </w:t>
      </w:r>
      <w:proofErr w:type="gramStart"/>
      <w:r>
        <w:t>å</w:t>
      </w:r>
      <w:proofErr w:type="gramEnd"/>
      <w:r>
        <w:t xml:space="preserve"> synleggjere dei praktiske hjelpemidla som finst på forbrukarmarknaden. Målgruppa er hovudsakleg eldre og personar med funksjonsnedsetjingar.</w:t>
      </w:r>
    </w:p>
    <w:p w:rsidR="00D30C4D" w:rsidRDefault="00B964E1" w:rsidP="00020FC3">
      <w:pPr>
        <w:pStyle w:val="Overskrift2"/>
      </w:pPr>
      <w:r>
        <w:lastRenderedPageBreak/>
        <w:t>Regjeringa vil</w:t>
      </w:r>
    </w:p>
    <w:p w:rsidR="00D30C4D" w:rsidRDefault="00B964E1" w:rsidP="00E05FE4">
      <w:pPr>
        <w:pStyle w:val="Listebombe"/>
        <w:numPr>
          <w:ilvl w:val="0"/>
          <w:numId w:val="1"/>
        </w:numPr>
        <w:ind w:left="320" w:hanging="320"/>
        <w:rPr>
          <w:sz w:val="21"/>
          <w:szCs w:val="21"/>
        </w:rPr>
      </w:pPr>
      <w:r>
        <w:rPr>
          <w:sz w:val="21"/>
          <w:szCs w:val="21"/>
        </w:rPr>
        <w:t xml:space="preserve">fortsetje arbeidet med </w:t>
      </w:r>
      <w:proofErr w:type="gramStart"/>
      <w:r>
        <w:rPr>
          <w:sz w:val="21"/>
          <w:szCs w:val="21"/>
        </w:rPr>
        <w:t>å</w:t>
      </w:r>
      <w:proofErr w:type="gramEnd"/>
      <w:r>
        <w:rPr>
          <w:sz w:val="21"/>
          <w:szCs w:val="21"/>
        </w:rPr>
        <w:t xml:space="preserve"> styrkje den digitale kompetansen og deltakinga i befolkninga</w:t>
      </w:r>
    </w:p>
    <w:p w:rsidR="00D30C4D" w:rsidRDefault="00B964E1" w:rsidP="00E05FE4">
      <w:pPr>
        <w:pStyle w:val="Listebombe"/>
        <w:numPr>
          <w:ilvl w:val="0"/>
          <w:numId w:val="1"/>
        </w:numPr>
        <w:ind w:left="320" w:hanging="320"/>
        <w:rPr>
          <w:sz w:val="21"/>
          <w:szCs w:val="21"/>
        </w:rPr>
      </w:pPr>
      <w:r>
        <w:rPr>
          <w:sz w:val="21"/>
          <w:szCs w:val="21"/>
        </w:rPr>
        <w:t>utarbeide ein ny handlingsplan for universell utforming i 2020</w:t>
      </w:r>
    </w:p>
    <w:p w:rsidR="00D30C4D" w:rsidRDefault="00B964E1" w:rsidP="00E05FE4">
      <w:pPr>
        <w:pStyle w:val="Listebombe"/>
        <w:numPr>
          <w:ilvl w:val="0"/>
          <w:numId w:val="1"/>
        </w:numPr>
        <w:ind w:left="320" w:hanging="320"/>
        <w:rPr>
          <w:sz w:val="21"/>
          <w:szCs w:val="21"/>
        </w:rPr>
      </w:pPr>
      <w:r>
        <w:rPr>
          <w:sz w:val="21"/>
          <w:szCs w:val="21"/>
        </w:rPr>
        <w:t>leggje til rette for å etablere ein portal for kvardagsteknologi, som skal synleggjere dei praktiske hjelpemidla som finst på forbrukarmarknaden</w:t>
      </w:r>
    </w:p>
    <w:p w:rsidR="00D30C4D" w:rsidRDefault="00B964E1" w:rsidP="00020FC3">
      <w:pPr>
        <w:pStyle w:val="Overskrift1"/>
      </w:pPr>
      <w:r>
        <w:t>Netthandel og digital forbrukarinformasjon</w:t>
      </w:r>
    </w:p>
    <w:p w:rsidR="00D30C4D" w:rsidRDefault="00741EEC" w:rsidP="00741EEC">
      <w:pPr>
        <w:pStyle w:val="Figur"/>
      </w:pPr>
      <w:r>
        <w:rPr>
          <w:noProof/>
        </w:rPr>
        <w:t>[:figur:figX-X.jpg]</w:t>
      </w:r>
    </w:p>
    <w:p w:rsidR="00D30C4D" w:rsidRDefault="00B964E1" w:rsidP="00020FC3">
      <w:pPr>
        <w:pStyle w:val="figur-tittel"/>
      </w:pPr>
      <w:r>
        <w:t> </w:t>
      </w:r>
    </w:p>
    <w:p w:rsidR="00D30C4D" w:rsidRDefault="00B964E1" w:rsidP="00020FC3">
      <w:pPr>
        <w:pStyle w:val="figur-noter"/>
      </w:pPr>
      <w:r>
        <w:t>Foto: Johnér</w:t>
      </w:r>
    </w:p>
    <w:p w:rsidR="00D30C4D" w:rsidRDefault="00B964E1" w:rsidP="00E05FE4">
      <w:pPr>
        <w:pStyle w:val="Overskrift2"/>
        <w:numPr>
          <w:ilvl w:val="1"/>
          <w:numId w:val="35"/>
        </w:numPr>
      </w:pPr>
      <w:r>
        <w:t>Innleiing</w:t>
      </w:r>
    </w:p>
    <w:p w:rsidR="00D30C4D" w:rsidRDefault="00B964E1" w:rsidP="00020FC3">
      <w:r>
        <w:t>I byrjinga av det kommersielle internettet i starten av 1990-åra var det lite netthandel og låg forbrukartillit til internett som handelskanal. Over tid har både næringsdrivande og forbrukarar blitt modne for denne forma for handel, og i dag utgjer netthandel ein naturleg del av kvardagen til mange forbrukarar. Norske forbrukarar handlar i dag både frå nasjonale og internasjonale nettbutikkar. Netthandel over mobilplattformer har auka mykje med utbreiinga av smarttel</w:t>
      </w:r>
      <w:r>
        <w:t>e</w:t>
      </w:r>
      <w:r>
        <w:t>fonane. Det finst også ei rekkje ulike digitale betalingsformer.</w:t>
      </w:r>
    </w:p>
    <w:p w:rsidR="00D30C4D" w:rsidRDefault="00B964E1" w:rsidP="00020FC3">
      <w:r>
        <w:t>For forbrukarane er netthandel i hovudsak eit godt høve til å få enkel tilgang til mange mar</w:t>
      </w:r>
      <w:r>
        <w:t>k</w:t>
      </w:r>
      <w:r>
        <w:t>nader, varer og tenester som elles ville vore utilgjengelege.</w:t>
      </w:r>
    </w:p>
    <w:p w:rsidR="00D30C4D" w:rsidRDefault="00B964E1" w:rsidP="00020FC3">
      <w:r>
        <w:t>Sjølv om dei aller fleste forbrukarar nyt godt av netthandel, kan ein oppleve utfordringar knytte til mellom anna falske nettbutikkar, villeiande bru</w:t>
      </w:r>
      <w:r>
        <w:rPr>
          <w:spacing w:val="-1"/>
        </w:rPr>
        <w:t>karomtaler og abonnementsfeller. Mange nærings</w:t>
      </w:r>
      <w:r>
        <w:t xml:space="preserve">drivande manglar også kunnskap om eigne plikter og forbrukarrettar ved netthandel. Det er derfor viktig å rettleie og føre tilsyn med næringsdrivande innan netthandel, i tillegg til å ha effektive sanksjonstiltak mot useriøse aktørar. Det er også viktig at forbrukarane sjølve er i stand til </w:t>
      </w:r>
      <w:proofErr w:type="gramStart"/>
      <w:r>
        <w:t>å</w:t>
      </w:r>
      <w:proofErr w:type="gramEnd"/>
      <w:r>
        <w:t xml:space="preserve"> skilje mellom seriøse og useriøse aktørar på nettet.</w:t>
      </w:r>
    </w:p>
    <w:p w:rsidR="00D30C4D" w:rsidRDefault="00B964E1" w:rsidP="00020FC3">
      <w:r>
        <w:t>Regjeringa er oppteken av at forbrukarane får fullstendige og korrekte opplysingar før, u</w:t>
      </w:r>
      <w:r>
        <w:t>n</w:t>
      </w:r>
      <w:r>
        <w:t xml:space="preserve">dervegs og etter kjøp på nettet. På den måten kan forbrukarane gjere gjennomtenkte val. I tillegg er det ein måte </w:t>
      </w:r>
      <w:proofErr w:type="gramStart"/>
      <w:r>
        <w:t>å</w:t>
      </w:r>
      <w:proofErr w:type="gramEnd"/>
      <w:r>
        <w:t xml:space="preserve"> halde oppe forbrukartilliten og hindre konfliktar på.</w:t>
      </w:r>
    </w:p>
    <w:p w:rsidR="00D30C4D" w:rsidRDefault="00B964E1" w:rsidP="00020FC3">
      <w:r>
        <w:t>Samstundes som netthandelen har blitt meir utbreidd, har ein også sett ein framvekst av digitale samanlikningstenester. Slike tenester gjer at forbrukarane kan samanlikne varer og tenester etter pris, kvalitet og andre parametrar. Det finst både private og offentlege samanlikningst</w:t>
      </w:r>
      <w:r>
        <w:t>e</w:t>
      </w:r>
      <w:r>
        <w:t xml:space="preserve">nester. Desse tenestene kan vere nyttige for forbrukarane, ikkje minst når det gjeld netthandel. Dei kan vere med på å sikre at forbrukarane får betre oversikt over alternativa i marknaden. Regjeringa er oppteken av at det skal vere enkelt for forbrukarar </w:t>
      </w:r>
      <w:proofErr w:type="gramStart"/>
      <w:r>
        <w:t>å</w:t>
      </w:r>
      <w:proofErr w:type="gramEnd"/>
      <w:r>
        <w:t xml:space="preserve"> samanlikne varer og tenester i marknaden, gjennom gode private og offentlege samanlikningstenester.</w:t>
      </w:r>
    </w:p>
    <w:p w:rsidR="00D30C4D" w:rsidRDefault="00B964E1" w:rsidP="00020FC3">
      <w:pPr>
        <w:pStyle w:val="Overskrift2"/>
      </w:pPr>
      <w:r>
        <w:lastRenderedPageBreak/>
        <w:t>Forbrukarrettar</w:t>
      </w:r>
    </w:p>
    <w:p w:rsidR="00D30C4D" w:rsidRDefault="00B964E1" w:rsidP="00020FC3">
      <w:r>
        <w:t>Tal frå SSB viser at talet på nordmenn som handlar på nett, har vore relativt stabilt dei siste åra. Omsetninga til nettbutikkane aukar likevel kraftig. Forbrukarane hentar oftast informasjon frå nettstadene til tilbydarane før dei handlar på nettet. Dei bruker også prissamanlikningstenester, kundeomtaler og bloggar i varierande grad.</w:t>
      </w:r>
      <w:r>
        <w:rPr>
          <w:vertAlign w:val="superscript"/>
        </w:rPr>
        <w:footnoteReference w:id="66"/>
      </w:r>
      <w:r>
        <w:t xml:space="preserve"> Det er derfor viktig at dei næringsdrivande legg til rette for at forbrukarane enkelt finn fram til fullstendige og korrekte opplysingar om varene digitalt, slik at dei får naudsynt informasjon før dei inngår ei avtale.</w:t>
      </w:r>
    </w:p>
    <w:p w:rsidR="00D30C4D" w:rsidRDefault="00B964E1" w:rsidP="00020FC3">
      <w:r>
        <w:t xml:space="preserve">For ein næringsdrivande som driv marknadsføring og sal av ei vare eller teneste på nett, vil det vere ulike lover som regulerer pliktene ein har, avhengig av kva for punkt i netthandelen ein er på. </w:t>
      </w:r>
      <w:r>
        <w:rPr>
          <w:spacing w:val="-1"/>
        </w:rPr>
        <w:t>Marknadsføringslova regulerer kommunikasjonen</w:t>
      </w:r>
      <w:r>
        <w:t xml:space="preserve"> frå den næringsdrivande på «marknad</w:t>
      </w:r>
      <w:r>
        <w:t>s</w:t>
      </w:r>
      <w:r>
        <w:t>føringspunktet». Dette vil til dømes vere annonsar for produkt og den delen av nettsida der produkta blir presenterte. Når ein forbrukar klikkar seg vidare til sida der ein fyller inn besti</w:t>
      </w:r>
      <w:r>
        <w:t>l</w:t>
      </w:r>
      <w:r>
        <w:t>linga, trer opplysingskrava i angrerettlova i kraft. Etter at bestillinga er send frå forbrukaren og kontrakten er inngått, må den næringsdrivande oppfylle krava i angrerettlova og ehandelslova om å stadfeste bestillinga og gi forbrukaren skriftleg informasjon om avtalen som er inngått.</w:t>
      </w:r>
    </w:p>
    <w:p w:rsidR="00D30C4D" w:rsidRDefault="00B964E1" w:rsidP="00020FC3">
      <w:r>
        <w:t xml:space="preserve">Etter at </w:t>
      </w:r>
      <w:proofErr w:type="gramStart"/>
      <w:r>
        <w:t>ei</w:t>
      </w:r>
      <w:proofErr w:type="gramEnd"/>
      <w:r>
        <w:t xml:space="preserve"> kjøpsavtale er inngått, er det forbrukarkjøpslova som styrer kva rettar forbrukaren har ved kjøp av varer, til dømes dersom det er noko feil med varene.</w:t>
      </w:r>
    </w:p>
    <w:p w:rsidR="00D30C4D" w:rsidRDefault="00B964E1" w:rsidP="00020FC3">
      <w:pPr>
        <w:pStyle w:val="tittel-ramme"/>
      </w:pPr>
      <w:r>
        <w:t>Forbrukarvernreglar ved netthandel – steg for steg</w:t>
      </w:r>
    </w:p>
    <w:p w:rsidR="00D30C4D" w:rsidRDefault="00B964E1" w:rsidP="00020FC3">
      <w:pPr>
        <w:pStyle w:val="avsnitt-undertittel"/>
      </w:pPr>
      <w:r>
        <w:t>Før kjøpet</w:t>
      </w:r>
    </w:p>
    <w:p w:rsidR="00D30C4D" w:rsidRDefault="00B964E1" w:rsidP="00020FC3">
      <w:r>
        <w:t>Marknadsføringslova (mfl.) § 6 forbyr «urimelig handelspraksis». Ein handelspraksis er alltid urimeleg dersom han er villeiande etter mfl. §§ 7 og 8, jf. mfl. § 6 fjerde ledd. Etter mfl. § 7 er ein handelspraksis villeiande dersom han inneheld opplysingar som er feil og dermed kan villeie forbrukarane, til dømes om prisen på tenesta. Av mfl. § 8 går det fram at ein handel</w:t>
      </w:r>
      <w:r>
        <w:t>s</w:t>
      </w:r>
      <w:r>
        <w:t>praksis er villeiande dersom han til dømes utelet eller skjuler vesentlege opplysingar for fo</w:t>
      </w:r>
      <w:r>
        <w:t>r</w:t>
      </w:r>
      <w:r>
        <w:t>brukaren.</w:t>
      </w:r>
    </w:p>
    <w:p w:rsidR="00D30C4D" w:rsidRDefault="00B964E1" w:rsidP="00020FC3">
      <w:pPr>
        <w:pStyle w:val="avsnitt-undertittel"/>
      </w:pPr>
      <w:r>
        <w:t>På bestillingstidspunktet</w:t>
      </w:r>
    </w:p>
    <w:p w:rsidR="00D30C4D" w:rsidRDefault="00B964E1" w:rsidP="00020FC3">
      <w:r>
        <w:t>Angrerettlova (angrl.) § 8 set krav til at forbrukaren skal få visse opplysingar om vara eller tenesta, til dømes om viktigaste eigenskapar, pris og angrerett, før avtala blir inngått. Forbr</w:t>
      </w:r>
      <w:r>
        <w:t>u</w:t>
      </w:r>
      <w:r>
        <w:t>karen skal få opplysingane på ein klar og forståeleg måte. Enkelte av opplysingane skal i tillegg leggjast fram for forbrukaren i framheva form før bestilling, til dømes prisopplysingane. Sjølve bestillingsknappen skal merkast slik at forbrukaren forstår at det blir inngått ei bindande avtale med krav om betaling, jf. angrl. § 16.</w:t>
      </w:r>
    </w:p>
    <w:p w:rsidR="00D30C4D" w:rsidRDefault="00B964E1" w:rsidP="00020FC3">
      <w:pPr>
        <w:pStyle w:val="avsnitt-undertittel"/>
      </w:pPr>
      <w:r>
        <w:lastRenderedPageBreak/>
        <w:t>Etter kjøpet</w:t>
      </w:r>
    </w:p>
    <w:p w:rsidR="00D30C4D" w:rsidRDefault="00B964E1" w:rsidP="00020FC3">
      <w:r>
        <w:t>Etter at avtala er inngått, skal den næringsdrivande sende forbrukaren ei stadfesting på inngått avtale, jf. angrl. § 18. Stadfestinga skal innehalde opplysingane som er lista opp i angrl. § 8. Forbrukaren skal også få eit skjema om bruk av angrerett. Angrerett inneber at kjøparen utan grunn kan returnere ei vare til seljaren, sjølv om det ikkje er noko feil med vara. Etter at eit kjøp er gjennomført, kan forbrukaren etter forbrukarkjøpslova rette krav mot den næringsdrivande dersom det til dømes har oppstått forseinkingar, manglande levering eller feil på produktet.</w:t>
      </w:r>
    </w:p>
    <w:p w:rsidR="00D30C4D" w:rsidRDefault="00B964E1">
      <w:pPr>
        <w:pStyle w:val="Ramme-slutt"/>
        <w:rPr>
          <w:sz w:val="26"/>
          <w:szCs w:val="26"/>
        </w:rPr>
      </w:pPr>
      <w:r>
        <w:rPr>
          <w:sz w:val="26"/>
          <w:szCs w:val="26"/>
        </w:rPr>
        <w:t>[Boks slutt]</w:t>
      </w:r>
    </w:p>
    <w:p w:rsidR="00D30C4D" w:rsidRDefault="00B964E1" w:rsidP="00020FC3">
      <w:r>
        <w:t>Det kan sjå ut til at mange, spesielt mindre næringsdrivande, manglar kunnskap om eigne plikter og forbrukarrettar ved netthandel. Forbrukarombudet (no Forbrukartilsynet) undersøkte i oktober 2015 nettsidene til 125 norske nettbutikkar. Målet var å sjekke om forbrukarane fekk viktige opplysingar før dei inngjekk avtale. Tilsynsaksjonen viste at berre 31 av dei 125 b</w:t>
      </w:r>
      <w:r>
        <w:t>u</w:t>
      </w:r>
      <w:r>
        <w:t xml:space="preserve">tikkane gav alle opplysingane dei skulle gi. Etter å ha informert butikkane om regelverket viste ein ny gjennomgang i januar 2016 at 91 oppfylte alle krava. Hos 10 av butikkane blei det også gjennomført «mystery shopping», det vil seie testkjøp, der tilsynet bestilte varer for </w:t>
      </w:r>
      <w:proofErr w:type="gramStart"/>
      <w:r>
        <w:t>å</w:t>
      </w:r>
      <w:proofErr w:type="gramEnd"/>
      <w:r>
        <w:t xml:space="preserve"> unde</w:t>
      </w:r>
      <w:r>
        <w:t>r</w:t>
      </w:r>
      <w:r>
        <w:t>søkje om nettbutikkane opptrer korrekt når forbrukarar bruker angreretten. Berre 1 av 10 b</w:t>
      </w:r>
      <w:r>
        <w:t>u</w:t>
      </w:r>
      <w:r>
        <w:t>tikkar gjorde det.</w:t>
      </w:r>
    </w:p>
    <w:p w:rsidR="00D30C4D" w:rsidRDefault="00B964E1" w:rsidP="00020FC3">
      <w:r>
        <w:t>Felleseuropeiske tilsynsaksjonar har også vist at ein stor del av nettbutikkane som blir sjekka, ikkje følgjer lovverket. Vanlegvis bryt mellom 60 og 70 prosent av europeiske firma eitt eller fleire sentrale lovkrav.</w:t>
      </w:r>
      <w:r>
        <w:rPr>
          <w:vertAlign w:val="superscript"/>
        </w:rPr>
        <w:footnoteReference w:id="67"/>
      </w:r>
      <w:r>
        <w:t xml:space="preserve"> Døme på nokre av lovbrota som blir oppdaga, er manglande oppl</w:t>
      </w:r>
      <w:r>
        <w:t>y</w:t>
      </w:r>
      <w:r>
        <w:t>singar om pris, kva rettar og klagemoglegheiter forbrukarane har, kontaktinformasjon til den næringsdrivande og det at det blir brukt urimelege standardvilkår.</w:t>
      </w:r>
    </w:p>
    <w:p w:rsidR="00D30C4D" w:rsidRDefault="00B964E1" w:rsidP="00020FC3">
      <w:r>
        <w:t>For at forbrukarane skal kunne gjere gjennomtenkte val, er det viktig at næringsdrivande gir forbrukarane korrekte og fullstendige opplysingar på dei ulike stega i bestillingsprosessen. For at dette skal skje, må næringsdrivande som driv netthandel, ha tilgang til god informasjon om sentrale forbrukarvernreglar. Tilsyn med at næringsdrivande følgjer forbrukarvernreglane ved netthandel, er også viktig.</w:t>
      </w:r>
    </w:p>
    <w:p w:rsidR="00D30C4D" w:rsidRDefault="00B964E1" w:rsidP="00020FC3">
      <w:pPr>
        <w:pStyle w:val="Overskrift2"/>
      </w:pPr>
      <w:r>
        <w:t>Villeiande brukaromtaler</w:t>
      </w:r>
    </w:p>
    <w:p w:rsidR="00D30C4D" w:rsidRDefault="00B964E1" w:rsidP="00020FC3">
      <w:r>
        <w:t>Marknadsføringsmetodane ved netthandel forandrar seg i takt med teknologien. Forbrukarane sine eigne erfaringar og synspunkt blir no brukte som ein del av marknadsføringa, i form av brukaromtaler.</w:t>
      </w:r>
    </w:p>
    <w:p w:rsidR="00D30C4D" w:rsidRDefault="00B964E1" w:rsidP="00020FC3">
      <w:r>
        <w:t>Forbrukarar kan i dag gå inn på ulike nettstader og skrive ei brukaromtale av eit produkt eller ei teneste basert på eiga erfaring. Dette kan vere nyttig for andre forbrukarar som vurderer å kjøpe same vare eller teneste. Ved at forbrukarane får moglegheit til å formidle meininga si om kv</w:t>
      </w:r>
      <w:r>
        <w:t>a</w:t>
      </w:r>
      <w:r>
        <w:t xml:space="preserve">liteten på eit produkt eller ei teneste til andre forbrukarar, får også dei næringsdrivande større insentiv til </w:t>
      </w:r>
      <w:proofErr w:type="gramStart"/>
      <w:r>
        <w:t>å</w:t>
      </w:r>
      <w:proofErr w:type="gramEnd"/>
      <w:r>
        <w:t xml:space="preserve"> sørgje for god kundeservice.</w:t>
      </w:r>
    </w:p>
    <w:p w:rsidR="00D30C4D" w:rsidRDefault="00B964E1" w:rsidP="00020FC3">
      <w:r>
        <w:lastRenderedPageBreak/>
        <w:t xml:space="preserve">Brukaromtaler gir i utgangspunktet inntrykk av </w:t>
      </w:r>
      <w:proofErr w:type="gramStart"/>
      <w:r>
        <w:t>å</w:t>
      </w:r>
      <w:proofErr w:type="gramEnd"/>
      <w:r>
        <w:t xml:space="preserve"> vere oppfatningane til andre forbrukarar. Dessverre skjer det at brukaromtaler blir manipulerte og brukte til å villeie. Den næringsdri</w:t>
      </w:r>
      <w:r>
        <w:t>v</w:t>
      </w:r>
      <w:r>
        <w:t>ande står til dømes sjølv for omtalene eller betaler for å få gode omtaler. Det hender også at kundane sine erfaringar blir presenterte på ein villeiande måte, ved at negative omtaler blir fjerna. Marknadsføringslova forbyr slik praksis.</w:t>
      </w:r>
    </w:p>
    <w:p w:rsidR="00D30C4D" w:rsidRDefault="00B964E1" w:rsidP="00020FC3">
      <w:r>
        <w:t>Forbrukartilsynet har tatt opp problemstillingar rundt villeiande brukaromtaler med fleire n</w:t>
      </w:r>
      <w:r>
        <w:t>æ</w:t>
      </w:r>
      <w:r>
        <w:t>ringsdrivande. Mellom anna gjennomførte Forbrukarombodet (no Forbrukartilsynet) ein ko</w:t>
      </w:r>
      <w:r>
        <w:t>n</w:t>
      </w:r>
      <w:r>
        <w:t xml:space="preserve">trollaksjon av 26 norske nettbutikkar i 2016. Alle </w:t>
      </w:r>
      <w:proofErr w:type="gramStart"/>
      <w:r>
        <w:t>butikkane</w:t>
      </w:r>
      <w:proofErr w:type="gramEnd"/>
      <w:r>
        <w:t xml:space="preserve"> fekk beskjed om å skjerpe rutinane sine for å unngå å villeie forbrukarar med brukaromtaler.</w:t>
      </w:r>
    </w:p>
    <w:p w:rsidR="00D30C4D" w:rsidRDefault="00B964E1" w:rsidP="00020FC3">
      <w:r>
        <w:t xml:space="preserve">For </w:t>
      </w:r>
      <w:proofErr w:type="gramStart"/>
      <w:r>
        <w:t>å</w:t>
      </w:r>
      <w:proofErr w:type="gramEnd"/>
      <w:r>
        <w:t xml:space="preserve"> klargjere regelverket rundt brukaromtaler i marknadsføring har Forbrukartilsynet vore med på å utarbeide rettleiingar og internasjonale prinsipp om god praksis når det gjeld br</w:t>
      </w:r>
      <w:r>
        <w:t>u</w:t>
      </w:r>
      <w:r>
        <w:t>karomtaler.</w:t>
      </w:r>
      <w:r>
        <w:rPr>
          <w:vertAlign w:val="superscript"/>
        </w:rPr>
        <w:footnoteReference w:id="68"/>
      </w:r>
      <w:r>
        <w:t xml:space="preserve"> Forbrukartilsynet har også utarbeidd ei eiga norsk rettleiing til næringsdrivande om krav som følgjer av marknadsføringslova ved innsamling, handsaming og publisering av brukaromtaler.</w:t>
      </w:r>
    </w:p>
    <w:p w:rsidR="00D30C4D" w:rsidRDefault="00B964E1" w:rsidP="00020FC3">
      <w:pPr>
        <w:pStyle w:val="Overskrift2"/>
      </w:pPr>
      <w:r>
        <w:t>Nettsvindel og abonnementsfeller</w:t>
      </w:r>
    </w:p>
    <w:p w:rsidR="00D30C4D" w:rsidRDefault="00B964E1" w:rsidP="00020FC3">
      <w:r>
        <w:t xml:space="preserve">Ei tredje forbrukarutfordring ved netthandel er nettsvindel i form av useriøse nettbutikkar og abonnementsfeller. Tips om falske nettbutikkar og annan svindel toppa tipsstatistikken til Forbrukarombodet (no Forbrukartilsynet) i 2017, med 969 tips. I 2018 fekk Forbrukartilsynet i overkant av 1700 tips om falske nettbutikkar og annan svindel. I falske nettbutikkar bestiller og betaler forbrukaren for varer ved </w:t>
      </w:r>
      <w:proofErr w:type="gramStart"/>
      <w:r>
        <w:t>å</w:t>
      </w:r>
      <w:proofErr w:type="gramEnd"/>
      <w:r>
        <w:t xml:space="preserve"> leggje inn kortinformasjon, men får anten ikkje vara i det heile tatt eller får tilsendt ei falsk merkevare. Fleire svindlarar kopierer både utforminga og nettadressene til verkelege nettbutikkar. Den einaste skilnaden er ofte endingane på netta</w:t>
      </w:r>
      <w:r>
        <w:t>d</w:t>
      </w:r>
      <w:r>
        <w:t xml:space="preserve">ressene. Dette gjer det vanskeleg </w:t>
      </w:r>
      <w:proofErr w:type="gramStart"/>
      <w:r>
        <w:t>å</w:t>
      </w:r>
      <w:proofErr w:type="gramEnd"/>
      <w:r>
        <w:t xml:space="preserve"> skilje mellom falske og ekte nettbutikkar.</w:t>
      </w:r>
    </w:p>
    <w:p w:rsidR="00D30C4D" w:rsidRDefault="00B964E1" w:rsidP="00020FC3">
      <w:r>
        <w:t>Dei aller fleste av dei falske nettbutikkane er etablerte i utlandet og er vanskelege å få stoppa. Dersom ei eller fleire av nettsidene blir stengde, opprettar svindlarane raskt nye av same type. På grunn av desse utfordringane driv Forbrukartilsynet aktivt informasjonsarbeid overfor fo</w:t>
      </w:r>
      <w:r>
        <w:t>r</w:t>
      </w:r>
      <w:r>
        <w:t>brukarar. På nettsidene til tilsynet finst det ei samleside med informasjon om netthandel, der forbrukarane kan finne informasjon som skal hjelpe dei med å avsløre og unngå typiske svi</w:t>
      </w:r>
      <w:r>
        <w:t>n</w:t>
      </w:r>
      <w:r>
        <w:t>delforsøk. Her finst det mellom anna ei liste over falske nettbutikkar basert på tips Forbruka</w:t>
      </w:r>
      <w:r>
        <w:t>r</w:t>
      </w:r>
      <w:r>
        <w:t>tilsynet har fått.</w:t>
      </w:r>
    </w:p>
    <w:p w:rsidR="00D30C4D" w:rsidRDefault="00B964E1" w:rsidP="00020FC3">
      <w:r>
        <w:t>Ved såkalla «abonnementsfeller» blir forbrukarane leia inn i abonnement utan at dei oppfattar at det er dette som skjer. Dei klassiske tilfella er at forbrukarane får tilbod om gratis prøv</w:t>
      </w:r>
      <w:r>
        <w:t>e</w:t>
      </w:r>
      <w:r>
        <w:t>pakker, der informasjon om at forbrukaren samstundes inngår eit abonnement, ikkje kjem tydeleg nok fram. I tilsynsaksjonar i 2015 og 2016 undersøkte Forbrukarombodet (no Fo</w:t>
      </w:r>
      <w:r>
        <w:t>r</w:t>
      </w:r>
      <w:r>
        <w:t xml:space="preserve">brukartilsynet) norske nettsider der ein fekk tilbod om slike gratis prøvepakker/kampanjetilbod. Heile 49 av dei 52 undersøkte kampanjane var i realiteten abonnementsavtaler der vesentleg </w:t>
      </w:r>
      <w:r>
        <w:lastRenderedPageBreak/>
        <w:t>informasjon om abonnementet var gøymd bort i generelle vilkår eller ikkje blei formidla godt nok. Forbrukartilsynet oppretta sak overfor 19 av dei 20 selskapa som stod bak nettsidene, med pålegg om å endre marknadsføringa. Tre av sakene enda med at det blei gjort vedtak om tvangsmulkt eller gebyr for brot på angrerettlova.</w:t>
      </w:r>
    </w:p>
    <w:p w:rsidR="00D30C4D" w:rsidRDefault="00B964E1" w:rsidP="00020FC3">
      <w:r>
        <w:t>Ei anna form for abonnementsfelle er tilfella der utanlandske aktørar arrangerer konkurransar eller spørjeundersøkingar med moglegheit for å vinne produkt, få gåvekort eller liknande frå kjende selskap som Apple. I nokre tilfelle gir svindlarane seg ut for å representere kjende se</w:t>
      </w:r>
      <w:r>
        <w:t>l</w:t>
      </w:r>
      <w:r>
        <w:t>skap for å skape tillit hos forbrukaren, og dei bruker ofte sosiale medium. Felles for konsepta er at forbrukaren må betale ein låg sum for å få tilsendt ein premie eller eit produkt. Forbrukarane gir då frå seg person- og kortopplysingar, og kontoen deira blir deretter trekt for ei uønskt abonnementsteneste. I tillegg blir mange utsette for store mengder nettsøppel og ytterlegare svindelforsøk.</w:t>
      </w:r>
    </w:p>
    <w:p w:rsidR="00D30C4D" w:rsidRDefault="00B964E1" w:rsidP="00020FC3">
      <w:r>
        <w:t>Dei fleste av desse næringsdrivande er etablerte i land utanfor Europa, og det er derfor van</w:t>
      </w:r>
      <w:r>
        <w:t>s</w:t>
      </w:r>
      <w:r>
        <w:t>keleg å finne effektive verkemiddel for å kunne stanse lovbrota. Når europeiske næringsdri</w:t>
      </w:r>
      <w:r>
        <w:t>v</w:t>
      </w:r>
      <w:r>
        <w:t>ande står bak lovbrot, sender Forbrukartilsynet sakene til forbrukarstyresmaktene i landet der den næringsdrivande er etablert. Sakshandsaminga i denne typen saker er basert på forordninga om forbrukarvernsamarbeid. Forordninga set krav til at tilsynsstyresmaktene i landet der den næringsdrivande er etablert, skal gripe inn for å stanse lovbrota. Dessverre tek dette lang tid i mange saker. Ei evaluering av forordninga som Kommisjonen har gjennomført, viste at fo</w:t>
      </w:r>
      <w:r>
        <w:t>r</w:t>
      </w:r>
      <w:r>
        <w:t>ordninga fungerte godt, men at det var potensial for eit endå meir effektivt samarbeid mellom tilsyna. Derfor har EU vedteke ei ny forordning om forbrukarvernsamarbeid. Forordninga trer i kraft i januar 2020.</w:t>
      </w:r>
    </w:p>
    <w:p w:rsidR="00D30C4D" w:rsidRDefault="00B964E1" w:rsidP="00020FC3">
      <w:r>
        <w:t xml:space="preserve">Den nye forordninga inneheld meir detaljerte og forpliktande reglar om samarbeidet mellom tilsyna. Tilsyna får også utvida makt til </w:t>
      </w:r>
      <w:proofErr w:type="gramStart"/>
      <w:r>
        <w:t>å</w:t>
      </w:r>
      <w:proofErr w:type="gramEnd"/>
      <w:r>
        <w:t xml:space="preserve"> undersøkje og handheve regelverket. Tilsynsstyre</w:t>
      </w:r>
      <w:r>
        <w:t>s</w:t>
      </w:r>
      <w:r>
        <w:t>maktene skal mellom anna, sjølve eller via ein domstol, kunne fjerne digitalt innhald eller stengje tilgangen til nettsider, appar og andre nettbaserte grensesnitt for å slå ned på lovbrot som ikkje let seg stoppe på andre måtar. Dette vil til dømes kunne vere praktisk ved tilfelle av nettsvindel der den næringsdrivande som står bak nettsida, er ukjend.</w:t>
      </w:r>
    </w:p>
    <w:p w:rsidR="00D30C4D" w:rsidRDefault="00B964E1" w:rsidP="00020FC3">
      <w:r>
        <w:t>Regjeringa vil arbeide vidare for å hindre at forbrukarane blir lurte ved netthandel. Forbruka</w:t>
      </w:r>
      <w:r>
        <w:t>r</w:t>
      </w:r>
      <w:r>
        <w:t>tilsynet vil mellom anna utvikle fleire informasjonstiltak retta mot forbrukarane. I tillegg vil arbeidet med tilsyn og rettleiing på digitalområdet stå sentralt. Regjeringa vil også leggje til rette for eit effektivt internasjonalt tilsynssamarbeid gjennom forordninga om forbr</w:t>
      </w:r>
      <w:r>
        <w:t>u</w:t>
      </w:r>
      <w:r>
        <w:t>karvernsamarbeid, for å sikre rettane til forbrukarane på nettet.</w:t>
      </w:r>
    </w:p>
    <w:p w:rsidR="00D30C4D" w:rsidRDefault="00B964E1" w:rsidP="00020FC3">
      <w:pPr>
        <w:pStyle w:val="Overskrift2"/>
      </w:pPr>
      <w:r>
        <w:t>Digital forbrukarinformasjon</w:t>
      </w:r>
    </w:p>
    <w:p w:rsidR="00D30C4D" w:rsidRDefault="00B964E1" w:rsidP="00020FC3">
      <w:r>
        <w:t xml:space="preserve">Digital teknologi har opna for nye moglegheiter når det gjeld kostnadseffektiv innsamling, prosessering og formidling av data. Dette har mellom anna ført til utvikling og framvekst av både offentlege og private samanlikningstenester for forbrukarane, der ein kan samanlikne varer og tenester etter pris, kvalitet eller andre parametrar. Samstundes er forbrukarane i dag så </w:t>
      </w:r>
      <w:proofErr w:type="gramStart"/>
      <w:r>
        <w:t>å</w:t>
      </w:r>
      <w:proofErr w:type="gramEnd"/>
      <w:r>
        <w:t xml:space="preserve"> seie alltid kopla til nettet, og dei har terminalen (smarttelefonen) i lomma i kjøpssituasjonen. Dermed har dei alltid lett tilgang til marknadsoversikter, andre samanlikningsverktøy og i</w:t>
      </w:r>
      <w:r>
        <w:t>n</w:t>
      </w:r>
      <w:r>
        <w:lastRenderedPageBreak/>
        <w:t>formasjon om rettane sine. Samanlikningstenester kan vere nyttige for forbrukarane, ikkje minst når det gjeld netthandel.</w:t>
      </w:r>
    </w:p>
    <w:p w:rsidR="00D30C4D" w:rsidRDefault="00B964E1" w:rsidP="00020FC3">
      <w:pPr>
        <w:pStyle w:val="Overskrift3"/>
      </w:pPr>
      <w:r>
        <w:t>Private samanlikningstenester</w:t>
      </w:r>
    </w:p>
    <w:p w:rsidR="00D30C4D" w:rsidRDefault="00B964E1" w:rsidP="00020FC3">
      <w:r>
        <w:t xml:space="preserve">Det finst i dag ei rekkje private digitale samanlikningstenester med oversikt over til dømes prisar eller rettar i enkeltmarknader. Private samanlikningstenester finst til dømes på flyreiser (som momondo.com), hotell (som Tripadvisor eller booking.com) eller elektronikkprodukt (som prisjakt.no). Forbrukarane sparer tid og krefter på å få </w:t>
      </w:r>
      <w:proofErr w:type="gramStart"/>
      <w:r>
        <w:t>ei</w:t>
      </w:r>
      <w:proofErr w:type="gramEnd"/>
      <w:r>
        <w:t xml:space="preserve"> samla oversikt over tilgjengelege produkt framfor å undersøkje tilbodet hos kvar enkelt tilbydar. Slike samanlikningstenester kan ved å bidra til auka kundemobilitet potensielt føre til at tilbydarane konkurrerer hardare for å gi lågare prisar og eit betre utval til forbrukarane.</w:t>
      </w:r>
    </w:p>
    <w:p w:rsidR="00D30C4D" w:rsidRDefault="00B964E1" w:rsidP="00020FC3">
      <w:r>
        <w:t>Samstundes har forbrukarorganisasjonar i Noreg og andre europeiske land peikt på enkelte utfordringar ved private samanlikningstenester, nemleg at dei ikkje er pålitelege, opne og a</w:t>
      </w:r>
      <w:r>
        <w:t>n</w:t>
      </w:r>
      <w:r>
        <w:t>svarlege nok. Det er ei utfordring at dei er lite gjennomsiktige, ofte ikkje opplyser om korleis dei rangerer varene og produkta, og at dei heller ikkje viser heile marknaden. Private sama</w:t>
      </w:r>
      <w:r>
        <w:t>n</w:t>
      </w:r>
      <w:r>
        <w:t>likningstenester tilbyr ofte tenestene sine gratis til forbrukaren, og dei tener pengar på at ti</w:t>
      </w:r>
      <w:r>
        <w:t>l</w:t>
      </w:r>
      <w:r>
        <w:t>bydarane som blir presenterte på tenesta deira, må betale for å bli inkluderte i rangeringa. Det har derfor også blitt stilt spørsmål om rangeringa som blir vist, er påliteleg, eller om tilbydarar også har betalt samanlikningstenesta for ei god plassering. I tillegg samlar også slike tenester inn personopplysingar, og personvernet til brukaren er derfor eit moment i diskusjonen om tenestene.</w:t>
      </w:r>
    </w:p>
    <w:p w:rsidR="00D30C4D" w:rsidRDefault="00B964E1" w:rsidP="00020FC3">
      <w:r>
        <w:t xml:space="preserve">Regjeringa er positiv til private samanlikningstenester, men støttar samstundes internasjonalt arbeid for at dei skal bli meir transparente og gi ei mest mogleg rettferdig rangering av varene og tenestene dei samanliknar. I forslagspakka </w:t>
      </w:r>
      <w:r>
        <w:rPr>
          <w:rStyle w:val="kursiv"/>
          <w:sz w:val="21"/>
          <w:szCs w:val="21"/>
        </w:rPr>
        <w:t>A New Deal for Consumers</w:t>
      </w:r>
      <w:r>
        <w:t xml:space="preserve"> frå EU-kommisjonen blei det føreslått reglar som skal sikre forbrukarane betre informasjon om mellom anna kva for kriterium som ligg til grunn for rangeringa av søkjeresultata, og om den dei handlar med, er næringsdrivande eller forbrukar. Noreg utarbeidde saman med EØS/EFTA-partnarane Island og Liechtenstein ein felles posisjon med støtte til forslaga, men med tilråding om </w:t>
      </w:r>
      <w:proofErr w:type="gramStart"/>
      <w:r>
        <w:t>å</w:t>
      </w:r>
      <w:proofErr w:type="gramEnd"/>
      <w:r>
        <w:t xml:space="preserve"> styrkje forbrukarvernet ytterlegare. I kompromisset som ein blei einige om i mars, er forbrukarvernet styrkt. Regelverket blir venteleg formelt vedteke i løpet av 2019.</w:t>
      </w:r>
    </w:p>
    <w:p w:rsidR="00D30C4D" w:rsidRDefault="00B964E1" w:rsidP="00020FC3">
      <w:pPr>
        <w:pStyle w:val="Overskrift3"/>
      </w:pPr>
      <w:r>
        <w:t>Offentlege marknadsportalar</w:t>
      </w:r>
    </w:p>
    <w:p w:rsidR="00D30C4D" w:rsidRDefault="00B964E1" w:rsidP="00020FC3">
      <w:r>
        <w:t>Forbrukarrådet har ansvaret for å utvikle dei fleste av portalane som er oppretta i offentleg regi. Rådet driv i dag tre marknadsportalar: finansportalen.no, hvakostertannlegen.no og strø</w:t>
      </w:r>
      <w:r>
        <w:t>m</w:t>
      </w:r>
      <w:r>
        <w:t>pris.no. Gjennom desse portalane får forbrukarane oversikt over tilbod i marknadene for f</w:t>
      </w:r>
      <w:r>
        <w:t>i</w:t>
      </w:r>
      <w:r>
        <w:t xml:space="preserve">nansielle tenester, tannhelsetenester og straum. Marknadsaktørane er pålagde </w:t>
      </w:r>
      <w:proofErr w:type="gramStart"/>
      <w:r>
        <w:t>å</w:t>
      </w:r>
      <w:proofErr w:type="gramEnd"/>
      <w:r>
        <w:t xml:space="preserve"> gjere inform</w:t>
      </w:r>
      <w:r>
        <w:t>a</w:t>
      </w:r>
      <w:r>
        <w:t>sjon om dei relevante varene eller tenestene tilgjengeleg for marknadsportalane.</w:t>
      </w:r>
    </w:p>
    <w:p w:rsidR="00D30C4D" w:rsidRDefault="00B964E1" w:rsidP="00020FC3">
      <w:r>
        <w:t xml:space="preserve">Marknadsportalane skal fungere som kostnadseffektive verktøy for </w:t>
      </w:r>
      <w:proofErr w:type="gramStart"/>
      <w:r>
        <w:t>å</w:t>
      </w:r>
      <w:proofErr w:type="gramEnd"/>
      <w:r>
        <w:t xml:space="preserve"> gjere det enklare å ta gode avgjerder, spesielt i marknader der informasjonen er uoversiktleg eller kompleks, og der det er skeiv maktfordeling mellom forbrukarar og tilbydarar. Portalane dekkjer marknader ein har konkludert med at forbrukarane har eit særleg behov for informasjon om. I ein del marknader </w:t>
      </w:r>
      <w:r>
        <w:lastRenderedPageBreak/>
        <w:t>finst det allereie gode private samanlikningstenester, mellom anna for flyprisar og hotell. I slike tilfelle er det ikkje tenleg å opprette offentlege portalar.</w:t>
      </w:r>
    </w:p>
    <w:p w:rsidR="00D30C4D" w:rsidRDefault="00B964E1" w:rsidP="00020FC3">
      <w:r>
        <w:t>Fordelen med marknadsportalar i offentleg regi er at ein i større grad kan sikre nøytralitet, transparens og at tenesta i størst mogleg utstrekning kan dekkje heile marknaden. Med offen</w:t>
      </w:r>
      <w:r>
        <w:t>t</w:t>
      </w:r>
      <w:r>
        <w:t>lege marknadsportalar kan ein dermed bøte på nokre av utfordringane som gjeld private sa</w:t>
      </w:r>
      <w:r>
        <w:t>m</w:t>
      </w:r>
      <w:r>
        <w:t>anlikningstenester. Dersom offentlege marknadsportalar skal vere eit effektivt verkemiddel, stiller det samstundes store krav til kvaliteten og innhaldet i portalane. Eit offentleg «stempel» inneber at det offentlege må gå god for innhaldet. Det krev høg kvalitet og god kvalitetssikring av innrapporterte data. Det inneber mellom anna at produkta som blir presenterte, må oppfylle nasjonalt regelverk der dette er relevant. Marknadsportalane må også vere brukarvennlege, og dei må formidle innhaldet på ein måte som gjer at tenestene blir opplevde som nyttige for forbrukarane.</w:t>
      </w:r>
    </w:p>
    <w:p w:rsidR="00D30C4D" w:rsidRDefault="00B964E1" w:rsidP="00020FC3">
      <w:r>
        <w:t>Frå eit konkurranseperspektiv er det både positive og negative sider ved utviklinga av slike verktøy. På den eine sida får forbrukarane betre informasjon, og søkjekostnadene deira går ned. Dette vil i utgangspunktet indikere at konkurransen blir styrkt. På den andre sida vil konku</w:t>
      </w:r>
      <w:r>
        <w:t>r</w:t>
      </w:r>
      <w:r>
        <w:t>ransen kunne bli svekt av at konkurrentane får tilgang til den same informasjonen. Når ti</w:t>
      </w:r>
      <w:r>
        <w:t>l</w:t>
      </w:r>
      <w:r>
        <w:t>bydarane i ein marknad får fullstendig oversikt over prisar, kan det føre til stillteiande pri</w:t>
      </w:r>
      <w:r>
        <w:t>s</w:t>
      </w:r>
      <w:r>
        <w:t>samarbeid. Eit viktig spørsmål har vore om portalane har den ønskte effekten på forbrukarane og marknaden. Dåverande BLD hadde eit ønskje om å greie ut dette spørsmålet nærare, med utgangspunkt i Finansportalen. Departementet gav i 2018 konsulentselskapet Menon Econ</w:t>
      </w:r>
      <w:r>
        <w:t>o</w:t>
      </w:r>
      <w:r>
        <w:t>mics i oppdrag å gjennomføre ei evaluering av Finansportalen, der dei også skulle drøfte ny</w:t>
      </w:r>
      <w:r>
        <w:t>t</w:t>
      </w:r>
      <w:r>
        <w:t>teverdien av marknadsportalar meir generelt. Menon leverte rapport om arbeidet sitt i se</w:t>
      </w:r>
      <w:r>
        <w:t>p</w:t>
      </w:r>
      <w:r>
        <w:t>tember 2018. I rapporten framhevar dei at det offentlege kan vurdere å etablere marknad</w:t>
      </w:r>
      <w:r>
        <w:t>s</w:t>
      </w:r>
      <w:r>
        <w:t>portalar når følgjande kriterium er oppfylte:</w:t>
      </w:r>
    </w:p>
    <w:p w:rsidR="00D30C4D" w:rsidRDefault="00B964E1" w:rsidP="00020FC3">
      <w:pPr>
        <w:pStyle w:val="friliste"/>
      </w:pPr>
      <w:r>
        <w:t>1.</w:t>
      </w:r>
      <w:r>
        <w:tab/>
        <w:t>Konkurransen i marknaden er dårleg på grunn av store søkjekostnader.</w:t>
      </w:r>
    </w:p>
    <w:p w:rsidR="00D30C4D" w:rsidRDefault="00B964E1" w:rsidP="00020FC3">
      <w:pPr>
        <w:pStyle w:val="friliste"/>
      </w:pPr>
      <w:r>
        <w:t>2.</w:t>
      </w:r>
      <w:r>
        <w:tab/>
        <w:t>Det finst ikkje gode private løysingar.</w:t>
      </w:r>
    </w:p>
    <w:p w:rsidR="00D30C4D" w:rsidRDefault="00B964E1" w:rsidP="00020FC3">
      <w:pPr>
        <w:pStyle w:val="friliste"/>
      </w:pPr>
      <w:r>
        <w:t>3.</w:t>
      </w:r>
      <w:r>
        <w:tab/>
        <w:t>Det er ikkje fare for koordinerte effektar.</w:t>
      </w:r>
    </w:p>
    <w:p w:rsidR="00D30C4D" w:rsidRDefault="00B964E1" w:rsidP="00020FC3">
      <w:pPr>
        <w:pStyle w:val="friliste"/>
      </w:pPr>
      <w:r>
        <w:t>4.</w:t>
      </w:r>
      <w:r>
        <w:tab/>
        <w:t>Preferansane til forbrukarane er mest mogleg eindimensjonale og homogene.</w:t>
      </w:r>
    </w:p>
    <w:p w:rsidR="00D30C4D" w:rsidRDefault="00B964E1" w:rsidP="00020FC3">
      <w:r>
        <w:t>Eit alternativ til å utvikle offentlege marknadsportalar som eit verkemiddel for forbrukari</w:t>
      </w:r>
      <w:r>
        <w:t>n</w:t>
      </w:r>
      <w:r>
        <w:t>formasjon er å opprette offentlege godkjenningsordningar der private samanlikningstenester kan søkje om godkjenning frå ei offentleg styresmakt.</w:t>
      </w:r>
    </w:p>
    <w:p w:rsidR="00D30C4D" w:rsidRDefault="00B964E1" w:rsidP="00020FC3">
      <w:r>
        <w:t>Nasjonal kommunikasjonsmyndigheit (Nkom) har gått frå å drifte ein offentleg marknadsportal på ekomområdet – telepriser.no – til å administrere ei autorisasjonsordning for private lø</w:t>
      </w:r>
      <w:r>
        <w:t>y</w:t>
      </w:r>
      <w:r>
        <w:t>singar. For at Nkom skal gi autorisasjon til ei samanlikningsteneste, må tenesta oppfylle visse kriterium. Desse kriteria handlar om at tenesta må vere tilgjengeleg, nøyaktig, transparent, objektiv og fullstendig.</w:t>
      </w:r>
    </w:p>
    <w:p w:rsidR="00D30C4D" w:rsidRDefault="00B964E1" w:rsidP="00020FC3">
      <w:r>
        <w:t xml:space="preserve">Regjeringa vil føre vidare dei eksisterande offentlege marknadsportalane i Forbrukarrådet. Dei ovannemnde kriteria vil liggje til grunn når ein skal vurdere å opprette nye slike portalar. Dei offentlege marknadsportalane må kjempe om merksemda til forbrukarane mot ei rekkje andre kjelder, som sosiale medium, system for brukaromtaler, søkjemotorar og så vidare. Dette gjer det viktig </w:t>
      </w:r>
      <w:proofErr w:type="gramStart"/>
      <w:r>
        <w:t>å</w:t>
      </w:r>
      <w:proofErr w:type="gramEnd"/>
      <w:r>
        <w:t xml:space="preserve"> marknadsføre dei offentlege marknadsportalane godt. Framover blir det viktig å arbeide for </w:t>
      </w:r>
      <w:proofErr w:type="gramStart"/>
      <w:r>
        <w:t>å</w:t>
      </w:r>
      <w:proofErr w:type="gramEnd"/>
      <w:r>
        <w:t xml:space="preserve"> gjere innbyggjarane betre kjende med dei eksisterande marknadsportalane.</w:t>
      </w:r>
    </w:p>
    <w:p w:rsidR="00D30C4D" w:rsidRDefault="00B964E1" w:rsidP="00020FC3">
      <w:pPr>
        <w:pStyle w:val="Overskrift2"/>
      </w:pPr>
      <w:r>
        <w:lastRenderedPageBreak/>
        <w:t>Regjeringa vil</w:t>
      </w:r>
    </w:p>
    <w:p w:rsidR="00D30C4D" w:rsidRDefault="00B964E1" w:rsidP="00E05FE4">
      <w:pPr>
        <w:pStyle w:val="Listebombe"/>
        <w:numPr>
          <w:ilvl w:val="0"/>
          <w:numId w:val="1"/>
        </w:numPr>
        <w:ind w:left="320" w:hanging="320"/>
        <w:rPr>
          <w:sz w:val="21"/>
          <w:szCs w:val="21"/>
        </w:rPr>
      </w:pPr>
      <w:r>
        <w:rPr>
          <w:sz w:val="21"/>
          <w:szCs w:val="21"/>
        </w:rPr>
        <w:t>fortsetje arbeidet med å sikre trygg netthandel for forbrukarane, mellom anna ved hjelp av info</w:t>
      </w:r>
      <w:r>
        <w:rPr>
          <w:sz w:val="21"/>
          <w:szCs w:val="21"/>
        </w:rPr>
        <w:t>r</w:t>
      </w:r>
      <w:r>
        <w:rPr>
          <w:sz w:val="21"/>
          <w:szCs w:val="21"/>
        </w:rPr>
        <w:t>masjonstiltak retta mot forbrukarar og næringsdrivande</w:t>
      </w:r>
    </w:p>
    <w:p w:rsidR="00D30C4D" w:rsidRDefault="00B964E1" w:rsidP="00E05FE4">
      <w:pPr>
        <w:pStyle w:val="Listebombe"/>
        <w:numPr>
          <w:ilvl w:val="0"/>
          <w:numId w:val="1"/>
        </w:numPr>
        <w:ind w:left="320" w:hanging="320"/>
        <w:rPr>
          <w:sz w:val="21"/>
          <w:szCs w:val="21"/>
        </w:rPr>
      </w:pPr>
      <w:r>
        <w:rPr>
          <w:sz w:val="21"/>
          <w:szCs w:val="21"/>
        </w:rPr>
        <w:t>prioritere tilsyn med næringsdrivande når det gjeld marknadsføring og sal av varer og tenester til forbrukarar på nettet, som ein del av styrkinga av Forbrukartilsynet i 2019</w:t>
      </w:r>
    </w:p>
    <w:p w:rsidR="00D30C4D" w:rsidRDefault="00B964E1" w:rsidP="00E05FE4">
      <w:pPr>
        <w:pStyle w:val="Listebombe"/>
        <w:numPr>
          <w:ilvl w:val="0"/>
          <w:numId w:val="1"/>
        </w:numPr>
        <w:ind w:left="320" w:hanging="320"/>
        <w:rPr>
          <w:sz w:val="21"/>
          <w:szCs w:val="21"/>
        </w:rPr>
      </w:pPr>
      <w:r>
        <w:rPr>
          <w:sz w:val="21"/>
          <w:szCs w:val="21"/>
        </w:rPr>
        <w:t>leggje til rette for eit effektivt internasjonalt tilsynssamarbeid gjennom forordninga om forbr</w:t>
      </w:r>
      <w:r>
        <w:rPr>
          <w:sz w:val="21"/>
          <w:szCs w:val="21"/>
        </w:rPr>
        <w:t>u</w:t>
      </w:r>
      <w:r>
        <w:rPr>
          <w:sz w:val="21"/>
          <w:szCs w:val="21"/>
        </w:rPr>
        <w:t>karvernsamarbeid</w:t>
      </w:r>
    </w:p>
    <w:p w:rsidR="00D30C4D" w:rsidRDefault="00B964E1" w:rsidP="00E05FE4">
      <w:pPr>
        <w:pStyle w:val="Listebombe"/>
        <w:numPr>
          <w:ilvl w:val="0"/>
          <w:numId w:val="1"/>
        </w:numPr>
        <w:ind w:left="320" w:hanging="320"/>
        <w:rPr>
          <w:sz w:val="21"/>
          <w:szCs w:val="21"/>
        </w:rPr>
      </w:pPr>
      <w:r>
        <w:rPr>
          <w:sz w:val="21"/>
          <w:szCs w:val="21"/>
        </w:rPr>
        <w:t>støtte opp om internasjonale initiativ som skal vere med på å sikre meir openheit og transparens i private samanlikningstenester</w:t>
      </w:r>
    </w:p>
    <w:p w:rsidR="00D30C4D" w:rsidRDefault="00B964E1" w:rsidP="00E05FE4">
      <w:pPr>
        <w:pStyle w:val="Listebombe"/>
        <w:numPr>
          <w:ilvl w:val="0"/>
          <w:numId w:val="1"/>
        </w:numPr>
        <w:ind w:left="320" w:hanging="320"/>
        <w:rPr>
          <w:sz w:val="21"/>
          <w:szCs w:val="21"/>
        </w:rPr>
      </w:pPr>
      <w:r>
        <w:rPr>
          <w:sz w:val="21"/>
          <w:szCs w:val="21"/>
        </w:rPr>
        <w:t>vidareføre og vidareutvikle dei offentlege marknadsportalane i Forbrukarrådet</w:t>
      </w:r>
    </w:p>
    <w:p w:rsidR="00D30C4D" w:rsidRDefault="00B964E1" w:rsidP="00020FC3">
      <w:pPr>
        <w:pStyle w:val="Overskrift1"/>
      </w:pPr>
      <w:r>
        <w:t>Tilgang til breiband med høg hastigheit</w:t>
      </w:r>
    </w:p>
    <w:p w:rsidR="00D30C4D" w:rsidRDefault="00741EEC" w:rsidP="00741EEC">
      <w:pPr>
        <w:pStyle w:val="Figur"/>
      </w:pPr>
      <w:r>
        <w:rPr>
          <w:noProof/>
        </w:rPr>
        <w:t>[:figur:figX-X.jpg]</w:t>
      </w:r>
    </w:p>
    <w:p w:rsidR="00D30C4D" w:rsidRDefault="00B964E1" w:rsidP="00020FC3">
      <w:pPr>
        <w:pStyle w:val="figur-tittel"/>
      </w:pPr>
      <w:r>
        <w:t> </w:t>
      </w:r>
    </w:p>
    <w:p w:rsidR="00D30C4D" w:rsidRDefault="00B964E1" w:rsidP="00020FC3">
      <w:pPr>
        <w:pStyle w:val="figur-noter"/>
      </w:pPr>
      <w:r>
        <w:t>Foto: Johnér</w:t>
      </w:r>
    </w:p>
    <w:p w:rsidR="00D30C4D" w:rsidRDefault="00B964E1" w:rsidP="00E05FE4">
      <w:pPr>
        <w:pStyle w:val="Overskrift2"/>
        <w:numPr>
          <w:ilvl w:val="1"/>
          <w:numId w:val="36"/>
        </w:numPr>
      </w:pPr>
      <w:r>
        <w:t>Innleiing</w:t>
      </w:r>
    </w:p>
    <w:p w:rsidR="00D30C4D" w:rsidRDefault="00B964E1" w:rsidP="00020FC3">
      <w:r>
        <w:t>For forbrukarane er internettilgang ein grunnleggjande føresetnad for å utnytte moglegheitene i den digitale kvardagen. Forbrukarane treng internett for å hente informasjon, utføre transa</w:t>
      </w:r>
      <w:r>
        <w:t>k</w:t>
      </w:r>
      <w:r>
        <w:t>sjonar og kommunisere med næringsdrivande og styresmakter. Ei rekkje tenester, som unde</w:t>
      </w:r>
      <w:r>
        <w:t>r</w:t>
      </w:r>
      <w:r>
        <w:t>haldnings- og banktenester og nettbaserte delingstenester, krev internettilkopling. Tilgang til internett er også viktig for samfunnsutviklinga, både økonomisk og ut frå prinsipp som y</w:t>
      </w:r>
      <w:r>
        <w:t>t</w:t>
      </w:r>
      <w:r>
        <w:t>ringsfridom. Faste og mobile breibandstenester av god kvalitet og til riktig pris er derfor grunnleggjande for samfunnet, både på individ- og fellesskapsnivå.</w:t>
      </w:r>
    </w:p>
    <w:p w:rsidR="00D30C4D" w:rsidRDefault="00B964E1" w:rsidP="00020FC3">
      <w:r>
        <w:t>Noreg toppar internasjonale samanlikningar over internettilgang, og dei norske mobilnetta har blitt kåra til dei raskaste i verda. Enkelte forbrukarar opplever likevel nokre utfordringar knytt til tilbodet av fast og mobilt breiband:</w:t>
      </w:r>
    </w:p>
    <w:p w:rsidR="00D30C4D" w:rsidRDefault="00B964E1" w:rsidP="00020FC3">
      <w:pPr>
        <w:pStyle w:val="Liste"/>
      </w:pPr>
      <w:r>
        <w:t>Tilgangen til breiband med høg hastigheit er ikkje like god i heile landet.</w:t>
      </w:r>
    </w:p>
    <w:p w:rsidR="00D30C4D" w:rsidRDefault="00B964E1" w:rsidP="00020FC3">
      <w:pPr>
        <w:pStyle w:val="Liste"/>
      </w:pPr>
      <w:r>
        <w:t>Det er avgrensa valfridom av tilbydarar med dei høgaste hastigheitene i enkelte delar av landet.</w:t>
      </w:r>
    </w:p>
    <w:p w:rsidR="00D30C4D" w:rsidRDefault="00B964E1" w:rsidP="00020FC3">
      <w:pPr>
        <w:pStyle w:val="Liste"/>
      </w:pPr>
      <w:r>
        <w:t>Forbrukarar opplever lange bindingstider og manglande individuell tilpassing i b</w:t>
      </w:r>
      <w:r>
        <w:t>u</w:t>
      </w:r>
      <w:r>
        <w:t>stadsamanslutningar, som burettslag og sameige.</w:t>
      </w:r>
    </w:p>
    <w:p w:rsidR="00D30C4D" w:rsidRDefault="00B964E1" w:rsidP="00020FC3">
      <w:pPr>
        <w:pStyle w:val="Liste"/>
      </w:pPr>
      <w:r>
        <w:t>Konkurransen i mobilmarknaden er ikkje like god som i dei andre nordiske landa, og det fører til at norske forbrukarar må betale meir for mindre data.</w:t>
      </w:r>
    </w:p>
    <w:p w:rsidR="00D30C4D" w:rsidRDefault="00B964E1" w:rsidP="00020FC3">
      <w:pPr>
        <w:pStyle w:val="Liste"/>
      </w:pPr>
      <w:r>
        <w:t>Forbrukarane kan ha utfordringar med å få god oversikt over tilboda av fast breiband.</w:t>
      </w:r>
    </w:p>
    <w:p w:rsidR="00D30C4D" w:rsidRDefault="00B964E1" w:rsidP="00020FC3">
      <w:r>
        <w:t>Regjeringa legg til grunn ein marknadsbasert og teknologinøytral breibandspolitikk. Det skal framleis leggjast til rette for effektiv konkurranse og marknadsbasert utbygging gjennom e</w:t>
      </w:r>
      <w:r>
        <w:t>f</w:t>
      </w:r>
      <w:r>
        <w:t>fektiv regulering av sektoren. Regjeringa har som mål at alle husstandar skal ha tilbod om breiband med høg hastigheit på lang sikt. Regjeringa vil også arbeide for betre forbrukari</w:t>
      </w:r>
      <w:r>
        <w:t>n</w:t>
      </w:r>
      <w:r>
        <w:t>formasjon i breibandsmarknaden. Vidare vil regjeringa leggje til rette for eit tredje nett og berekraftig konkurranse i marknaden for mobiltenester.</w:t>
      </w:r>
    </w:p>
    <w:p w:rsidR="00D30C4D" w:rsidRDefault="00B964E1" w:rsidP="00020FC3">
      <w:r>
        <w:lastRenderedPageBreak/>
        <w:t>Kommunal- og moderniseringsdepartementet har hovudansvaret for breibandspolitikken, og verkemiddel på dette området omfattar regulering, frekvensforvalting og tilskot til teletryg</w:t>
      </w:r>
      <w:r>
        <w:t>g</w:t>
      </w:r>
      <w:r>
        <w:t>leik, teleberedskap og breibandsutbygging. Ansvaret for tilskotet til breibandsutbygging skal overførast til fylkeskommunane frå og med 2020. Breibandsmarknaden er framleis i rask u</w:t>
      </w:r>
      <w:r>
        <w:t>t</w:t>
      </w:r>
      <w:r>
        <w:t xml:space="preserve">vikling og sterkt prega av teknologiske og marknadsmessige endringar. I delar av marknaden treng ein framleis regulering for </w:t>
      </w:r>
      <w:proofErr w:type="gramStart"/>
      <w:r>
        <w:t>å</w:t>
      </w:r>
      <w:proofErr w:type="gramEnd"/>
      <w:r>
        <w:t xml:space="preserve"> leggje til rette for berekraftig konkurranse og for å fremje sikre, gode, rimelege og framtidsretta tenester. Nasjonal kommunikasjonsmyndigheit (Nkom) følgjer opp konkurransereguleringa i sektoren gjennom analysar og vedtak i dei relevante marknadene, i tillegg til effektiv og tenleg forvalting av frekvensressursane.</w:t>
      </w:r>
    </w:p>
    <w:p w:rsidR="00D30C4D" w:rsidRDefault="00B964E1" w:rsidP="00020FC3">
      <w:pPr>
        <w:pStyle w:val="Overskrift2"/>
      </w:pPr>
      <w:r>
        <w:t>Tilgangen på breiband hos forbrukarane</w:t>
      </w:r>
    </w:p>
    <w:p w:rsidR="00D30C4D" w:rsidRDefault="00B964E1" w:rsidP="00020FC3">
      <w:r>
        <w:t>Noreg er i dag eit av dei mest digitaliserte landa i verda og toppar internasjonale samanlikningar over internettilgang. Dei aller fleste husstandar og verksemder i Noreg har tilbod om grun</w:t>
      </w:r>
      <w:r>
        <w:t>n</w:t>
      </w:r>
      <w:r>
        <w:t>leg</w:t>
      </w:r>
      <w:r>
        <w:rPr>
          <w:spacing w:val="-2"/>
        </w:rPr>
        <w:t>gjande breiband, definert som ei breibandsdekning</w:t>
      </w:r>
      <w:r>
        <w:t xml:space="preserve"> med minimum 4 Mbit/s kapasitet ne</w:t>
      </w:r>
      <w:r>
        <w:t>d</w:t>
      </w:r>
      <w:r>
        <w:t>straums. Dekningsrapporten til Nkom frå 2018 viser at nær 100 prosent av norske husstandar har breibandsdekning med slik kapasitet. Eit tilbod om 4 Mbit/s er tilstrekkeleg til å nytte mellom anna e-post, nettbank, offentlege tenester, tilgang til læringsplattformer, e-handel og breibandstelefoni. Stadig fleire husstandar får også tilbod om breiband med høgare kapasitet. Ved utgangen av fyrste halvår 2018 hadde 82 prosent av norske husstandar tilbod om minimum 100 Mbit/s kapasitet nedstraums. I 2018 blei det også investert bortimot 4,2 milliardar kroner i fibernett, noko som var ein nedgang på nesten 450 millionar kroner samanlikna med 2017.</w:t>
      </w:r>
    </w:p>
    <w:p w:rsidR="00D30C4D" w:rsidRDefault="00B964E1" w:rsidP="00020FC3">
      <w:r>
        <w:t xml:space="preserve">Talet på faste breibandsabonnement fortset </w:t>
      </w:r>
      <w:proofErr w:type="gramStart"/>
      <w:r>
        <w:t>å</w:t>
      </w:r>
      <w:proofErr w:type="gramEnd"/>
      <w:r>
        <w:t xml:space="preserve"> vekse. Statistikk frå Nkom viser at det ved u</w:t>
      </w:r>
      <w:r>
        <w:t>t</w:t>
      </w:r>
      <w:r>
        <w:t>gangen av 2018 var totalt 2 080 000 slike abonnement i privatmarknaden. 86 prosent av hu</w:t>
      </w:r>
      <w:r>
        <w:t>s</w:t>
      </w:r>
      <w:r>
        <w:t>standane hadde abonnement på fast breiband, og stadig fleire vel å abonnere på breiband i dei høgaste kapasitetsklassene. Ved utgangen av 2018 hadde 34,8 prosent av breibandskundane i privatmarknaden abonnement med minst 100 Mbit/s kapasitet nedstraums. Tilsvarande tal ved utgangen av 2017 var 24,4 prosent.</w:t>
      </w:r>
    </w:p>
    <w:p w:rsidR="00D30C4D" w:rsidRDefault="00B964E1" w:rsidP="00020FC3">
      <w:r>
        <w:t>Det aukande behovet for kapasitet har utvikla seg gradvis over fleire år. Behovet har sama</w:t>
      </w:r>
      <w:r>
        <w:t>n</w:t>
      </w:r>
      <w:r>
        <w:t>heng med at stadig fleire forbrukarar bruker internettabonnementet til tenester som krev meir bandbreidde enn tidlegare. I forbrukarmarknaden har den auka bruken av ulike såkalla over-the-top-tenester («OTT-tenester»),</w:t>
      </w:r>
      <w:r>
        <w:rPr>
          <w:vertAlign w:val="superscript"/>
        </w:rPr>
        <w:footnoteReference w:id="69"/>
      </w:r>
      <w:r>
        <w:t xml:space="preserve"> som strøyming av TV-seriar, filmar og sportshe</w:t>
      </w:r>
      <w:r>
        <w:t>n</w:t>
      </w:r>
      <w:r>
        <w:t>dingar, vore med på å drive opp etterspurnaden etter breiband med høgare kapasitet.</w:t>
      </w:r>
      <w:r>
        <w:rPr>
          <w:vertAlign w:val="superscript"/>
        </w:rPr>
        <w:footnoteReference w:id="70"/>
      </w:r>
      <w:r>
        <w:t xml:space="preserve"> Fo</w:t>
      </w:r>
      <w:r>
        <w:t>r</w:t>
      </w:r>
      <w:r>
        <w:t>brukarar bruker også smarttelefon med mobilt breiband til slike tenester. Den teknologiske utviklinga har potensial til å viske ut skiljet mellom fast og mobilt breiband.</w:t>
      </w:r>
    </w:p>
    <w:p w:rsidR="00D30C4D" w:rsidRDefault="00B964E1" w:rsidP="00020FC3">
      <w:pPr>
        <w:pStyle w:val="Overskrift2"/>
      </w:pPr>
      <w:r>
        <w:lastRenderedPageBreak/>
        <w:t>Fast breiband</w:t>
      </w:r>
    </w:p>
    <w:p w:rsidR="00D30C4D" w:rsidRDefault="00B964E1" w:rsidP="00020FC3">
      <w:r>
        <w:t xml:space="preserve">Regjeringa ønskjer </w:t>
      </w:r>
      <w:proofErr w:type="gramStart"/>
      <w:r>
        <w:t>å</w:t>
      </w:r>
      <w:proofErr w:type="gramEnd"/>
      <w:r>
        <w:t xml:space="preserve"> leggje til rette for effektiv konkurranse i breibandsmarknaden og vil i tillegg sikre at forbrukarane får fleire valmoglegheiter ved kjøp av breibandstenester. I dag har kapasitetskrav mykje </w:t>
      </w:r>
      <w:proofErr w:type="gramStart"/>
      <w:r>
        <w:t>å</w:t>
      </w:r>
      <w:proofErr w:type="gramEnd"/>
      <w:r>
        <w:t xml:space="preserve"> seie for kva for aksessteknologiar og tilbydarar forbrukarane kan velje mellom. Det vil seie at ein får mindre </w:t>
      </w:r>
      <w:proofErr w:type="gramStart"/>
      <w:r>
        <w:t>å</w:t>
      </w:r>
      <w:proofErr w:type="gramEnd"/>
      <w:r>
        <w:t xml:space="preserve"> velje mellom når kapasitetskrava aukar, og at forbr</w:t>
      </w:r>
      <w:r>
        <w:t>u</w:t>
      </w:r>
      <w:r>
        <w:t>karane har minst å velje mellom når det gjeld breiband med dei høgaste hastigheitene. A</w:t>
      </w:r>
      <w:r>
        <w:t>k</w:t>
      </w:r>
      <w:r>
        <w:t>sessteknologi er nemninga på teknologien ein bruker til å kople seg til internett. Dei siste åra har utviklinga gått i retning av sterkare konkurranse mellom aksessteknologiar og mellom ti</w:t>
      </w:r>
      <w:r>
        <w:t>l</w:t>
      </w:r>
      <w:r>
        <w:t>bydarar.</w:t>
      </w:r>
      <w:r>
        <w:rPr>
          <w:vertAlign w:val="superscript"/>
        </w:rPr>
        <w:footnoteReference w:id="71"/>
      </w:r>
      <w:r>
        <w:t xml:space="preserve"> Inntil for få år siden var Telenor sitt koparbaserte aksessnett hovednettet for telefoni og breiband i Noreg. I februar 2019 informerte Telenor om at koparnettet skal fasast ut fram mot 2023. Utfasinga betyr isolert sett at vala mellom ulike teknologiar på sikt kan kome til å bli færre. Samstundes aukar kapasiteten i mobilnetta stadig, og over tid vil mobilnetta, etter kvart med 5G-teknologi, truleg kunne utgjere ein betydeleg konkurransefaktor også for breiband med høg hastigheit.</w:t>
      </w:r>
    </w:p>
    <w:p w:rsidR="00D30C4D" w:rsidRDefault="00B964E1" w:rsidP="00020FC3">
      <w:r>
        <w:t>Ifølgje Nkom sin dekningsrapport kunne 47 prosent av husstandane i 2018 velje mellom minst to aksessteknologiar ved eit kapasitetskrav på minst 30 Mbit/s nedstraums. Dette var ein auke på fem prosentpoeng frå 2017. Rapporten viste vidare at 50 prosent av husstandane i 2018 kunne velje mellom minst to tilbydarar ved eit kapasitetskrav på minst 30 Mbit/s nedstraums. Dette var ein auke på tre prosentpoeng frå 2017. Ved eit kapasitetskrav på minst 100 Mbit/s nedstraums kunne 27 prosent av husstandane velje mellom minst to aksessteknologiar i 2018. Vidare kunne 30 prosent velje mellom minst to tilbydarar ved eit slikt kapasitetskrav.</w:t>
      </w:r>
      <w:r>
        <w:rPr>
          <w:vertAlign w:val="superscript"/>
        </w:rPr>
        <w:footnoteReference w:id="72"/>
      </w:r>
    </w:p>
    <w:p w:rsidR="00D30C4D" w:rsidRDefault="00B964E1" w:rsidP="00020FC3">
      <w:r>
        <w:t>Telenor er den klart største tilbydaren av fast breiband i privatmarknaden, med 38,1 prosent av marknaden (målt etter talet på abonnement) ved utgangen av 2018. Sjølv om Telenor har mist marknadsdelar over fleire år, har selskapet framleis ein meir enn dobbelt så høg del av mar</w:t>
      </w:r>
      <w:r>
        <w:t>k</w:t>
      </w:r>
      <w:r>
        <w:t>naden som Get (no ein del av Telia Company), som er den nest største tilbydaren av fast bre</w:t>
      </w:r>
      <w:r>
        <w:t>i</w:t>
      </w:r>
      <w:r>
        <w:t>band i privatmarknaden.</w:t>
      </w:r>
    </w:p>
    <w:p w:rsidR="00D30C4D" w:rsidRDefault="00B964E1" w:rsidP="00020FC3">
      <w:r>
        <w:t xml:space="preserve">Ei hovudutfordring er </w:t>
      </w:r>
      <w:proofErr w:type="gramStart"/>
      <w:r>
        <w:t>å</w:t>
      </w:r>
      <w:proofErr w:type="gramEnd"/>
      <w:r>
        <w:t xml:space="preserve"> leggje tilhøva til rette for vidare nettutbygging og eit godt tilbod av breibandstenester over heile landet. For å stimulere til auka konkurranse må også utfordrarar i marknaden, inkludert nye aktørar, få tilgang til den eksisterande infrastrukturen. Ei utfordring for nettutbygginga er at kostnadene for </w:t>
      </w:r>
      <w:proofErr w:type="gramStart"/>
      <w:r>
        <w:t>å</w:t>
      </w:r>
      <w:proofErr w:type="gramEnd"/>
      <w:r>
        <w:t xml:space="preserve"> byggje ut eit tilbod i område med få brukarar er svært mykje høgare per brukar enn i område med fleire brukarar.</w:t>
      </w:r>
    </w:p>
    <w:p w:rsidR="00D30C4D" w:rsidRDefault="00B964E1" w:rsidP="00020FC3">
      <w:r>
        <w:t>Ordninga med tilskot til utbygging av breiband skal hjelpe til med å sikre at det blir bygd ut breiband med høg hastigheit i område utan kommersielt grunnlag for investeringar. Samfer</w:t>
      </w:r>
      <w:r>
        <w:t>d</w:t>
      </w:r>
      <w:r>
        <w:t>selsdepartementet har i 2018 gjort endringar i ordninga ved å gi fylkeskommunane større a</w:t>
      </w:r>
      <w:r>
        <w:t>n</w:t>
      </w:r>
      <w:r>
        <w:lastRenderedPageBreak/>
        <w:t xml:space="preserve">svar for korleis dei prioriterer bruken av midlane i eige </w:t>
      </w:r>
      <w:r>
        <w:rPr>
          <w:spacing w:val="1"/>
        </w:rPr>
        <w:t>fylke. Frå og med 2020 blir ansvaret for tilskotet</w:t>
      </w:r>
      <w:r>
        <w:t xml:space="preserve"> til breibandsutbygging overført til fylkeskommunane.</w:t>
      </w:r>
    </w:p>
    <w:p w:rsidR="00D30C4D" w:rsidRDefault="00B964E1" w:rsidP="00020FC3">
      <w:r>
        <w:t>Minst like viktig som tilskot er gode rammevilkår for framføring av leidningar for breiband, slik som reglar for graving i offentleg veg. Gode rammevilkår for framføring er viktig for å redusere utbyggingskostnadene. Ved utbygging av fiberbreiband utgjer gravekostnadene gjerne opp mot 70–80 prosent av dei totale utbyggingskostnadene. Regjeringa har fastsett ei ny lei</w:t>
      </w:r>
      <w:r>
        <w:t>d</w:t>
      </w:r>
      <w:r>
        <w:t>ningsforskrift som ifølgje aktørar i bransjen kan gi ei effektivisering på 15–25 prosent på e</w:t>
      </w:r>
      <w:r>
        <w:t>n</w:t>
      </w:r>
      <w:r>
        <w:t xml:space="preserve">keltprosjekt og gjere det mogleg </w:t>
      </w:r>
      <w:proofErr w:type="gramStart"/>
      <w:r>
        <w:t>å</w:t>
      </w:r>
      <w:proofErr w:type="gramEnd"/>
      <w:r>
        <w:t xml:space="preserve"> byggje ut tidlegare ulønnsame prosjekt. Dette kan medverke til at det blir bygd ut meir fiberbreiband, noko som vil vere positivt for norske forbrukarar.</w:t>
      </w:r>
    </w:p>
    <w:p w:rsidR="00D30C4D" w:rsidRDefault="00B964E1" w:rsidP="00020FC3">
      <w:r>
        <w:t>Staten har inngått avtale med Telenor om leveringspliktige tenester. Avtala omfattar telefoni, tilknyting som gjer det mogleg å bruke internett med låg hastigheit, og tenester til brukarar med særlege behov. Avtala går ut 3. august 2019. Ei utfordring er derfor å få i stand ei anna og meir permanent løysing som sikrar tenestetilbodet i heile landet, i tråd med Nasjonal plan for ele</w:t>
      </w:r>
      <w:r>
        <w:t>k</w:t>
      </w:r>
      <w:r>
        <w:t xml:space="preserve">tronisk kommunikasjon, jf. Meld. St. 27 (2015–2016) </w:t>
      </w:r>
      <w:r>
        <w:rPr>
          <w:rStyle w:val="kursiv"/>
          <w:sz w:val="21"/>
          <w:szCs w:val="21"/>
        </w:rPr>
        <w:t>Digital agenda for Norge</w:t>
      </w:r>
      <w:r>
        <w:t>.</w:t>
      </w:r>
    </w:p>
    <w:p w:rsidR="00D30C4D" w:rsidRDefault="00B964E1" w:rsidP="00020FC3">
      <w:r>
        <w:t>Når det gjeld tilbodet av fast breiband til forbrukarar, er det ulike utfordringar i marknaden for einebustader på den eine sida og bustadsamanslutningar (burettslag, sameige osv.) på den andre. I marknaden for einebustader er utfordringane gjerne knytte til prisen på breibandet og det å få bygd ut dekning med god nok kvalitet. Spesielt utanfor tettbygde strøk krev utbygging av breiband store investeringar. I marknaden for bustadsamanslutningar er prisane for forbr</w:t>
      </w:r>
      <w:r>
        <w:t>u</w:t>
      </w:r>
      <w:r>
        <w:t>karane låge, men her blir forbrukarane ofte låste til kollektive avtaler der ein i avgrensa grad kan gjere individuelle tilpassingar.</w:t>
      </w:r>
    </w:p>
    <w:p w:rsidR="00D30C4D" w:rsidRDefault="00B964E1" w:rsidP="00020FC3">
      <w:r>
        <w:t xml:space="preserve">For bustadsamanslutningane kan det også vere ei utfordring at tilbydarar gjerne opererer med svært lang bindingstid, ofte opptil 5 år. Lang bindingstid kan gi bustadsamanslutningar gunstige prisar for dei som bur der, men avgrensar kvar enkelt forbrukar si moglegheit til sjølv </w:t>
      </w:r>
      <w:proofErr w:type="gramStart"/>
      <w:r>
        <w:t>å</w:t>
      </w:r>
      <w:proofErr w:type="gramEnd"/>
      <w:r>
        <w:t xml:space="preserve"> velje tilbydar av breiband. I mindre bustadsamanslutningar har styra ofte ikkje nok kunnskap om tilbodet og si eiga forhandlingsmakt til å oppnå gode vilkår. Forbrukarrådet rettleier b</w:t>
      </w:r>
      <w:r>
        <w:t>u</w:t>
      </w:r>
      <w:r>
        <w:t>stadsamanslutningar om korleis dei kan forhandle og auke innkjøpsmakta si.</w:t>
      </w:r>
    </w:p>
    <w:p w:rsidR="00D30C4D" w:rsidRDefault="00B964E1" w:rsidP="00020FC3">
      <w:pPr>
        <w:pStyle w:val="Overskrift2"/>
      </w:pPr>
      <w:r>
        <w:t>Mobilt breiband</w:t>
      </w:r>
    </w:p>
    <w:p w:rsidR="00D30C4D" w:rsidRDefault="00B964E1" w:rsidP="00020FC3">
      <w:r>
        <w:rPr>
          <w:spacing w:val="-1"/>
        </w:rPr>
        <w:t>Norske forbrukarar forventar at mobile breibands</w:t>
      </w:r>
      <w:r>
        <w:t>tenester skal vere tilgjengelege med god k</w:t>
      </w:r>
      <w:r>
        <w:t>a</w:t>
      </w:r>
      <w:r>
        <w:t>pasitet overalt der folk ferdast og held til. Den mobile kvardagen stiller dermed store krav til utbygging av infrastruktur for å sikre påliteleg leveranse av nye tenester og tenester som ein tidlegare berre hadde tilgang på heime og på arbeidsplassen.</w:t>
      </w:r>
      <w:r>
        <w:rPr>
          <w:vertAlign w:val="superscript"/>
        </w:rPr>
        <w:footnoteReference w:id="73"/>
      </w:r>
    </w:p>
    <w:p w:rsidR="00D30C4D" w:rsidRDefault="00B964E1" w:rsidP="00020FC3">
      <w:r>
        <w:t>Mobilt breiband har også potensial til å viske ut skiljet mellom fastnettbasert og mobilbasert breibandsaksess for mange forbrukarar. Allereie i dag gir 4G-netta netthastigheiter som gjer at mobilt breiband for nokre blir opplevd som eit godt alternativ til fastnettbasert breiband. U</w:t>
      </w:r>
      <w:r>
        <w:t>t</w:t>
      </w:r>
      <w:r>
        <w:t>viklinga av 5G-nett vil kunne auke kapasiteten i mobilnetta ytterlegare. Sjølv om også kap</w:t>
      </w:r>
      <w:r>
        <w:t>a</w:t>
      </w:r>
      <w:r>
        <w:lastRenderedPageBreak/>
        <w:t xml:space="preserve">sitetsbehovet vil auke, gjer dette at mobilt breiband i stadig større grad er forventa </w:t>
      </w:r>
      <w:proofErr w:type="gramStart"/>
      <w:r>
        <w:t>å</w:t>
      </w:r>
      <w:proofErr w:type="gramEnd"/>
      <w:r>
        <w:t xml:space="preserve"> utgjere ein konkurransefaktor i marknaden for breiband med høg hastigheit. Dette vil gi forbrukarane fleire aksesstilbydarar </w:t>
      </w:r>
      <w:proofErr w:type="gramStart"/>
      <w:r>
        <w:t>å</w:t>
      </w:r>
      <w:proofErr w:type="gramEnd"/>
      <w:r>
        <w:t xml:space="preserve"> velje mellom.</w:t>
      </w:r>
    </w:p>
    <w:p w:rsidR="00D30C4D" w:rsidRDefault="00B964E1" w:rsidP="00020FC3">
      <w:r>
        <w:t xml:space="preserve">Derfor er det positivt at Noreg saman med dei andre nordiske </w:t>
      </w:r>
      <w:proofErr w:type="gramStart"/>
      <w:r>
        <w:t>landa</w:t>
      </w:r>
      <w:proofErr w:type="gramEnd"/>
      <w:r>
        <w:t xml:space="preserve"> er blant dei mest innovative og digitaliserte landa i verda. Dei norske mobilnetta blei i 2018 kåra til dei raskaste i verda av det amerikanske selskapet Ookla. Det er positivt for norske forbrukarar, som får tilgang til raske nett med god dekning. Samstundes betaler norske forbrukarar i dag også meir for mobile d</w:t>
      </w:r>
      <w:r>
        <w:t>a</w:t>
      </w:r>
      <w:r>
        <w:t xml:space="preserve">tatenester enn forbrukarane i dei andre nordiske landa. I dei andre </w:t>
      </w:r>
      <w:proofErr w:type="gramStart"/>
      <w:r>
        <w:t>landa</w:t>
      </w:r>
      <w:proofErr w:type="gramEnd"/>
      <w:r>
        <w:t xml:space="preserve"> i Norden er det generelt lågare prisar på datatrafikk enn i Noreg, og det er for tida også meir vanleg med tilbod om store eller uavgrensa datapakker.</w:t>
      </w:r>
      <w:r>
        <w:rPr>
          <w:vertAlign w:val="superscript"/>
        </w:rPr>
        <w:footnoteReference w:id="74"/>
      </w:r>
      <w:r>
        <w:t xml:space="preserve"> Konkurransen mellom mobiltilbydarane er svakare i Noreg enn i resten av Norden. I marknaden for mobiltelefoni, inkludert mobilt breiband, er Telenor den største tilbydaren, med nesten 44 prosent av den private marknaden (målt etter talet på abo</w:t>
      </w:r>
      <w:r>
        <w:t>n</w:t>
      </w:r>
      <w:r>
        <w:t>nement) ved utgangen av 2018. Telia er nest største tilbydar i denne marknaden. Selskapet har om lag 39 prosent av marknaden ved utgangen av 2018. Derfor er mobilmarknaden regulert gjennom ekomlova, slik at andre tilbydarar får sleppe til i Telenor-nettet. Dette gir truleg eit større utval av tenester og lågare prisar enn vi elles ville fått.</w:t>
      </w:r>
    </w:p>
    <w:p w:rsidR="00D30C4D" w:rsidRDefault="00B964E1" w:rsidP="00020FC3">
      <w:r>
        <w:t xml:space="preserve">Noreg er også eitt av to land i Europa som framleis berre har to landsdekkjande mobilnett, og som ikkje har god nok konkurranse i mobilmarknaden. På bakgrunn av dette har det vore eit viktig mål for regjeringa </w:t>
      </w:r>
      <w:proofErr w:type="gramStart"/>
      <w:r>
        <w:t>å</w:t>
      </w:r>
      <w:proofErr w:type="gramEnd"/>
      <w:r>
        <w:t xml:space="preserve"> leggje til rette for ein uavhengig tredje mobilaktør med eit eige landsdekkjande mobilnett. Det tredje nettet har allereie vore under utbygging i fleire år. Det blei bygd ut til </w:t>
      </w:r>
      <w:proofErr w:type="gramStart"/>
      <w:r>
        <w:t>å</w:t>
      </w:r>
      <w:proofErr w:type="gramEnd"/>
      <w:r>
        <w:t xml:space="preserve"> dekkje 75 prosent av innbyggjarane før Tele2 tapte konkurransen om frekvensar i fleirbandsauksjonen i 2013. Som følgje av dette selde Tele2 verksemda si i Noreg til Ice. Ice har i dag bygd eit nett som dekkjer meir enn 80 prosent av innbyggjarane.</w:t>
      </w:r>
    </w:p>
    <w:p w:rsidR="00D30C4D" w:rsidRDefault="00B964E1" w:rsidP="00020FC3">
      <w:r>
        <w:t>Ekomstyresmaktene arbeider gjennom reguleringa av mobilmarknaden, og gjennom fr</w:t>
      </w:r>
      <w:r>
        <w:t>e</w:t>
      </w:r>
      <w:r>
        <w:t xml:space="preserve">kvensforvaltinga, for </w:t>
      </w:r>
      <w:proofErr w:type="gramStart"/>
      <w:r>
        <w:t>å</w:t>
      </w:r>
      <w:proofErr w:type="gramEnd"/>
      <w:r>
        <w:t xml:space="preserve"> leggje til rette for vidare utbygging av det tredje mobilnettet. Eit ful</w:t>
      </w:r>
      <w:r>
        <w:t>l</w:t>
      </w:r>
      <w:r>
        <w:t>verdig tredje mobilnett vil vere med på å auke konkurransen, gi lågare prisar og auka ten</w:t>
      </w:r>
      <w:r>
        <w:t>e</w:t>
      </w:r>
      <w:r>
        <w:t>steinnovasjon, til det beste for næringslivet og forbrukarane i Noreg.</w:t>
      </w:r>
    </w:p>
    <w:p w:rsidR="00D30C4D" w:rsidRDefault="00B964E1" w:rsidP="00020FC3">
      <w:r>
        <w:t>Regjeringa har vedteke at det såkalla 700 MHz-bandet skal brukast til mobilkommunik</w:t>
      </w:r>
      <w:r>
        <w:t>a</w:t>
      </w:r>
      <w:r>
        <w:t>sjonstenester i framtida. I dag bruker ein dette frekvensbandet til kringkastingsføremål i ei rekkje land i Europa, men det er beslutta at det frå sommaren 2020 heller skal brukast til m</w:t>
      </w:r>
      <w:r>
        <w:t>o</w:t>
      </w:r>
      <w:r>
        <w:t>bilkommunikasjonstenester. 700 MHz-bandet har gode dekningseigenskapar og er også ein av ressursane som er utpeikte for framtidig utbygging av 5G, som er den nye generasjonen m</w:t>
      </w:r>
      <w:r>
        <w:t>o</w:t>
      </w:r>
      <w:r>
        <w:t xml:space="preserve">bilnett. Regjeringa har samstundes vedteke at ledige frekvensar i det såkalla 2,1 GHz-bandet også skal bli tildelt. Dette vil gi meir kapasitet for mobilt breiband. Regjeringa ønskjer å tildele frekvensar i begge banda til kommersielle aktørar i mobilmarknaden i 2019, gjennom ein auksjon. Regjeringa vil innrette rammene for tildeling av frekvensressursar til mobiltenester med sikte på </w:t>
      </w:r>
      <w:proofErr w:type="gramStart"/>
      <w:r>
        <w:t>å</w:t>
      </w:r>
      <w:proofErr w:type="gramEnd"/>
      <w:r>
        <w:t xml:space="preserve"> leggje til rette for tre mobilnett og auka konkurranse i mobilmarknaden.</w:t>
      </w:r>
    </w:p>
    <w:p w:rsidR="00D30C4D" w:rsidRDefault="00B964E1" w:rsidP="00020FC3">
      <w:pPr>
        <w:pStyle w:val="Overskrift2"/>
      </w:pPr>
      <w:r>
        <w:lastRenderedPageBreak/>
        <w:t>Forbrukarinformasjon</w:t>
      </w:r>
    </w:p>
    <w:p w:rsidR="00D30C4D" w:rsidRDefault="00B964E1" w:rsidP="00020FC3">
      <w:r>
        <w:t>Forbrukarinformasjon er eit verkemiddel for å sikre kundemobilitet og konkurranse i mar</w:t>
      </w:r>
      <w:r>
        <w:t>k</w:t>
      </w:r>
      <w:r>
        <w:t xml:space="preserve">naden. Nkom utvikla og dreiv i fleire år portalen </w:t>
      </w:r>
      <w:r>
        <w:rPr>
          <w:spacing w:val="-3"/>
        </w:rPr>
        <w:t>Telepriser.no, som samanlikna mobil- og breibands</w:t>
      </w:r>
      <w:r>
        <w:t>abonnement ut frå pris. Portalen var truleg med på å skape betre konkurranse i slut</w:t>
      </w:r>
      <w:r>
        <w:t>t</w:t>
      </w:r>
      <w:r>
        <w:t>brukarleddet, og førte truleg også til reduserte prisar, særleg i mobilmarknaden. Portalen var viktig i ei tid då det kunne vere uoversiktleg og vanskeleg for forbrukarane å forstå kva abo</w:t>
      </w:r>
      <w:r>
        <w:t>n</w:t>
      </w:r>
      <w:r>
        <w:t>nementa inneheldt, og korleis dei var sette saman.</w:t>
      </w:r>
    </w:p>
    <w:p w:rsidR="00D30C4D" w:rsidRDefault="00B964E1" w:rsidP="00020FC3">
      <w:r>
        <w:t>I åra som har gått, har utbreiinga av særleg mobiltelefoni (Noreg har «full dekning», med nesten 6 millionar abonnement per mai 2018) gjort at brukarkunnskapane har auka mykje. Samstundes har abonnementa blitt veldig mykje enklare. I dag er dei typiske abonnementa pakker som inneheld uavgrensa bruk av tale og sms, ein definert datakvote og reglar som sikrar at forbr</w:t>
      </w:r>
      <w:r>
        <w:t>u</w:t>
      </w:r>
      <w:r>
        <w:t>karane ikkje får ei ekstra rekning for vanleg bruk på reise i utlandet («Roam Like at Home» i EØS). Selskapa kommuniserer også enklare. Dei har relativt få abonnement til sals (typisk sorterte etter datastorleikane Small, Medium og Large), i motsetnad til tidlegare, då det var ein skog av abonnement.</w:t>
      </w:r>
    </w:p>
    <w:p w:rsidR="00D30C4D" w:rsidRDefault="00B964E1" w:rsidP="00020FC3">
      <w:r>
        <w:t>Som ein konsekvens av denne utviklinga har Nkom gått frå å drive samanlikningstenesta sjølv til å overlate oppgåva til private aktørar. I 2016 lanserte Nkom ei godkjenningsordning for samanlikning av abonnementsprisar på ekomtenester (både fast breiband og mobiltenester). Ordninga inneber at private aktørar som har utvikla slike samanlikningstenester, kan søkje Nkom om godkjendmerking. På denne måten er det utvikla eit samarbeid mellom offentlege og private aktørar, og ein unngår å bruke offentlege ressursar til å utvikle og drive tenester som private aktørar kan gjere like godt, betre eller godt nok.</w:t>
      </w:r>
    </w:p>
    <w:p w:rsidR="00D30C4D" w:rsidRDefault="00B964E1" w:rsidP="00020FC3">
      <w:r>
        <w:t>For å bli godkjend krev Nkom at tenesta skal vere tilgjengeleg, påliteleg, transparent og o</w:t>
      </w:r>
      <w:r>
        <w:t>b</w:t>
      </w:r>
      <w:r>
        <w:t>jektiv. På denne måten kan brukarar av tenesta vere sikre på resultatet og anbefalinga som samanlikningstenesta gir.</w:t>
      </w:r>
    </w:p>
    <w:p w:rsidR="00D30C4D" w:rsidRDefault="00B964E1" w:rsidP="00020FC3">
      <w:r>
        <w:t>Hittil er det berre prissamanlikningstenester for mobilabonnement som har søkt og fått go</w:t>
      </w:r>
      <w:r>
        <w:t>d</w:t>
      </w:r>
      <w:r>
        <w:t>kjenningsmerke frå Nkom. Per mai 2018 hadde Nkom godkjent fem slike tenester. Erfaringa frå dei fyrste åra med godkjendmerking av samanlikningstenester er at det er få klager frå fo</w:t>
      </w:r>
      <w:r>
        <w:t>r</w:t>
      </w:r>
      <w:r>
        <w:t xml:space="preserve">brukarane, og at dei som driv portalen, rettar seg etter dei endringane Nkom har </w:t>
      </w:r>
      <w:proofErr w:type="gramStart"/>
      <w:r>
        <w:t>bede</w:t>
      </w:r>
      <w:proofErr w:type="gramEnd"/>
      <w:r>
        <w:t xml:space="preserve"> om. Alle dei tre mobilnettoperatørane (Telenor, Telia og Ice) har i tillegg dekningskart tilgjengelege på nettsidene sine. Ein kan også bruke søkjetenesta Finnsenderen.no frå Nkom til å få informasjon om plasseringa av basestasjonane til tilbydarane. Regjeringa meiner derfor at forbrukarinfo</w:t>
      </w:r>
      <w:r>
        <w:t>r</w:t>
      </w:r>
      <w:r>
        <w:t>masjonen i mobilmarknaden er god nok.</w:t>
      </w:r>
    </w:p>
    <w:p w:rsidR="00D30C4D" w:rsidRDefault="00B964E1" w:rsidP="00020FC3">
      <w:r>
        <w:t xml:space="preserve">Det har derimot vore lite interesse frå private aktørar om </w:t>
      </w:r>
      <w:proofErr w:type="gramStart"/>
      <w:r>
        <w:t>å</w:t>
      </w:r>
      <w:proofErr w:type="gramEnd"/>
      <w:r>
        <w:t xml:space="preserve"> søkje om godkjendmerke frå Nkom på samanlikningstenester for fast breiband. Det finst i dag enkelte nettsider som tilbyr sama</w:t>
      </w:r>
      <w:r>
        <w:t>n</w:t>
      </w:r>
      <w:r>
        <w:t>likning av tilbod om fast breiband. Men det er mykje som tyder på at desse nettsidene ikkje gir eit like godt bilete av tilgjengelege tilbod, som det tilsvarande nettsider for mobiltenester gjer. Dette kan til ein viss grad forklarast med at det vil vere meir krevjande å utvikle gode sama</w:t>
      </w:r>
      <w:r>
        <w:t>n</w:t>
      </w:r>
      <w:r>
        <w:t>likningstenester for fast breiband, då marknaden er meir kompleks, med langt fleire tilbydarar enn i mobilmarknaden. Dette gjer det meir omfattande å hente inn informasjon. Samstundes deler ikkje dei kommersielle aktørane i breibandsmarknaden nok informasjon om brei</w:t>
      </w:r>
      <w:r>
        <w:t>d</w:t>
      </w:r>
      <w:r>
        <w:lastRenderedPageBreak/>
        <w:t>bandstilbodet sitt. Dersom private aktørar skal kunne utvikle betre samanlikningstenester for breiband, er det behov for meir detaljert geografisk informasjon om dekning og hyppige op</w:t>
      </w:r>
      <w:r>
        <w:t>p</w:t>
      </w:r>
      <w:r>
        <w:t>dateringar av dekningstal.</w:t>
      </w:r>
    </w:p>
    <w:p w:rsidR="00D30C4D" w:rsidRDefault="00B964E1" w:rsidP="00020FC3">
      <w:r>
        <w:t>Regjeringa ser at det trengst betre forbrukarinformasjon i marknaden for fast breiband. Nkom har derfor fått utarbeidd ein rapport om i kva grad den norske marknaden for breiband eignar seg til samanlikningstenester retta mot forbrukarane. Rapporten gjer greie for statlege tiltak som kan leggje til rette for betre private samanlikningstenester for breibandsmarknaden i N</w:t>
      </w:r>
      <w:r>
        <w:t>o</w:t>
      </w:r>
      <w:r>
        <w:t>reg. Rapporten konkluderer med at marknaden for fast breiband er eigna for at det offentlege skal leggje til rette for samanlikningstenester. Rapporten inneheld også ein avgrensa sa</w:t>
      </w:r>
      <w:r>
        <w:t>m</w:t>
      </w:r>
      <w:r>
        <w:t>funnsøkonomisk analyse som indikerer at eit slikt tiltak vil være samfunnsøkonomisk lønnsamt.</w:t>
      </w:r>
    </w:p>
    <w:p w:rsidR="00D30C4D" w:rsidRDefault="00B964E1" w:rsidP="00020FC3">
      <w:r>
        <w:t xml:space="preserve">Regjeringa vil framover arbeide for at dei kommersielle aktørane i breibandsmarknaden skal leggje fram meir informasjon om kvar dei leverer breiband, slik at forbrukarane får betre moglegheit til å vurdere alternative teknologiar, hastigheiter og prisar. Denne informasjonen kan ein bruke til å lage private samanlikningstenester der </w:t>
      </w:r>
      <w:r>
        <w:rPr>
          <w:spacing w:val="-1"/>
        </w:rPr>
        <w:t>forbrukaren kan få oversikt over breibandstilbodet</w:t>
      </w:r>
      <w:r>
        <w:t xml:space="preserve"> på si eiga adresse. Regjeringa vil i fyrste omgang vurdere </w:t>
      </w:r>
      <w:proofErr w:type="gramStart"/>
      <w:r>
        <w:t>å</w:t>
      </w:r>
      <w:proofErr w:type="gramEnd"/>
      <w:r>
        <w:t xml:space="preserve"> påleggje bre</w:t>
      </w:r>
      <w:r>
        <w:t>i</w:t>
      </w:r>
      <w:r>
        <w:t>bandstilbydarar å gjere slik informasjon tilgjengeleg.</w:t>
      </w:r>
    </w:p>
    <w:p w:rsidR="00D30C4D" w:rsidRDefault="00B964E1" w:rsidP="00020FC3">
      <w:pPr>
        <w:pStyle w:val="Overskrift2"/>
      </w:pPr>
      <w:r>
        <w:t>Regjeringa vil</w:t>
      </w:r>
    </w:p>
    <w:p w:rsidR="00D30C4D" w:rsidRDefault="00B964E1" w:rsidP="00E05FE4">
      <w:pPr>
        <w:pStyle w:val="Listebombe"/>
        <w:numPr>
          <w:ilvl w:val="0"/>
          <w:numId w:val="1"/>
        </w:numPr>
        <w:ind w:left="320" w:hanging="320"/>
        <w:rPr>
          <w:sz w:val="21"/>
          <w:szCs w:val="21"/>
        </w:rPr>
      </w:pPr>
      <w:r>
        <w:rPr>
          <w:sz w:val="21"/>
          <w:szCs w:val="21"/>
        </w:rPr>
        <w:t>arbeide for at alle husstandar skal ha tilbod om breiband med høg hastigheit på lang sikt</w:t>
      </w:r>
    </w:p>
    <w:p w:rsidR="00D30C4D" w:rsidRDefault="00B964E1" w:rsidP="00E05FE4">
      <w:pPr>
        <w:pStyle w:val="Listebombe"/>
        <w:numPr>
          <w:ilvl w:val="0"/>
          <w:numId w:val="1"/>
        </w:numPr>
        <w:ind w:left="320" w:hanging="320"/>
        <w:rPr>
          <w:sz w:val="21"/>
          <w:szCs w:val="21"/>
        </w:rPr>
      </w:pPr>
      <w:r>
        <w:rPr>
          <w:sz w:val="21"/>
          <w:szCs w:val="21"/>
        </w:rPr>
        <w:t xml:space="preserve">leggje til rette for </w:t>
      </w:r>
      <w:proofErr w:type="gramStart"/>
      <w:r>
        <w:rPr>
          <w:sz w:val="21"/>
          <w:szCs w:val="21"/>
        </w:rPr>
        <w:t>betre</w:t>
      </w:r>
      <w:proofErr w:type="gramEnd"/>
      <w:r>
        <w:rPr>
          <w:sz w:val="21"/>
          <w:szCs w:val="21"/>
        </w:rPr>
        <w:t xml:space="preserve"> private samanlikningstenester i breibandsmarknaden</w:t>
      </w:r>
    </w:p>
    <w:p w:rsidR="00D30C4D" w:rsidRDefault="00B964E1" w:rsidP="00E05FE4">
      <w:pPr>
        <w:pStyle w:val="Listebombe"/>
        <w:numPr>
          <w:ilvl w:val="0"/>
          <w:numId w:val="1"/>
        </w:numPr>
        <w:ind w:left="320" w:hanging="320"/>
        <w:rPr>
          <w:sz w:val="21"/>
          <w:szCs w:val="21"/>
        </w:rPr>
      </w:pPr>
      <w:r>
        <w:rPr>
          <w:sz w:val="21"/>
          <w:szCs w:val="21"/>
        </w:rPr>
        <w:t>leggje til rette for eit tredje nett og berekraftig konkurranse i marknaden for mobiltenester</w:t>
      </w:r>
    </w:p>
    <w:p w:rsidR="00D30C4D" w:rsidRDefault="00DE6D31" w:rsidP="00020FC3">
      <w:pPr>
        <w:pStyle w:val="del-nr"/>
      </w:pPr>
      <w:r>
        <w:t>Del IV</w:t>
      </w:r>
    </w:p>
    <w:p w:rsidR="00D30C4D" w:rsidRDefault="00B964E1" w:rsidP="00020FC3">
      <w:pPr>
        <w:pStyle w:val="del-tittel"/>
        <w:rPr>
          <w:w w:val="100"/>
        </w:rPr>
      </w:pPr>
      <w:r>
        <w:rPr>
          <w:w w:val="100"/>
        </w:rPr>
        <w:t>Prioriterte forbrukarområde</w:t>
      </w:r>
    </w:p>
    <w:p w:rsidR="00D30C4D" w:rsidRDefault="00B964E1" w:rsidP="00020FC3">
      <w:pPr>
        <w:pStyle w:val="Overskrift1"/>
      </w:pPr>
      <w:r>
        <w:t>Forbrukarutfordringar på kredittmarknaden</w:t>
      </w:r>
    </w:p>
    <w:p w:rsidR="00D30C4D" w:rsidRDefault="00741EEC" w:rsidP="00741EEC">
      <w:pPr>
        <w:pStyle w:val="Figur"/>
      </w:pPr>
      <w:r>
        <w:rPr>
          <w:noProof/>
        </w:rPr>
        <w:t>[:figur:figX-X.jpg]</w:t>
      </w:r>
    </w:p>
    <w:p w:rsidR="00D30C4D" w:rsidRDefault="00B964E1" w:rsidP="00020FC3">
      <w:pPr>
        <w:pStyle w:val="figur-tittel"/>
      </w:pPr>
      <w:r>
        <w:t> </w:t>
      </w:r>
    </w:p>
    <w:p w:rsidR="00D30C4D" w:rsidRDefault="00B964E1" w:rsidP="00020FC3">
      <w:pPr>
        <w:pStyle w:val="figur-noter"/>
      </w:pPr>
      <w:r>
        <w:t>Foto: Johnér</w:t>
      </w:r>
    </w:p>
    <w:p w:rsidR="00D30C4D" w:rsidRDefault="00B964E1" w:rsidP="00E05FE4">
      <w:pPr>
        <w:pStyle w:val="Overskrift2"/>
        <w:numPr>
          <w:ilvl w:val="1"/>
          <w:numId w:val="37"/>
        </w:numPr>
      </w:pPr>
      <w:r>
        <w:t>Innleiing</w:t>
      </w:r>
    </w:p>
    <w:p w:rsidR="00D30C4D" w:rsidRDefault="00B964E1" w:rsidP="00020FC3">
      <w:r>
        <w:t>I eit moderne samfunn er tilgang til kreditt viktig og naudsynt. Kreditt dannar grunnlag for verdiskaping og økonomisk vekst – både for enkeltpersonar og for heile samfunnet. Sa</w:t>
      </w:r>
      <w:r>
        <w:t>m</w:t>
      </w:r>
      <w:r>
        <w:t>stundes kan kreditt skape problem for personar som av ulike grunnar tek opp større lån enn dei klarer å handtere. Det kan skuldast at ein undervurderer kostnaden ved låneopptaket, ser for optimistisk på framtidig inntekt, eller handlar impulsivt og kortsiktig.</w:t>
      </w:r>
    </w:p>
    <w:p w:rsidR="00D30C4D" w:rsidRDefault="00B964E1" w:rsidP="00020FC3">
      <w:r>
        <w:lastRenderedPageBreak/>
        <w:t>Regjeringa ser med uro på veksten i marknaden for usikra forbrukskreditt og har starta ei rekkje tiltak for å få denne marknaden til å fungere betre.</w:t>
      </w:r>
    </w:p>
    <w:p w:rsidR="00D30C4D" w:rsidRDefault="00B964E1" w:rsidP="00020FC3">
      <w:r>
        <w:t>Regjeringa vil arbeide for ein forsvarleg utlånspraksis av usikra forbrukskreditt og mindre press i marknadsføringa av denne typen kredittar. Forbrukarar i ein sårbar livssituasjon skal ikkje bli freista til å ta opp dyr kreditt som seinare vil setje dei i ein vanskeleg økonomisk situasjon.</w:t>
      </w:r>
    </w:p>
    <w:p w:rsidR="00D30C4D" w:rsidRDefault="00B964E1" w:rsidP="00020FC3">
      <w:r>
        <w:t xml:space="preserve">Det er viktig </w:t>
      </w:r>
      <w:proofErr w:type="gramStart"/>
      <w:r>
        <w:t>å</w:t>
      </w:r>
      <w:proofErr w:type="gramEnd"/>
      <w:r>
        <w:t xml:space="preserve"> styrkje kunnskapen om personleg økonomi blant innbyggjarane. Kloke øk</w:t>
      </w:r>
      <w:r>
        <w:t>o</w:t>
      </w:r>
      <w:r>
        <w:t>nomiske val kan danne grunnlag for ein sunn framtidig økonomi. Uheldig opptak av fo</w:t>
      </w:r>
      <w:r>
        <w:t>r</w:t>
      </w:r>
      <w:r>
        <w:t>brukslån og udisiplinert bruk av kredittkort kan motsett få særs negative konsekvensar. St</w:t>
      </w:r>
      <w:r>
        <w:t>y</w:t>
      </w:r>
      <w:r>
        <w:t>resmaktene skal sørgje for eit robust tilbod om hjelp og rådgiving til dei som allereie har gjeldsproblem.</w:t>
      </w:r>
    </w:p>
    <w:p w:rsidR="00D30C4D" w:rsidRDefault="00B964E1" w:rsidP="00020FC3">
      <w:pPr>
        <w:pStyle w:val="Overskrift2"/>
      </w:pPr>
      <w:r>
        <w:t>Utviklingstrekk</w:t>
      </w:r>
    </w:p>
    <w:p w:rsidR="00D30C4D" w:rsidRDefault="00B964E1" w:rsidP="00020FC3">
      <w:pPr>
        <w:pStyle w:val="Overskrift3"/>
      </w:pPr>
      <w:r>
        <w:t>Gjeldssituasjonen i norske hushald</w:t>
      </w:r>
    </w:p>
    <w:p w:rsidR="00D30C4D" w:rsidRDefault="00B964E1" w:rsidP="00020FC3">
      <w:r>
        <w:t>Gjelda til norske hushald har lenge vakse raskare enn inntektene. Som del av disponibel inntekt har gjelda meir enn dobla seg sidan byrjinga av 1980-talet. Per i dag har norske hushald i gjennomsnitt ei gjeld som svarer til meir enn to gonger den disponible inntekta. Det er høgt både historisk og samanlikna med andre land.</w:t>
      </w:r>
    </w:p>
    <w:p w:rsidR="00D30C4D" w:rsidRDefault="00B964E1" w:rsidP="00020FC3">
      <w:r>
        <w:t>Særleg yngre hushald har høg gjeld i høve til inntekta. Hushalda der hovudinntektstakaren er mellom 25 og 34 år, hadde i gjennomsnitt den høgaste gjeldsbyrda i 2016.</w:t>
      </w:r>
    </w:p>
    <w:p w:rsidR="00D30C4D" w:rsidRDefault="00741EEC" w:rsidP="00741EEC">
      <w:pPr>
        <w:pStyle w:val="Figur"/>
      </w:pPr>
      <w:r>
        <w:rPr>
          <w:noProof/>
        </w:rPr>
        <w:t>[:figur:figX-X.jpg]</w:t>
      </w:r>
    </w:p>
    <w:p w:rsidR="00D30C4D" w:rsidRDefault="00B964E1" w:rsidP="00020FC3">
      <w:pPr>
        <w:pStyle w:val="figur-tittel"/>
      </w:pPr>
      <w:r>
        <w:t>Gjelda til norske hushald fordelt etter type.</w:t>
      </w:r>
      <w:r>
        <w:rPr>
          <w:rStyle w:val="skrift-hevet"/>
          <w:sz w:val="21"/>
          <w:szCs w:val="21"/>
        </w:rPr>
        <w:t>1</w:t>
      </w:r>
      <w:r>
        <w:t xml:space="preserve"> År 2016.</w:t>
      </w:r>
    </w:p>
    <w:p w:rsidR="00D30C4D" w:rsidRDefault="00B964E1" w:rsidP="00020FC3">
      <w:pPr>
        <w:pStyle w:val="figur-noter"/>
      </w:pPr>
      <w:r>
        <w:rPr>
          <w:rStyle w:val="skrift-hevet"/>
          <w:sz w:val="17"/>
          <w:szCs w:val="17"/>
        </w:rPr>
        <w:t>1</w:t>
      </w:r>
      <w:r>
        <w:tab/>
        <w:t>Opplysingane om forbrukslån er baserte på Finanstilsynet sitt utval av bankar og finansieringsselskap, som dekkjer hovuddelen av marknaden. Med anna gjeld meiner ein billån og anna sikra gjeld utanom bustad.</w:t>
      </w:r>
    </w:p>
    <w:p w:rsidR="00D30C4D" w:rsidRDefault="00B964E1" w:rsidP="00020FC3">
      <w:pPr>
        <w:pStyle w:val="Kilde"/>
        <w:rPr>
          <w:rFonts w:cs="Times New Roman"/>
          <w:sz w:val="24"/>
          <w:szCs w:val="24"/>
          <w:lang w:val="en-GB"/>
        </w:rPr>
      </w:pPr>
      <w:r>
        <w:t>Noregs Bank</w:t>
      </w:r>
    </w:p>
    <w:p w:rsidR="00D30C4D" w:rsidRDefault="00B964E1" w:rsidP="00020FC3">
      <w:r>
        <w:t>Marknaden for usikra forbrukskreditt utgjer tre prosent av den totale gjelda til hushalda, men denne marknaden har hatt ein kraftig vekst over fleire år, med ein topp på 17 prosent i fyrste kvartal 2017. Sjølv om veksten har dabba litt av og var nærare 14 prosent ved utgangen av 2018, ligg han framleis klart over den samla gjeldsveksten i hushalda. Usikra forbrukskreditt omfattar både nedbetalingslån utan sikring (forbrukslån) og kredittrammer knytte til kreditt- og faktureringskort. Den usikra forbruksgjelda til innbyggjarane utgjer no meir enn 110 milliardar kroner, og om lag halvparten av denne summen er kredittkortgjeld.</w:t>
      </w:r>
      <w:r>
        <w:rPr>
          <w:vertAlign w:val="superscript"/>
        </w:rPr>
        <w:footnoteReference w:id="75"/>
      </w:r>
    </w:p>
    <w:p w:rsidR="00D30C4D" w:rsidRDefault="00B964E1" w:rsidP="00020FC3">
      <w:r>
        <w:t>Gjennomsnittsrenta på usikra forbrukskreditt har ifølgje Noregs Bank lege stabilt på rundt 13–14 prosent sidan 2005.</w:t>
      </w:r>
      <w:r>
        <w:rPr>
          <w:vertAlign w:val="superscript"/>
        </w:rPr>
        <w:footnoteReference w:id="76"/>
      </w:r>
      <w:r>
        <w:t xml:space="preserve"> Dette er langt høgare enn for andre lån, og rentene på den usikra </w:t>
      </w:r>
      <w:r>
        <w:lastRenderedPageBreak/>
        <w:t>forbrukskreditten svarer til 14 prosent av dei samla rentekostnadene til hushalda.</w:t>
      </w:r>
      <w:r>
        <w:rPr>
          <w:vertAlign w:val="superscript"/>
        </w:rPr>
        <w:footnoteReference w:id="77"/>
      </w:r>
      <w:r>
        <w:t xml:space="preserve"> Hushald med høg gjeld er sårbare ved renteauke, bortfall av inntekt og fall i bustadprisar, og denne risikoen aukar ytterlegare ved opptak av usikra kreditt.</w:t>
      </w:r>
      <w:r>
        <w:rPr>
          <w:vertAlign w:val="superscript"/>
        </w:rPr>
        <w:footnoteReference w:id="78"/>
      </w:r>
    </w:p>
    <w:p w:rsidR="00D30C4D" w:rsidRDefault="00B964E1" w:rsidP="00020FC3">
      <w:r>
        <w:t>For å bidra til ei meir berekraftig utvikling på marknaden for bustadlån vedtok Finansdepa</w:t>
      </w:r>
      <w:r>
        <w:t>r</w:t>
      </w:r>
      <w:r>
        <w:t>tementet i juni 2015 den fyrste forskrifta om krav til nye utlån med pant i bustad (bustadlå</w:t>
      </w:r>
      <w:r>
        <w:t>n</w:t>
      </w:r>
      <w:r>
        <w:t>forskrifta). I denne blir det stilt krav om mellom anna betalingsevne og gjeldsgrad. Forskrifta blei ført vidare og stramma inn frå januar 2017. Frå juni 2018 blei forskrifta igjen ført vidare med enkelte mindre justeringar. I kapittel 12, som handlar om forbrukarutfordringar på b</w:t>
      </w:r>
      <w:r>
        <w:t>u</w:t>
      </w:r>
      <w:r>
        <w:t>stadmarknaden, går vi nærare inn på bustadlånforskrifta og bustadgjelda til hushalda.</w:t>
      </w:r>
    </w:p>
    <w:p w:rsidR="00D30C4D" w:rsidRDefault="00B964E1" w:rsidP="00020FC3">
      <w:r>
        <w:t>Finansdepartementet vedtok 12. februar i år ei forskrift med krav til utlånspraksisen bankane har for forbrukslån. Målet med forskrifta er å dempe risikoen som den aukande forbruksgjelda til norske hushald utgjer for norsk økonomi. Forskrifta er utforma etter same mønster som bustadlånforskrifta, og ho inneheld krav om mellom anna betalingsevne, gjeldsgrad og a</w:t>
      </w:r>
      <w:r>
        <w:t>v</w:t>
      </w:r>
      <w:r>
        <w:t>dragsbetaling.</w:t>
      </w:r>
    </w:p>
    <w:p w:rsidR="00D30C4D" w:rsidRDefault="00B964E1" w:rsidP="00020FC3">
      <w:pPr>
        <w:pStyle w:val="Overskrift3"/>
      </w:pPr>
      <w:r>
        <w:t>Utvikling i gjeldsproblem</w:t>
      </w:r>
    </w:p>
    <w:p w:rsidR="00D30C4D" w:rsidRDefault="00B964E1" w:rsidP="00020FC3">
      <w:r>
        <w:t>Årsakene til gjeldsproblem er mange og samansette. Undersøkingar frå forbruksforskingsi</w:t>
      </w:r>
      <w:r>
        <w:t>n</w:t>
      </w:r>
      <w:r>
        <w:t>stituttet SIFO viser at den typen gjeld som hushalda hadde størst utfordringar med å handtere i 2016, var knytt til usikra forbrukskreditt.</w:t>
      </w:r>
      <w:r>
        <w:rPr>
          <w:vertAlign w:val="superscript"/>
        </w:rPr>
        <w:footnoteReference w:id="79"/>
      </w:r>
      <w:r>
        <w:t xml:space="preserve"> Forbrukarar som både har kredittkortgjeld og fo</w:t>
      </w:r>
      <w:r>
        <w:t>r</w:t>
      </w:r>
      <w:r>
        <w:t>bruksgjeld, er særleg utsette for å få betalingsproblem.</w:t>
      </w:r>
      <w:r>
        <w:rPr>
          <w:vertAlign w:val="superscript"/>
        </w:rPr>
        <w:footnoteReference w:id="80"/>
      </w:r>
      <w:r>
        <w:t xml:space="preserve"> I ei SIFO-undersøking frå 2011 av gjeldsordningssaker i Oslo utgjorde den usikra forbruksgjelda 40 prosent av totalgjelda, eller gjennomsnittleg om lag 385 000 kroner per sak. I 2017 hadde talet auka til nesten det dobbelte. Då var forbuksgjelda i endringssakar gjennomsnittleg 689 352 kroner.</w:t>
      </w:r>
      <w:r>
        <w:rPr>
          <w:vertAlign w:val="superscript"/>
        </w:rPr>
        <w:footnoteReference w:id="81"/>
      </w:r>
      <w:r>
        <w:t xml:space="preserve"> Usikra forbrukskreditt er også ei vesentleg årsak til problema i tilfella der det blir søkt om gjeldsordning. Unders</w:t>
      </w:r>
      <w:r>
        <w:t>ø</w:t>
      </w:r>
      <w:r>
        <w:t>kinga frå 2011 viser at 32 prosent av dei som nyttar seg av gjeldsordninga, oppgir forbrukslån som hovudårsak til gjeldsproblema.</w:t>
      </w:r>
    </w:p>
    <w:p w:rsidR="00D30C4D" w:rsidRDefault="00B964E1" w:rsidP="00020FC3">
      <w:r>
        <w:lastRenderedPageBreak/>
        <w:t>Når det gjeld utviklinga i talet på hushald med økonomiske problem, ser SIFO ein klar trend. Omfanget av betalingsproblem fall frå byrjinga av 1990-åra og inn på 2000-talet, med eit hi</w:t>
      </w:r>
      <w:r>
        <w:t>s</w:t>
      </w:r>
      <w:r>
        <w:t>torisk botnnivå på 2,6 prosent i 2008. Frå 2013 har det vore ein auke i talet på hushald som har slike problem. I 2016 rekna SIFO ut at 7 prosent av hushalda har tilbakevendande betaling</w:t>
      </w:r>
      <w:r>
        <w:t>s</w:t>
      </w:r>
      <w:r>
        <w:t>problem. Dette svarer til 160 000 hushald, eller rundt 355 000 personar.</w:t>
      </w:r>
    </w:p>
    <w:p w:rsidR="00D30C4D" w:rsidRDefault="00B964E1" w:rsidP="00020FC3">
      <w:r>
        <w:t>Utviklinga i inkassosaker og utleggsforretningar, pluss pågangen etter gjeldsrådgivingstenester hos NAV, tyder på at stadig fleire forbrukarar har problem med tilbakebetaling. Inkassose</w:t>
      </w:r>
      <w:r>
        <w:t>l</w:t>
      </w:r>
      <w:r>
        <w:t xml:space="preserve">skapa fekk over 8,6 millionar nye inkassosaker i 2017, noko som svarer til ein årleg auke på ni prosent sidan 2012. Dei </w:t>
      </w:r>
      <w:proofErr w:type="gramStart"/>
      <w:r>
        <w:t>siste to åra</w:t>
      </w:r>
      <w:proofErr w:type="gramEnd"/>
      <w:r>
        <w:t xml:space="preserve"> har ein dessutan sett ein klar auke i talet på forbrukslån som går til inkasso. Aldersgruppa med flest forbrukslån til inkasso er dei mellom 25 og 30 år. Også omfanget av utleggsforretningar – det vil seie saker der namsmannen stiftar pant, trekkjer inntekt eller ikkje finn noko å ta utlegg i – har auka kraftig dei siste åra. Talet er nesten dobla sidan 2006, og i 2016 var det omtrent 350 000 utleggsforretningar. Når saka har gått så langt at kravet må drivast inn med tvang av namsmannen, er det ein indikasjon på at personen har eit alvorleg gjeldsproblem. Pågangen etter gjeldsrådgivingstenester hos NAV har vore stabilt høg og auka jamleg. Om lag 16 000 personar fekk rådgiving i 2016, og rundt 9 000 personar tok kontakt med NAV via økonomirådtelefonen. Talet på saker etter gjeldsordningslova har likevel gått ned etter toppen i 2011, då det blei opna gjeldsforhandling for om lag 3 400 personar. I 2017 var talet om lag 2400. Saksmengda i 2018 var noko lågare.</w:t>
      </w:r>
    </w:p>
    <w:p w:rsidR="00D30C4D" w:rsidRDefault="00B964E1" w:rsidP="00020FC3">
      <w:r>
        <w:t>Regjeringa følgjer nøye med på korleis gjeldssituasjonen i hushalda utviklar seg. I kapittel 11.3 går vi inn på nokre viktige utfordringar som hushalda har på kredittområdet, og korleis regj</w:t>
      </w:r>
      <w:r>
        <w:t>e</w:t>
      </w:r>
      <w:r>
        <w:t>ringa vil jobbe med desse framover. Søkjelyset er særleg retta mot utfordringar knytt til uheldig opptak av usikra forbrukskreditt, då ein ser at denne typen gjeld har problematiske sider – spesielt for hushald som slit med å betale gjelda si.</w:t>
      </w:r>
    </w:p>
    <w:p w:rsidR="00D30C4D" w:rsidRDefault="00B964E1" w:rsidP="00020FC3">
      <w:pPr>
        <w:pStyle w:val="Overskrift3"/>
      </w:pPr>
      <w:r>
        <w:t>Regulering av kredittavtaler i ny finansavtalelov</w:t>
      </w:r>
    </w:p>
    <w:p w:rsidR="00D30C4D" w:rsidRDefault="00B964E1" w:rsidP="00020FC3">
      <w:r>
        <w:t xml:space="preserve">Arbeidet med ny finansavtalelov har tre føremål: for </w:t>
      </w:r>
      <w:proofErr w:type="gramStart"/>
      <w:r>
        <w:t>det</w:t>
      </w:r>
      <w:proofErr w:type="gramEnd"/>
      <w:r>
        <w:t xml:space="preserve"> fyrste å gjennomføre tre EU-direktiv om høvesvis bustadlån, forbrukarkreditt og betalingskontoar og betalingstenester, for det andre å innføre tiltak mot gjeldsproblem, særleg innan forbruksgjeld, og for det tredje å modernisere utforminga av lova og lovregulere tilhøve som i dag er regulerte av ulovfesta kontraktsrett.</w:t>
      </w:r>
    </w:p>
    <w:p w:rsidR="00D30C4D" w:rsidRDefault="00B964E1" w:rsidP="00020FC3">
      <w:r>
        <w:t>Eit utkast til ny finansavtalelov var på høyring fram til 15. desember 2017. Med utgangspunkt i dette utkastet og innspela frå høyringa arbeider regjeringa no med ein lovproposisjon med forslag til endringar som samla vil styrkje forbrukarvernet ved inngåing av kredittavtaler.</w:t>
      </w:r>
    </w:p>
    <w:p w:rsidR="00D30C4D" w:rsidRDefault="00B964E1" w:rsidP="00020FC3">
      <w:r>
        <w:t>I forslaget tek regjeringa sikte på ei samla gjennomføring av krava EU-direktiva stiller til ærleg, reieleg og profesjonell åtferd i samsvar med pliktene som gjeld for kredittavtaler, og elles i samsvar med det som er avtalt og fagleg forsvarleg. Bustadlåndirektivet stiller klare krav til god forretningsskikk og profesjonell åtferd, mens forbrukarkredittdirektivet regulerer god forre</w:t>
      </w:r>
      <w:r>
        <w:t>t</w:t>
      </w:r>
      <w:r>
        <w:t>ningsskikk meir indirekte. Etter norsk rett gjeld krav til god forretningsskikk uavhengig av føremålet med kreditten, og kravet gjeld i ekstra stor grad for verksemder som er underlagde krav til mellom anna fagleg kompetanse eller særskilt løyve.</w:t>
      </w:r>
    </w:p>
    <w:p w:rsidR="00D30C4D" w:rsidRDefault="00B964E1" w:rsidP="00020FC3">
      <w:proofErr w:type="gramStart"/>
      <w:r>
        <w:lastRenderedPageBreak/>
        <w:t>Ei</w:t>
      </w:r>
      <w:proofErr w:type="gramEnd"/>
      <w:r>
        <w:t xml:space="preserve"> ny finansavtalelov bør sikre at forbrukarane får nok opplysingar til at dei kan forstå og vurdere ulike tilbod. Opplysingane som ein forbrukar får, bør vere klare og ikkje villeiande. Tilbod og anbefalingar bør vere baserte på ønska og behova til forbrukaren, og dei må i tillegg vere baserte på den økonomiske situasjonen til forbrukaren der dette er relevant. Kredittytarane bør forklare dei viktigaste eigenskapane til kredittavtala for forbrukaren, inkludert kva for konsekvensar det har viss forbrukaren ikkje betalar. Kredittytarane bør i rimeleg utstrekning forsikre seg om at forbrukaren forstår dei viktigaste opplysingane om avtala og eventuelle åtvaringar om risiko. Lova bør også innehalde reglar om at ein for visse kredittavtaler må oppfylle opplysingsplikta ved bruk av standardiserte kredittopplysingsskjema.</w:t>
      </w:r>
    </w:p>
    <w:p w:rsidR="00D30C4D" w:rsidRDefault="00B964E1" w:rsidP="00020FC3">
      <w:r>
        <w:t>I dag er det ikkje angrerett på fastrentekreditt som overstig 700 000 kr. Noko av grunngivinga for dette var at ein meinte det ikkje var føremålstenleg med angrerett på bustadlån. Forbr</w:t>
      </w:r>
      <w:r>
        <w:t>u</w:t>
      </w:r>
      <w:r>
        <w:t>karkredittdirektivet gir no angrerett på usikra kreditt som er over dette beløpet, og som skal brukast til renovering. Etter bustadlåndirektivet kan medlemsstatane velje mellom å innføre angrerett eller områdingstid på bustadlån. I forslaget til ny finansavtalelov vil regjeringa gå inn for ei områdingstid på bustadlån og angrerett på all usikra kreditt til forbrukarar. Regjeringa vil i tillegg føreslå at reglane om valutalån i bustadlåndirektivet også skal gjelde for forbrukslån. Dette vil truleg gjere det lite attraktivt med valutalån til forbrukarar.</w:t>
      </w:r>
    </w:p>
    <w:p w:rsidR="00D30C4D" w:rsidRDefault="00B964E1" w:rsidP="00020FC3">
      <w:r>
        <w:t xml:space="preserve">Regjeringa vil føreslå </w:t>
      </w:r>
      <w:proofErr w:type="gramStart"/>
      <w:r>
        <w:t>å</w:t>
      </w:r>
      <w:proofErr w:type="gramEnd"/>
      <w:r>
        <w:t xml:space="preserve"> følgje opp forslaget i høyringsnotatet om å forby koplingssal av kreditt. Dette forslaget byggjer på krava i bustadlåndirektivet, men regjeringa meiner det også bør gjelde for forbrukslån. Koplingssal vil seie at kunden berre kan få kreditten dersom han eller ho inngår ei tilknytt avtale om varer og tenester, til dømes at ein berre får tilgang til ein viss type varer dersom ein kjøper dei på kreditt. Det bør likevel vere visse unntak til dette, mellom anna for forsikringsavtaler (t.d. gjeldsforsikring) og krav om at kunden også må ha konto hos kr</w:t>
      </w:r>
      <w:r>
        <w:t>e</w:t>
      </w:r>
      <w:r>
        <w:t>dittytaren. Forslaget inneber ei utviding av det noverande forbodet mot koplingssal etter f</w:t>
      </w:r>
      <w:r>
        <w:t>i</w:t>
      </w:r>
      <w:r>
        <w:t>nansføretaksforskrifta § 16-1. Likevel bør det framleis vere lov med pakkesal, til dømes at kundar som har fleire avtaler hos kredittytaren, får tilbod om lågare kredittrenter.</w:t>
      </w:r>
    </w:p>
    <w:p w:rsidR="00D30C4D" w:rsidRDefault="00B964E1" w:rsidP="00020FC3">
      <w:r>
        <w:t xml:space="preserve">Regjeringa tek også sikte på </w:t>
      </w:r>
      <w:proofErr w:type="gramStart"/>
      <w:r>
        <w:t>å</w:t>
      </w:r>
      <w:proofErr w:type="gramEnd"/>
      <w:r>
        <w:t xml:space="preserve"> føreslå nye reglar om bankbyte knytt til betalingskontoar, som inneber at forbrukarar skal få hjelp til å flytte over til ein ny tenesteleverandør. I utgangspunktet vil forbrukaren kunne gi ein tenesteleverandør fullmakt til å ordne ei rekkje praktiske aspekt i samband med bankbytet. Forbrukaren vil ha rett til slik hjelp både ved byte av konto i den norske marknaden og ved overføring av kundetilhøvet til ein bank i ein annan EØS-stat. R</w:t>
      </w:r>
      <w:r>
        <w:t>e</w:t>
      </w:r>
      <w:r>
        <w:t>glane byggjer på betalingskontodirektivet til EU.</w:t>
      </w:r>
    </w:p>
    <w:p w:rsidR="00D30C4D" w:rsidRDefault="00B964E1" w:rsidP="00020FC3">
      <w:r>
        <w:t>Høyringsnotatet inneheldt eit forslag om at ågerrenter skal vere ugyldige. Regjeringa vil følgje opp dette forslaget. Med ågerrenter meiner ein rentevilkår som står i openbert mishøve til kreditten, eller som utilbørleg utnyttar eit avhengigheitstilhøve, gjeldsproblem eller økonomisk naud. Forslaget kan gjere det enklare for Finanstilsynet eller Forbrukartilsynet å føre tilsyn med slike avtalevilkår.</w:t>
      </w:r>
    </w:p>
    <w:p w:rsidR="00D30C4D" w:rsidRDefault="00B964E1" w:rsidP="00020FC3">
      <w:r>
        <w:t>Etter at forslaget til ny finansavtalelov har blitt lagt fram for Stortinget, vil regjeringa sjå nærare på om ein treng strengare reglar for marknadsføring av kreditt, reglar om rett til kontant bet</w:t>
      </w:r>
      <w:r>
        <w:t>a</w:t>
      </w:r>
      <w:r>
        <w:t>ling, avtalereglar om såkalla «folkefinansiering» og reglar om leigefinansiering ved til dømes privatleasing av bil.</w:t>
      </w:r>
    </w:p>
    <w:p w:rsidR="00D30C4D" w:rsidRDefault="00B964E1" w:rsidP="00020FC3">
      <w:pPr>
        <w:pStyle w:val="Overskrift2"/>
      </w:pPr>
      <w:r>
        <w:lastRenderedPageBreak/>
        <w:t>Utfordringar og tiltak</w:t>
      </w:r>
    </w:p>
    <w:p w:rsidR="00D30C4D" w:rsidRDefault="00B964E1" w:rsidP="00020FC3">
      <w:pPr>
        <w:pStyle w:val="Overskrift3"/>
      </w:pPr>
      <w:r>
        <w:t>Stort omfang av kredittmarknadsføring</w:t>
      </w:r>
    </w:p>
    <w:p w:rsidR="00D30C4D" w:rsidRDefault="00B964E1" w:rsidP="00020FC3">
      <w:r>
        <w:t xml:space="preserve">Det er grunn til </w:t>
      </w:r>
      <w:proofErr w:type="gramStart"/>
      <w:r>
        <w:t>å</w:t>
      </w:r>
      <w:proofErr w:type="gramEnd"/>
      <w:r>
        <w:t xml:space="preserve"> sjå den kraftige veksten i usikra kreditt i samanheng med den omfattande marknadsføringa. Forbrukarane får tilbod om forbrukslån og kredittkort på mellom anna i</w:t>
      </w:r>
      <w:r>
        <w:t>n</w:t>
      </w:r>
      <w:r>
        <w:t>ternett, TV, radio, i butikkar og gjennom adressert reklame. Forbrukartilsynet påpeikar at marknadsføringa skjer i så mange kanalar at forbrukarane ikkje kan unngå å bli eksponerte. I marknadsføringa blir det lagt vekt på at ein får raskt svar og ikkje treng sikring. Ifølgje Fo</w:t>
      </w:r>
      <w:r>
        <w:t>r</w:t>
      </w:r>
      <w:r>
        <w:t>brukarrådet blir kostnadene ved forbrukslån gjerne ikkje formidla godt nok, og marknadsf</w:t>
      </w:r>
      <w:r>
        <w:t>ø</w:t>
      </w:r>
      <w:r>
        <w:t>ringa kan til tider bli oppfatta som pågåande. I ei SIFO-undersøking frå 2017 svarte 50 prosent av respondentane at dei i løpet av dei siste tolv månadene hadde fått tilbod om nytt eller utvida forbrukslån utan sjølve å ha bedt om dette.</w:t>
      </w:r>
    </w:p>
    <w:p w:rsidR="00D30C4D" w:rsidRDefault="00B964E1" w:rsidP="00020FC3">
      <w:r>
        <w:rPr>
          <w:spacing w:val="-2"/>
        </w:rPr>
        <w:t>Regjeringa har gjennom ei ny forskrift stramma</w:t>
      </w:r>
      <w:r>
        <w:t xml:space="preserve"> inn på reglane for kredittmarknadsføring. Målet har vore å hindre at forbrukarar i ein sårbar livssituasjon blir freista til å ta opp dyr kreditt som seinare vil setje dei i ein vanskeleg økonomisk situasjon. Frå 1. juli 2017 har det ikkje vore lov å framheve kor lett det er </w:t>
      </w:r>
      <w:proofErr w:type="gramStart"/>
      <w:r>
        <w:t>å</w:t>
      </w:r>
      <w:proofErr w:type="gramEnd"/>
      <w:r>
        <w:t xml:space="preserve"> søkje, kor raskt ein får svar på ein søknad, eller kor raskt ein kan få innvilga eit lån. I tillegg til </w:t>
      </w:r>
      <w:proofErr w:type="gramStart"/>
      <w:r>
        <w:t>å</w:t>
      </w:r>
      <w:proofErr w:type="gramEnd"/>
      <w:r>
        <w:t xml:space="preserve"> vere tydelege, skal lånekostnadene ikkje bli overskygde av tilbod om bonuspoeng eller rabattar som kan gjere at forbrukarane blir lokka til å ta opp kreditt berre for å få tilgang til desse.</w:t>
      </w:r>
    </w:p>
    <w:p w:rsidR="00D30C4D" w:rsidRDefault="00B964E1" w:rsidP="00020FC3">
      <w:r>
        <w:t>Forbrukartilsynet har gjennomført fleire tilsynsaksjonar med marknadsføringa etter at den nye forskrifta blei innført. Seinast i april 2018 blei det avdekt ulovleg marknadsføring hos 14 a</w:t>
      </w:r>
      <w:r>
        <w:t>k</w:t>
      </w:r>
      <w:r>
        <w:t>tørar. Ti av desse hadde brote reglar i den nye forskrifta. Les meir om dette i boks 11.1.</w:t>
      </w:r>
    </w:p>
    <w:p w:rsidR="00D30C4D" w:rsidRDefault="00B964E1" w:rsidP="00020FC3">
      <w:pPr>
        <w:pStyle w:val="tittel-ramme"/>
      </w:pPr>
      <w:r>
        <w:t>Tilsyn frå Forbrukartilsynet</w:t>
      </w:r>
    </w:p>
    <w:p w:rsidR="00D30C4D" w:rsidRDefault="00B964E1" w:rsidP="00020FC3">
      <w:r>
        <w:t>Då forskrifta tredde i kraft 1. juli 2017, sende Forbrukarombodet (no Forbrukartilsynet) ut ei pressemelding om at det i løpet av hausten ville bli gjennomført tilsyn etter dei nye reglane.</w:t>
      </w:r>
    </w:p>
    <w:p w:rsidR="00D30C4D" w:rsidRDefault="00B964E1" w:rsidP="00020FC3">
      <w:r>
        <w:t>I tilsynsaksjonen kontrollerte Forbrukartilsynet marknadsføringa av forbrukslån i mellom anna søkjemotorar (Google mfl.), e-post, nettaviser, sosiale medium og radioreklame. Gjenno</w:t>
      </w:r>
      <w:r>
        <w:t>m</w:t>
      </w:r>
      <w:r>
        <w:t>gangen avdekte mange lovbrot, og det blei oppretta saker mot til saman 18 ulike aktørar som anten tilbyr lån sjølve eller marknadsfører forbrukslån på vegner av andre. Alle aktørane endra marknadsføring etter å ha fått brev frå Forbrukartilsynet.</w:t>
      </w:r>
    </w:p>
    <w:p w:rsidR="00D30C4D" w:rsidRDefault="00B964E1" w:rsidP="00020FC3">
      <w:r>
        <w:t>Våren 2018 gjennomførte Forbrukartilsynet ein ny tilsynsaksjon der ein gjekk gjennom marknadsføringa av forbrukslån frå eit førtitals aktørar. Forbrukartilsynet oppretta sak mot 14 selskap. Ti av sakene gjaldt brot på reglar i forskrifta frå 2017, mens dei fire andre sakene gjaldt brot på andre reglar for marknadsføring av kreditt. Sakshandsaminga til Forbrukartilsynet resulterte i at alle aktørane innretta seg etter regelverket.</w:t>
      </w:r>
    </w:p>
    <w:p w:rsidR="00D30C4D" w:rsidRDefault="00B964E1">
      <w:pPr>
        <w:pStyle w:val="Ramme-slutt"/>
        <w:rPr>
          <w:sz w:val="26"/>
          <w:szCs w:val="26"/>
        </w:rPr>
      </w:pPr>
      <w:r>
        <w:rPr>
          <w:sz w:val="26"/>
          <w:szCs w:val="26"/>
        </w:rPr>
        <w:t>[Boks slutt]</w:t>
      </w:r>
    </w:p>
    <w:p w:rsidR="00D30C4D" w:rsidRDefault="00B964E1" w:rsidP="00020FC3">
      <w:r>
        <w:t>Forbrukartilsynet har også rapportert at omfanget og presset i marknadsføringa ikkje ser ut til å ha blitt mindre etter at forskrifta blei innført.</w:t>
      </w:r>
    </w:p>
    <w:p w:rsidR="00D30C4D" w:rsidRDefault="00B964E1" w:rsidP="00020FC3">
      <w:r>
        <w:lastRenderedPageBreak/>
        <w:t>Etter at forslaget til ny finansavtalelov har blitt lagt fram for Stortinget, vil regjeringa sjå nærare på om ein treng strengare reglar for marknadsføring av kreditt.</w:t>
      </w:r>
    </w:p>
    <w:p w:rsidR="00D30C4D" w:rsidRDefault="00B964E1" w:rsidP="00020FC3">
      <w:pPr>
        <w:pStyle w:val="Overskrift3"/>
      </w:pPr>
      <w:r>
        <w:t>Hyppig bruk av forenkla kredittvurderingar</w:t>
      </w:r>
    </w:p>
    <w:p w:rsidR="00D30C4D" w:rsidRDefault="00B964E1" w:rsidP="00020FC3">
      <w:r>
        <w:t xml:space="preserve">I dag er det enkelt å skaffe seg forbrukslån, ikkje berre frå éin långivar, men frå fleire. Dette har samanheng både med korleis kredittvurderinga blir utført og det faktum at utlånarane ikkje har informasjon om kunden </w:t>
      </w:r>
      <w:proofErr w:type="gramStart"/>
      <w:r>
        <w:t>si</w:t>
      </w:r>
      <w:proofErr w:type="gramEnd"/>
      <w:r>
        <w:t xml:space="preserve"> eksisterande forbruksgjeld.</w:t>
      </w:r>
    </w:p>
    <w:p w:rsidR="00D30C4D" w:rsidRDefault="00B964E1" w:rsidP="00020FC3">
      <w:r>
        <w:t>Finanstilsynet har avdekt at ei rekkje bankar manglar gode rutinar og prosessar for å sjekke betalingsevna til kunden. Ein del gjer berre ei forenkla kredittvurdering med kredittscore og undersøkjer ikkje i tilstrekkeleg grad faktorar som kan vere relevante for betalingsevna til lånesøkjaren. Ein kredittscore gir ein poengsum som skal indikere kor stor kredittrisiko kunden utgjer på til dømes ein skala frå 0 til 100.</w:t>
      </w:r>
      <w:r>
        <w:rPr>
          <w:vertAlign w:val="superscript"/>
        </w:rPr>
        <w:footnoteReference w:id="82"/>
      </w:r>
      <w:r>
        <w:t xml:space="preserve"> Kredittscoren kan gi ein peikepinn på det statistiske sannsynet for at kunden kjem til </w:t>
      </w:r>
      <w:proofErr w:type="gramStart"/>
      <w:r>
        <w:t>å</w:t>
      </w:r>
      <w:proofErr w:type="gramEnd"/>
      <w:r>
        <w:t xml:space="preserve"> misleghalde lånet, men vil ikkje seie noko om betalingsevna til den enkelte. Dette inneber at ein betalingsdyktig person kan bli nekta lån på grunn av for låg score, mens ein person heilt utan betalingsevne kan bli innvilga lån. Frå eit forbrukarperspektiv er det særs uheldig med forenkla kredittvurderingar som berre er baserte på kredittscore.</w:t>
      </w:r>
    </w:p>
    <w:p w:rsidR="00D30C4D" w:rsidRDefault="00B964E1" w:rsidP="00020FC3">
      <w:pPr>
        <w:pStyle w:val="tittel-ramme"/>
      </w:pPr>
      <w:r>
        <w:t>Døme på forenkla kredittvurdering</w:t>
      </w:r>
    </w:p>
    <w:p w:rsidR="00D30C4D" w:rsidRDefault="00B964E1" w:rsidP="00020FC3">
      <w:r>
        <w:t>Eit praktisk døme er sak 2015-073 frå Finansklagenemnda Bank. Der blei ein kunde med ei årsinntekt på 130 000 kroner innvilga eit billån på 440 000 kroner. Kunden eigde ikkje eigen bustad.</w:t>
      </w:r>
    </w:p>
    <w:p w:rsidR="00D30C4D" w:rsidRDefault="00B964E1" w:rsidP="00020FC3">
      <w:r>
        <w:t>Banken har opplyst at lånet blei innvilga etter ein automatisert prosess, og at det ikkje blei henta inn opplysingar frå kunden om økonomien hans. Den automatiserte prosessen blei basert på likningsopplysingar for åra 2010–2012, henta frå systemdatabasen. Sekretariatet hos Finan</w:t>
      </w:r>
      <w:r>
        <w:t>s</w:t>
      </w:r>
      <w:r>
        <w:t xml:space="preserve">klagenemnda konkluderte med at banken braut plikta til </w:t>
      </w:r>
      <w:proofErr w:type="gramStart"/>
      <w:r>
        <w:t>å</w:t>
      </w:r>
      <w:proofErr w:type="gramEnd"/>
      <w:r>
        <w:t xml:space="preserve"> åtvare mot låneopptaket etter f</w:t>
      </w:r>
      <w:r>
        <w:t>i</w:t>
      </w:r>
      <w:r>
        <w:t>nansavtalelova § 47 fyrste ledd.</w:t>
      </w:r>
    </w:p>
    <w:p w:rsidR="00D30C4D" w:rsidRDefault="00B964E1">
      <w:pPr>
        <w:pStyle w:val="Ramme-slutt"/>
        <w:rPr>
          <w:sz w:val="26"/>
          <w:szCs w:val="26"/>
        </w:rPr>
      </w:pPr>
      <w:r>
        <w:rPr>
          <w:sz w:val="26"/>
          <w:szCs w:val="26"/>
        </w:rPr>
        <w:t>[Boks slutt]</w:t>
      </w:r>
    </w:p>
    <w:p w:rsidR="00D30C4D" w:rsidRDefault="00B964E1" w:rsidP="00020FC3">
      <w:r>
        <w:t>Manglande eller sviktande kredittvurdering er rekna som ei viktig årsak til at forbrukarar får ta opp meir kreditt enn dei er i stand til å betale tilbake. Det kjem tydeleg fram av gjeldsor</w:t>
      </w:r>
      <w:r>
        <w:t>d</w:t>
      </w:r>
      <w:r>
        <w:t>ningssakene at dette er eit utbreidd problem. Ei anna side ved denne saka er at mangelfull informasjon om lånekundane kan gi dårleg samsvar mellom pris og risiko. Ved usikker i</w:t>
      </w:r>
      <w:r>
        <w:t>n</w:t>
      </w:r>
      <w:r>
        <w:t xml:space="preserve">formasjon om gjeldssituasjonen til lånesøkjaren vil tilbydarane av forbrukslån ofte kompensere med </w:t>
      </w:r>
      <w:proofErr w:type="gramStart"/>
      <w:r>
        <w:t>å</w:t>
      </w:r>
      <w:proofErr w:type="gramEnd"/>
      <w:r>
        <w:t xml:space="preserve"> setje renta høgare enn det den reelle risikoen skulle tilseie. Lånet blir derfor dyrare.</w:t>
      </w:r>
    </w:p>
    <w:p w:rsidR="00D30C4D" w:rsidRDefault="00B964E1" w:rsidP="00020FC3">
      <w:r>
        <w:t>Regjeringa har lagt vekt på to tiltak som skal sikre at tilbydarane av usikra kreditt gjer grundige vurderingar av betalingsevna til låntakarane: gjeldsinformasjonsordninga og regulering i ny finansavtalelov.</w:t>
      </w:r>
    </w:p>
    <w:p w:rsidR="00D30C4D" w:rsidRDefault="00B964E1" w:rsidP="00020FC3">
      <w:r>
        <w:lastRenderedPageBreak/>
        <w:t>I 2018 fekk tre søkjarar konsesjon av Barne- og likestillingsdepartementet til å opprette gjeldsinformasjonsføretak (tidlegare kalla gjeldsregister). Når ein person søkjer om lån, vil kredittilbydaren kunne hente ut informasjon om den usikra forbruksgjelda til vedkomande frå eit gjeldsinformasjonsføretak. På den måten kan det gjerast meir presise kredittvurderingar. Når gjeldsinformasjonsføretaka har vore i drift i to år, vil regjeringa gjere ei evaluering av gjeld</w:t>
      </w:r>
      <w:r>
        <w:t>s</w:t>
      </w:r>
      <w:r>
        <w:t>informasjonslova for å slå fast om ho fungerer etter planen.</w:t>
      </w:r>
    </w:p>
    <w:p w:rsidR="00D30C4D" w:rsidRDefault="00B964E1" w:rsidP="00020FC3">
      <w:r>
        <w:t>Regjeringa vil i den nye finansavtalelova føreslå ein regel om at kredittytaren skal gjere ei forsvarleg kredittvurdering på grunnlag av opplysingar frå kunden sjølv og andre relevante kjelder (t.d. gjeldsinformasjonsføretak). Vurderinga bør ta utgangspunkt i om kunden har økonomisk evne til å betale tilbake lånet etter dei vilkåra som er føreslåtte, inkludert ved ein tilsvarande rentemargin som for bustadlån. Ein bør ikkje kunne basere vurderinga på kredit</w:t>
      </w:r>
      <w:r>
        <w:t>t</w:t>
      </w:r>
      <w:r>
        <w:t>score åleine.</w:t>
      </w:r>
    </w:p>
    <w:p w:rsidR="00D30C4D" w:rsidRDefault="00B964E1" w:rsidP="00020FC3">
      <w:r>
        <w:t>Regjeringa vil også føreslå at resultatet av kredittvurderinga skal formidlast til kunden i form av eit «trafikklyssystem». Etter dette systemet gir gult uttrykk for ein viss, men likevel akseptabel risiko. Grønt viser at kunden truleg vil kunne handtere kreditten og ein eventuell renteauke utan større endringar i forbruket sitt. Raudt inneber at kunden ikkje vil kunne betale tilbake lånet etter dei føreslåtte vilkåra eller ved ein renteauke.</w:t>
      </w:r>
    </w:p>
    <w:p w:rsidR="00D30C4D" w:rsidRDefault="00B964E1" w:rsidP="00020FC3">
      <w:r>
        <w:t>Ved raudt lys meiner regjeringa at det bør vere ei avslagsplikt etter mønster frå bustadlånd</w:t>
      </w:r>
      <w:r>
        <w:t>i</w:t>
      </w:r>
      <w:r>
        <w:t>rektivet. Avslagsplikta bør berre gjelde for kundar som er forbrukarar. Ei slik avslagsplikt vil erstatte den gjeldande frårådingsplikta. Regjeringa ser likevel føre seg at det bør gjelde visse unntak frå avslagsplikta. Dei som bryt avslagsplikta, kan få sanksjonar i form av krav om e</w:t>
      </w:r>
      <w:r>
        <w:t>r</w:t>
      </w:r>
      <w:r>
        <w:t>statning og lemping.</w:t>
      </w:r>
    </w:p>
    <w:p w:rsidR="00D30C4D" w:rsidRDefault="00B964E1" w:rsidP="00020FC3">
      <w:r>
        <w:t xml:space="preserve">Regjeringa vil følgje med på utviklinga på marknaden for forbrukslån </w:t>
      </w:r>
      <w:proofErr w:type="gramStart"/>
      <w:r>
        <w:t>og</w:t>
      </w:r>
      <w:proofErr w:type="gramEnd"/>
      <w:r>
        <w:t xml:space="preserve"> vurdere behovet for ytterlegare regulering for å bidra til at slike lån blir gitte på ein forsvarleg måte.</w:t>
      </w:r>
    </w:p>
    <w:p w:rsidR="00D30C4D" w:rsidRDefault="00B964E1" w:rsidP="00020FC3">
      <w:pPr>
        <w:pStyle w:val="Overskrift3"/>
      </w:pPr>
      <w:r>
        <w:t>Svakheiter i forbrukarvernet ved misleghald</w:t>
      </w:r>
    </w:p>
    <w:p w:rsidR="00D30C4D" w:rsidRDefault="00B964E1" w:rsidP="00020FC3">
      <w:pPr>
        <w:pStyle w:val="Overskrift4"/>
      </w:pPr>
      <w:r>
        <w:t>Inkasso</w:t>
      </w:r>
    </w:p>
    <w:p w:rsidR="00D30C4D" w:rsidRDefault="00B964E1" w:rsidP="00020FC3">
      <w:r>
        <w:t>Inkassolova byggjer på ein vanskeleg balansegang mellom omsynet til effektiv innkrevjing på den eine sida og omsynet til rettstryggleik for skuldnaren på den andre sida. Av omsyn til skuldnaren er det gitt reglar som skal verne mot urimeleg eller urettmessig inkassopågang. Finanstilsynet viser til at det ofte blir avdekt regelbrot som har direkte konsekvens for skul</w:t>
      </w:r>
      <w:r>
        <w:t>d</w:t>
      </w:r>
      <w:r>
        <w:t>narane i inkassosaker. Det kan her dreie seg om mellom anna forelda krav, urettmessige salær eller for høge renter.</w:t>
      </w:r>
      <w:r>
        <w:rPr>
          <w:vertAlign w:val="superscript"/>
        </w:rPr>
        <w:footnoteReference w:id="83"/>
      </w:r>
    </w:p>
    <w:p w:rsidR="00D30C4D" w:rsidRDefault="00B964E1" w:rsidP="00020FC3">
      <w:r>
        <w:t xml:space="preserve">Justis- og beredskapsdepartementet </w:t>
      </w:r>
      <w:proofErr w:type="gramStart"/>
      <w:r>
        <w:t>sette</w:t>
      </w:r>
      <w:proofErr w:type="gramEnd"/>
      <w:r>
        <w:t xml:space="preserve"> i oktober 2018 ned ei arbeidsgruppe som skal utgreie endringar i inkassoregelverket. Inkassobransjen har no ein annan struktur og eit anna omfang enn då den gjeldande inkassolova tredde i kraft i 1989, og tida er moden for ein gjennomgang av regelverket. Måten inkassoverksemd vert driven på, har endra seg mykje dei siste tiåra. Til </w:t>
      </w:r>
      <w:r>
        <w:lastRenderedPageBreak/>
        <w:t xml:space="preserve">dømes har inndrivingsprosessane ved inkasso gått frå </w:t>
      </w:r>
      <w:proofErr w:type="gramStart"/>
      <w:r>
        <w:t>å</w:t>
      </w:r>
      <w:proofErr w:type="gramEnd"/>
      <w:r>
        <w:t xml:space="preserve"> vere manuelle og delautomatiserte til langt på veg å bli heilautomatiserte.</w:t>
      </w:r>
    </w:p>
    <w:p w:rsidR="00D30C4D" w:rsidRDefault="00B964E1" w:rsidP="00020FC3">
      <w:r>
        <w:t>Regelverksarbeidet har som mål å redusere inkassosalæra og sikre at inkassosakene blir handsama på ein forsvarleg måte. Mandatet til arbeidsgruppa omfattar mellom anna organis</w:t>
      </w:r>
      <w:r>
        <w:t>e</w:t>
      </w:r>
      <w:r>
        <w:t>ring og ansvar, kompetansekrav, salær ved utanrettsleg inndriving (inkludert maksimalsatsane), salær til inkassoselskapa ved rettsleg inndriving (gjennom namsmannen og forliksrådet), kl</w:t>
      </w:r>
      <w:r>
        <w:t>i</w:t>
      </w:r>
      <w:r>
        <w:t>entmiddelhandsaming, kravet til god inkassoskikk, utkontraktering, handsaming av perso</w:t>
      </w:r>
      <w:r>
        <w:t>n</w:t>
      </w:r>
      <w:r>
        <w:t>opplysingar og administrative sanksjonar. Arbeidsgruppa har representantar frå Forbrukarr</w:t>
      </w:r>
      <w:r>
        <w:t>å</w:t>
      </w:r>
      <w:r>
        <w:t>det, Finanstilsynet, Virke Inkasso, Finans Norge og Justis- og beredskapsdepartementet. A</w:t>
      </w:r>
      <w:r>
        <w:t>r</w:t>
      </w:r>
      <w:r>
        <w:t>beidsgruppa har frist til utgangen av 2019.</w:t>
      </w:r>
    </w:p>
    <w:p w:rsidR="004A2F4C" w:rsidRDefault="004A2F4C" w:rsidP="004A2F4C">
      <w:pPr>
        <w:pStyle w:val="tabell-tittel"/>
      </w:pPr>
      <w:r>
        <w:t>Kostnader ved inndriving av eit krav på 2 500 kr</w:t>
      </w:r>
    </w:p>
    <w:p w:rsidR="00D30C4D" w:rsidRDefault="00B964E1" w:rsidP="00020FC3">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D30C4D" w:rsidTr="004A2F4C">
        <w:trPr>
          <w:trHeight w:val="360"/>
        </w:trPr>
        <w:tc>
          <w:tcPr>
            <w:tcW w:w="6080" w:type="dxa"/>
            <w:shd w:val="clear" w:color="auto" w:fill="FFFFFF"/>
          </w:tcPr>
          <w:p w:rsidR="00D30C4D" w:rsidRDefault="00B964E1" w:rsidP="004A2F4C">
            <w:r>
              <w:t>Saksgang</w:t>
            </w:r>
          </w:p>
        </w:tc>
        <w:tc>
          <w:tcPr>
            <w:tcW w:w="1520" w:type="dxa"/>
          </w:tcPr>
          <w:p w:rsidR="00D30C4D" w:rsidRDefault="00B964E1" w:rsidP="004A2F4C">
            <w:pPr>
              <w:jc w:val="right"/>
            </w:pPr>
            <w:r>
              <w:t>Gebyr</w:t>
            </w:r>
          </w:p>
        </w:tc>
        <w:tc>
          <w:tcPr>
            <w:tcW w:w="1520" w:type="dxa"/>
          </w:tcPr>
          <w:p w:rsidR="00D30C4D" w:rsidRDefault="00B964E1" w:rsidP="004A2F4C">
            <w:pPr>
              <w:jc w:val="right"/>
            </w:pPr>
            <w:r>
              <w:t>Beløp</w:t>
            </w:r>
          </w:p>
        </w:tc>
      </w:tr>
      <w:tr w:rsidR="00D30C4D" w:rsidTr="004A2F4C">
        <w:trPr>
          <w:trHeight w:val="380"/>
        </w:trPr>
        <w:tc>
          <w:tcPr>
            <w:tcW w:w="6080" w:type="dxa"/>
          </w:tcPr>
          <w:p w:rsidR="00D30C4D" w:rsidRDefault="00B964E1" w:rsidP="004A2F4C">
            <w:r>
              <w:t>Kjøp</w:t>
            </w:r>
          </w:p>
        </w:tc>
        <w:tc>
          <w:tcPr>
            <w:tcW w:w="1520" w:type="dxa"/>
          </w:tcPr>
          <w:p w:rsidR="00D30C4D" w:rsidRDefault="00D30C4D" w:rsidP="004A2F4C">
            <w:pPr>
              <w:jc w:val="right"/>
            </w:pPr>
          </w:p>
        </w:tc>
        <w:tc>
          <w:tcPr>
            <w:tcW w:w="1520" w:type="dxa"/>
          </w:tcPr>
          <w:p w:rsidR="00D30C4D" w:rsidRDefault="00B964E1" w:rsidP="004A2F4C">
            <w:pPr>
              <w:jc w:val="right"/>
            </w:pPr>
            <w:r>
              <w:rPr>
                <w:rStyle w:val="kursiv"/>
                <w:sz w:val="21"/>
                <w:szCs w:val="21"/>
              </w:rPr>
              <w:t>2 500 kr</w:t>
            </w:r>
          </w:p>
        </w:tc>
      </w:tr>
      <w:tr w:rsidR="00D30C4D" w:rsidTr="004A2F4C">
        <w:trPr>
          <w:trHeight w:val="380"/>
        </w:trPr>
        <w:tc>
          <w:tcPr>
            <w:tcW w:w="6080" w:type="dxa"/>
          </w:tcPr>
          <w:p w:rsidR="00D30C4D" w:rsidRDefault="00B964E1" w:rsidP="004A2F4C">
            <w:r>
              <w:t>Purring</w:t>
            </w:r>
          </w:p>
        </w:tc>
        <w:tc>
          <w:tcPr>
            <w:tcW w:w="1520" w:type="dxa"/>
          </w:tcPr>
          <w:p w:rsidR="00D30C4D" w:rsidRDefault="00B964E1" w:rsidP="004A2F4C">
            <w:pPr>
              <w:jc w:val="right"/>
            </w:pPr>
            <w:r>
              <w:t>70 kr</w:t>
            </w:r>
          </w:p>
        </w:tc>
        <w:tc>
          <w:tcPr>
            <w:tcW w:w="1520" w:type="dxa"/>
          </w:tcPr>
          <w:p w:rsidR="00D30C4D" w:rsidRDefault="00B964E1" w:rsidP="004A2F4C">
            <w:pPr>
              <w:jc w:val="right"/>
            </w:pPr>
            <w:r>
              <w:t>2 570 kr</w:t>
            </w:r>
          </w:p>
        </w:tc>
      </w:tr>
      <w:tr w:rsidR="00D30C4D" w:rsidTr="004A2F4C">
        <w:trPr>
          <w:trHeight w:val="380"/>
        </w:trPr>
        <w:tc>
          <w:tcPr>
            <w:tcW w:w="6080" w:type="dxa"/>
          </w:tcPr>
          <w:p w:rsidR="00D30C4D" w:rsidRDefault="00B964E1" w:rsidP="004A2F4C">
            <w:r>
              <w:t>2. purring/inkassovarsel</w:t>
            </w:r>
          </w:p>
        </w:tc>
        <w:tc>
          <w:tcPr>
            <w:tcW w:w="1520" w:type="dxa"/>
          </w:tcPr>
          <w:p w:rsidR="00D30C4D" w:rsidRDefault="00B964E1" w:rsidP="004A2F4C">
            <w:pPr>
              <w:jc w:val="right"/>
            </w:pPr>
            <w:r>
              <w:t>70 kr</w:t>
            </w:r>
          </w:p>
        </w:tc>
        <w:tc>
          <w:tcPr>
            <w:tcW w:w="1520" w:type="dxa"/>
          </w:tcPr>
          <w:p w:rsidR="00D30C4D" w:rsidRDefault="00B964E1" w:rsidP="004A2F4C">
            <w:pPr>
              <w:jc w:val="right"/>
            </w:pPr>
            <w:r>
              <w:t>2 640 kr</w:t>
            </w:r>
          </w:p>
        </w:tc>
      </w:tr>
      <w:tr w:rsidR="00D30C4D" w:rsidTr="004A2F4C">
        <w:trPr>
          <w:trHeight w:val="380"/>
        </w:trPr>
        <w:tc>
          <w:tcPr>
            <w:tcW w:w="6080" w:type="dxa"/>
          </w:tcPr>
          <w:p w:rsidR="00D30C4D" w:rsidRDefault="00B964E1" w:rsidP="004A2F4C">
            <w:r>
              <w:t>Betalingsoppmoding</w:t>
            </w:r>
          </w:p>
        </w:tc>
        <w:tc>
          <w:tcPr>
            <w:tcW w:w="1520" w:type="dxa"/>
          </w:tcPr>
          <w:p w:rsidR="00D30C4D" w:rsidRDefault="00B964E1" w:rsidP="004A2F4C">
            <w:pPr>
              <w:jc w:val="right"/>
            </w:pPr>
            <w:r>
              <w:t>210 kr</w:t>
            </w:r>
          </w:p>
        </w:tc>
        <w:tc>
          <w:tcPr>
            <w:tcW w:w="1520" w:type="dxa"/>
          </w:tcPr>
          <w:p w:rsidR="00D30C4D" w:rsidRDefault="00B964E1" w:rsidP="004A2F4C">
            <w:pPr>
              <w:jc w:val="right"/>
            </w:pPr>
            <w:r>
              <w:t>2 850 kr</w:t>
            </w:r>
          </w:p>
        </w:tc>
      </w:tr>
      <w:tr w:rsidR="00D30C4D" w:rsidTr="004A2F4C">
        <w:trPr>
          <w:trHeight w:val="380"/>
        </w:trPr>
        <w:tc>
          <w:tcPr>
            <w:tcW w:w="6080" w:type="dxa"/>
          </w:tcPr>
          <w:p w:rsidR="00D30C4D" w:rsidRDefault="00B964E1" w:rsidP="004A2F4C">
            <w:r>
              <w:t>Lett inkasso</w:t>
            </w:r>
          </w:p>
        </w:tc>
        <w:tc>
          <w:tcPr>
            <w:tcW w:w="1520" w:type="dxa"/>
          </w:tcPr>
          <w:p w:rsidR="00D30C4D" w:rsidRDefault="00B964E1" w:rsidP="004A2F4C">
            <w:pPr>
              <w:jc w:val="right"/>
            </w:pPr>
            <w:r>
              <w:t>350 kr</w:t>
            </w:r>
          </w:p>
        </w:tc>
        <w:tc>
          <w:tcPr>
            <w:tcW w:w="1520" w:type="dxa"/>
          </w:tcPr>
          <w:p w:rsidR="00D30C4D" w:rsidRDefault="00B964E1" w:rsidP="004A2F4C">
            <w:pPr>
              <w:jc w:val="right"/>
            </w:pPr>
            <w:r>
              <w:t>2 850 kr</w:t>
            </w:r>
          </w:p>
        </w:tc>
      </w:tr>
      <w:tr w:rsidR="00D30C4D" w:rsidTr="004A2F4C">
        <w:trPr>
          <w:trHeight w:val="380"/>
        </w:trPr>
        <w:tc>
          <w:tcPr>
            <w:tcW w:w="6080" w:type="dxa"/>
          </w:tcPr>
          <w:p w:rsidR="00D30C4D" w:rsidRDefault="00B964E1" w:rsidP="004A2F4C">
            <w:r>
              <w:t>Tung inkasso</w:t>
            </w:r>
          </w:p>
        </w:tc>
        <w:tc>
          <w:tcPr>
            <w:tcW w:w="1520" w:type="dxa"/>
          </w:tcPr>
          <w:p w:rsidR="00D30C4D" w:rsidRDefault="00B964E1" w:rsidP="004A2F4C">
            <w:pPr>
              <w:jc w:val="right"/>
            </w:pPr>
            <w:r>
              <w:t>700 kr</w:t>
            </w:r>
          </w:p>
        </w:tc>
        <w:tc>
          <w:tcPr>
            <w:tcW w:w="1520" w:type="dxa"/>
          </w:tcPr>
          <w:p w:rsidR="00D30C4D" w:rsidRDefault="00B964E1" w:rsidP="004A2F4C">
            <w:pPr>
              <w:jc w:val="right"/>
            </w:pPr>
            <w:r>
              <w:t>3 200 kr</w:t>
            </w:r>
          </w:p>
        </w:tc>
      </w:tr>
      <w:tr w:rsidR="00D30C4D" w:rsidTr="004A2F4C">
        <w:trPr>
          <w:trHeight w:val="380"/>
        </w:trPr>
        <w:tc>
          <w:tcPr>
            <w:tcW w:w="6080" w:type="dxa"/>
          </w:tcPr>
          <w:p w:rsidR="00D30C4D" w:rsidRDefault="00B964E1" w:rsidP="004A2F4C">
            <w:r>
              <w:t>Saka går til forliksrådet</w:t>
            </w:r>
          </w:p>
        </w:tc>
        <w:tc>
          <w:tcPr>
            <w:tcW w:w="1520" w:type="dxa"/>
          </w:tcPr>
          <w:p w:rsidR="00D30C4D" w:rsidRDefault="00B964E1" w:rsidP="004A2F4C">
            <w:pPr>
              <w:jc w:val="right"/>
            </w:pPr>
            <w:r>
              <w:t>2 472 kr</w:t>
            </w:r>
          </w:p>
        </w:tc>
        <w:tc>
          <w:tcPr>
            <w:tcW w:w="1520" w:type="dxa"/>
          </w:tcPr>
          <w:p w:rsidR="00D30C4D" w:rsidRDefault="00B964E1" w:rsidP="004A2F4C">
            <w:pPr>
              <w:jc w:val="right"/>
            </w:pPr>
            <w:r>
              <w:t>5 672 kr</w:t>
            </w:r>
          </w:p>
        </w:tc>
      </w:tr>
      <w:tr w:rsidR="00D30C4D" w:rsidTr="004A2F4C">
        <w:trPr>
          <w:trHeight w:val="380"/>
        </w:trPr>
        <w:tc>
          <w:tcPr>
            <w:tcW w:w="6080" w:type="dxa"/>
          </w:tcPr>
          <w:p w:rsidR="00D30C4D" w:rsidRDefault="00B964E1" w:rsidP="004A2F4C">
            <w:r>
              <w:t>Saka går direkte til tvangstrekk</w:t>
            </w:r>
          </w:p>
        </w:tc>
        <w:tc>
          <w:tcPr>
            <w:tcW w:w="1520" w:type="dxa"/>
          </w:tcPr>
          <w:p w:rsidR="00D30C4D" w:rsidRDefault="00B964E1" w:rsidP="004A2F4C">
            <w:pPr>
              <w:jc w:val="right"/>
            </w:pPr>
            <w:r>
              <w:t>3 105 kr</w:t>
            </w:r>
          </w:p>
        </w:tc>
        <w:tc>
          <w:tcPr>
            <w:tcW w:w="1520" w:type="dxa"/>
          </w:tcPr>
          <w:p w:rsidR="00D30C4D" w:rsidRDefault="00B964E1" w:rsidP="004A2F4C">
            <w:pPr>
              <w:jc w:val="right"/>
            </w:pPr>
            <w:r>
              <w:rPr>
                <w:rStyle w:val="kursiv"/>
                <w:sz w:val="21"/>
                <w:szCs w:val="21"/>
              </w:rPr>
              <w:t>6 305 kr</w:t>
            </w:r>
          </w:p>
        </w:tc>
      </w:tr>
      <w:tr w:rsidR="00D30C4D" w:rsidTr="004A2F4C">
        <w:trPr>
          <w:trHeight w:val="380"/>
        </w:trPr>
        <w:tc>
          <w:tcPr>
            <w:tcW w:w="6080" w:type="dxa"/>
          </w:tcPr>
          <w:p w:rsidR="00D30C4D" w:rsidRDefault="00B964E1" w:rsidP="004A2F4C">
            <w:r>
              <w:t>Saka går fyrst til forliksråd og deretter til tvangstrekk</w:t>
            </w:r>
          </w:p>
        </w:tc>
        <w:tc>
          <w:tcPr>
            <w:tcW w:w="1520" w:type="dxa"/>
          </w:tcPr>
          <w:p w:rsidR="00D30C4D" w:rsidRDefault="00B964E1" w:rsidP="004A2F4C">
            <w:pPr>
              <w:jc w:val="right"/>
            </w:pPr>
            <w:r>
              <w:t>5 577 kr</w:t>
            </w:r>
          </w:p>
        </w:tc>
        <w:tc>
          <w:tcPr>
            <w:tcW w:w="1520" w:type="dxa"/>
          </w:tcPr>
          <w:p w:rsidR="00D30C4D" w:rsidRDefault="00B964E1" w:rsidP="004A2F4C">
            <w:pPr>
              <w:jc w:val="right"/>
            </w:pPr>
            <w:r>
              <w:rPr>
                <w:rStyle w:val="kursiv"/>
                <w:sz w:val="21"/>
                <w:szCs w:val="21"/>
              </w:rPr>
              <w:t>8 777 kr</w:t>
            </w:r>
          </w:p>
        </w:tc>
      </w:tr>
    </w:tbl>
    <w:p w:rsidR="00D30C4D" w:rsidRDefault="00D30C4D" w:rsidP="00020FC3">
      <w:pPr>
        <w:pStyle w:val="Tabellnavn"/>
      </w:pPr>
    </w:p>
    <w:p w:rsidR="00D30C4D" w:rsidRDefault="00B964E1" w:rsidP="00020FC3">
      <w:pPr>
        <w:pStyle w:val="Kilde"/>
        <w:rPr>
          <w:rFonts w:cs="Times New Roman"/>
          <w:lang w:val="en-GB"/>
        </w:rPr>
      </w:pPr>
      <w:r>
        <w:t>Inkassoforskrifta og rettsgebyrlova</w:t>
      </w:r>
    </w:p>
    <w:p w:rsidR="00D30C4D" w:rsidRDefault="00B964E1" w:rsidP="00020FC3">
      <w:pPr>
        <w:pStyle w:val="Overskrift4"/>
      </w:pPr>
      <w:r>
        <w:t>Rentetak og kostnadstak</w:t>
      </w:r>
    </w:p>
    <w:p w:rsidR="00D30C4D" w:rsidRDefault="00B964E1" w:rsidP="00020FC3">
      <w:r>
        <w:t>I fleire europeiske land har ein innført rentetak. Rentetak er ei form for prisregulering av kreditt, der det blir sett ei grense for kor høg nominell eller effektiv rente eit lån kan ha. Målet med rentetak er å verne forbrukarar mot høge kostnader ved misleghald og å bidra til ein meir r</w:t>
      </w:r>
      <w:r>
        <w:t>e</w:t>
      </w:r>
      <w:r>
        <w:t>striktiv utlånspraksis som skal hindre at sårbare grupper tek opp for mykje gjeld.</w:t>
      </w:r>
    </w:p>
    <w:p w:rsidR="00D30C4D" w:rsidRDefault="00B964E1" w:rsidP="00020FC3">
      <w:r>
        <w:t>I nokre land der ein har innført rentetak, har ein valt å kombinere rentetaket med eit tak på dei samla kostnadene ved lånet – eit såkalla kostnadstak. Eit kostnadstak skal hindre at forbrukarar med betalingsproblem får urimeleg høge kostnader og ein ukontrollert gjeldsvekst ved lan</w:t>
      </w:r>
      <w:r>
        <w:t>g</w:t>
      </w:r>
      <w:r>
        <w:t xml:space="preserve">varig misleghald. Bakgrunnen for reguleringa av kostnadstak i Sverige og Storbritannia har fyrst og fremst vore uro knytt til marknaden av såkalla «snabblån» og «pay day-lån». Desse små låna har kort løpetid og kan derfor få ei effektiv rente på fleire tusen prosent. I begge landa utgjer kostnadstaket 100 prosent av lånebeløpet. Eit kostnadstak er ikkje meint å skulle </w:t>
      </w:r>
      <w:proofErr w:type="gramStart"/>
      <w:r>
        <w:t>å</w:t>
      </w:r>
      <w:proofErr w:type="gramEnd"/>
      <w:r>
        <w:t xml:space="preserve"> fjerne naudsynte utgifter knytt til inndriving, men å setje ei grense for kor stor forteneste kreditorane kan få gjennom renter. Førebels er marknaden for små lån med kort løpetid liten i Noreg.</w:t>
      </w:r>
    </w:p>
    <w:p w:rsidR="00D30C4D" w:rsidRDefault="00B964E1" w:rsidP="00020FC3">
      <w:pPr>
        <w:pStyle w:val="tittel-ramme"/>
      </w:pPr>
      <w:r>
        <w:lastRenderedPageBreak/>
        <w:t>Skilnaden mellom kostnadstak og rentetak</w:t>
      </w:r>
    </w:p>
    <w:p w:rsidR="00D30C4D" w:rsidRDefault="00B964E1" w:rsidP="00020FC3">
      <w:r>
        <w:t>Kostnadstak avgrensar dei samla kostnadene for kravet. Eit kostnadstak på 100 prosent av lånebeløpet inneber at skuldnaren ikkje kan betale meir i renter og ekstrakostnader enn beløpet som blei lånt i utgangspunktet. Dersom kreditten er på 20 000 kroner, skal heller ikkje kos</w:t>
      </w:r>
      <w:r>
        <w:t>t</w:t>
      </w:r>
      <w:r>
        <w:t>nadene overstige 20 000 kroner.</w:t>
      </w:r>
    </w:p>
    <w:p w:rsidR="00D30C4D" w:rsidRDefault="00B964E1" w:rsidP="00020FC3">
      <w:r>
        <w:t>Rentetak set grenser for kor høg rente ein kan ha på eit lån. Til dømes kan taket setjast slik at den effektive renta på eit forbrukslån ikkje kan vere høgare enn 40 prosent.</w:t>
      </w:r>
    </w:p>
    <w:p w:rsidR="00D30C4D" w:rsidRDefault="00B964E1" w:rsidP="00020FC3">
      <w:r>
        <w:t>Eit kostnadstak kan vere eit alternativ eller supplement til rentetak. Ved langvarig misleghald kan kostnadene bli særs høge, sjølv med eit rentetak. Eit kostnadstak kan derfor fungere som eit ekstra vern for forbrukarane ved langvarig misleghald. I Sverige blei det nyleg innført eit kostnadstak på 100 prosent og eit rentetak for den nominelle renta på 40 prosent over ref</w:t>
      </w:r>
      <w:r>
        <w:t>e</w:t>
      </w:r>
      <w:r>
        <w:t>ranserenta til Riksbanken. Reglane gjeld lån med ei effektiv rente som ligg meir enn 30 prosent over referanserenta.</w:t>
      </w:r>
    </w:p>
    <w:p w:rsidR="00D30C4D" w:rsidRDefault="00B964E1">
      <w:pPr>
        <w:pStyle w:val="Ramme-slutt"/>
        <w:rPr>
          <w:sz w:val="26"/>
          <w:szCs w:val="26"/>
        </w:rPr>
      </w:pPr>
      <w:r>
        <w:rPr>
          <w:sz w:val="26"/>
          <w:szCs w:val="26"/>
        </w:rPr>
        <w:t>[Boks slutt]</w:t>
      </w:r>
    </w:p>
    <w:p w:rsidR="00D30C4D" w:rsidRDefault="00B964E1" w:rsidP="00020FC3">
      <w:r>
        <w:t>I finansmarknadsmeldinga for 2019 la regjeringa fram ei utgreiing av ulike typar modellar for rentetak. I tillegg vert moglegheitene for å regulere kostnadstak drøfta. Konklusjonen er at ein ikkje bør innføre rentetak eller kostnadstak på forbrukslån no. Regjeringa legg særleg vekt på at desse tiltaka ikkje vil vere treffsikre nok til å forsvare faren for uønskte konsekvensar, slik den norske marknaden ser ut i dag.</w:t>
      </w:r>
    </w:p>
    <w:p w:rsidR="00D30C4D" w:rsidRDefault="00B964E1" w:rsidP="00020FC3">
      <w:r>
        <w:t>Regjeringa følgjer utviklinga i marknaden for forbrukslån og effektane av innførte tiltak nøye, og vil vurdere om det er naudsynt med ytterlegare regulering. Regjeringa vil også følgje med på dei erfaringane som Sverige og andre relevante land gjer seg med rentetak. Stortinget vil få ei oppdatert orientering i finansmarknadsmeldinga for neste år.</w:t>
      </w:r>
    </w:p>
    <w:p w:rsidR="00D30C4D" w:rsidRDefault="00B964E1" w:rsidP="00020FC3">
      <w:pPr>
        <w:pStyle w:val="Overskrift3"/>
      </w:pPr>
      <w:r>
        <w:t>Press på offentlege hjelpetenester</w:t>
      </w:r>
    </w:p>
    <w:p w:rsidR="00D30C4D" w:rsidRDefault="00B964E1" w:rsidP="00020FC3">
      <w:r>
        <w:t xml:space="preserve">Det er eit forbrukarpolitisk mål </w:t>
      </w:r>
      <w:proofErr w:type="gramStart"/>
      <w:r>
        <w:t>å</w:t>
      </w:r>
      <w:proofErr w:type="gramEnd"/>
      <w:r>
        <w:t xml:space="preserve"> leggje til rette for at hushalda kan meistre økonomien sin. Dette inneber både </w:t>
      </w:r>
      <w:proofErr w:type="gramStart"/>
      <w:r>
        <w:t>å</w:t>
      </w:r>
      <w:proofErr w:type="gramEnd"/>
      <w:r>
        <w:t xml:space="preserve"> leggje til rette for at hushalda sjølve kan handsame dei økonomiske re</w:t>
      </w:r>
      <w:r>
        <w:t>s</w:t>
      </w:r>
      <w:r>
        <w:t>sursane sine på ein måte som gjer at dei unngår gjeldsproblem og økonomiske vanskar, og å tilby føremålstenlege tiltak for å løyse slike problem.</w:t>
      </w:r>
    </w:p>
    <w:p w:rsidR="00D30C4D" w:rsidRDefault="00B964E1" w:rsidP="00020FC3">
      <w:r>
        <w:t>Alle kommunar skal ha eit tilfredsstillande tilbod om råd og rettleiing til personar med øk</w:t>
      </w:r>
      <w:r>
        <w:t>o</w:t>
      </w:r>
      <w:r>
        <w:t>nomiske problem. Tilbodet om økonomisk rådgiving ligg hos NAV-kontora i kommunane. Mange kommunar har eigne gjeldsrådgivarar. Ved sida av det offentlege tilbodet har det lenge funnest eit tilbod om gratis gjeldsrådgiving gjennom studentdrivne rettshjelptiltak og betalte, private gjeldsrådgivarar.</w:t>
      </w:r>
    </w:p>
    <w:p w:rsidR="00D30C4D" w:rsidRDefault="00B964E1" w:rsidP="00020FC3">
      <w:pPr>
        <w:pStyle w:val="Overskrift4"/>
      </w:pPr>
      <w:r>
        <w:t>Økonomisk rådgiving i NAV</w:t>
      </w:r>
    </w:p>
    <w:p w:rsidR="00D30C4D" w:rsidRDefault="00B964E1" w:rsidP="00020FC3">
      <w:r>
        <w:t>Økonomi- og gjeldsrådgiving er ein del av rettleiingsplikta som sosialtenesta har etter sosia</w:t>
      </w:r>
      <w:r>
        <w:t>l</w:t>
      </w:r>
      <w:r>
        <w:t xml:space="preserve">tenestelova. Føremålet med rådgivinga er tredelt: å førebyggje økonomiske problem, å løyse akutte økonomiske problem og å vere med på å finne heilskaplege og varige løysingar for tenestemottakarar med behov for økonomisk rehabilitering. Ettersom gjeldsproblematikk ofte </w:t>
      </w:r>
      <w:r>
        <w:lastRenderedPageBreak/>
        <w:t>heng saman med andre og komplekse utfordringar, vil mange trenge anna hjelp i tillegg til hjelp med dei økonomiske problema, for å handtere den vanskelege livssituasjonen dei er i.</w:t>
      </w:r>
    </w:p>
    <w:p w:rsidR="00D30C4D" w:rsidRDefault="00B964E1" w:rsidP="00020FC3">
      <w:r>
        <w:t>I 2017 fekk 13 790 sosialhjelpmottakarar økonomisk rådgiving som følgje av mellombelse eller varige betalingsvanskar, mens 16 707 personar fekk økonomisk rådgiving utan å ha stønad.</w:t>
      </w:r>
    </w:p>
    <w:p w:rsidR="00D30C4D" w:rsidRDefault="00B964E1" w:rsidP="00020FC3">
      <w:r>
        <w:t>Økonomisk rådgiving, og særleg gjeldsrådgiving, krev god og ofte spesialisert kompetanse. Dette kan vere ei utfordring, spesielt for mindre kommunar. Behovet for økonomisk rådgiving vil også kunne variere over tid. Det kan by på utfordringar med omsyn til kapasitet ved kvart enkelt NAV-kontor. I ein rapport frå 2013 påpeikte Norsk institutt for by- og regionforsking (NIBR) at 180 000 norske husstandar har ein pressa økonomi, mens norske kommunar reg</w:t>
      </w:r>
      <w:r>
        <w:t>i</w:t>
      </w:r>
      <w:r>
        <w:t>strerer om lag 30 000 økonomiske rådgivingssaker i året. Instituttet konkluderte derfor med at tilbodet var underdimensjonert. Ifølgje NIBR rapporterte fleire kommunar også om lang ve</w:t>
      </w:r>
      <w:r>
        <w:t>n</w:t>
      </w:r>
      <w:r>
        <w:t>tetid for tilgang til tenesta. Både rettshjelptiltak og private gjeldsrådgivarar opplever derfor stor pågang. Når det gjeld kvaliteten på rådgivinga som blir gitt, finst det ingen nyare undersøkingar av dette.</w:t>
      </w:r>
    </w:p>
    <w:p w:rsidR="00D30C4D" w:rsidRDefault="00B964E1" w:rsidP="00020FC3">
      <w:r>
        <w:t>Det er gjennomført fleire tiltak for å betre kompetansen, kvaliteten og tilgangen når det gjeld tilbodet om økonomisk rådgiving og gjeldsrådgiving i kommunane. I samarbeid med NAV gjennomfører fylkesmennene opplæringsopplegg med kurs, samlingar og faglege forum for økonomiske rådgivarar i kommunane. Det er etablert vidareutdanningstilbod innanfor øk</w:t>
      </w:r>
      <w:r>
        <w:t>o</w:t>
      </w:r>
      <w:r>
        <w:t>nomisk rådgiving ved Universitetet i Agder, Høgskulen i Innlandet og Nord universitet. Ein del kommunar har etablert interkommunalt samarbeid om økonomisk rådgiving og gjeldsrådg</w:t>
      </w:r>
      <w:r>
        <w:t>i</w:t>
      </w:r>
      <w:r>
        <w:t>ving. Det er oppretta eit interkommunalt kompetansesenter i Trøndelag der ein prøver ut ein ny modell for å organisere tenestene på ein måte som gir betre kvalitet i dei tyngste gjeldssakene.</w:t>
      </w:r>
    </w:p>
    <w:p w:rsidR="00D30C4D" w:rsidRDefault="00B964E1" w:rsidP="00020FC3">
      <w:r>
        <w:t>Ved sida av den økonomiske rådgivinga ved NAV-kontora i kommunane har NAV ei land</w:t>
      </w:r>
      <w:r>
        <w:t>s</w:t>
      </w:r>
      <w:r>
        <w:t>omfattande telefonteneste for personar med økonomiske problem. Siktemålet med økonom</w:t>
      </w:r>
      <w:r>
        <w:t>i</w:t>
      </w:r>
      <w:r>
        <w:t xml:space="preserve">rådtelefonen er </w:t>
      </w:r>
      <w:proofErr w:type="gramStart"/>
      <w:r>
        <w:t>å</w:t>
      </w:r>
      <w:proofErr w:type="gramEnd"/>
      <w:r>
        <w:t xml:space="preserve"> gjere økonomisk rådgiving lettare tilgjengeleg og å hjelpe personar med b</w:t>
      </w:r>
      <w:r>
        <w:t>e</w:t>
      </w:r>
      <w:r>
        <w:t>talingsproblem med å finne ei løysing raskare. Rådgivarane i denne tenesta driv ikkje med ordinær sakshandsaming, men gir råd om kva personen sjølv kan gjere for å løyse ein vanskeleg økonomisk situasjon. I 2018 tok 14 125 personar kontakt på telefon, mens 9 840 tok kontakt via chat. Det er gjort fleire undersøkingar som tyder på at tenesta fungerer bra, med kort gje</w:t>
      </w:r>
      <w:r>
        <w:t>n</w:t>
      </w:r>
      <w:r>
        <w:t>nomsnittleg ventetid. Økonomirådtelefonen er eit lågterskeltilbod og eit supplement til den meir vidtfemnande og personlege rådgivinga ved NAV-kontora.</w:t>
      </w:r>
    </w:p>
    <w:p w:rsidR="00D30C4D" w:rsidRDefault="00B964E1" w:rsidP="00020FC3">
      <w:pPr>
        <w:pStyle w:val="Overskrift4"/>
      </w:pPr>
      <w:r>
        <w:t>Gjeldsordning</w:t>
      </w:r>
    </w:p>
    <w:p w:rsidR="00D30C4D" w:rsidRDefault="00B964E1" w:rsidP="00020FC3">
      <w:r>
        <w:t>Gjeldsordningslova tredde i kraft 1. januar 1993. Siktemålet med lova er å gi personar med alvorlege gjeldsproblem høve til å få kontroll over eigen økonomi. I ei gjeldsordning skal skuldnaren sikrast eit rimeleg livsopphald og ein akseptabel bustad før resten av pengane blir fordelte på kreditorane. Saksmengda viser at det lenge har vore, og framleis er, eit stort behov for gjeldsordningslova.</w:t>
      </w:r>
    </w:p>
    <w:p w:rsidR="00D30C4D" w:rsidRDefault="00B964E1" w:rsidP="00020FC3">
      <w:r>
        <w:t>Regjeringa ser verdien av eit godt fungerande system for å løyse gjeldsproblem i hushalda. Gjeldsordningslova er eit av dei viktigaste verkemidla for dette. Hittil har lova vore revidert to gonger, høvesvis i 2002 og i 2012. Regjeringa vil setje i gang eit arbeid med å gå gjennom gjeldsordningslova med sikte på ein relativt omfattande revisjon. Ein har hausta mange erf</w:t>
      </w:r>
      <w:r>
        <w:t>a</w:t>
      </w:r>
      <w:r>
        <w:lastRenderedPageBreak/>
        <w:t>ringar med lova sidan førre revisjon, og det er naudsynt med enkelte klargjeringar og foren</w:t>
      </w:r>
      <w:r>
        <w:t>k</w:t>
      </w:r>
      <w:r>
        <w:t xml:space="preserve">lingar for å få ordninga til å fungere betre. Særleg bør ein sjå nærare på om ein kan forenkle dei noverande prosessreglane. </w:t>
      </w:r>
      <w:proofErr w:type="gramStart"/>
      <w:r>
        <w:t>Det</w:t>
      </w:r>
      <w:proofErr w:type="gramEnd"/>
      <w:r>
        <w:t xml:space="preserve"> tek i mange tilfelle svært lang tid for ein forbrukar å få ei gjeldsordning, og ofte blir det brukt for mykje tid hos namsstyresmaktene på relativt enkle og nokre gonger uvesentlege endringssaker. Det er også naudsynt </w:t>
      </w:r>
      <w:proofErr w:type="gramStart"/>
      <w:r>
        <w:t>å</w:t>
      </w:r>
      <w:proofErr w:type="gramEnd"/>
      <w:r>
        <w:t xml:space="preserve"> klargjere ein del spørsmål der ein har avdekt at lovverket blir praktisert ulikt.</w:t>
      </w:r>
    </w:p>
    <w:p w:rsidR="00D30C4D" w:rsidRDefault="00B964E1" w:rsidP="00020FC3">
      <w:r>
        <w:t xml:space="preserve">SIFO har studert korleis det har gått med personar som har gjennomført ei gjeldsordning. Hovudkonklusjonen i studien frå 2010 var at gjeldsordningslova langt på veg fungerer slik ho er tenkt når det gjeld å rette opp i økonomien til skuldnaren og sørgje for at vedkomande får fornya tilgang til finansielle tenester. Studien viste på den andre sida at gjeldsordningslova ikkje er tilstrekkeleg med tanke på inkludering i samfunnslivet. Lova gir ikkje skuldnaren høve til </w:t>
      </w:r>
      <w:proofErr w:type="gramStart"/>
      <w:r>
        <w:t>å</w:t>
      </w:r>
      <w:proofErr w:type="gramEnd"/>
      <w:r>
        <w:t xml:space="preserve"> tre inn i samfunnet på ein betre måte enn då vedkomande hadde gjeldsproblem. SIFO påpeikar at 1,5–2,5 år etter å ha fullført gjeldsordninga, er det mange som har pådradd seg nye betalingsproblem. Heile 39 prosent er i ein slik situasjon. SIFO meiner dette tyder på at mange har vanskar med å endre den økonomiske praksisen sin i ei retning som sikrar berekraftig økonomi på sikt. Tilrådinga frå SIFO er derfor å utfylle gjeldsordningslova ved å etablere gode oppfølgings- og støttetiltak rundt dei som får gjeldsordning. Regjeringa meiner at samarbeidet mellom dei økonomiske rådgivarane i NAV og namsmennene her speler ei viktig rolle, mellom anna for </w:t>
      </w:r>
      <w:proofErr w:type="gramStart"/>
      <w:r>
        <w:t>å</w:t>
      </w:r>
      <w:proofErr w:type="gramEnd"/>
      <w:r>
        <w:t xml:space="preserve"> førebyggje nye gjeldsproblem hos personar som har vore gjennom ei gjeldsordning. Regjeringa vil arbeide vidare med å styrke samarbeidet mellom namsmennene og dei økon</w:t>
      </w:r>
      <w:r>
        <w:t>o</w:t>
      </w:r>
      <w:r>
        <w:t>miske rådgivarane hos NAV.</w:t>
      </w:r>
    </w:p>
    <w:p w:rsidR="00D30C4D" w:rsidRDefault="00B964E1" w:rsidP="00020FC3">
      <w:r>
        <w:t xml:space="preserve">Regjeringa har også gått i gang med å samlokalisere sakshandsamarar i gjeldsordningssaker hos namsmennene for å skape større fagmiljø og betre sakshandsaming. Det har vore ei utfordring at dei mindre distrikta har hatt få gjeldsordningssaker, og at sakshandsamarane i desse distrikta dermed ikkje har fått like gode føresetnader for </w:t>
      </w:r>
      <w:proofErr w:type="gramStart"/>
      <w:r>
        <w:t>å</w:t>
      </w:r>
      <w:proofErr w:type="gramEnd"/>
      <w:r>
        <w:t xml:space="preserve"> byggje kompetanse på feltet.</w:t>
      </w:r>
    </w:p>
    <w:p w:rsidR="00D30C4D" w:rsidRDefault="00B964E1" w:rsidP="00020FC3">
      <w:pPr>
        <w:pStyle w:val="Overskrift3"/>
      </w:pPr>
      <w:r>
        <w:t>Kunnskap om personleg økonomi er viktig</w:t>
      </w:r>
    </w:p>
    <w:p w:rsidR="00D30C4D" w:rsidRDefault="00B964E1" w:rsidP="00020FC3">
      <w:r>
        <w:t xml:space="preserve">Kunnskap om personleg økonomi kan fremje eller hemme sosial mobilitet og er viktig for velferda til kvar enkelt. Kunnskap og haldningar påverkar korleis vi vurderer marknadsføring, om </w:t>
      </w:r>
      <w:proofErr w:type="gramStart"/>
      <w:r>
        <w:t>vi</w:t>
      </w:r>
      <w:proofErr w:type="gramEnd"/>
      <w:r>
        <w:t xml:space="preserve"> vel å spare framfor å ta opp forbrukslån, og om vi skjønar konsekvensen av det å utsetje betaling. Kunnskap om personleg økonomi er derfor naudsynt for </w:t>
      </w:r>
      <w:proofErr w:type="gramStart"/>
      <w:r>
        <w:t>å</w:t>
      </w:r>
      <w:proofErr w:type="gramEnd"/>
      <w:r>
        <w:t xml:space="preserve"> handsame eigen økonomi og unngå gjeldsproblem.</w:t>
      </w:r>
    </w:p>
    <w:p w:rsidR="00D30C4D" w:rsidRDefault="00B964E1" w:rsidP="00020FC3">
      <w:r>
        <w:t>Utviklinga på finansmarknaden og i pensjonssystemet gjer også at forbrukarane får eit større ansvar for store finansielle avgjerder på ein stadig meir uoversiktleg finansmarknad. Ein så</w:t>
      </w:r>
      <w:r>
        <w:t>r</w:t>
      </w:r>
      <w:r>
        <w:t>barheitsstudie frå EU-kommisjonen viser at forbrukarane er særleg sårbare i finanssektoren, der tilbod og kontraktar ofte blir framstilte på ein komplisert måte.</w:t>
      </w:r>
    </w:p>
    <w:p w:rsidR="00D30C4D" w:rsidRDefault="00B964E1" w:rsidP="00020FC3">
      <w:r>
        <w:t>Samanlikna med andre OECD-land har den norske befolkninga generelt sett gode finansielle kunnskapar. Det viser ei undersøking som stiftinga AksjeNorge gjennomførte for OECD i 2016.</w:t>
      </w:r>
      <w:r>
        <w:rPr>
          <w:vertAlign w:val="superscript"/>
        </w:rPr>
        <w:footnoteReference w:id="84"/>
      </w:r>
      <w:r>
        <w:t xml:space="preserve"> Samstundes er det store skilnader mellom grupper i befolkninga, spesielt når det gjeld </w:t>
      </w:r>
      <w:r>
        <w:lastRenderedPageBreak/>
        <w:t>meir kompliserte økonomispørsmål. Her ser ein at unge kan mindre enn eldre, og at kvinner (uansett alder) kan mindre enn menn. Dei med lågare utdanning kan mindre enn dei med høgare utdanning, og dei med lågare inntekt kan mindre enn dei med høgare inntekt.</w:t>
      </w:r>
    </w:p>
    <w:p w:rsidR="00D30C4D" w:rsidRDefault="00B964E1" w:rsidP="00020FC3">
      <w:r>
        <w:t>Fleire nasjonale undersøkingar framhevar at ungdom og unge vakse har for lite kunnskap om personleg økonomi. I ei SIFO-undersøking frå 2014 såg ein at unge også er meir sårbare fo</w:t>
      </w:r>
      <w:r>
        <w:t>r</w:t>
      </w:r>
      <w:r>
        <w:t>brukarar enn eldre, mellom anna på grunn av dårlegare rekneevner og uøkonomisk åtferd. I tillegg er unge ofte meir uerfarne i forbrukarrolla og blir i større grad utsette for kommersielt press på nettet. Dette aukar behovet for kunnskap.</w:t>
      </w:r>
    </w:p>
    <w:p w:rsidR="00D30C4D" w:rsidRDefault="00B964E1" w:rsidP="00020FC3">
      <w:r>
        <w:t>Enkelte grupper er dessutan i ein særleg utfordrande økonomisk situasjon som gjer at behovet for kunnskap aukar. Personar som av ulike grunnar står utanfor arbeidsmarknaden, unge i etableringsfasen, einslege forsørgjarar og hushald med høg gjeld er døme på dette. Desse gruppene har gjerne behov for spesifikk kunnskap om korleis dei kan organisere og handsame ein stram økonomi, og korleis dei kan komme seg ut av økonomiske vanskar.</w:t>
      </w:r>
    </w:p>
    <w:p w:rsidR="00D30C4D" w:rsidRDefault="00B964E1" w:rsidP="00020FC3">
      <w:r>
        <w:t>Kunnskap står sentralt, men er ikkje det einaste som avgjer om forbrukarane tek kloke eller gjennomtenkte finansielle val. Forsking på åtferdsøkonomi tyder til dømes på at manglande impulskontroll kan bidra til korttenkte finansielle val, og at forbrukarar med lågare impul</w:t>
      </w:r>
      <w:r>
        <w:t>s</w:t>
      </w:r>
      <w:r>
        <w:t>kontroll vil ha større tendens til å prioritere kortsiktig forbruk. God økonomiopplæring handlar om utvikling av sjølvdisiplin, haldningar og konsekvensforståing av finansielle val.</w:t>
      </w:r>
    </w:p>
    <w:p w:rsidR="00D30C4D" w:rsidRDefault="00B964E1" w:rsidP="00020FC3">
      <w:r>
        <w:t xml:space="preserve">Også måten forbrukarinformasjonen blir presentert på, speler ei rolle for evna til </w:t>
      </w:r>
      <w:proofErr w:type="gramStart"/>
      <w:r>
        <w:t>å</w:t>
      </w:r>
      <w:proofErr w:type="gramEnd"/>
      <w:r>
        <w:t xml:space="preserve"> gjere gode økonomiske val. Forbrukarrådet gjennomførte i 2011 ei undersøking av kommunikasjonen mellom inkassobyrå og skuldnarar. Her kom det fram at kravbreva frå inkassoføretaka blei oppfatta som uforståelege.</w:t>
      </w:r>
      <w:r>
        <w:rPr>
          <w:vertAlign w:val="superscript"/>
        </w:rPr>
        <w:footnoteReference w:id="85"/>
      </w:r>
      <w:r>
        <w:t xml:space="preserve"> Av dei 33 personane som deltok i undersøkinga, var det 31 som misforstod kravbreva. Bruk av faguttrykk og utydelege formuleringar gjorde at forbrukarane ikkje forstod at gjelda gjekk til inkasso.</w:t>
      </w:r>
    </w:p>
    <w:p w:rsidR="00D30C4D" w:rsidRDefault="00B964E1" w:rsidP="00020FC3">
      <w:r>
        <w:t xml:space="preserve">Regjeringa har lenge arbeidd for </w:t>
      </w:r>
      <w:proofErr w:type="gramStart"/>
      <w:r>
        <w:t>å</w:t>
      </w:r>
      <w:proofErr w:type="gramEnd"/>
      <w:r>
        <w:t xml:space="preserve"> styrkje opplæringa i personleg økonomi. Temaet er godt dekt i læreplanane i skulen, både i dei noverande planane og i dei nye som blei </w:t>
      </w:r>
      <w:proofErr w:type="gramStart"/>
      <w:r>
        <w:t>sende</w:t>
      </w:r>
      <w:proofErr w:type="gramEnd"/>
      <w:r>
        <w:t xml:space="preserve"> på høyring i mars 2019. Det er også sett i gang ei rekkje initiativ for </w:t>
      </w:r>
      <w:proofErr w:type="gramStart"/>
      <w:r>
        <w:t>å</w:t>
      </w:r>
      <w:proofErr w:type="gramEnd"/>
      <w:r>
        <w:t xml:space="preserve"> styrkje opplæringa, delvis i samarbeid med private aktørar. Eit døme her er nettsida «Skolemeny», som inneheld ulike læreverktøy og opplæringstilbod om personleg økonomi til bruk i skulen. Nettsida er utvikla av Finans Norge og eit nettverk av private og offentlege aktørar. Regjeringa vil halde fram samarbeidet om opplæring i personleg økonomi, mellom anna med finansnæringa.</w:t>
      </w:r>
    </w:p>
    <w:p w:rsidR="00D30C4D" w:rsidRDefault="00B964E1" w:rsidP="00020FC3">
      <w:r>
        <w:t xml:space="preserve">OECD oppmodar alle medlemsland til å etablere strategiar for </w:t>
      </w:r>
      <w:proofErr w:type="gramStart"/>
      <w:r>
        <w:t>å</w:t>
      </w:r>
      <w:proofErr w:type="gramEnd"/>
      <w:r>
        <w:t xml:space="preserve"> styrkje økonomiforståinga blant innbyggjarane. 25 land har eller planlegg å innføre slike nasjonale strategiar. Strategiane omfattar utvikling av tilpassa opplærings- og hjelpetiltak, og dei blir gjerne retta mot spesifikke delar av befolkninga (t.d. unge eller sårbare grupper med låg inntekt). I Noreg har vi ingen overordna strategi for arbeidet med </w:t>
      </w:r>
      <w:proofErr w:type="gramStart"/>
      <w:r>
        <w:t>å</w:t>
      </w:r>
      <w:proofErr w:type="gramEnd"/>
      <w:r>
        <w:t xml:space="preserve"> styrkje forståinga av personleg økonomi hos innbyggj</w:t>
      </w:r>
      <w:r>
        <w:t>a</w:t>
      </w:r>
      <w:r>
        <w:lastRenderedPageBreak/>
        <w:t>rane. Regjeringa meiner at mange vil kunne dra nytte av eit meir systematisk arbeid på dette området. Kloke økonomiske val kan danne grunnlag for ein sunn framtidig økonomi. Uheldig opptak av forbrukslån og udisiplinert bruk av kredittkort kan motsett få særs negative ko</w:t>
      </w:r>
      <w:r>
        <w:t>n</w:t>
      </w:r>
      <w:r>
        <w:t>sekvensar, både for den enkelte og for samfunnet.</w:t>
      </w:r>
    </w:p>
    <w:p w:rsidR="00D30C4D" w:rsidRDefault="00B964E1" w:rsidP="00020FC3">
      <w:r>
        <w:t xml:space="preserve">Regjeringa vil utarbeide ein strategi for </w:t>
      </w:r>
      <w:proofErr w:type="gramStart"/>
      <w:r>
        <w:t>å</w:t>
      </w:r>
      <w:proofErr w:type="gramEnd"/>
      <w:r>
        <w:t xml:space="preserve"> styrkje økonomiforståinga hos innbyggjarane. SIFO har derfor fått i oppdrag å lage ein analyse av korleis den økonomiske kunnskapen og erf</w:t>
      </w:r>
      <w:r>
        <w:t>a</w:t>
      </w:r>
      <w:r>
        <w:t>ringsbakgrunnen til forbrukarane påverkar vala dei tek, og den økonomiske tryggleiken dei oppnår. Dette vil kunne bidra til å identifisere grupper som er særleg utsette som følgje av låg kunnskap og svakt erfaringsgrunnlag. Strategien som regjeringa skal utarbeide, vil kunne byggje vidare på innsikta frå SIFO-analysen. Analysen kan fungere som grunnlag for val av eventuelle tiltak som kan styrkje den økonomiske kunnskapen og handlingsmønstra til ulike grupper når det gjeld til dømes sparing, forbruk og låneopptak.</w:t>
      </w:r>
    </w:p>
    <w:p w:rsidR="00D30C4D" w:rsidRDefault="00B964E1" w:rsidP="00020FC3">
      <w:pPr>
        <w:pStyle w:val="Overskrift2"/>
      </w:pPr>
      <w:r>
        <w:t>Regjeringa vil</w:t>
      </w:r>
    </w:p>
    <w:p w:rsidR="00D30C4D" w:rsidRDefault="00B964E1" w:rsidP="00E05FE4">
      <w:pPr>
        <w:pStyle w:val="Listebombe"/>
        <w:numPr>
          <w:ilvl w:val="0"/>
          <w:numId w:val="1"/>
        </w:numPr>
        <w:ind w:left="320" w:hanging="320"/>
        <w:rPr>
          <w:sz w:val="21"/>
          <w:szCs w:val="21"/>
        </w:rPr>
      </w:pPr>
      <w:r>
        <w:rPr>
          <w:sz w:val="21"/>
          <w:szCs w:val="21"/>
        </w:rPr>
        <w:t>arbeide vidare for å verne forbrukarane betre på kredittmarknaden</w:t>
      </w:r>
    </w:p>
    <w:p w:rsidR="00D30C4D" w:rsidRDefault="00B964E1" w:rsidP="00E05FE4">
      <w:pPr>
        <w:pStyle w:val="Listebombe"/>
        <w:numPr>
          <w:ilvl w:val="0"/>
          <w:numId w:val="1"/>
        </w:numPr>
        <w:ind w:left="320" w:hanging="320"/>
        <w:rPr>
          <w:sz w:val="21"/>
          <w:szCs w:val="21"/>
        </w:rPr>
      </w:pPr>
      <w:r>
        <w:rPr>
          <w:sz w:val="21"/>
          <w:szCs w:val="21"/>
        </w:rPr>
        <w:t xml:space="preserve">følgje med på utviklinga i marknaden for forbrukslån </w:t>
      </w:r>
      <w:proofErr w:type="gramStart"/>
      <w:r>
        <w:rPr>
          <w:sz w:val="21"/>
          <w:szCs w:val="21"/>
        </w:rPr>
        <w:t>og</w:t>
      </w:r>
      <w:proofErr w:type="gramEnd"/>
      <w:r>
        <w:rPr>
          <w:sz w:val="21"/>
          <w:szCs w:val="21"/>
        </w:rPr>
        <w:t xml:space="preserve"> vurdere behovet for ytterlegare regulering av marknaden</w:t>
      </w:r>
    </w:p>
    <w:p w:rsidR="00D30C4D" w:rsidRDefault="00B964E1" w:rsidP="00E05FE4">
      <w:pPr>
        <w:pStyle w:val="Listebombe"/>
        <w:numPr>
          <w:ilvl w:val="0"/>
          <w:numId w:val="1"/>
        </w:numPr>
        <w:ind w:left="320" w:hanging="320"/>
        <w:rPr>
          <w:sz w:val="21"/>
          <w:szCs w:val="21"/>
        </w:rPr>
      </w:pPr>
      <w:r>
        <w:rPr>
          <w:sz w:val="21"/>
          <w:szCs w:val="21"/>
        </w:rPr>
        <w:t xml:space="preserve">førebyggje gjeldsproblem blant forbrukarane, mellom anna ved å utarbeide ein strategi for </w:t>
      </w:r>
      <w:proofErr w:type="gramStart"/>
      <w:r>
        <w:rPr>
          <w:sz w:val="21"/>
          <w:szCs w:val="21"/>
        </w:rPr>
        <w:t>å</w:t>
      </w:r>
      <w:proofErr w:type="gramEnd"/>
      <w:r>
        <w:rPr>
          <w:sz w:val="21"/>
          <w:szCs w:val="21"/>
        </w:rPr>
        <w:t xml:space="preserve"> styrkje økonomiforståinga hos innbyggjarane</w:t>
      </w:r>
    </w:p>
    <w:p w:rsidR="00D30C4D" w:rsidRDefault="00B964E1" w:rsidP="00E05FE4">
      <w:pPr>
        <w:pStyle w:val="Listebombe"/>
        <w:numPr>
          <w:ilvl w:val="0"/>
          <w:numId w:val="1"/>
        </w:numPr>
        <w:ind w:left="320" w:hanging="320"/>
        <w:rPr>
          <w:sz w:val="21"/>
          <w:szCs w:val="21"/>
        </w:rPr>
      </w:pPr>
      <w:r>
        <w:rPr>
          <w:sz w:val="21"/>
          <w:szCs w:val="21"/>
        </w:rPr>
        <w:t>setje i gang eit arbeid med å gå gjennom gjeldsordningslova med sikte på ein relativt omfattande revisjon</w:t>
      </w:r>
    </w:p>
    <w:p w:rsidR="00D30C4D" w:rsidRDefault="00B964E1" w:rsidP="00E05FE4">
      <w:pPr>
        <w:pStyle w:val="Listebombe"/>
        <w:numPr>
          <w:ilvl w:val="0"/>
          <w:numId w:val="1"/>
        </w:numPr>
        <w:ind w:left="320" w:hanging="320"/>
        <w:rPr>
          <w:sz w:val="21"/>
          <w:szCs w:val="21"/>
        </w:rPr>
      </w:pPr>
      <w:r>
        <w:rPr>
          <w:sz w:val="21"/>
          <w:szCs w:val="21"/>
        </w:rPr>
        <w:t xml:space="preserve">arbeide vidare med </w:t>
      </w:r>
      <w:proofErr w:type="gramStart"/>
      <w:r>
        <w:rPr>
          <w:sz w:val="21"/>
          <w:szCs w:val="21"/>
        </w:rPr>
        <w:t>å</w:t>
      </w:r>
      <w:proofErr w:type="gramEnd"/>
      <w:r>
        <w:rPr>
          <w:sz w:val="21"/>
          <w:szCs w:val="21"/>
        </w:rPr>
        <w:t xml:space="preserve"> styrkje samarbeidet mellom namsmennene og økonomiske rådgivarar i arbeids- og velferdsforvaltinga (NAV)</w:t>
      </w:r>
    </w:p>
    <w:p w:rsidR="00D30C4D" w:rsidRDefault="00B964E1" w:rsidP="00020FC3">
      <w:pPr>
        <w:pStyle w:val="Overskrift1"/>
      </w:pPr>
      <w:r>
        <w:t>Forbrukarutfordringar på bustadmarknaden</w:t>
      </w:r>
    </w:p>
    <w:p w:rsidR="00D30C4D" w:rsidRDefault="00741EEC" w:rsidP="00741EEC">
      <w:pPr>
        <w:pStyle w:val="Figur"/>
      </w:pPr>
      <w:r>
        <w:rPr>
          <w:noProof/>
        </w:rPr>
        <w:t>[:figur:figX-X.jpg]</w:t>
      </w:r>
    </w:p>
    <w:p w:rsidR="00D30C4D" w:rsidRDefault="00B964E1" w:rsidP="00020FC3">
      <w:pPr>
        <w:pStyle w:val="figur-tittel"/>
      </w:pPr>
      <w:r>
        <w:t> </w:t>
      </w:r>
    </w:p>
    <w:p w:rsidR="00D30C4D" w:rsidRDefault="00B964E1" w:rsidP="00020FC3">
      <w:pPr>
        <w:pStyle w:val="figur-noter"/>
      </w:pPr>
      <w:r>
        <w:t>Foto: Johnér</w:t>
      </w:r>
    </w:p>
    <w:p w:rsidR="00D30C4D" w:rsidRDefault="00B964E1" w:rsidP="00E05FE4">
      <w:pPr>
        <w:pStyle w:val="Overskrift2"/>
        <w:numPr>
          <w:ilvl w:val="1"/>
          <w:numId w:val="38"/>
        </w:numPr>
      </w:pPr>
      <w:r>
        <w:t>Innleiing</w:t>
      </w:r>
    </w:p>
    <w:p w:rsidR="00D30C4D" w:rsidRDefault="00B964E1" w:rsidP="00020FC3">
      <w:r>
        <w:t>Gode bustader og butilhøve er blant dei mest grunnleggjande velferdsgoda i eit moderne samfunn. Ein god og trygg bustad og ein føreseieleg bustadøkonomi er noko dei aller fleste ønskjer. Bustadpolitikk og bustadspørsmål er dermed også ein viktig del av velferdspolitikken til regjeringa. Bustader og bumiljø i Noreg er av jamt over god kvalitet. Ei av årsakene til dette er at det over lang tid har vore lagt til rette for at flest mogleg skal kunne kjøpe og eige sin eigen bustad. Husbanken, som sidan opprettinga i 1946 har finansiert ein stor del av bustadene i Noreg, speler her ei viktig rolle.</w:t>
      </w:r>
      <w:r>
        <w:rPr>
          <w:vertAlign w:val="superscript"/>
        </w:rPr>
        <w:footnoteReference w:id="86"/>
      </w:r>
      <w:r>
        <w:t xml:space="preserve"> Dette er ein politikk regjeringa ønskjer å føre vidare.</w:t>
      </w:r>
    </w:p>
    <w:p w:rsidR="00D30C4D" w:rsidRDefault="00B964E1" w:rsidP="00020FC3">
      <w:r>
        <w:lastRenderedPageBreak/>
        <w:t>Norske bustadprisar har auka kraftig over fleire år. Utviklinga i bustadprisar og gjeld heng tett saman og kan forsterke kvarandre. Ein sterk vekst i bustadprisane over mange år har gjort det stadig dyrare å komme inn på bustadmarknaden. Samstundes har gjelda i hushalda auka meir enn inntektene. Ei høg og aukande gjeld i hushalda set både enkeltforbrukarar og økonomien som heilskap i ein sårbar situasjon. Regjeringa jobbar kontinuerleg med tiltak som skal vere med på å sikre forsvarlege låneopptak og ein trygg bustadøkonomi. Også transaksjonskostn</w:t>
      </w:r>
      <w:r>
        <w:t>a</w:t>
      </w:r>
      <w:r>
        <w:t>der, til dømes ulike forsikringar og utgifter til eigedomsmeklar og bustadtakst, utgjer ei v</w:t>
      </w:r>
      <w:r>
        <w:t>e</w:t>
      </w:r>
      <w:r>
        <w:t>sentleg økonomisk byrde ved bustadkjøp. Regjeringa vil gjennom informasjonstiltak og ti</w:t>
      </w:r>
      <w:r>
        <w:t>l</w:t>
      </w:r>
      <w:r>
        <w:t>litsskapande digitale løysingar leggje til rette for at fleire på ein trygg måte skal kunne selje bustaden sin sjølve, dersom dei ønskjer det.</w:t>
      </w:r>
    </w:p>
    <w:p w:rsidR="00D30C4D" w:rsidRDefault="00B964E1" w:rsidP="00020FC3">
      <w:r>
        <w:t xml:space="preserve">Det er mange som opplever konfliktar ved bustadkjøp. Ei av dei vanlegaste årsakene til slike konfliktar er usemje om den tekniske tilstanden som bustaden er i. Dette er </w:t>
      </w:r>
      <w:proofErr w:type="gramStart"/>
      <w:r>
        <w:t>ei</w:t>
      </w:r>
      <w:proofErr w:type="gramEnd"/>
      <w:r>
        <w:t xml:space="preserve"> byrde for dei som konflikten gjeld. I tillegg fører det til mange tvistesaker både i klagenemnder og domstolar. Ofte gjeld saka at seljaren har lagt fram utilstrekkeleg eller feilaktig informasjon om bustaden. Dette kan mellom anna skuldast at tilstandsrapportane som blir brukte ved bustadsal, ikkje er gode nok. Regjeringa vurderer å forskriftsfeste krav til både tilstandsrapportane og dei som skal utferde dei. Delar av avhendingslova er for tida (2019) under revidering, og regjeringa har føreslått nokre lovendringar. Eitt av måla med forslaga er </w:t>
      </w:r>
      <w:proofErr w:type="gramStart"/>
      <w:r>
        <w:t>å</w:t>
      </w:r>
      <w:proofErr w:type="gramEnd"/>
      <w:r>
        <w:t xml:space="preserve"> kome fram til reglar som kan r</w:t>
      </w:r>
      <w:r>
        <w:t>e</w:t>
      </w:r>
      <w:r>
        <w:t>dusere konfliktnivået på dette området og gjere bustadhandelen tryggare.</w:t>
      </w:r>
    </w:p>
    <w:p w:rsidR="00D30C4D" w:rsidRDefault="00B964E1" w:rsidP="00020FC3">
      <w:r>
        <w:t>Ein ser også forbrukarutfordringar på leigemarknaden, mellom anna knytt til manglande kunnskap om rettane som leigarane har. Flesteparten av dei som leiger bustad, er ungdommar. Dei utgjer ei sårbar gruppe i bustadmarknaden. Sjølv om det i dag finst ulike regelverk som skal hindre urimelege leigevilkår, opplever mange leigetakarar likevel at leigetilhøvet skaper pr</w:t>
      </w:r>
      <w:r>
        <w:t>o</w:t>
      </w:r>
      <w:r>
        <w:t>blem. I pressområde kan det dessutan vere vanskeleg å finne ein eigna leigebustad på grunn av lite utbod av denne typen bustader.</w:t>
      </w:r>
    </w:p>
    <w:p w:rsidR="00D30C4D" w:rsidRDefault="00B964E1" w:rsidP="00020FC3">
      <w:pPr>
        <w:pStyle w:val="Overskrift2"/>
      </w:pPr>
      <w:r>
        <w:t>Butilhøva til norske forbrukarar</w:t>
      </w:r>
    </w:p>
    <w:p w:rsidR="00D30C4D" w:rsidRDefault="00B964E1" w:rsidP="00020FC3">
      <w:r>
        <w:t>Av den vaksne befolkninga i Noreg er det meir enn 80 prosent som eig bustaden dei bur i, anten som sjølveigarar eller del-/aksjeeigarar. Einebustader er den vanlegaste bustadtypen. Slike bustader er nærmast einerådande i Distrikts-Noreg, sjå figur 12.2. I større tettstader og byo</w:t>
      </w:r>
      <w:r>
        <w:t>m</w:t>
      </w:r>
      <w:r>
        <w:t>råde er det vanlegare med bustader i ulike bustadsamanslutningar (t.d. burettslag og bustad</w:t>
      </w:r>
      <w:r>
        <w:t>s</w:t>
      </w:r>
      <w:r>
        <w:t>sameige). Leigetakarane er for det meste ungdom og unge vaksne som av ulike grunnar ikkje kan eller ønskjer å kjøpe bustad. Dei fleste leigetakarar skaffar seg eller ønskjer å skaffe seg eigen bustad seinare i livet.</w:t>
      </w:r>
    </w:p>
    <w:p w:rsidR="00D30C4D" w:rsidRDefault="00741EEC" w:rsidP="00741EEC">
      <w:pPr>
        <w:pStyle w:val="Figur"/>
      </w:pPr>
      <w:r>
        <w:rPr>
          <w:noProof/>
        </w:rPr>
        <w:t>[:figur:figX-X.jpg]</w:t>
      </w:r>
    </w:p>
    <w:p w:rsidR="00D30C4D" w:rsidRDefault="00B964E1" w:rsidP="00020FC3">
      <w:pPr>
        <w:pStyle w:val="figur-tittel"/>
      </w:pPr>
      <w:r>
        <w:t>Bortimot halvparten av alle nordmenn bur i einebustad, og berre kvar femte bur i blokk eller leigegard. Dei regionale skilnadene er likevel store.</w:t>
      </w:r>
    </w:p>
    <w:p w:rsidR="00D30C4D" w:rsidRDefault="00B964E1" w:rsidP="00020FC3">
      <w:pPr>
        <w:pStyle w:val="Kilde"/>
        <w:rPr>
          <w:rFonts w:cs="Times New Roman"/>
          <w:lang w:val="en-GB"/>
        </w:rPr>
      </w:pPr>
      <w:r>
        <w:t>Statistisk sentralbyrå</w:t>
      </w:r>
    </w:p>
    <w:p w:rsidR="00D30C4D" w:rsidRDefault="00B964E1" w:rsidP="00020FC3">
      <w:pPr>
        <w:pStyle w:val="Overskrift2"/>
      </w:pPr>
      <w:r>
        <w:lastRenderedPageBreak/>
        <w:t>Prisutviklinga i bustadmarknaden</w:t>
      </w:r>
    </w:p>
    <w:p w:rsidR="00D30C4D" w:rsidRDefault="00B964E1" w:rsidP="00020FC3">
      <w:r>
        <w:t xml:space="preserve">Bustadprisane har </w:t>
      </w:r>
      <w:proofErr w:type="gramStart"/>
      <w:r>
        <w:t>stige</w:t>
      </w:r>
      <w:proofErr w:type="gramEnd"/>
      <w:r>
        <w:t xml:space="preserve"> kraftig dei siste åra (sjå figur 12.3). Prisane fall litt i kjølvatnet av den internasjonale finanskrisa omkring 2009, men nedgangen blei relativt kortvarig. Også i løpet av 2017 gjekk bustadprisane ned litt, men veksten tok seg opp att i byrjinga av 2018. I seinare tid har prisane utvikla seg meir moderat. Den markerte prisoppgangen dei siste åra må sjåast i samanheng med låge bustadlånerenter, god tilgang på lån og høg etterspurnad etter bustader. Det er vidare klare regionale skilnader i bustadprisane. Sjølv om det er Oslo og områda rundt som har hatt den sterkaste veksten i bustadprisar dei siste åra, har prisveksten på bustader vore høg også i andre større byar.</w:t>
      </w:r>
    </w:p>
    <w:p w:rsidR="00D30C4D" w:rsidRDefault="00741EEC" w:rsidP="00741EEC">
      <w:pPr>
        <w:pStyle w:val="Figur"/>
      </w:pPr>
      <w:r>
        <w:rPr>
          <w:noProof/>
        </w:rPr>
        <w:t>[:figur:figX-X.jpg]</w:t>
      </w:r>
    </w:p>
    <w:p w:rsidR="00D30C4D" w:rsidRDefault="00B964E1" w:rsidP="00020FC3">
      <w:pPr>
        <w:pStyle w:val="figur-tittel"/>
      </w:pPr>
      <w:r>
        <w:t>Grafane viser prisutviklinga på bustader frå 2004 til 2019</w:t>
      </w:r>
    </w:p>
    <w:p w:rsidR="00D30C4D" w:rsidRDefault="00B964E1" w:rsidP="00020FC3">
      <w:pPr>
        <w:pStyle w:val="Kilde"/>
        <w:rPr>
          <w:rFonts w:cs="Times New Roman"/>
          <w:lang w:val="en-GB"/>
        </w:rPr>
      </w:pPr>
      <w:r>
        <w:t>Eigedomsverdi</w:t>
      </w:r>
    </w:p>
    <w:p w:rsidR="00D30C4D" w:rsidRDefault="00B964E1" w:rsidP="00020FC3">
      <w:pPr>
        <w:pStyle w:val="Overskrift2"/>
      </w:pPr>
      <w:r>
        <w:t xml:space="preserve">Kostnader ved </w:t>
      </w:r>
      <w:proofErr w:type="gramStart"/>
      <w:r>
        <w:t>å</w:t>
      </w:r>
      <w:proofErr w:type="gramEnd"/>
      <w:r>
        <w:t xml:space="preserve"> eige og leige bustad</w:t>
      </w:r>
    </w:p>
    <w:p w:rsidR="00D30C4D" w:rsidRDefault="00B964E1" w:rsidP="00020FC3">
      <w:r>
        <w:t>For dei fleste forbrukarar vil kjøp av bustad vere den største enkeltinvesteringa i livet, og b</w:t>
      </w:r>
      <w:r>
        <w:t>u</w:t>
      </w:r>
      <w:r>
        <w:t>stadutgifter legg beslag på store delar av hushaldsinntekta. I den nyaste forbruksundersøkinga frå SSB (2012) utgjer posten «bustad, lys og brensel» nærare ein tredjedel av det totale fo</w:t>
      </w:r>
      <w:r>
        <w:t>r</w:t>
      </w:r>
      <w:r>
        <w:t>bruket og er dermed den aller største utgiftsposten for norske hushald. I 2012 svarte dette til om lag 11 300 kroner per månad for kvart hushald. Utgiftsbyrda har i seinare år gått ned som følgje av utviklinga både i inntekts- og rentenivå, men mykje av nedgangen er nok «eten opp» av bustadprisveksten.</w:t>
      </w:r>
      <w:r>
        <w:rPr>
          <w:vertAlign w:val="superscript"/>
        </w:rPr>
        <w:footnoteReference w:id="87"/>
      </w:r>
      <w:r>
        <w:t xml:space="preserve"> Trass i prisutviklinga har altså ikkje bukostnadene auka tilsvarande. Å</w:t>
      </w:r>
      <w:r>
        <w:t>r</w:t>
      </w:r>
      <w:r>
        <w:t>saka til dette er fyrst og fremst fallande bustadlånerenter. For dei fleste er det såleis ikkje b</w:t>
      </w:r>
      <w:r>
        <w:t>u</w:t>
      </w:r>
      <w:r>
        <w:t>kostnadene, men den høge finansielle risikoen som har vore den største utfordringa med dei høge bustadprisane.</w:t>
      </w:r>
    </w:p>
    <w:p w:rsidR="00D30C4D" w:rsidRDefault="00B964E1" w:rsidP="00020FC3">
      <w:r>
        <w:t>Det er stor skilnad på prisane i urbane og grisgrendte strøk. I 2012 utgjorde bustadutgiftene om lag 35 prosent eller 155 000 kroner av totalforbruket i dei tre største byane, mot om lag 27 prosent eller 108 000 kroner i meir grisgrendte strøk.</w:t>
      </w:r>
      <w:r>
        <w:rPr>
          <w:vertAlign w:val="superscript"/>
        </w:rPr>
        <w:footnoteReference w:id="88"/>
      </w:r>
      <w:r>
        <w:t xml:space="preserve"> I dag er skilnaden truleg endå større. Bustadutgiftene er for dei fleste fyrst og fremst knytte til renteutgifter på bustadlån, og bust</w:t>
      </w:r>
      <w:r>
        <w:t>a</w:t>
      </w:r>
      <w:r>
        <w:t>dutgiftsnivået blir påverka både av rentenivået og verdien på bustaden. Ein stor del av hu</w:t>
      </w:r>
      <w:r>
        <w:t>s</w:t>
      </w:r>
      <w:r>
        <w:t xml:space="preserve">haldsinntekta går med til å betale renter og avdrag på bustadlånet. Ifølgje Samfunnsøkonomisk analyse utgjorde renteutgifter rundt 40 prosent av dei samla bukostnadene i 2017. Låge renter har over fleire år halde renteutgiftene nede for hushalda. Samstundes har ei stadig høgare gjeld </w:t>
      </w:r>
      <w:r>
        <w:lastRenderedPageBreak/>
        <w:t>medverka til at dei samla utgiftene som hushalda har til gjeld (både renter og avdrag), er komne opp på om lag same nivå som ved bankkrisa på slutten av 1980-talet og finanskrisa i 2008. Noregs Bank har sidan hausten 2018 heva styringsrenta to gonger, og utlånsrenta til bankane har følgd etter.</w:t>
      </w:r>
    </w:p>
    <w:p w:rsidR="00D30C4D" w:rsidRDefault="00741EEC" w:rsidP="00741EEC">
      <w:pPr>
        <w:pStyle w:val="Figur"/>
      </w:pPr>
      <w:r>
        <w:rPr>
          <w:noProof/>
        </w:rPr>
        <w:t>[:figur:figX-X.jpg]</w:t>
      </w:r>
    </w:p>
    <w:p w:rsidR="00D30C4D" w:rsidRDefault="00B964E1" w:rsidP="00020FC3">
      <w:pPr>
        <w:pStyle w:val="figur-tittel"/>
      </w:pPr>
      <w:r>
        <w:t>Gjeldsbyrde og rentebelasting frå 1988 til 2017</w:t>
      </w:r>
    </w:p>
    <w:p w:rsidR="00D30C4D" w:rsidRDefault="00B964E1" w:rsidP="00020FC3">
      <w:pPr>
        <w:pStyle w:val="Kilde"/>
        <w:rPr>
          <w:rFonts w:cs="Times New Roman"/>
          <w:lang w:val="en-GB"/>
        </w:rPr>
      </w:pPr>
      <w:r>
        <w:t>Noregs Bank og Finanstilsynet</w:t>
      </w:r>
    </w:p>
    <w:p w:rsidR="00D30C4D" w:rsidRDefault="00B964E1" w:rsidP="00020FC3">
      <w:pPr>
        <w:pStyle w:val="Overskrift2"/>
      </w:pPr>
      <w:r>
        <w:t>Utfordringar med prisnivå, gjeldsoppbygging og risiko</w:t>
      </w:r>
    </w:p>
    <w:p w:rsidR="00D30C4D" w:rsidRDefault="00B964E1" w:rsidP="00020FC3">
      <w:r>
        <w:t>Lån med pant i bustad utgjer nærare 90 prosent av gjelda til norske hushald. Utviklinga i gjelda til hushalda heng derfor tett saman med utviklinga i bustadprisane. Desse to faktorane kan forsterke kvarandre. Gjelda til norske hushald har lenge vakse raskare enn inntektene, og ho er kommen opp på eit særs høgt nivå. I gjennomsnitt har norske hushald ei gjeld som er meir enn to gonger den disponible inntekta, og mange har ei gjeld som er langt høgare enn det. Ei høg og raskt veksande gjeld i hushalda utgjer ei sårbarheit i økonomien og er ei kjelde til ustabilitet. Ved høgare rente, inntektsbortfall eller kraftige fall i bustadprisane kan hushalda måtte stramme inn på forbruket.</w:t>
      </w:r>
    </w:p>
    <w:p w:rsidR="00D30C4D" w:rsidRDefault="00B964E1" w:rsidP="00020FC3">
      <w:r>
        <w:t xml:space="preserve">For å redusere risikoen ved høg gjeld i hushalda og høge eigedomsprisar har det i seinare år blitt innført ei rekkje tiltak. I strategien som regjeringa utarbeidde for bustadmarknaden i 2015, blei det lagt vekt på å bidra til ei meir effektiv tilbodsside i bustadmarknaden og ei berekraftig utvikling i bustadprisar og gjeld. Bustadbygginga har teke seg kraftig opp sidan 2015, og det er blitt mogleg </w:t>
      </w:r>
      <w:proofErr w:type="gramStart"/>
      <w:r>
        <w:t>å</w:t>
      </w:r>
      <w:proofErr w:type="gramEnd"/>
      <w:r>
        <w:t xml:space="preserve"> byggje både rimelegare og raskare. Færre hushald har teke opp særs stor gjeld i høve til inntekt. Før sommaren 2018 la regjeringa fram ein fornya strategi for bustadmarknaden med vekt på trygg bustadhandel, betre bumiljø, effektive byggjeprosessar og berekraftig gjeld.</w:t>
      </w:r>
    </w:p>
    <w:p w:rsidR="00D30C4D" w:rsidRDefault="00B964E1" w:rsidP="00020FC3">
      <w:r>
        <w:t>Bustadlånforskrifta blei fastsett fyrste gong i 2015. Ho set enkelte rammer for utlånspraksisen til bankane, og kan vere med på å sikre at færre hushald hamnar i ein sårbar gjeldssituasjon. Ifølgje forskrifta kan eit lån med pant i bustad ikkje overstige 85 prosent av bustadsverdien. Bankane må i tillegg ta høgde for ein renteauke på fem prosentpoeng ved vurderinga av kr</w:t>
      </w:r>
      <w:r>
        <w:t>e</w:t>
      </w:r>
      <w:r>
        <w:t>dittevna til kunden. Då forskrifta blei ført vidare frå januar 2017, blei det samstundes innført eit krav om at kunden ikkje kan ha ei samla gjeld på meir enn fem gonger årsinntekta. Krava i forskrifta har gjort det vanskelegare å ta opp bustadlån som er særs høge samanlikna med e</w:t>
      </w:r>
      <w:r>
        <w:t>i</w:t>
      </w:r>
      <w:r>
        <w:t>genkapital og inntekt. Dette kan vere utfordrande for personar som ønskjer å kjøpe bustad på stader med svært høge bustadprisar, og fleire må kanskje spare litt lenger eller kjøpe ein bi</w:t>
      </w:r>
      <w:r>
        <w:t>l</w:t>
      </w:r>
      <w:r>
        <w:t>legare bustad. Samstundes opnar forskrifta for at bankane kan gi unntak frå eitt eller fleire krav i forskrifta for ein viss del av låna som blir innvilga. I samband med at forskrifta blei ført vidare frå juli 2018, blei det også opna for at bankane kan ta omsyn til enkelte skattefrie inntekter (t.d. barnetrygd) ved utrekninga av gjeldsgrad. I tillegg blei det opna for at bankane skal kunne ta med midlar på BSU-konto som eigenkapital ved utrekning av lånegrad.</w:t>
      </w:r>
    </w:p>
    <w:p w:rsidR="00D30C4D" w:rsidRDefault="00B964E1" w:rsidP="00020FC3">
      <w:r>
        <w:t xml:space="preserve">Regjeringa ønskjer at flest mogleg skal få høve til å etablere seg i ein bustad dei eig sjølve. Ein del vanskelegstilte på bustadmarknaden (t.d. låginntektsgrupper, trygda og rusavhengige) vil </w:t>
      </w:r>
      <w:r>
        <w:lastRenderedPageBreak/>
        <w:t>ikkje klare å kjøpe eigen bustad utan offentleg støtte, sjølv om dei klarer å betale lånekostn</w:t>
      </w:r>
      <w:r>
        <w:t>a</w:t>
      </w:r>
      <w:r>
        <w:t>dene. Husbanken forvaltar derfor ulike bustadsosiale verkemiddel (t.d. startlån) som gjer det mogleg for slike vanskelegstilte grupper å etablere seg på bustadmarknaden. Husbanken gir kommunane lån som dei kan låne ut vidare til vanskelegstilte. Slike lån kan bli gitte med gunstige rentevilkår, inntil 100 prosent lånefinansiering, lang nedbetalingstid og inntil 20 års fastrente. I 2017 formidla kommunane startlån for nesten 8,5 milliardar kroner.</w:t>
      </w:r>
    </w:p>
    <w:p w:rsidR="00D30C4D" w:rsidRDefault="00B964E1" w:rsidP="00020FC3">
      <w:pPr>
        <w:pStyle w:val="Overskrift2"/>
      </w:pPr>
      <w:r>
        <w:t>Marknadsføring av bustader</w:t>
      </w:r>
    </w:p>
    <w:p w:rsidR="00D30C4D" w:rsidRDefault="00B964E1" w:rsidP="00020FC3">
      <w:r>
        <w:t>Det er viktig at marknadsføringa av bustader ikkje er villeiande. Dette gjeld særleg i område der omsetninga går raskt og kjøparen har lite tid til å områ seg. Det er då avgjerande at det kjem fram mest mogleg utfyllande og korrekt informasjon om bustaden før vising. Forbrukartilsynet har i fleire tilfelle avdekt at det er brukt såkalla «lokkeprisar» for å få fleire til å komme på vising. I tillegg til at det er villeiande for forbrukarane, kan ein slik praksis verke prisdrivande, ifølgje Forbrukartilsynet. For å unngå dette problemet kan ein etablere klarare reglar for prising av bustader som blir lagde ut for sal. Det kan vere aktuelt å etablere rammer for bruk av uttrykk som «prisvurdering frå meklar», «prisindikasjon», «låne- og verditakst». Når slike uttrykk blir brukte om kvarandre, kan det vere vanskeleg for kjøparane å vite kva som er den reelle summen ein vil ha for bustaden. Regjeringa vil følgje med på utviklinga i bustadmarknaden på dette området og vurdere naudsynte tilpassingar i regelverket.</w:t>
      </w:r>
    </w:p>
    <w:p w:rsidR="00D30C4D" w:rsidRDefault="00B964E1" w:rsidP="00020FC3">
      <w:pPr>
        <w:pStyle w:val="tittel-ramme"/>
      </w:pPr>
      <w:r>
        <w:t>Rettleiing frå Forbrukartilsynet om marknadsføring av bustader</w:t>
      </w:r>
    </w:p>
    <w:p w:rsidR="00D30C4D" w:rsidRDefault="00B964E1" w:rsidP="00020FC3">
      <w:r>
        <w:t>Forbrukartilsynet gav i 2018 ut ei ny rettleiing om krava som marknadsføringslova stiller til marknadsføring av bustader. I rettleiinga blir det forklart kva ein må passe på når ein mar</w:t>
      </w:r>
      <w:r>
        <w:t>k</w:t>
      </w:r>
      <w:r>
        <w:t>nadsfører bustader i sosiale medium og på andre moderne annonseflater med avgrensa plass. I tillegg blir det gått inn på prismarknadsføring, bruk av illustrasjonar, lokkepris og direkte marknadsføring.</w:t>
      </w:r>
    </w:p>
    <w:p w:rsidR="00D30C4D" w:rsidRDefault="00B964E1" w:rsidP="00020FC3">
      <w:r>
        <w:t>Bransjenorma som hadde blitt forhandla fram tidlegare, var utdatert på fleire punkt, og u</w:t>
      </w:r>
      <w:r>
        <w:t>t</w:t>
      </w:r>
      <w:r>
        <w:t>viklinga i mellom anna annonseformat gjorde at ein samla bransje no bad om ei oppdatert og klarare rettleiing. Den nye rettleiinga frå Forbrukartilsynet blei utvikla i tett dialog med bra</w:t>
      </w:r>
      <w:r>
        <w:t>n</w:t>
      </w:r>
      <w:r>
        <w:t>sjen. Forbrukartilsynet held jamlege foredrag for eigedomsmeklarar og utbyggjarar om in</w:t>
      </w:r>
      <w:r>
        <w:t>n</w:t>
      </w:r>
      <w:r>
        <w:t>haldet i den nye rettleiinga, og vil følgje opp med tilsynsaksjonar og handsaming av enkelts</w:t>
      </w:r>
      <w:r>
        <w:t>a</w:t>
      </w:r>
      <w:r>
        <w:t>ker.</w:t>
      </w:r>
    </w:p>
    <w:p w:rsidR="00D30C4D" w:rsidRDefault="00B964E1">
      <w:pPr>
        <w:pStyle w:val="Ramme-slutt"/>
        <w:rPr>
          <w:sz w:val="26"/>
          <w:szCs w:val="26"/>
        </w:rPr>
      </w:pPr>
      <w:r>
        <w:rPr>
          <w:sz w:val="26"/>
          <w:szCs w:val="26"/>
        </w:rPr>
        <w:t>[Boks slutt]</w:t>
      </w:r>
    </w:p>
    <w:p w:rsidR="00D30C4D" w:rsidRDefault="00B964E1" w:rsidP="00020FC3">
      <w:pPr>
        <w:pStyle w:val="Overskrift2"/>
      </w:pPr>
      <w:r>
        <w:t>Høge transaksjonskostnader</w:t>
      </w:r>
    </w:p>
    <w:p w:rsidR="00D30C4D" w:rsidRDefault="00B964E1" w:rsidP="00020FC3">
      <w:r>
        <w:t>Transaksjonskostnadene ved bustadhandel er høge. Dei to største kostnadspostane her er v</w:t>
      </w:r>
      <w:r>
        <w:t>e</w:t>
      </w:r>
      <w:r>
        <w:t>derlaget til eigedomsmeklaren og utgiftene til forsikringar. Ved sal av ein bustad til 2,5 mi</w:t>
      </w:r>
      <w:r>
        <w:t>l</w:t>
      </w:r>
      <w:r>
        <w:t>lionar kroner vil vederlaget til meklar kunne komme opp i 100 000 kroner, og utgiftene til forsikring for kjøpar og seljar kan til saman komme på 15–20 000 kroner eller meir, avhengig av mellom anna bustadtype. Det blir kvart år selt om lag 100 000 bruktbustader i Noreg, og i 2015 blei det selt om lag 90 000 såkalla bustadseljarforsikringar (tidlegare kalla eigarskift</w:t>
      </w:r>
      <w:r>
        <w:t>e</w:t>
      </w:r>
      <w:r>
        <w:lastRenderedPageBreak/>
        <w:t xml:space="preserve">forsikringar). Årsaka til at mange vel </w:t>
      </w:r>
      <w:proofErr w:type="gramStart"/>
      <w:r>
        <w:t>å</w:t>
      </w:r>
      <w:proofErr w:type="gramEnd"/>
      <w:r>
        <w:t xml:space="preserve"> teikne bustadseljarforsikring, er at avhendingslova gir seljaren ansvar for skjulte feil og manglar ved bustaden.</w:t>
      </w:r>
    </w:p>
    <w:p w:rsidR="00D30C4D" w:rsidRDefault="00B964E1" w:rsidP="00020FC3">
      <w:r>
        <w:t>Også på kjøparsida er bruken av forsikring omfattande. Om lag 60 prosent av kjøparane inngår avtale om bustadkjøparforsikring. Forsikringsselskapet HELP, som er dominerande på mar</w:t>
      </w:r>
      <w:r>
        <w:t>k</w:t>
      </w:r>
      <w:r>
        <w:t>naden i Noreg, opplyser å ha selt slike produkt for om lag 250 millionar kroner i 2015. Éin grunn til den vidtfemnande bruken av forsikringar på dette området kan vere at eig</w:t>
      </w:r>
      <w:r>
        <w:t>e</w:t>
      </w:r>
      <w:r>
        <w:t>domsmeklarane normalt tilrår slike forsikringar og får provisjon for salet av dei.</w:t>
      </w:r>
    </w:p>
    <w:p w:rsidR="00D30C4D" w:rsidRDefault="00B964E1" w:rsidP="00020FC3">
      <w:r>
        <w:t xml:space="preserve">Eit tiltak som kan redusere transaksjonskostnadene er </w:t>
      </w:r>
      <w:proofErr w:type="gramStart"/>
      <w:r>
        <w:t>å</w:t>
      </w:r>
      <w:proofErr w:type="gramEnd"/>
      <w:r>
        <w:t xml:space="preserve"> leggje betre til rette for at forbrukarane skal kunne selje bustadene sine på eiga hand, utan bruk av meklar. Dette føreset digitale lø</w:t>
      </w:r>
      <w:r>
        <w:t>y</w:t>
      </w:r>
      <w:r>
        <w:t xml:space="preserve">singar som ikkje krev spesialkunnskap, som er enkle og trygge for forbrukarane å nytte, og som skaper tillit hos både kjøpar og seljar. Utfordringane ved </w:t>
      </w:r>
      <w:proofErr w:type="gramStart"/>
      <w:r>
        <w:t>å</w:t>
      </w:r>
      <w:proofErr w:type="gramEnd"/>
      <w:r>
        <w:t xml:space="preserve"> gjere jobben sjølv er fyrst og fremst knytt til informasjonsinnhenting og oppgjer. Utviklinga i digitale hjelpemiddel opnar for at ein kan gjere denne delen av prosessen enklare og sikrare. Det ville truleg også blitt fleire eigensal dersom ein kunne kjøpe bustadseljar- og kjøparforsikring også ved handel utanom eig</w:t>
      </w:r>
      <w:r>
        <w:t>e</w:t>
      </w:r>
      <w:r>
        <w:t>domsmeklar. I dag tillet ikkje forsikringsselskapa dette.</w:t>
      </w:r>
    </w:p>
    <w:p w:rsidR="00D30C4D" w:rsidRDefault="00B964E1" w:rsidP="00020FC3">
      <w:r>
        <w:t xml:space="preserve">Regjeringa vil vurdere krava til honorar- og kostnadsspesifikasjon for eigedomsmeklarar. Dette gjeld særleg spørsmålet om kva som skal inngå i provisjonen, og kva ein kan fakturere separat. I dag blir sentrale meklaroppgåver som oppgjer, utarbeiding av salsmateriell (prospekt) og vising i større grad trekte ut av provisjonen. I tillegg blir det operert med kostnader som det kan vere vanskeleg </w:t>
      </w:r>
      <w:proofErr w:type="gramStart"/>
      <w:r>
        <w:t>å</w:t>
      </w:r>
      <w:proofErr w:type="gramEnd"/>
      <w:r>
        <w:t xml:space="preserve"> sjå kva omfattar (t.d. «tilretteleggingshonorar»).</w:t>
      </w:r>
    </w:p>
    <w:p w:rsidR="00D30C4D" w:rsidRDefault="00B964E1" w:rsidP="00020FC3">
      <w:pPr>
        <w:pStyle w:val="Overskrift2"/>
      </w:pPr>
      <w:r>
        <w:t>Den tekniske tilstanden til bustaden</w:t>
      </w:r>
    </w:p>
    <w:p w:rsidR="00D30C4D" w:rsidRDefault="00B964E1" w:rsidP="00020FC3">
      <w:r>
        <w:t xml:space="preserve">Uvisse rundt kva tilstand bustaden er i, utgjer ei stor utfordring for bustadkjøparane. Mange bustader blir rett nok selde med tilstandsrapportar, men det har vist seg at rapportane som er i bruk, kan vere ufullstendige eller direkte feil. I ein del tilfelle er dei utferda av personar med utilstrekkelege kvalifikasjonar. I pressområda går salet dessutan ofte så raskt at kjøparen har lite tid til </w:t>
      </w:r>
      <w:proofErr w:type="gramStart"/>
      <w:r>
        <w:t>å</w:t>
      </w:r>
      <w:proofErr w:type="gramEnd"/>
      <w:r>
        <w:t xml:space="preserve"> undersøkje bustaden grundig på eiga hand. I tillegg til å gi særs mange konfliktar både i Finansklagenemnda og domstolane, verkar dette kostnadsdrivande ved at mange vel å kjøpe forsikringar som skal avgrense den økonomiske risikoen vi var inne på i avsnittet over. Ulike tiltak for å få fram meir informasjon om bustaden som skal seljast (t.d. auka bruk av ti</w:t>
      </w:r>
      <w:r>
        <w:t>l</w:t>
      </w:r>
      <w:r>
        <w:t xml:space="preserve">standsrapportar), kan motverke dette problemet. Regjeringa har foreslått at ein ikkje skal kunne ta «som han er»- atterhald ved handel med forbrukarar. Målet med eit slikt tiltak vil vere å gi seljaren tilskuv til </w:t>
      </w:r>
      <w:proofErr w:type="gramStart"/>
      <w:r>
        <w:t>å</w:t>
      </w:r>
      <w:proofErr w:type="gramEnd"/>
      <w:r>
        <w:t xml:space="preserve"> leggje fram meir og betre informasjon om bustaden, og dermed auke bruken av gode tilstandsrapportar. Det blir også vurdert å stille større krav til sjølve rapportane og dei som skal utarbeide desse. Det finst per i dag ingen godkjenningsordningar for dei som lagar tilstandsrapportar. Regjeringa har også føreslått </w:t>
      </w:r>
      <w:proofErr w:type="gramStart"/>
      <w:r>
        <w:t>å</w:t>
      </w:r>
      <w:proofErr w:type="gramEnd"/>
      <w:r>
        <w:t xml:space="preserve"> setje ei minstegrense (i form av ein eigendel på 10 000 kr) for kva manglar ein kan vise til, å klargjere kva feil og svakheiter som kan utgjere manglar etter avhendingslova, og å etablere eit enklare system for utmåling av prisavslag ved arealsvikt, jf. Prop. 44 L (2018–2019), som blei lagt fram i 2018.</w:t>
      </w:r>
    </w:p>
    <w:p w:rsidR="00D30C4D" w:rsidRDefault="00741EEC" w:rsidP="00741EEC">
      <w:pPr>
        <w:pStyle w:val="Figur"/>
      </w:pPr>
      <w:r>
        <w:rPr>
          <w:noProof/>
        </w:rPr>
        <w:t>[:figur:figX-X.jpg]</w:t>
      </w:r>
    </w:p>
    <w:p w:rsidR="00D30C4D" w:rsidRDefault="00B964E1" w:rsidP="00020FC3">
      <w:pPr>
        <w:pStyle w:val="figur-tittel"/>
      </w:pPr>
      <w:r>
        <w:lastRenderedPageBreak/>
        <w:t> </w:t>
      </w:r>
    </w:p>
    <w:p w:rsidR="00D30C4D" w:rsidRDefault="00B964E1" w:rsidP="00020FC3">
      <w:pPr>
        <w:pStyle w:val="figur-noter"/>
        <w:rPr>
          <w:sz w:val="21"/>
          <w:szCs w:val="21"/>
        </w:rPr>
      </w:pPr>
      <w:r>
        <w:t>Foto: Johnér</w:t>
      </w:r>
    </w:p>
    <w:p w:rsidR="00D30C4D" w:rsidRDefault="00B964E1" w:rsidP="00020FC3">
      <w:pPr>
        <w:pStyle w:val="Overskrift2"/>
      </w:pPr>
      <w:r>
        <w:t>Utfordringar for leigetakarar</w:t>
      </w:r>
    </w:p>
    <w:p w:rsidR="00D30C4D" w:rsidRDefault="00B964E1" w:rsidP="00020FC3">
      <w:r>
        <w:t xml:space="preserve">Det er fyrst og fremst hushald med svak økonomi, deriblant ungdom og unge vaksne, som leiger bustad. Leigetakarane er jamt over ei sårbar gruppe på bustadmarknaden. Dei har ofte høge buutgifter i høve til inntekt, ingen skattefordelar ved betaling av leige og mindre butryggleik enn bustadeigarar. På den andre sida slepp leigetakarane </w:t>
      </w:r>
      <w:proofErr w:type="gramStart"/>
      <w:r>
        <w:t>å</w:t>
      </w:r>
      <w:proofErr w:type="gramEnd"/>
      <w:r>
        <w:t xml:space="preserve"> tenkje på framtidig renteauke, og dei unngår risikoen for økonomiske problem som følgje av fall i bustadprisane. Det er likevel rimeleg å tru at fordelane ved </w:t>
      </w:r>
      <w:proofErr w:type="gramStart"/>
      <w:r>
        <w:t>å</w:t>
      </w:r>
      <w:proofErr w:type="gramEnd"/>
      <w:r>
        <w:t xml:space="preserve"> eige blir oppfatta som så store at dei fleste le</w:t>
      </w:r>
      <w:r>
        <w:t>i</w:t>
      </w:r>
      <w:r>
        <w:t>getakarar ønskjer å eige.</w:t>
      </w:r>
    </w:p>
    <w:p w:rsidR="00D30C4D" w:rsidRDefault="00B964E1" w:rsidP="00020FC3">
      <w:r>
        <w:t>Dei fleste som leiger ut bustad, krev eit depositum som sikring for at leiga blir betalt, og for at eventuelle skadar på bustaden blir erstatta. For hushald med utsett økonomi kan det vere vanskeleg å skaffe pengar til dette. Depositumet kan utgjere inntil seks månaders husleige, men det mest vanlege er tre månaders leige.</w:t>
      </w:r>
    </w:p>
    <w:p w:rsidR="00D30C4D" w:rsidRDefault="00B964E1" w:rsidP="00020FC3">
      <w:r>
        <w:t>Som eit alternativ til depositum har det komme eit nytt produkt på marknaden, der leverandøren av produktet garanterer for manglande leige og dekning av skadar på bustaden. I garantiavtalen er det vanleg å flytte søksmålsbyrda ved tvistar om misleghald frå utleigar til leigar. Dette kan føre til at utleigaren krev selskapet for skadar og slitasje ved utflytting, og at det er leigetakaren som må «motbevise» at det er grunnlag for eit slikt krav. Det er grunn til å tru at det er dei mest utsette leigetakarane som må nytte seg av slike garantiar, samstundes som det er dei som har minst ressursar til å forsvare seg mot urimeleg behandling.</w:t>
      </w:r>
    </w:p>
    <w:p w:rsidR="00D30C4D" w:rsidRDefault="00B964E1" w:rsidP="00020FC3">
      <w:r>
        <w:t xml:space="preserve">I avtalene som blir inngått med den enkelte leigetakar, kan ein til </w:t>
      </w:r>
      <w:proofErr w:type="gramStart"/>
      <w:r>
        <w:t>ei</w:t>
      </w:r>
      <w:proofErr w:type="gramEnd"/>
      <w:r>
        <w:t xml:space="preserve"> viss grad avvike frå reglane i husleigelova. Utleigaren kan såleis ta frå leigetakaren rettar eller påleggje større plikter enn det som elles følgjer av husleigelova. Til dømes kan det bli gitt pålegg om større vedlik</w:t>
      </w:r>
      <w:r>
        <w:t>e</w:t>
      </w:r>
      <w:r>
        <w:t>haldsplikter enn det hovudregelen i lova tilseier. Det kan vere vanskeleg for leigetakarane å identifisere og å forstå konsekvensane av slike avvik.</w:t>
      </w:r>
    </w:p>
    <w:p w:rsidR="00D30C4D" w:rsidRDefault="00B964E1" w:rsidP="00020FC3">
      <w:r>
        <w:t>Husleigetvistutvalet tilbyr tvisteløysing for partane i ein husleigeavtale. Årlege undersøkingar viser at partane gjennomgåande er nøgde eller særs nøgde med handsaminga og avgjerdene til Husleigetvistutvalet. Berre nokre heilt få saker blir tekne vidare og førte inn for dei ordinære domstolane. Utfordringa er på den andre sida at mange leigetakarar truleg ikkje er klare over at dei kan få handsama ei klage mot utleigar i Husleigetvistutvalet. Det primære verkeområdet til Husleigetvistutvalet er då også avgrensa til Oslo, Bergen og Trondheim, pluss fylka rundt.</w:t>
      </w:r>
    </w:p>
    <w:p w:rsidR="00D30C4D" w:rsidRDefault="00B964E1" w:rsidP="00020FC3">
      <w:r>
        <w:t xml:space="preserve">Det er viktig at det finst eit tilstrekkeleg utbod av leigebustader, slik at også dei som ikkje ønskjer eller har høve til å kjøpe, kan finne eigna bustader. I pressområda i og rundt dei store byane kan dette vere vanskeleg. For </w:t>
      </w:r>
      <w:proofErr w:type="gramStart"/>
      <w:r>
        <w:t>å</w:t>
      </w:r>
      <w:proofErr w:type="gramEnd"/>
      <w:r>
        <w:t xml:space="preserve"> leggje til rette for auka tilgang på leigebustader har r</w:t>
      </w:r>
      <w:r>
        <w:t>e</w:t>
      </w:r>
      <w:r>
        <w:t>gjeringa gjort det enklare og billegare å tilpasse eksisterande bustader til utleige.</w:t>
      </w:r>
    </w:p>
    <w:p w:rsidR="00D30C4D" w:rsidRDefault="00B964E1" w:rsidP="00020FC3">
      <w:pPr>
        <w:pStyle w:val="Overskrift2"/>
      </w:pPr>
      <w:r>
        <w:t>Handverkartenester på bustad</w:t>
      </w:r>
    </w:p>
    <w:p w:rsidR="00D30C4D" w:rsidRDefault="00B964E1" w:rsidP="00020FC3">
      <w:r>
        <w:t>Nordmenn er på verdstoppen når det gjeld oppussing av bustad. Ifølgje Prognosesenteret u</w:t>
      </w:r>
      <w:r>
        <w:t>t</w:t>
      </w:r>
      <w:r>
        <w:t xml:space="preserve">fører omtrent 40 prosent av husstandane ei eller anna form for oppussing i løpet av eit år, og i </w:t>
      </w:r>
      <w:r>
        <w:lastRenderedPageBreak/>
        <w:t>2018 brukte vi over 80 milliardar kroner på dette. Husstandar som pussar opp, bruker i gje</w:t>
      </w:r>
      <w:r>
        <w:t>n</w:t>
      </w:r>
      <w:r>
        <w:t>nomsnitt litt over 70 000 kroner årleg. Området har dermed stor økonomisk vekt for forbr</w:t>
      </w:r>
      <w:r>
        <w:t>u</w:t>
      </w:r>
      <w:r>
        <w:t>karane.</w:t>
      </w:r>
    </w:p>
    <w:p w:rsidR="00D30C4D" w:rsidRDefault="00B964E1" w:rsidP="00020FC3">
      <w:r>
        <w:t xml:space="preserve">Mykje av pengane vi bruker på oppussing, går med til å betale ulike typar handverkarar. I ei undersøking frå Forbrukarrådet frå 2018 svarer 53 prosent at dei har kjøpt handverkartenester dei </w:t>
      </w:r>
      <w:proofErr w:type="gramStart"/>
      <w:r>
        <w:t>siste to åra</w:t>
      </w:r>
      <w:proofErr w:type="gramEnd"/>
      <w:r>
        <w:t>. Dei fleste (87 prosent) svarte at dei var nøgde med kvaliteten på arbeidet som hadde blitt utført. Av dei som var misnøgde, klaga 85 prosent på arbeidet. Dei fleste klaga då direkte til handverkaren. Berre 12 prosent tok saka vidare. I september 2017 blei det oppretta ei eiga klagenemnd for handverkartenester. Nemnda handsamar tvistar som har oppstått i sa</w:t>
      </w:r>
      <w:r>
        <w:t>m</w:t>
      </w:r>
      <w:r>
        <w:t>band med arbeid som ein handverkar har utført på eigedommen til ein forbrukar. Om lag 10 prosent av klagene som Forbrukarrådet får, gjeld handverkartenester.</w:t>
      </w:r>
    </w:p>
    <w:p w:rsidR="00D30C4D" w:rsidRDefault="00B964E1" w:rsidP="00020FC3">
      <w:r>
        <w:t>Undersøkinga viser også at berre 8 prosent brukte ein skriftleg standardkontrakt sist dei kjøpte handverkartenester. 30 prosent brukte eigen kontrakt, men over halvparten (54 prosent) inn</w:t>
      </w:r>
      <w:r>
        <w:t>g</w:t>
      </w:r>
      <w:r>
        <w:t>jekk berre ein munnleg avtale.</w:t>
      </w:r>
    </w:p>
    <w:p w:rsidR="00D30C4D" w:rsidRDefault="00B964E1" w:rsidP="00020FC3">
      <w:r>
        <w:t>Regjeringa er oppteken av at det skal vere trygt for forbrukarane å inngå avtaler med han</w:t>
      </w:r>
      <w:r>
        <w:t>d</w:t>
      </w:r>
      <w:r>
        <w:t>verkarar, og at det mellom anna skal finnast gode klageordningar.</w:t>
      </w:r>
    </w:p>
    <w:p w:rsidR="00D30C4D" w:rsidRDefault="00B964E1" w:rsidP="00020FC3">
      <w:r>
        <w:t>Regjeringa vil at flest mogleg bruker kontrakt når dei inngår avtale om handverkartenester. Det er viktig for begge partar at sentrale vilkår som pris, tidsbruk og ansvarstilhøve, er avklarte før ein set i gang med arbeidet. Gjennom auka bruk av kontraktar vil ein kunne unngå ein del konfliktar og styrkje seriøsiteten i bransjen som heilskap. For å gi flest mogleg forbrukarar enkel tilgang til gode kontraktar som dei kan bruke når dei inngår avtale med handverkarar, har Forbrukarrådet frikjøpt to slike kontrakttypar frå Standard Norge. Regjeringa vil fortsetje a</w:t>
      </w:r>
      <w:r>
        <w:t>r</w:t>
      </w:r>
      <w:r>
        <w:t xml:space="preserve">beidet med </w:t>
      </w:r>
      <w:proofErr w:type="gramStart"/>
      <w:r>
        <w:t>å</w:t>
      </w:r>
      <w:proofErr w:type="gramEnd"/>
      <w:r>
        <w:t xml:space="preserve"> gjere det tryggare å engasjere handverkarar.</w:t>
      </w:r>
    </w:p>
    <w:p w:rsidR="00D30C4D" w:rsidRDefault="00B964E1" w:rsidP="00020FC3">
      <w:pPr>
        <w:pStyle w:val="Overskrift2"/>
      </w:pPr>
      <w:r>
        <w:t>Regjeringa vil</w:t>
      </w:r>
    </w:p>
    <w:p w:rsidR="00D30C4D" w:rsidRDefault="00B964E1" w:rsidP="00E05FE4">
      <w:pPr>
        <w:pStyle w:val="Listebombe"/>
        <w:numPr>
          <w:ilvl w:val="0"/>
          <w:numId w:val="1"/>
        </w:numPr>
        <w:ind w:left="320" w:hanging="320"/>
        <w:rPr>
          <w:sz w:val="21"/>
          <w:szCs w:val="21"/>
        </w:rPr>
      </w:pPr>
      <w:r>
        <w:rPr>
          <w:sz w:val="21"/>
          <w:szCs w:val="21"/>
        </w:rPr>
        <w:t xml:space="preserve">endre avhendingslova slik at informasjonsgrunnlaget ved bustadhandel blir </w:t>
      </w:r>
      <w:proofErr w:type="gramStart"/>
      <w:r>
        <w:rPr>
          <w:sz w:val="21"/>
          <w:szCs w:val="21"/>
        </w:rPr>
        <w:t>betre</w:t>
      </w:r>
      <w:proofErr w:type="gramEnd"/>
      <w:r>
        <w:rPr>
          <w:sz w:val="21"/>
          <w:szCs w:val="21"/>
        </w:rPr>
        <w:t xml:space="preserve"> og bustadseljarane får tilskuv til å bruke gode tilstandsrapportar</w:t>
      </w:r>
    </w:p>
    <w:p w:rsidR="00D30C4D" w:rsidRDefault="00B964E1" w:rsidP="00E05FE4">
      <w:pPr>
        <w:pStyle w:val="Listebombe"/>
        <w:numPr>
          <w:ilvl w:val="0"/>
          <w:numId w:val="1"/>
        </w:numPr>
        <w:ind w:left="320" w:hanging="320"/>
        <w:rPr>
          <w:sz w:val="21"/>
          <w:szCs w:val="21"/>
        </w:rPr>
      </w:pPr>
      <w:r>
        <w:rPr>
          <w:sz w:val="21"/>
          <w:szCs w:val="21"/>
        </w:rPr>
        <w:t>leggje til rette for at flest mogleg av dei som ønskjer det, skal kunne eige sin eigen bustad</w:t>
      </w:r>
    </w:p>
    <w:p w:rsidR="00D30C4D" w:rsidRDefault="00B964E1" w:rsidP="00E05FE4">
      <w:pPr>
        <w:pStyle w:val="Listebombe"/>
        <w:numPr>
          <w:ilvl w:val="0"/>
          <w:numId w:val="1"/>
        </w:numPr>
        <w:ind w:left="320" w:hanging="320"/>
        <w:rPr>
          <w:sz w:val="21"/>
          <w:szCs w:val="21"/>
        </w:rPr>
      </w:pPr>
      <w:r>
        <w:rPr>
          <w:sz w:val="21"/>
          <w:szCs w:val="21"/>
        </w:rPr>
        <w:t>auke satsinga på marknadsføring av bustader, og gjennom Forbrukartilsynet slå ned på villeiande marknadsføring, inkludert bruk av «lokkeprisar», som kan bidra til høgare bustadprisar</w:t>
      </w:r>
    </w:p>
    <w:p w:rsidR="00D30C4D" w:rsidRDefault="00B964E1" w:rsidP="00E05FE4">
      <w:pPr>
        <w:pStyle w:val="Listebombe"/>
        <w:numPr>
          <w:ilvl w:val="0"/>
          <w:numId w:val="1"/>
        </w:numPr>
        <w:ind w:left="320" w:hanging="320"/>
        <w:rPr>
          <w:sz w:val="21"/>
          <w:szCs w:val="21"/>
        </w:rPr>
      </w:pPr>
      <w:r>
        <w:rPr>
          <w:sz w:val="21"/>
          <w:szCs w:val="21"/>
        </w:rPr>
        <w:t>vurdere tiltak som kan gi kjøpar betre tid til å vurdere bustaden som er til sal</w:t>
      </w:r>
    </w:p>
    <w:p w:rsidR="00D30C4D" w:rsidRDefault="00B964E1" w:rsidP="00E05FE4">
      <w:pPr>
        <w:pStyle w:val="Listebombe"/>
        <w:numPr>
          <w:ilvl w:val="0"/>
          <w:numId w:val="1"/>
        </w:numPr>
        <w:ind w:left="320" w:hanging="320"/>
        <w:rPr>
          <w:sz w:val="21"/>
          <w:szCs w:val="21"/>
        </w:rPr>
      </w:pPr>
      <w:r>
        <w:rPr>
          <w:sz w:val="21"/>
          <w:szCs w:val="21"/>
        </w:rPr>
        <w:t>vurdere endringar i regelverket for eigedomsmekling med omsyn til krav om at meklaren informerer om og spesifiserer eige vederlag</w:t>
      </w:r>
    </w:p>
    <w:p w:rsidR="00D30C4D" w:rsidRDefault="00B964E1" w:rsidP="00E05FE4">
      <w:pPr>
        <w:pStyle w:val="Listebombe"/>
        <w:numPr>
          <w:ilvl w:val="0"/>
          <w:numId w:val="1"/>
        </w:numPr>
        <w:ind w:left="320" w:hanging="320"/>
        <w:rPr>
          <w:sz w:val="21"/>
          <w:szCs w:val="21"/>
        </w:rPr>
      </w:pPr>
      <w:r>
        <w:rPr>
          <w:sz w:val="21"/>
          <w:szCs w:val="21"/>
        </w:rPr>
        <w:t xml:space="preserve">leggje til rette for auka tilbod av utleigebustader og sørgje for at leigetakarane blir </w:t>
      </w:r>
      <w:proofErr w:type="gramStart"/>
      <w:r>
        <w:rPr>
          <w:sz w:val="21"/>
          <w:szCs w:val="21"/>
        </w:rPr>
        <w:t>betre</w:t>
      </w:r>
      <w:proofErr w:type="gramEnd"/>
      <w:r>
        <w:rPr>
          <w:sz w:val="21"/>
          <w:szCs w:val="21"/>
        </w:rPr>
        <w:t xml:space="preserve"> informerte om rettane sine</w:t>
      </w:r>
    </w:p>
    <w:p w:rsidR="00D30C4D" w:rsidRDefault="00B964E1" w:rsidP="00E05FE4">
      <w:pPr>
        <w:pStyle w:val="Listebombe"/>
        <w:numPr>
          <w:ilvl w:val="0"/>
          <w:numId w:val="1"/>
        </w:numPr>
        <w:ind w:left="320" w:hanging="320"/>
        <w:rPr>
          <w:sz w:val="21"/>
          <w:szCs w:val="21"/>
        </w:rPr>
      </w:pPr>
      <w:r>
        <w:rPr>
          <w:sz w:val="21"/>
          <w:szCs w:val="21"/>
        </w:rPr>
        <w:t xml:space="preserve">fortsetje arbeidet med </w:t>
      </w:r>
      <w:proofErr w:type="gramStart"/>
      <w:r>
        <w:rPr>
          <w:sz w:val="21"/>
          <w:szCs w:val="21"/>
        </w:rPr>
        <w:t>å</w:t>
      </w:r>
      <w:proofErr w:type="gramEnd"/>
      <w:r>
        <w:rPr>
          <w:sz w:val="21"/>
          <w:szCs w:val="21"/>
        </w:rPr>
        <w:t xml:space="preserve"> gjere det tryggare å engasjere handverkarar</w:t>
      </w:r>
    </w:p>
    <w:p w:rsidR="00D30C4D" w:rsidRDefault="00B964E1" w:rsidP="00020FC3">
      <w:pPr>
        <w:pStyle w:val="Overskrift1"/>
      </w:pPr>
      <w:r>
        <w:t>Berekraftig forbruk</w:t>
      </w:r>
    </w:p>
    <w:p w:rsidR="00D30C4D" w:rsidRDefault="00741EEC" w:rsidP="00741EEC">
      <w:pPr>
        <w:pStyle w:val="Figur"/>
      </w:pPr>
      <w:r>
        <w:rPr>
          <w:noProof/>
        </w:rPr>
        <w:t>[:figur:figX-X.jpg]</w:t>
      </w:r>
    </w:p>
    <w:p w:rsidR="00D30C4D" w:rsidRDefault="00B964E1" w:rsidP="00020FC3">
      <w:pPr>
        <w:pStyle w:val="figur-tittel"/>
      </w:pPr>
      <w:r>
        <w:t> </w:t>
      </w:r>
    </w:p>
    <w:p w:rsidR="00D30C4D" w:rsidRDefault="00B964E1" w:rsidP="00020FC3">
      <w:pPr>
        <w:pStyle w:val="figur-noter"/>
      </w:pPr>
      <w:r>
        <w:t>Foto: Johnér</w:t>
      </w:r>
    </w:p>
    <w:p w:rsidR="00D30C4D" w:rsidRDefault="00B964E1" w:rsidP="00BC317E">
      <w:pPr>
        <w:pStyle w:val="Overskrift2"/>
        <w:numPr>
          <w:ilvl w:val="1"/>
          <w:numId w:val="39"/>
        </w:numPr>
      </w:pPr>
      <w:r>
        <w:lastRenderedPageBreak/>
        <w:t>Innleiing</w:t>
      </w:r>
    </w:p>
    <w:p w:rsidR="00D30C4D" w:rsidRDefault="00B964E1" w:rsidP="00020FC3">
      <w:r>
        <w:t xml:space="preserve">Sjølv om forbrukarpolitikk i all hovudsak dreier seg om å skape balanse i tilhøvet mellom forbrukarar og næringsdrivande, er det også viktig </w:t>
      </w:r>
      <w:proofErr w:type="gramStart"/>
      <w:r>
        <w:t>å</w:t>
      </w:r>
      <w:proofErr w:type="gramEnd"/>
      <w:r>
        <w:t xml:space="preserve"> sjå på kva eller kor mykje som blir fo</w:t>
      </w:r>
      <w:r>
        <w:t>r</w:t>
      </w:r>
      <w:r>
        <w:t>brukt, og kva som skjer med produkt som er ferdigbrukte. Forbrukarpolitikk har dermed sa</w:t>
      </w:r>
      <w:r>
        <w:t>m</w:t>
      </w:r>
      <w:r>
        <w:t xml:space="preserve">stundes ein normativ dimensjon. Berekraftaspektet ligg til grunn for forbrukarpolitikken i FN og EU, og er også ein viktig del av det nordiske samarbeidet. Berekraftsomgrepet omfattar både miljø, økonomi og sosiale tilhøve. I norsk forbrukarpolitikk er forbrukarretta informasjon og opplæring dei mest sentrale verkemidla for </w:t>
      </w:r>
      <w:proofErr w:type="gramStart"/>
      <w:r>
        <w:t>å</w:t>
      </w:r>
      <w:proofErr w:type="gramEnd"/>
      <w:r>
        <w:t xml:space="preserve"> leggje til rette for eit meir berekraftig forbruk.</w:t>
      </w:r>
    </w:p>
    <w:p w:rsidR="00D30C4D" w:rsidRDefault="00B964E1" w:rsidP="00020FC3">
      <w:r>
        <w:t>Granavolden-plattforma slår fast at regjeringa skal føre ein ambisiøs klima- og miljøpolitikk tufta på forvaltaransvaret og føre var-prinsippet. Vidare heiter det at regjeringa skal føre ein politikk som gir Noreg større konkurransekraft, skaper grøn vekst og nye grøne jobbar og reduserer utsleppa av klimagassar. Ei omstilling til eit moderne, berekraftig lågutsleppsamfunn er naudsynt. Noreg skal vere eit føregangsland i utviklinga av ein grøn, sirkulær økonomi som gir betre ressursutnytting.</w:t>
      </w:r>
    </w:p>
    <w:p w:rsidR="00D30C4D" w:rsidRDefault="00B964E1" w:rsidP="00020FC3">
      <w:r>
        <w:t>Forbrukarpolitikken skal, saman med klima- og miljøpolitikken, vere ei drivkraft for nye b</w:t>
      </w:r>
      <w:r>
        <w:t>e</w:t>
      </w:r>
      <w:r>
        <w:t xml:space="preserve">rekraftige løysingar ved </w:t>
      </w:r>
      <w:proofErr w:type="gramStart"/>
      <w:r>
        <w:t>å</w:t>
      </w:r>
      <w:proofErr w:type="gramEnd"/>
      <w:r>
        <w:t xml:space="preserve"> leggje til rette for samarbeid mellom næringsliv, styresmakter og sivilsamfunn.</w:t>
      </w:r>
    </w:p>
    <w:p w:rsidR="00D30C4D" w:rsidRDefault="00B964E1" w:rsidP="00020FC3">
      <w:pPr>
        <w:pStyle w:val="tittel-ramme"/>
      </w:pPr>
      <w:r>
        <w:t>Plast</w:t>
      </w:r>
    </w:p>
    <w:p w:rsidR="00D30C4D" w:rsidRDefault="00B964E1" w:rsidP="00020FC3">
      <w:r>
        <w:t>Plast brukt som emballasje har ein viktig funksjon, særleg med tanke på mattryggleik og kv</w:t>
      </w:r>
      <w:r>
        <w:t>a</w:t>
      </w:r>
      <w:r>
        <w:t>litet. Riktig emballering av matvarer medverkar også til mindre matsvinn.</w:t>
      </w:r>
    </w:p>
    <w:p w:rsidR="00D30C4D" w:rsidRDefault="00B964E1" w:rsidP="00020FC3">
      <w:r>
        <w:t>Som avfall skaper plasten derimot ein del problem. Plastavfall frå forbrukarar er ei vesentleg kjelde til marin forsøpling. Regjeringa arbeider for å redusere alle kjelder til marin forsøpling, og er særleg oppteken av å kutte i bruken av eingongsartiklar av plast. Overfor ulike delar av bransjen er det mellom anna teke initiativ til eit meir forpliktande samarbeid om å redusere bruken av slike produkt der det ikkje er naudsynt. Det er einigheit i EU om eit direktiv om å redusere miljøverknadene av enkelte eingongsartiklar av plast, og Noreg har gitt innspel til dette arbeidet. Noreg vil følgje opp direktivet. Regjeringa følgjer generelt opp arbeidet som blir gjort i EU med omsyn til handtering av plast, og hjelper til der det er aktuelt.</w:t>
      </w:r>
    </w:p>
    <w:p w:rsidR="00D30C4D" w:rsidRDefault="00B964E1" w:rsidP="00020FC3">
      <w:r>
        <w:t>Mikroplast blir ofte brukt som samlenemning for små plastpartiklar som er mindre enn fem millimeter. Partiklane stammar i hovudsak frå slitasje og nedbryting av større plastprodukt, men også frå produkt som er tilsette mikroplast. I forbrukarsektoren vil mellom anna mikroplast i kroppspleieprodukt pluss slitasje av fibrar frå tekstilar ved vasking vere typiske kjelder til spreiing av mikroplast (særleg gjennom avløpsvatnet). Ettersom regulering av produkt vil ha størst effekt på EU-nivå, har Noreg og andre land oppmoda EU-kommisjonen til å vurdere krav til mikroplastfilter i vaskemaskiner for hushald. Regjeringa følgjer vidare opp arbeidet som er sett i gang i EU for å redusere bruk av mikroplast i kroppspleieprodukt.</w:t>
      </w:r>
    </w:p>
    <w:p w:rsidR="00D30C4D" w:rsidRDefault="00B964E1">
      <w:pPr>
        <w:pStyle w:val="Ramme-slutt"/>
        <w:rPr>
          <w:sz w:val="26"/>
          <w:szCs w:val="26"/>
        </w:rPr>
      </w:pPr>
      <w:r>
        <w:rPr>
          <w:sz w:val="26"/>
          <w:szCs w:val="26"/>
        </w:rPr>
        <w:t>[Boks slutt]</w:t>
      </w:r>
    </w:p>
    <w:p w:rsidR="00D30C4D" w:rsidRDefault="00B964E1" w:rsidP="00020FC3">
      <w:pPr>
        <w:pStyle w:val="Overskrift2"/>
      </w:pPr>
      <w:r>
        <w:lastRenderedPageBreak/>
        <w:t>Norsk forbruk i eit berekraftperspektiv</w:t>
      </w:r>
    </w:p>
    <w:p w:rsidR="00D30C4D" w:rsidRDefault="00B964E1" w:rsidP="00020FC3">
      <w:r>
        <w:t>Det er etter kvart brei semje om at forbruksnivået vi har i dag, er høgare enn det jorda toler på sikt.</w:t>
      </w:r>
      <w:r>
        <w:rPr>
          <w:vertAlign w:val="superscript"/>
        </w:rPr>
        <w:footnoteReference w:id="89"/>
      </w:r>
      <w:r>
        <w:t xml:space="preserve"> Det europeiske miljøbyrået (EEA) går ut frå at forbruket av naturressursar allereie er 50 prosent over bereevna som jorda har.</w:t>
      </w:r>
      <w:r>
        <w:rPr>
          <w:vertAlign w:val="superscript"/>
        </w:rPr>
        <w:footnoteReference w:id="90"/>
      </w:r>
      <w:r>
        <w:t xml:space="preserve"> Det private globale forbruket står for om lag 60 prosent av klimagassutsleppa i verda.</w:t>
      </w:r>
      <w:r>
        <w:rPr>
          <w:vertAlign w:val="superscript"/>
        </w:rPr>
        <w:footnoteReference w:id="91"/>
      </w:r>
    </w:p>
    <w:p w:rsidR="00D30C4D" w:rsidRDefault="00B964E1" w:rsidP="00020FC3">
      <w:r>
        <w:t>Earth Overshoot Day (jordas overforbruksdag), som blir rekna ut av den internasjonale for</w:t>
      </w:r>
      <w:r>
        <w:t>s</w:t>
      </w:r>
      <w:r>
        <w:t>kingsorganisasjonen Global Footprint Network, illustrerer omfanget av miljøpåkjenninga. Dette er dagen då menneska i verda har brukt opp ressursar tilsvarande det jorda klarer å r</w:t>
      </w:r>
      <w:r>
        <w:t>e</w:t>
      </w:r>
      <w:r>
        <w:t>produsere i løpet av eit heilt år. I 2018 fall dagen på 1. august, og trenden viser at han inntreffer tidlegare for kvart år som går.</w:t>
      </w:r>
    </w:p>
    <w:p w:rsidR="00D30C4D" w:rsidRDefault="00B964E1" w:rsidP="00020FC3">
      <w:r>
        <w:t xml:space="preserve">Den nøyaktige datoen for jordas overforbruksdag er mindre interessant enn det samla omfanget av det økologiske overforbruket, og den negative utviklingstrenden. For dei nordiske landa inntreff overforbruksdagen allereie på vårparten, og dette er ei påminning om at det hastar </w:t>
      </w:r>
      <w:proofErr w:type="gramStart"/>
      <w:r>
        <w:t>å</w:t>
      </w:r>
      <w:proofErr w:type="gramEnd"/>
      <w:r>
        <w:t xml:space="preserve"> leggje om til eit meir berekraftig forbruk hos oss.</w:t>
      </w:r>
    </w:p>
    <w:p w:rsidR="00D30C4D" w:rsidRDefault="00B964E1" w:rsidP="00020FC3">
      <w:r>
        <w:t>Det norske forbruket veks raskt, og miljøpåverknaden frå norsk privat forbruk er høgt i global samanheng. Mykje av det vi forbruker i Noreg, er produsert i andre land. Derfor er det nasjonale forbruket med på å skape utslepp og miljøpåverknad også utanfor landegrensene.</w:t>
      </w:r>
      <w:r>
        <w:rPr>
          <w:vertAlign w:val="superscript"/>
        </w:rPr>
        <w:footnoteReference w:id="92"/>
      </w:r>
      <w:r>
        <w:t xml:space="preserve"> Eit meir berekraftig forbruk må derfor skje gjennom både lokalt, nasjonalt og globalt engasjement.</w:t>
      </w:r>
    </w:p>
    <w:p w:rsidR="00D30C4D" w:rsidRDefault="00B964E1" w:rsidP="00020FC3">
      <w:pPr>
        <w:pStyle w:val="tittel-ramme"/>
      </w:pPr>
      <w:r>
        <w:t>Tekstilar</w:t>
      </w:r>
    </w:p>
    <w:p w:rsidR="00D30C4D" w:rsidRDefault="00B964E1" w:rsidP="00020FC3">
      <w:r>
        <w:t>Produksjon av tekstilar medfører ei særs stor ressurs- og miljøpåkjenning. Klesindustrien er ansvarleg for om lag 20 prosent av næringslivsavfallet globalt. Eitt års forbruk av tekstilfibrar krev 145 millionar tonn kol, og det går med 2700 liter vatn for å produsere éi T-skjorte av bomull.</w:t>
      </w:r>
      <w:r>
        <w:rPr>
          <w:rStyle w:val="skrift-hevet"/>
          <w:sz w:val="21"/>
          <w:szCs w:val="21"/>
        </w:rPr>
        <w:t>1</w:t>
      </w:r>
      <w:r>
        <w:t xml:space="preserve"> Tekstilproduksjon medfører store utslepp av miljøgifter.</w:t>
      </w:r>
    </w:p>
    <w:p w:rsidR="00D30C4D" w:rsidRDefault="00B964E1" w:rsidP="00020FC3">
      <w:pPr>
        <w:pStyle w:val="ramme-noter"/>
      </w:pPr>
      <w:r>
        <w:rPr>
          <w:rStyle w:val="skrift-hevet"/>
          <w:sz w:val="17"/>
          <w:szCs w:val="17"/>
        </w:rPr>
        <w:t>1</w:t>
      </w:r>
      <w:r>
        <w:tab/>
      </w:r>
      <w:r>
        <w:rPr>
          <w:rStyle w:val="kursiv"/>
          <w:sz w:val="17"/>
          <w:szCs w:val="17"/>
        </w:rPr>
        <w:t>Fashion for Good</w:t>
      </w:r>
      <w:r>
        <w:t>, Nederland, 2019.</w:t>
      </w:r>
    </w:p>
    <w:p w:rsidR="00D30C4D" w:rsidRDefault="00B964E1">
      <w:pPr>
        <w:pStyle w:val="Ramme-slutt"/>
        <w:rPr>
          <w:sz w:val="26"/>
          <w:szCs w:val="26"/>
        </w:rPr>
      </w:pPr>
      <w:r>
        <w:rPr>
          <w:sz w:val="26"/>
          <w:szCs w:val="26"/>
        </w:rPr>
        <w:t>[Boks slutt]</w:t>
      </w:r>
    </w:p>
    <w:p w:rsidR="00D30C4D" w:rsidRDefault="00B964E1" w:rsidP="00020FC3">
      <w:pPr>
        <w:pStyle w:val="Overskrift2"/>
      </w:pPr>
      <w:r>
        <w:lastRenderedPageBreak/>
        <w:t>Internasjonale plikter</w:t>
      </w:r>
    </w:p>
    <w:p w:rsidR="00D30C4D" w:rsidRDefault="00B964E1" w:rsidP="00020FC3">
      <w:r>
        <w:t>Det er brei internasjonal semje om at ein må løyse klima- og miljøutfordringar gjennom i</w:t>
      </w:r>
      <w:r>
        <w:t>n</w:t>
      </w:r>
      <w:r>
        <w:t>ternasjonale forpliktande avtaler og ambisiøse nasjonale mål. Regjeringa er ein pådrivar for internasjonalt samarbeid om eit meir berekraftig forbruk gjennom fleire forum. Samarbeid i FN, EU og Norden er dei viktigaste arenaene for samarbeid om politikkutvikling knytt til b</w:t>
      </w:r>
      <w:r>
        <w:t>e</w:t>
      </w:r>
      <w:r>
        <w:t>rekraftig forbruk.</w:t>
      </w:r>
    </w:p>
    <w:p w:rsidR="00D30C4D" w:rsidRDefault="00B964E1" w:rsidP="00020FC3">
      <w:pPr>
        <w:pStyle w:val="Overskrift3"/>
      </w:pPr>
      <w:r>
        <w:t>FN og 2030-agendaen</w:t>
      </w:r>
    </w:p>
    <w:p w:rsidR="00D30C4D" w:rsidRDefault="00B964E1" w:rsidP="00020FC3">
      <w:r>
        <w:t xml:space="preserve">Medlemslanda i FN vedtok 2030-agendaen og berekraftmåla i 2015. Intensjonen er </w:t>
      </w:r>
      <w:proofErr w:type="gramStart"/>
      <w:r>
        <w:t>å</w:t>
      </w:r>
      <w:proofErr w:type="gramEnd"/>
      <w:r>
        <w:t xml:space="preserve"> leggje til rette for at alle skal få eit godt og trygt liv utan fattigdom. Berekraftmåla, som omfattar 17 mål og 169 delmål, reflekterer dei tre dimensjonane i berekraftig utvikling: klima og miljø, øk</w:t>
      </w:r>
      <w:r>
        <w:t>o</w:t>
      </w:r>
      <w:r>
        <w:t>nomi og sosiale tilhøve. Måla skal fungere som ein felles og universell global agenda for land, næringsliv og sivilsamfunn. Noreg har ei sentral rolle i det internasjonale oppfølgingsarbeidet ved at statsministeren er éin av to leiarar i FN si pådrivargruppe for oppfølginga. Dette krev tydeleg og god oppfølging nasjonalt. Granavolden-plattforma slår fast at regjeringa ser på berekraftmåla frå FN som sentrale for å løyse dei globale utfordringane.</w:t>
      </w:r>
    </w:p>
    <w:p w:rsidR="00D30C4D" w:rsidRDefault="00741EEC" w:rsidP="00741EEC">
      <w:pPr>
        <w:pStyle w:val="Figur"/>
      </w:pPr>
      <w:r>
        <w:rPr>
          <w:noProof/>
        </w:rPr>
        <w:t>[:figur:figX-X.jpg]</w:t>
      </w:r>
    </w:p>
    <w:p w:rsidR="00D30C4D" w:rsidRDefault="00B964E1" w:rsidP="00020FC3">
      <w:pPr>
        <w:pStyle w:val="figur-tittel"/>
      </w:pPr>
      <w:r>
        <w:t>Berekraftmåla frå FN</w:t>
      </w:r>
    </w:p>
    <w:p w:rsidR="00D30C4D" w:rsidRDefault="00B964E1" w:rsidP="00020FC3">
      <w:pPr>
        <w:pStyle w:val="Kilde"/>
        <w:rPr>
          <w:rFonts w:cs="Times New Roman"/>
          <w:sz w:val="24"/>
          <w:szCs w:val="24"/>
          <w:lang w:val="en-GB"/>
        </w:rPr>
      </w:pPr>
      <w:r>
        <w:t>Regjeringen.no</w:t>
      </w:r>
    </w:p>
    <w:p w:rsidR="00D30C4D" w:rsidRDefault="00B964E1" w:rsidP="00020FC3">
      <w:r>
        <w:t>Mål nr. 4 forpliktar Noreg til innan 2030 å sikre at alle elevar og studentar tileignar seg nau</w:t>
      </w:r>
      <w:r>
        <w:t>d</w:t>
      </w:r>
      <w:r>
        <w:t xml:space="preserve">synt kompetanse for </w:t>
      </w:r>
      <w:proofErr w:type="gramStart"/>
      <w:r>
        <w:t>å</w:t>
      </w:r>
      <w:proofErr w:type="gramEnd"/>
      <w:r>
        <w:t xml:space="preserve"> fremje ei berekraftig utvikling.</w:t>
      </w:r>
    </w:p>
    <w:p w:rsidR="00D30C4D" w:rsidRDefault="00B964E1" w:rsidP="00020FC3">
      <w:r>
        <w:t>Mål nr. 12 slår fast at styresmaktene skal sikre berekraftige forbruks- og produksjonsmønster. I dette ligg fleire delmål, mellom anna at ein innan 2030 skal</w:t>
      </w:r>
    </w:p>
    <w:p w:rsidR="00D30C4D" w:rsidRDefault="00B964E1" w:rsidP="00020FC3">
      <w:pPr>
        <w:pStyle w:val="Liste"/>
      </w:pPr>
      <w:r>
        <w:t>halvere matsvinnet per innbyggjar på verdsbasis</w:t>
      </w:r>
    </w:p>
    <w:p w:rsidR="00D30C4D" w:rsidRDefault="00B964E1" w:rsidP="00020FC3">
      <w:pPr>
        <w:pStyle w:val="Liste"/>
      </w:pPr>
      <w:r>
        <w:t>redusere avfallsmengda monaleg gjennom forbod, reduksjon, attvinning og ombruk</w:t>
      </w:r>
    </w:p>
    <w:p w:rsidR="00D30C4D" w:rsidRDefault="00B964E1" w:rsidP="00020FC3">
      <w:pPr>
        <w:pStyle w:val="Liste"/>
      </w:pPr>
      <w:r>
        <w:t>sikre at alle har relevant informasjon og medvit om kva som er berekraftig utvikling og ein livsstil i harmoni med naturen</w:t>
      </w:r>
    </w:p>
    <w:p w:rsidR="00D30C4D" w:rsidRDefault="00B964E1" w:rsidP="00020FC3">
      <w:pPr>
        <w:pStyle w:val="Overskrift3"/>
      </w:pPr>
      <w:r>
        <w:t>EU og EØS-avtalen</w:t>
      </w:r>
    </w:p>
    <w:p w:rsidR="00D30C4D" w:rsidRDefault="00B964E1" w:rsidP="00020FC3">
      <w:r>
        <w:t>Gjennom EØS-avtalen har Noreg ei rekkje plikter som legg føringar for den nasjonale pol</w:t>
      </w:r>
      <w:r>
        <w:t>i</w:t>
      </w:r>
      <w:r>
        <w:t>tikken på mange område. Døme på rettslege plikter frå EU som legg føringar for arbeidet med berekraftig forbruk, er EU-regelverket for avfall, kjemikalieregelverket (REACH), reglane for energimerking og miljømerkeordninga frå EU (EU Ecolabel). Også andre typar forbr</w:t>
      </w:r>
      <w:r>
        <w:t>u</w:t>
      </w:r>
      <w:r>
        <w:t xml:space="preserve">karvernreglar frå EU er dessutan relevante for dette arbeidet. Eit døme på dette er reglane om ansvarsperiode for varer. Regelverket slår fast kor lenge forbrukarar kan halde seljaren eller produsenten av ei vare ansvarleg for feil eller manglar. Ein lang ansvarsperiode kan medverke til at produsentar og importørar av forbruksvarer produserer og importerer varer som held lenger og har </w:t>
      </w:r>
      <w:proofErr w:type="gramStart"/>
      <w:r>
        <w:t>betre</w:t>
      </w:r>
      <w:proofErr w:type="gramEnd"/>
      <w:r>
        <w:t xml:space="preserve"> kvalitet. Med dei nye reglane som EU-kommisjonen i 2015 føreslo for forbrukarkjøp av varer, ville ansvarsperioden for varer bli lik over heile Europa, med ein to års ansvarsperiode for seljar, uansett kor lenge produktet er meint å skulle vare. I Noreg er seljaren </w:t>
      </w:r>
      <w:r>
        <w:lastRenderedPageBreak/>
        <w:t>i utgangspunktet ansvarleg for feil og manglar i to år etter kjøpet. For varer som er meint å skulle vare vesentleg lenger (t.d. bilar, kvitevarer og møblar), er denne fristen forlenga til fem år. I direktivet som blei formelt vedteke 20. mai 2019 er føresegnene om ansvarsperioden ikkje fullharmoniserte, slik det opphavleg blei føreslått. Når Noreg tek reglane inn i EØS-avtalen og gjennomfører dei i norsk rett, kan vi såleis føre vidare den femårige reklamasjonsfristen for varer.</w:t>
      </w:r>
    </w:p>
    <w:p w:rsidR="00D30C4D" w:rsidRDefault="00B964E1" w:rsidP="00020FC3">
      <w:r>
        <w:t>I desember 2015 la EU fram ei pakke om sirkulær økonomi. Pakka inneheldt ein handlingsplan og forslag til rettsakter som mellom anna set ambisiøse krav til attvinning av materialar, a</w:t>
      </w:r>
      <w:r>
        <w:t>v</w:t>
      </w:r>
      <w:r>
        <w:t xml:space="preserve">fallshandtering og forsøpling innan 2025. EU-reglane får mykje </w:t>
      </w:r>
      <w:proofErr w:type="gramStart"/>
      <w:r>
        <w:t>å</w:t>
      </w:r>
      <w:proofErr w:type="gramEnd"/>
      <w:r>
        <w:t xml:space="preserve"> seie for Noreg på dette o</w:t>
      </w:r>
      <w:r>
        <w:t>m</w:t>
      </w:r>
      <w:r>
        <w:t>rådet, gjennom EØS-avtalen.</w:t>
      </w:r>
    </w:p>
    <w:p w:rsidR="00D30C4D" w:rsidRDefault="00B964E1" w:rsidP="00020FC3">
      <w:pPr>
        <w:pStyle w:val="Overskrift3"/>
      </w:pPr>
      <w:r>
        <w:t>Nordisk ministerråd</w:t>
      </w:r>
    </w:p>
    <w:p w:rsidR="00D30C4D" w:rsidRDefault="00B964E1" w:rsidP="00020FC3">
      <w:r>
        <w:t xml:space="preserve">Strategien som Nordisk ministerråd i 2013 la fram for berekraftig utvikling – </w:t>
      </w:r>
      <w:r>
        <w:rPr>
          <w:rStyle w:val="kursiv"/>
          <w:sz w:val="21"/>
          <w:szCs w:val="21"/>
        </w:rPr>
        <w:t>Ett gott liv i ett hållbart Norden</w:t>
      </w:r>
      <w:r>
        <w:t xml:space="preserve"> – utgjer </w:t>
      </w:r>
      <w:proofErr w:type="gramStart"/>
      <w:r>
        <w:t>den overorda</w:t>
      </w:r>
      <w:proofErr w:type="gramEnd"/>
      <w:r>
        <w:t xml:space="preserve"> og tverrsektorielle ramma for arbeidet til Nordisk mini</w:t>
      </w:r>
      <w:r>
        <w:t>s</w:t>
      </w:r>
      <w:r>
        <w:t>terråd. I september 2017 lanserte dei nordiske samarbeidsministrane programmet Generation 2030. Programmet er retta mot område der Norden har felles utfordringar med å nå ber</w:t>
      </w:r>
      <w:r>
        <w:t>e</w:t>
      </w:r>
      <w:r>
        <w:t xml:space="preserve">kraftmåla frå FN. Fram til 2020 inneber det ei særleg satsting på berekraftig produksjon og forbruk. I desember 2018 kom eit nytt nordisk samarbeidsprogram for miljø og klima: </w:t>
      </w:r>
      <w:r>
        <w:rPr>
          <w:rStyle w:val="kursiv"/>
          <w:sz w:val="21"/>
          <w:szCs w:val="21"/>
        </w:rPr>
        <w:t>Nordiskt samarbetsprogram för miljö och klimat 2019–2024</w:t>
      </w:r>
      <w:r>
        <w:t xml:space="preserve">. Programmet slår fast at dei nordiske landa i den komande seksårsperioden skal samarbeide om miljø- og klimapolitikken for å medverke til ei berekraftig utvikling i Norden, EU og globalt. Dette inneber mellom anna eit framhald av innsatsen med å implementere FN-måla for berekraftig utvikling (Agenda 2030). Sentralt i programmet står også arbeid for ein sirkulær økonomi som medverkar til </w:t>
      </w:r>
      <w:proofErr w:type="gramStart"/>
      <w:r>
        <w:t>å</w:t>
      </w:r>
      <w:proofErr w:type="gramEnd"/>
      <w:r>
        <w:t xml:space="preserve"> halde forbruk og produksjon innanfor det som naturen toler.</w:t>
      </w:r>
    </w:p>
    <w:p w:rsidR="00D30C4D" w:rsidRDefault="00B964E1" w:rsidP="00020FC3">
      <w:pPr>
        <w:pStyle w:val="Overskrift3"/>
      </w:pPr>
      <w:r>
        <w:t>Produktkontroll og kjemikaliepolitikk krev internasjonale løysingar</w:t>
      </w:r>
    </w:p>
    <w:p w:rsidR="00D30C4D" w:rsidRDefault="00B964E1" w:rsidP="00020FC3">
      <w:r>
        <w:t xml:space="preserve">Kjemiske stoff blir brukte i alle typar produkt, primært for </w:t>
      </w:r>
      <w:proofErr w:type="gramStart"/>
      <w:r>
        <w:t>å</w:t>
      </w:r>
      <w:proofErr w:type="gramEnd"/>
      <w:r>
        <w:t xml:space="preserve"> gjere dei betre. Vi finn såleis helse- og miljøfarlege kjemikaliar i tekstilar, møblar, leiker, hobbyartiklar og andre heilt vanlege produkt som forbrukarane omgir seg med til dagleg. Målet for kjemikaliepolitikken er å red</w:t>
      </w:r>
      <w:r>
        <w:t>u</w:t>
      </w:r>
      <w:r>
        <w:t>sere risikoen for helse- og miljøskader knytt til utslepp og bruk av kjemikaliar generelt, og på den måten medverke til eit meir berekraftig forbruk.</w:t>
      </w:r>
    </w:p>
    <w:p w:rsidR="00D30C4D" w:rsidRDefault="00B964E1" w:rsidP="00020FC3">
      <w:r>
        <w:t>Å fase ut miljøgifter i forbrukarprodukt er høgt prioritert. Ettersom miljøgifter blir transporterte over landegrenser, er innsatsen retta mot internasjonale reguleringar og avtaler. Her står det europeiske kjemikalieregelverket REACH sentralt. EU har eit omfattande og ambisiøst rege</w:t>
      </w:r>
      <w:r>
        <w:t>l</w:t>
      </w:r>
      <w:r>
        <w:t xml:space="preserve">verk for registrering, vurdering, godkjenning og restriksjonar på kjemikaliar (REACH-regelverket), og for klassifisering og merking av helse- og miljøfarlege stoff (CLP). Noreg tek aktivt del i arbeidet med </w:t>
      </w:r>
      <w:proofErr w:type="gramStart"/>
      <w:r>
        <w:t>å</w:t>
      </w:r>
      <w:proofErr w:type="gramEnd"/>
      <w:r>
        <w:t xml:space="preserve"> styrkje regelverket gjennom å fremje forbod og evaluere stoff under REACH, og vi er ein sterk pådrivar for strengare reguleringar internasjonalt. I tillegg til merksemd rundt stoff med miljøgifteigenskapar, blir hormonforstyrrande eigenskapar lagde vekt på når vi prioriterer kva stoff vi i Noreg skal jobbe aktivt med for å få regulert i EU.</w:t>
      </w:r>
    </w:p>
    <w:p w:rsidR="00D30C4D" w:rsidRDefault="00B964E1" w:rsidP="00020FC3">
      <w:r>
        <w:t>Noreg støttar også den globale kjemikaliestrategien SAICM (Strategic Approach to Intern</w:t>
      </w:r>
      <w:r>
        <w:t>a</w:t>
      </w:r>
      <w:r>
        <w:t xml:space="preserve">tional Chemicals Management) og er med i ein koalisjon av ambisiøse land i forhandlingane </w:t>
      </w:r>
      <w:r>
        <w:lastRenderedPageBreak/>
        <w:t>om eit nytt globalt rammeverk for kjemikaliar og avfall. I Noreg blir det mellom anna jobba med å etablere standardar og merkeordningar som kan styrkje helse- og miljøaspektet for ulike produkt. SAICM har eit overordna mål om forsvarleg forvalting av kjemikaliar innan 2020.</w:t>
      </w:r>
    </w:p>
    <w:p w:rsidR="00D30C4D" w:rsidRDefault="00B964E1" w:rsidP="00020FC3">
      <w:pPr>
        <w:pStyle w:val="Overskrift2"/>
      </w:pPr>
      <w:r>
        <w:t>Døme på viktige nasjonale rammer</w:t>
      </w:r>
    </w:p>
    <w:p w:rsidR="00D30C4D" w:rsidRDefault="00B964E1" w:rsidP="00020FC3">
      <w:pPr>
        <w:pStyle w:val="Overskrift3"/>
      </w:pPr>
      <w:r>
        <w:t>Miljøinformasjonslova og produktkontrollova</w:t>
      </w:r>
    </w:p>
    <w:p w:rsidR="00D30C4D" w:rsidRDefault="00B964E1" w:rsidP="00020FC3">
      <w:r>
        <w:t xml:space="preserve">Miljøinformasjonslova sikrar retten til </w:t>
      </w:r>
      <w:proofErr w:type="gramStart"/>
      <w:r>
        <w:t>å</w:t>
      </w:r>
      <w:proofErr w:type="gramEnd"/>
      <w:r>
        <w:t xml:space="preserve"> krevje miljøinformasjon frå både næringsdrivande og offentlege styresmakter. Lova gir forbrukarar rett til å få svar frå styresmakter og verksemder om korleis miljøgifter i produkt, farlege utslepp og arealinngrep kan påverke oss og miljøet vi lever i. Avslag på krav om informasjon frå verksemder kan klagast inn for Klagenemnda for miljøinformasjon. Lova gir også rett til å ta del i avgjerdsprosessar som har konsekvensar for miljøet.</w:t>
      </w:r>
    </w:p>
    <w:p w:rsidR="00D30C4D" w:rsidRDefault="00B964E1" w:rsidP="00020FC3">
      <w:r>
        <w:t>Produktkontrollova gir kvar og ein rett til produktspesifikk informasjon om miljøforstyrringar knytt til eigenskapane til produkt, innhald, bruk eller produksjon. Ein har rett til å få slik i</w:t>
      </w:r>
      <w:r>
        <w:t>n</w:t>
      </w:r>
      <w:r>
        <w:t>formasjon frå produsent, importør, omarbeidar, seljar eller brukar av produkt. Retten til i</w:t>
      </w:r>
      <w:r>
        <w:t>n</w:t>
      </w:r>
      <w:r>
        <w:t xml:space="preserve">formasjon etter begge lovene omfattar òg informasjon om slike miljøverknader som er </w:t>
      </w:r>
      <w:proofErr w:type="gramStart"/>
      <w:r>
        <w:t>ei</w:t>
      </w:r>
      <w:proofErr w:type="gramEnd"/>
      <w:r>
        <w:t xml:space="preserve"> følgje av produksjon eller distribusjon av produkt utanfor Noreg. Om informasjonen ikkje er ti</w:t>
      </w:r>
      <w:r>
        <w:t>l</w:t>
      </w:r>
      <w:r>
        <w:t>gjengeleg, skal ein spørje etter den i føregåande salsledd.</w:t>
      </w:r>
    </w:p>
    <w:p w:rsidR="00D30C4D" w:rsidRDefault="00B964E1" w:rsidP="00020FC3">
      <w:pPr>
        <w:pStyle w:val="tittel-ramme"/>
      </w:pPr>
      <w:r>
        <w:t>Klarlegging av etikkinformasjonsplikta</w:t>
      </w:r>
    </w:p>
    <w:p w:rsidR="00D30C4D" w:rsidRDefault="00B964E1" w:rsidP="00020FC3">
      <w:r>
        <w:t>Mange forbrukarar er opptekne av korleis produkta dei handlar, påverkar miljøet, og kva n</w:t>
      </w:r>
      <w:r>
        <w:t>æ</w:t>
      </w:r>
      <w:r>
        <w:t>ringsdrivande gjer for å sikre grunnleggjande rettar og høvelege arbeidsvilkår for arbeidarane som produserer varene. På bakgrunn av to oppmodingsvedtak frå Stortinget, sette regjeringa i 2018 ned eit utval som skal undersøkje ei mogleg lov om etikkinformasjon.</w:t>
      </w:r>
      <w:r>
        <w:rPr>
          <w:rStyle w:val="skrift-hevet"/>
          <w:sz w:val="21"/>
          <w:szCs w:val="21"/>
        </w:rPr>
        <w:t>1</w:t>
      </w:r>
      <w:r>
        <w:t xml:space="preserve"> Utvalet skal vurdere om ein bør påleggje næringsdrivande å informere forbrukarane om kva dei gjer for å ta samfunnsansvar i leverandørkjedene sine. Dersom utvalet meiner at ein kan og bør regulere dette gjennom lov, skal utvalet føreslå eit verkeområde for informasjonsplikta og korleis ein bør handheve plikta. Utvalet skal levere innstillinga si seinast 1. desember 2019.</w:t>
      </w:r>
    </w:p>
    <w:p w:rsidR="00D30C4D" w:rsidRDefault="00B964E1" w:rsidP="00020FC3">
      <w:pPr>
        <w:pStyle w:val="ramme-noter"/>
      </w:pPr>
      <w:r>
        <w:rPr>
          <w:rStyle w:val="skrift-hevet"/>
          <w:sz w:val="17"/>
          <w:szCs w:val="17"/>
        </w:rPr>
        <w:t>1</w:t>
      </w:r>
      <w:r>
        <w:tab/>
        <w:t>Oppmodingsvedtak nr. 890 (2015–2016) og oppmodingsvedtak nr. 200 (2017–2018).</w:t>
      </w:r>
    </w:p>
    <w:p w:rsidR="00D30C4D" w:rsidRDefault="00B964E1">
      <w:pPr>
        <w:pStyle w:val="Ramme-slutt"/>
        <w:rPr>
          <w:sz w:val="26"/>
          <w:szCs w:val="26"/>
        </w:rPr>
      </w:pPr>
      <w:r>
        <w:rPr>
          <w:sz w:val="26"/>
          <w:szCs w:val="26"/>
        </w:rPr>
        <w:t>[Boks slutt]</w:t>
      </w:r>
    </w:p>
    <w:p w:rsidR="00D30C4D" w:rsidRDefault="00B964E1" w:rsidP="00020FC3">
      <w:pPr>
        <w:pStyle w:val="Overskrift2"/>
      </w:pPr>
      <w:r>
        <w:t>Leggje til rette for eit meir berekraftig forbruk</w:t>
      </w:r>
    </w:p>
    <w:p w:rsidR="00D30C4D" w:rsidRDefault="00B964E1" w:rsidP="00020FC3">
      <w:r>
        <w:t>Regjeringa vil vere ein pådrivar for samarbeid og frivillige ordningar som kan medverke til eit berekraftig forbruk. Pådrivarrolla krev at regjeringa legg til rette for at forbrukarar, næring</w:t>
      </w:r>
      <w:r>
        <w:t>s</w:t>
      </w:r>
      <w:r>
        <w:t>drivande og andre aktørar tek steg i berekraftig retning. For dette siktemålet er det viktig at aktørane har relevant informasjon og kompetanse. Regjeringa legg derfor opp til kunnskap</w:t>
      </w:r>
      <w:r>
        <w:t>s</w:t>
      </w:r>
      <w:r>
        <w:t>innsats på fleire arenaer.</w:t>
      </w:r>
    </w:p>
    <w:p w:rsidR="00D30C4D" w:rsidRDefault="00B964E1" w:rsidP="00020FC3">
      <w:pPr>
        <w:pStyle w:val="Overskrift3"/>
      </w:pPr>
      <w:r>
        <w:lastRenderedPageBreak/>
        <w:t>Samarbeidsforum for berekraftig forbruk</w:t>
      </w:r>
    </w:p>
    <w:p w:rsidR="00D30C4D" w:rsidRDefault="00B964E1" w:rsidP="00020FC3">
      <w:r>
        <w:t>Det er mange miljø som engasjerer seg for eit meir berekraftig samfunn. Like fullt ser det ut til å mangle eit samlingspunkt for næringsdrivande som er i direkte kontakt med forbrukarar (t.d. større handelskjeder), ekspertar (forskarar, miljøorganisasjonar, forvalting) og andre intere</w:t>
      </w:r>
      <w:r>
        <w:t>s</w:t>
      </w:r>
      <w:r>
        <w:t>sentar (t.d. Forbrukarrådet, Innovasjon Norge og ulike bransjeorganisasjonar).</w:t>
      </w:r>
    </w:p>
    <w:p w:rsidR="00D30C4D" w:rsidRDefault="00B964E1" w:rsidP="00020FC3">
      <w:r>
        <w:t xml:space="preserve">Regjeringa vil etablere eit samarbeidsforum for berekraftig forbruk. Forumet skal leggje til rette for at private og offentlege aktørar kan møte kvarandre og utveksle kunnskap, idear og erfaringar med sikte på å identifisere tiltak som kan medverke til eit meir berekraftig forbruk. Deltakarane kan typisk komme frå næringslivet, akademia, NGO-ar og styresmakter. Forumet skal hjelpe aktuelle ressursar og interessentar å finne kvarandre og utveksle kunnskap og idear for vidare samarbeid om berekraftige løysingar. Eitt av måla med forumet er </w:t>
      </w:r>
      <w:proofErr w:type="gramStart"/>
      <w:r>
        <w:t>å</w:t>
      </w:r>
      <w:proofErr w:type="gramEnd"/>
      <w:r>
        <w:t xml:space="preserve"> kartleggje kompetansebehovet i næringslivet på området og undersøkje korleis verksemdene kan fylle dette behovet.</w:t>
      </w:r>
    </w:p>
    <w:p w:rsidR="00D30C4D" w:rsidRDefault="00B964E1" w:rsidP="00020FC3">
      <w:r>
        <w:t>Forumet kan medverke til innovasjon og ringverknader ved at gode idear blir gjorde synlege også for andre enn deltakarane i forumet. Vidare kan det fungere som ein idébank for det o</w:t>
      </w:r>
      <w:r>
        <w:t>f</w:t>
      </w:r>
      <w:r>
        <w:t>fentlege – til dømes i tilknyting til informasjon og opplæring.</w:t>
      </w:r>
    </w:p>
    <w:p w:rsidR="00D30C4D" w:rsidRDefault="00B964E1" w:rsidP="00020FC3">
      <w:r>
        <w:t>Forslaget om eit samarbeidsforum er delvis inspirert av den svenske satsinga «Forum för mi</w:t>
      </w:r>
      <w:r>
        <w:t>l</w:t>
      </w:r>
      <w:r>
        <w:t>jösmart konsumtion». Konsumentverket har fått ansvar for forumet, som blir utvikla i sama</w:t>
      </w:r>
      <w:r>
        <w:t>r</w:t>
      </w:r>
      <w:r>
        <w:t>beid med forskarar, næringsliv, kommunar, regionar og sivilsamfunnet elles. Forumet skal bli eit kunnskapssenter der ein spreier gode døme og arbeider fram praktiske løysingar for eit meir berekraftig forbruk. Samstundes blir det utvikla ein digital møtestad som skal lette samarbeidet mellom aktørar. Regjeringa vil i arbeidet med dette forslaget trekkje på erfaringane frå det svenske forumet. Omfang og innretning på samarbeidsforumet blir tilpassa budsjettrammene som gjeld til kvar tid.</w:t>
      </w:r>
    </w:p>
    <w:p w:rsidR="00D30C4D" w:rsidRDefault="00B964E1" w:rsidP="00020FC3">
      <w:pPr>
        <w:pStyle w:val="Overskrift3"/>
      </w:pPr>
      <w:r>
        <w:t>Merkeordningar</w:t>
      </w:r>
    </w:p>
    <w:p w:rsidR="00D30C4D" w:rsidRDefault="00B964E1" w:rsidP="00020FC3">
      <w:r>
        <w:t>For at forbrukarane skal kunne gjere gode val når dei handlar, må relevant og objektiv info</w:t>
      </w:r>
      <w:r>
        <w:t>r</w:t>
      </w:r>
      <w:r>
        <w:t>masjon vere lett tilgjengeleg. Merkeordningar som gir informasjon i kjøpssituasjonen, kan vere nyttige for forbrukarane. Ulike former for produktmerking er utbreidde.</w:t>
      </w:r>
    </w:p>
    <w:p w:rsidR="00D30C4D" w:rsidRDefault="00B964E1" w:rsidP="00020FC3">
      <w:r>
        <w:t>Forbruksforskingsinstituttet SIFO gjorde i 2011 ei større undersøking av korleis forbrukarane opplever mangfaldet av merke på daglegvaremarknaden.</w:t>
      </w:r>
      <w:r>
        <w:rPr>
          <w:vertAlign w:val="superscript"/>
        </w:rPr>
        <w:footnoteReference w:id="93"/>
      </w:r>
      <w:r>
        <w:t xml:space="preserve"> SIFO fann godt over 100 ulike merke (vidt definert) i daglegvarehandelen. Undersøkinga viste at dei fleste forbrukarane var nøgde med merkeordningane, og at det var høgast tillit til dei offentlege merka. Forbrukarane som sette seg inn i og nytta relevante merkeordningar når dei handla, var stort sett dei som var opptekne av bestemte vareeigenskapar. Eit viktig funn i undersøkinga var behovet for </w:t>
      </w:r>
      <w:proofErr w:type="gramStart"/>
      <w:r>
        <w:t>betre</w:t>
      </w:r>
      <w:proofErr w:type="gramEnd"/>
      <w:r>
        <w:t xml:space="preserve"> informasjon om kva dei ulike merka inneber. I 2012 fekk Forbrukarrådet i oppdrag av Helse- og omsorgsdepartementet og dåverande Barne-, likestillings- og inkluderingsdepartementet å utarbeide ei nettbasert informasjonsløysing for dei offentlege merkeordningane. Målet var </w:t>
      </w:r>
      <w:proofErr w:type="gramStart"/>
      <w:r>
        <w:t>å</w:t>
      </w:r>
      <w:proofErr w:type="gramEnd"/>
      <w:r>
        <w:t xml:space="preserve"> </w:t>
      </w:r>
      <w:r>
        <w:lastRenderedPageBreak/>
        <w:t>styrkje effekten av merkeordningane som forbrukarrettleiing. Merkeoversikta som Forbruka</w:t>
      </w:r>
      <w:r>
        <w:t>r</w:t>
      </w:r>
      <w:r>
        <w:t>rådet lanserte i 2013, inneheld lettfatteleg informasjon om merkeordningane ein oftast møter når ein er ute og handlar.</w:t>
      </w:r>
    </w:p>
    <w:p w:rsidR="00D30C4D" w:rsidRDefault="00B964E1" w:rsidP="00020FC3">
      <w:pPr>
        <w:pStyle w:val="tittel-ramme"/>
      </w:pPr>
      <w:r>
        <w:t>Miljømerka Svana og EU Ecolabel</w:t>
      </w:r>
    </w:p>
    <w:p w:rsidR="00D30C4D" w:rsidRDefault="00B964E1" w:rsidP="00020FC3">
      <w:r>
        <w:t>Svanemerket blei oppretta av dei nordiske forbrukarministrane i 1989 for å gi forbrukarane truverdig miljøinformasjon. Merket reduserer miljøpåverknaden frå produksjon og forbruk ved å vurdere heile livssyklusen til eit produkt og alle relevante miljøproblem som oppstår unde</w:t>
      </w:r>
      <w:r>
        <w:t>r</w:t>
      </w:r>
      <w:r>
        <w:t xml:space="preserve">vegs. Svanemerket gjer det enkelt </w:t>
      </w:r>
      <w:proofErr w:type="gramStart"/>
      <w:r>
        <w:t>å</w:t>
      </w:r>
      <w:proofErr w:type="gramEnd"/>
      <w:r>
        <w:t xml:space="preserve"> velje produktet eller tenesta som er mest miljøvennleg, og står for redusert klimapåkjenning, berekraftig ressursbruk og eit giftfritt samfunn.</w:t>
      </w:r>
    </w:p>
    <w:p w:rsidR="00D30C4D" w:rsidRDefault="00B964E1" w:rsidP="00020FC3">
      <w:r>
        <w:t>EU Ecolabel er det offisielle europeiske miljømerket. Det er eit miljømerke av same type som det nordiske Svanemerket. Produsentane må dokumentere at produkta innfrir ei rekkje strenge helse- og miljøkrav.</w:t>
      </w:r>
    </w:p>
    <w:p w:rsidR="00D30C4D" w:rsidRDefault="00B964E1" w:rsidP="00020FC3">
      <w:r>
        <w:t>Stiftinga Miljømerking i Norge forvaltar både den nordiske Svana og den europeiske milj</w:t>
      </w:r>
      <w:r>
        <w:t>ø</w:t>
      </w:r>
      <w:r>
        <w:t>merkeordninga EU Ecolabel.</w:t>
      </w:r>
    </w:p>
    <w:p w:rsidR="00D30C4D" w:rsidRDefault="00B964E1">
      <w:pPr>
        <w:pStyle w:val="Ramme-slutt"/>
        <w:rPr>
          <w:sz w:val="26"/>
          <w:szCs w:val="26"/>
        </w:rPr>
      </w:pPr>
      <w:r>
        <w:rPr>
          <w:sz w:val="26"/>
          <w:szCs w:val="26"/>
        </w:rPr>
        <w:t>[Boks slutt]</w:t>
      </w:r>
    </w:p>
    <w:p w:rsidR="00D30C4D" w:rsidRDefault="00B964E1" w:rsidP="00020FC3">
      <w:r>
        <w:t>Offisielle miljømerke, som Svana og EU Ecolabel, er verktøy som gjer det lettare for forbr</w:t>
      </w:r>
      <w:r>
        <w:t>u</w:t>
      </w:r>
      <w:r>
        <w:t xml:space="preserve">karane </w:t>
      </w:r>
      <w:proofErr w:type="gramStart"/>
      <w:r>
        <w:t>å</w:t>
      </w:r>
      <w:proofErr w:type="gramEnd"/>
      <w:r>
        <w:t xml:space="preserve"> gjere miljømessig gode val.</w:t>
      </w:r>
    </w:p>
    <w:p w:rsidR="00D30C4D" w:rsidRDefault="00B964E1" w:rsidP="00020FC3">
      <w:r>
        <w:t xml:space="preserve">I ei forbrukarundersøking som YouGov utførte for Stiftinga Miljømerking i 2018, svarte 81 prosent at dei ønskjer </w:t>
      </w:r>
      <w:proofErr w:type="gramStart"/>
      <w:r>
        <w:t>å</w:t>
      </w:r>
      <w:proofErr w:type="gramEnd"/>
      <w:r>
        <w:t xml:space="preserve"> gjere gode miljøval når dei vel produkt. Samstundes følte 76 prosent at det er vanskeleg å vite kva som er gode miljøval. Ifølgje den same undersøkinga, er Svan</w:t>
      </w:r>
      <w:r>
        <w:t>e</w:t>
      </w:r>
      <w:r>
        <w:t>merket, Ø-merket og Fairtrade dei mest kjende merkeordningane som signaliserer berekraftige produkt i Noreg.</w:t>
      </w:r>
    </w:p>
    <w:p w:rsidR="00D30C4D" w:rsidRDefault="00B964E1" w:rsidP="00020FC3">
      <w:r>
        <w:t xml:space="preserve">Seks av ti forbrukarar meiner at dei sjølve har eit ansvar for </w:t>
      </w:r>
      <w:proofErr w:type="gramStart"/>
      <w:r>
        <w:t>å</w:t>
      </w:r>
      <w:proofErr w:type="gramEnd"/>
      <w:r>
        <w:t xml:space="preserve"> velje mest mogleg berekraftig. Blant dei som kjenner til berekraftmerka (Fairtrade, Ø-merket og Svana), seier om lag hal</w:t>
      </w:r>
      <w:r>
        <w:t>v</w:t>
      </w:r>
      <w:r>
        <w:t>parten at dei ser etter merkeordningane når dei handlar.</w:t>
      </w:r>
      <w:r>
        <w:rPr>
          <w:vertAlign w:val="superscript"/>
        </w:rPr>
        <w:footnoteReference w:id="94"/>
      </w:r>
    </w:p>
    <w:p w:rsidR="00D30C4D" w:rsidRDefault="00B964E1" w:rsidP="00020FC3">
      <w:pPr>
        <w:pStyle w:val="tittel-ramme"/>
      </w:pPr>
      <w:r>
        <w:t>Ø-merket og Fairtrade</w:t>
      </w:r>
    </w:p>
    <w:p w:rsidR="00D30C4D" w:rsidRDefault="00B964E1" w:rsidP="00020FC3">
      <w:r>
        <w:t>Ø-merket er det offisielle norske økologimerket som gir ein garanti for at ei vare er økologisk dyrka. Organisasjonen Debio eig Ø-merket og kontrollerer og godkjenner økologisk produ</w:t>
      </w:r>
      <w:r>
        <w:t>k</w:t>
      </w:r>
      <w:r>
        <w:t xml:space="preserve">sjon i Noreg. Mattilsynet er tilsynsstyresmakt, men har delegert tilsynet til Debio. Økologisk matproduksjon i Noreg er regulert av økologiforskrifta. Forskrifta er vedteken av </w:t>
      </w:r>
      <w:r>
        <w:rPr>
          <w:spacing w:val="-1"/>
        </w:rPr>
        <w:t>Landbruks- og matdepartementet og Nærings-</w:t>
      </w:r>
      <w:r>
        <w:t xml:space="preserve"> og fiskeridepartementet. Ho er basert på EU-standarden for økologisk produksjon.</w:t>
      </w:r>
    </w:p>
    <w:p w:rsidR="00D30C4D" w:rsidRDefault="00B964E1" w:rsidP="00020FC3">
      <w:r>
        <w:t xml:space="preserve">Fairtrade er ei internasjonal merkeordning som styrkjer bønder og arbeidarar i fattige land gjennom handel. Merkeordninga er eigd av den ideelle organisasjonen Fairtrade International. </w:t>
      </w:r>
      <w:r>
        <w:lastRenderedPageBreak/>
        <w:t xml:space="preserve">Fairtrade-standardane sikrar </w:t>
      </w:r>
      <w:proofErr w:type="gramStart"/>
      <w:r>
        <w:t>betre</w:t>
      </w:r>
      <w:proofErr w:type="gramEnd"/>
      <w:r>
        <w:t xml:space="preserve"> arbeidstilhøve og handelsvilkår og gjer det mogleg å inve</w:t>
      </w:r>
      <w:r>
        <w:t>s</w:t>
      </w:r>
      <w:r>
        <w:t>tere i produksjon, lokalsamfunn og berekraftig framtid. Den uavhengige sertifiseringsorgan</w:t>
      </w:r>
      <w:r>
        <w:t>i</w:t>
      </w:r>
      <w:r>
        <w:t>sasjonen FLOCERT kontrollerer at Fairtrade-standardane blir følgde.</w:t>
      </w:r>
    </w:p>
    <w:p w:rsidR="00D30C4D" w:rsidRDefault="00B964E1">
      <w:pPr>
        <w:pStyle w:val="Ramme-slutt"/>
        <w:rPr>
          <w:sz w:val="26"/>
          <w:szCs w:val="26"/>
        </w:rPr>
      </w:pPr>
      <w:r>
        <w:rPr>
          <w:sz w:val="26"/>
          <w:szCs w:val="26"/>
        </w:rPr>
        <w:t>[Boks slutt]</w:t>
      </w:r>
    </w:p>
    <w:p w:rsidR="00D30C4D" w:rsidRDefault="00B964E1" w:rsidP="00020FC3">
      <w:r>
        <w:t>Ein ekstern gjennomgang av potensialet for det nordiske miljø- og klimasamarbeidet munna i april 2018 ut i ein rapport med ei rekkje strategiske tilrådingar for samarbeidet fram mot 2030. Éi av tilrådingane går ut på å støtte og styrkje det nordiske miljømerket Svana. Svana blir rekna som den beste måten det nordiske miljø- og klimasamarbeidet kan nå direkte ut til forbrukarane på.</w:t>
      </w:r>
    </w:p>
    <w:p w:rsidR="00D30C4D" w:rsidRDefault="00B964E1" w:rsidP="00020FC3">
      <w:r>
        <w:t>EU jobbar med å betre miljømerkeordningane. Mellom anna blir det jobba med verktøyet Environmental Footprint, som skal danne grunnlag for eit system der miljøprofilen til produkt og organisasjonar kan visast på ein måte som er truverdig og kan etterprøvast.</w:t>
      </w:r>
    </w:p>
    <w:p w:rsidR="00D30C4D" w:rsidRDefault="00B964E1" w:rsidP="00020FC3">
      <w:r>
        <w:t>Som del av ein større gjennomgang for å forenkle og betre EU-regelverket (R</w:t>
      </w:r>
      <w:r>
        <w:t>E</w:t>
      </w:r>
      <w:r>
        <w:t>FIT-programmet), har EU-kommisjonen undersøkt nærare korleis EU Ecolabel-ordninga fungerer. I rapporten frå 2017 konkluderer Kommisjonen med at EU-miljømerket er før</w:t>
      </w:r>
      <w:r>
        <w:t>e</w:t>
      </w:r>
      <w:r>
        <w:t xml:space="preserve">målstenleg, men føreslår enkelte endringar for </w:t>
      </w:r>
      <w:proofErr w:type="gramStart"/>
      <w:r>
        <w:t>å</w:t>
      </w:r>
      <w:proofErr w:type="gramEnd"/>
      <w:r>
        <w:t xml:space="preserve"> gjere ordninga endå betre. Endringane inneber mellom anna å slå saman nokre nært samanbundne produktgrupper og avvikle enkelte pr</w:t>
      </w:r>
      <w:r>
        <w:t>o</w:t>
      </w:r>
      <w:r>
        <w:t>duktgrupper med lite gjennomslag på marknaden.</w:t>
      </w:r>
    </w:p>
    <w:p w:rsidR="00D30C4D" w:rsidRDefault="00B964E1" w:rsidP="00020FC3">
      <w:r>
        <w:t xml:space="preserve">Granavolden-plattforma varslar at regjeringa vil jobbe for </w:t>
      </w:r>
      <w:proofErr w:type="gramStart"/>
      <w:r>
        <w:t>å</w:t>
      </w:r>
      <w:proofErr w:type="gramEnd"/>
      <w:r>
        <w:t xml:space="preserve"> styrkje dei internasjonale milj</w:t>
      </w:r>
      <w:r>
        <w:t>ø</w:t>
      </w:r>
      <w:r>
        <w:t>merkeordningane. Dei siste par åra (2017 og 2018) har driftstilskotet til Stiftinga Miljømerking blitt styrkt. I kjølvatnet av dette følgde ein stor vekst i talet på svanemerka produkt. Med fleire miljømerka produkt på marknaden vil forbrukarane enklare kunne gjere berekraftige val. Styrkinga fortset i 2019. Det er eit viktig prinsipp at miljømerkinga ikkje skal verke villeiande overfor andre miljømerke eller skape avgrensingar for andre miljøsertifiserte produkt. Regj</w:t>
      </w:r>
      <w:r>
        <w:t>e</w:t>
      </w:r>
      <w:r>
        <w:t>ringa vil halde fram arbeidet retta mot dei internasjonale miljømerkeordningane.</w:t>
      </w:r>
    </w:p>
    <w:p w:rsidR="00D30C4D" w:rsidRDefault="00B964E1" w:rsidP="00020FC3">
      <w:pPr>
        <w:pStyle w:val="tittel-ramme"/>
      </w:pPr>
      <w:r>
        <w:t>Er det farleg?</w:t>
      </w:r>
    </w:p>
    <w:p w:rsidR="00D30C4D" w:rsidRDefault="00B964E1" w:rsidP="00020FC3">
      <w:r>
        <w:t>Nettsida www.erdetfarlig.no gir ein oversikt over dei mest helse- og miljøskadelege stoffa som finst i vanlege forbrukarprodukt. Her finn ein informasjon om kvifor stoffa er farlege, kva produkt dei kan vere i, og kva ein eventuelt skal sjå etter på innhaldslista for å unngå dei. I tillegg kan ein få hjelp til å finne dei mest miljøvennlege alternativa og kaste produkt på rett måte. Dei fleste helse- og miljøfarlege stoff som finst i forbrukarprodukt, vil i lita grad lekke ut under bruk av produktet. Derimot kan stoffa sleppe ut i miljøet ved produksjon eller dersom produkta ikkje blir leverte inn til forsvarleg avfallshandtering. For enkelte produkt er det viktig å ta naudsynte forholdsreglar for å unngå helseskade ved bruk. Døme på slike produkt er m</w:t>
      </w:r>
      <w:r>
        <w:t>å</w:t>
      </w:r>
      <w:r>
        <w:t>ling, lakk, lim og sterke vaskemiddel. Slike produkt har faremerke på norsk om kva forhold</w:t>
      </w:r>
      <w:r>
        <w:t>s</w:t>
      </w:r>
      <w:r>
        <w:t>reglar ein må ta. Miljødirektoratet står bak Erdetfarlig.no i samarbeid med Mattilsynet og Miljømerking. Forbrukarrådet og Grønn Hverdag har også vore med på å utvikle nettstaden.</w:t>
      </w:r>
    </w:p>
    <w:p w:rsidR="00D30C4D" w:rsidRDefault="00B964E1">
      <w:pPr>
        <w:pStyle w:val="Ramme-slutt"/>
        <w:rPr>
          <w:sz w:val="26"/>
          <w:szCs w:val="26"/>
        </w:rPr>
      </w:pPr>
      <w:r>
        <w:rPr>
          <w:sz w:val="26"/>
          <w:szCs w:val="26"/>
        </w:rPr>
        <w:t>[Boks slutt]</w:t>
      </w:r>
    </w:p>
    <w:p w:rsidR="00D30C4D" w:rsidRDefault="00B964E1" w:rsidP="00020FC3">
      <w:pPr>
        <w:pStyle w:val="Overskrift3"/>
      </w:pPr>
      <w:r>
        <w:lastRenderedPageBreak/>
        <w:t>Strategi for sirkulær økonomi</w:t>
      </w:r>
    </w:p>
    <w:p w:rsidR="00D30C4D" w:rsidRDefault="00B964E1" w:rsidP="00020FC3">
      <w:r>
        <w:t>Ein sirkulær økonomi går ut på å ta vare på verdiane i produktmateriala lengst mogleg, og inneber ein ny måte å organisere produksjon og forbruk på. Vi kan redusere behovet for nye materialressursar ved å ta i bruk forretningsmodellar basert på digitale plattformer med vekt på forbrukartilpassa tenester. For å sikre ei berekraftig utvikling er det viktig å bruke om att re</w:t>
      </w:r>
      <w:r>
        <w:t>s</w:t>
      </w:r>
      <w:r>
        <w:t>sursar så langt som mogleg i staden for å ta i bruk nye.</w:t>
      </w:r>
    </w:p>
    <w:p w:rsidR="00D30C4D" w:rsidRDefault="00B964E1" w:rsidP="00020FC3">
      <w:r>
        <w:t>Ein sirkulær økonomi baserer seg på auka levetid for produkta, attvinning, reparasjon og bruk av attvunne avfall for å lage nye produkt. Siktemålet med ein sirkulær økonomi er at ressursane blir verande i økonomien sjølv om produktet dei inngår i, ikkje lenger blir brukt til det op</w:t>
      </w:r>
      <w:r>
        <w:t>p</w:t>
      </w:r>
      <w:r>
        <w:t>havlege føremålet. Dette reduserer behovet for påfyll av nye materialar og energi. Miljøp</w:t>
      </w:r>
      <w:r>
        <w:t>å</w:t>
      </w:r>
      <w:r>
        <w:t>kjenninga i løpet av livssyklusen til eit produkt – frå uttak av naturressursar, gjennom produ</w:t>
      </w:r>
      <w:r>
        <w:t>k</w:t>
      </w:r>
      <w:r>
        <w:t>sjon og bruk fram til levetid er over – blir såleis mindre.</w:t>
      </w:r>
    </w:p>
    <w:p w:rsidR="00D30C4D" w:rsidRDefault="00B964E1" w:rsidP="00020FC3">
      <w:r>
        <w:t>I EU står sirkulær økonomi sentralt mellom anna i arbeidet med 2020-strategien for smart, berekraftig og inkluderande økonomisk vekst. EU ventar positive effektar for økonomisk vekst, sysselsetjing, konkurransekraft og klima- og miljøvern. I arbeidet med sirkulær økonomi i EU, og nasjonale strategiar i til dømes Sverige, Finland, Danmark og Nederland, blir det nytta ei brei tilnærming som involverer ei rekkje politikkområde. EU-politikken omfattar mellom anna produktdesign og produksjonsprosessar, forbrukarspørsmål, avfallshandtering, marknader for sekundære råvarer, innovasjon, forsking og investeringar.</w:t>
      </w:r>
    </w:p>
    <w:p w:rsidR="00D30C4D" w:rsidRDefault="00B964E1" w:rsidP="00020FC3">
      <w:r>
        <w:t>I desember 2015 la EU fram ei pakke om sirkulær økonomi. Pakka inneheldt ein handlingsplan og forslag til rettsakter som mellom anna set ambisiøse krav til attvinning av materialar, a</w:t>
      </w:r>
      <w:r>
        <w:t>v</w:t>
      </w:r>
      <w:r>
        <w:t xml:space="preserve">fallshandtering og forsøpling innan 2025. EU-reglane får mykje </w:t>
      </w:r>
      <w:proofErr w:type="gramStart"/>
      <w:r>
        <w:t>å</w:t>
      </w:r>
      <w:proofErr w:type="gramEnd"/>
      <w:r>
        <w:t xml:space="preserve"> seie for Noreg på dette o</w:t>
      </w:r>
      <w:r>
        <w:t>m</w:t>
      </w:r>
      <w:r>
        <w:t>rådet, gjennom EØS-avtalen.</w:t>
      </w:r>
    </w:p>
    <w:p w:rsidR="00D30C4D" w:rsidRDefault="00B964E1" w:rsidP="00020FC3">
      <w:r>
        <w:t>Den politiske regjeringsplattforma frå Granavolden gir uttrykk for at Noreg skal vere eit f</w:t>
      </w:r>
      <w:r>
        <w:t>ø</w:t>
      </w:r>
      <w:r>
        <w:t>regangsland i utviklinga av ein grøn, sirkulær økonomi som gir betre ressursutnytting.</w:t>
      </w:r>
    </w:p>
    <w:p w:rsidR="00D30C4D" w:rsidRDefault="00B964E1" w:rsidP="00020FC3">
      <w:r>
        <w:t xml:space="preserve">Stortinget har ved handsaminga av Meld. St. 45 (2016–2017) </w:t>
      </w:r>
      <w:r>
        <w:rPr>
          <w:rStyle w:val="kursiv"/>
          <w:sz w:val="21"/>
          <w:szCs w:val="21"/>
        </w:rPr>
        <w:t>Avfall som ressurs – avfallspolitikk og sirkulær økonomi</w:t>
      </w:r>
      <w:r>
        <w:t xml:space="preserve"> </w:t>
      </w:r>
      <w:proofErr w:type="gramStart"/>
      <w:r>
        <w:t>bede</w:t>
      </w:r>
      <w:proofErr w:type="gramEnd"/>
      <w:r>
        <w:t xml:space="preserve"> regjeringa om å utarbeide ein nasjonal strategi for ein sirkulær økonomi. Regjeringa vil komme tilbake til oppfølginga av oppmodingsvedtaket frå Stortinget.</w:t>
      </w:r>
    </w:p>
    <w:p w:rsidR="00D30C4D" w:rsidRDefault="00B964E1" w:rsidP="00020FC3">
      <w:pPr>
        <w:pStyle w:val="Overskrift3"/>
      </w:pPr>
      <w:r>
        <w:t>Opplæring i berekraftig forbruk</w:t>
      </w:r>
    </w:p>
    <w:p w:rsidR="00D30C4D" w:rsidRDefault="00B964E1" w:rsidP="00020FC3">
      <w:r>
        <w:t>Regjeringa vil satse på betre kunnskap om berekraftig forbruk gjennom betre informasjon og opplæring på ulike arenaer. I arbeidet med informasjon og opplæring vil vi kunne trekkje vekslar på forumet vi skal etablere for berekraftig forbruk.</w:t>
      </w:r>
    </w:p>
    <w:p w:rsidR="00D30C4D" w:rsidRDefault="00B964E1" w:rsidP="00020FC3">
      <w:r>
        <w:t xml:space="preserve">Skulen er ein viktig arena både for å skape forståing for etikk-, miljø- og ressursproblem og for å skape medvit om forbruk. Ifølgje opplæringslova § 1-1 er målet med opplæringa at elevane skal lære </w:t>
      </w:r>
      <w:proofErr w:type="gramStart"/>
      <w:r>
        <w:t>å</w:t>
      </w:r>
      <w:proofErr w:type="gramEnd"/>
      <w:r>
        <w:t xml:space="preserve"> tenkje kritisk og handle etisk og miljømedvite. Temaet er utdjupa i </w:t>
      </w:r>
      <w:r>
        <w:rPr>
          <w:rStyle w:val="kursiv"/>
          <w:sz w:val="21"/>
          <w:szCs w:val="21"/>
        </w:rPr>
        <w:t>Overordna del – verdiar og prinsipp for grunnopplæringa</w:t>
      </w:r>
      <w:r>
        <w:t>, som blei vedteke 1. september 2017. Overordna del i</w:t>
      </w:r>
      <w:r>
        <w:t>n</w:t>
      </w:r>
      <w:r>
        <w:t>neheld også eit eige delkapittel som heiter «Respekt for naturen og miljømedvit». Der står det mellom anna at elevane skal utvikle medvit om korleis levesettet vårt påverkar naturen, klimaet og dermed samfunnet. Vidare står det at skulen skal medverke til at elevane utviklar vilje til å ta vare på miljøet.</w:t>
      </w:r>
    </w:p>
    <w:p w:rsidR="00D30C4D" w:rsidRDefault="00B964E1" w:rsidP="00020FC3">
      <w:r>
        <w:lastRenderedPageBreak/>
        <w:t>Kunnskapsdepartementet er no i gang med å fornye læreplanane i alle fag. Overordna del ligg til grunn for fornyinga av faga. Gjennom fagfornyinga blir det innført tre tverrfaglege tema i læreplanverket: 1) folkehelse og livsmeistring, 2) demokrati og medborgarskap og 3) ber</w:t>
      </w:r>
      <w:r>
        <w:t>e</w:t>
      </w:r>
      <w:r>
        <w:t>kraftig utvikling. Dei tverrfaglege temaa blir dekte over fleire læreplanar i fag der det er n</w:t>
      </w:r>
      <w:r>
        <w:t>a</w:t>
      </w:r>
      <w:r>
        <w:t>turleg.</w:t>
      </w:r>
    </w:p>
    <w:p w:rsidR="00D30C4D" w:rsidRDefault="00B964E1" w:rsidP="00020FC3">
      <w:r>
        <w:t xml:space="preserve">Før arbeidet med å fornye læreplanane starta, blei det i juni 2018 fastsett kjerneelement i faga. Desse skal syne kva som er det viktigaste og mest sentrale i dei ulike faga, og kva som er prioriteringane i dei nye læreplanane. Kjerneelementa i fleire fag inkluderer berekraft på ulike måtar, men det er for tidleg </w:t>
      </w:r>
      <w:proofErr w:type="gramStart"/>
      <w:r>
        <w:t>å</w:t>
      </w:r>
      <w:proofErr w:type="gramEnd"/>
      <w:r>
        <w:t xml:space="preserve"> seie noko om korleis dette konkret vil komme til uttrykk i lær</w:t>
      </w:r>
      <w:r>
        <w:t>e</w:t>
      </w:r>
      <w:r>
        <w:t xml:space="preserve">planane for faga. Høyringsperioden for dei nye læreplanane er 18. mars til 18. juni 2019. Dei vert </w:t>
      </w:r>
      <w:proofErr w:type="gramStart"/>
      <w:r>
        <w:t>fastsette</w:t>
      </w:r>
      <w:proofErr w:type="gramEnd"/>
      <w:r>
        <w:t xml:space="preserve"> hausten 2019 og er klare til bruk hausten 2020.</w:t>
      </w:r>
    </w:p>
    <w:p w:rsidR="00D30C4D" w:rsidRDefault="00B964E1" w:rsidP="00020FC3">
      <w:r>
        <w:t>Barne- og familiedepartementet samarbeider med ulike aktørar for å bidra til at elevane skal få god undervising i berekraftig forbruk. Departementet samarbeider no med Senter for sama</w:t>
      </w:r>
      <w:r>
        <w:t>r</w:t>
      </w:r>
      <w:r>
        <w:t>beidslæring for berekraftig utvikling ved Høgskulen i Innlandet om å utvikle og distribuere undervisingsmateriell. På oppdrag frå departementet arrangerer senteret også fagdagar for lærarstudentar og kurs for lærarar. Høgskulen har bygd opp solid kompetanse på dette fagfeltet og har ei leiande rolle i arbeidet med utdanning for ansvarleg berekraftig forbruk. I 2014 blei høgskulen tildelt UNESCO Chair-status for å sikre ekspertise og vidareføring av arbeidet med dette temaet. Opplæringsmateriellet frå senteret er sterkt etterspurt. Barne- og familiedepa</w:t>
      </w:r>
      <w:r>
        <w:t>r</w:t>
      </w:r>
      <w:r>
        <w:t xml:space="preserve">tementet ser det som viktig </w:t>
      </w:r>
      <w:proofErr w:type="gramStart"/>
      <w:r>
        <w:t>å</w:t>
      </w:r>
      <w:proofErr w:type="gramEnd"/>
      <w:r>
        <w:t xml:space="preserve"> oppretthalde kompetansemiljøet ved høgskulen og ønskjer å halde fram samarbeidet om oppgåver knytte til undervising i berekraftig forbruk.</w:t>
      </w:r>
    </w:p>
    <w:p w:rsidR="00D30C4D" w:rsidRDefault="00B964E1" w:rsidP="00020FC3">
      <w:r>
        <w:t>Som før nemnt er det meininga at dei nye læreplanane skal bli vedtekne hausten 2019. Det vil då vere aktuelt å vurdere om Senter for samarbeidslæring kan vere med på å utvikle nye l</w:t>
      </w:r>
      <w:r>
        <w:t>æ</w:t>
      </w:r>
      <w:r>
        <w:t xml:space="preserve">ringsressursar for lærarar og skular. Samstundes er det viktig </w:t>
      </w:r>
      <w:proofErr w:type="gramStart"/>
      <w:r>
        <w:t>å</w:t>
      </w:r>
      <w:proofErr w:type="gramEnd"/>
      <w:r>
        <w:t xml:space="preserve"> vere klar over at nasjonale styresmakter verken vurderer eller godkjenner læremiddel. Det er opp til den enkelte lærar </w:t>
      </w:r>
      <w:proofErr w:type="gramStart"/>
      <w:r>
        <w:t>og</w:t>
      </w:r>
      <w:proofErr w:type="gramEnd"/>
      <w:r>
        <w:t xml:space="preserve"> skule å velje kva læremiddel og læringsressursar dei skal bruke.</w:t>
      </w:r>
    </w:p>
    <w:p w:rsidR="00D30C4D" w:rsidRDefault="00B964E1" w:rsidP="00020FC3">
      <w:r>
        <w:t>Barne- og familiedepartementet samarbeider i tillegg med organisasjonen Ungt Entreprenø</w:t>
      </w:r>
      <w:r>
        <w:t>r</w:t>
      </w:r>
      <w:r>
        <w:t>skap (UE) om eit undervisingsopplegg for ungdomstrinnet som skal fremje forståinga av b</w:t>
      </w:r>
      <w:r>
        <w:t>e</w:t>
      </w:r>
      <w:r>
        <w:t>rekraftig forbruk.</w:t>
      </w:r>
    </w:p>
    <w:p w:rsidR="00D30C4D" w:rsidRDefault="00B964E1" w:rsidP="00020FC3">
      <w:r>
        <w:t>Samarbeidet med Ungt Entreprenørskap og Senter for samarbeidslæring ved Høgskulen i Innlandet utfyller kvarandre. Miljøet på høgskulen har stor fagekspertise. I tillegg til å prod</w:t>
      </w:r>
      <w:r>
        <w:t>u</w:t>
      </w:r>
      <w:r>
        <w:t xml:space="preserve">sere og distribuere undervisingsmateriell, arrangerer senteret fagdagar for lærarstudentar og kurs for lærarar. UE har distriktskontor i alle </w:t>
      </w:r>
      <w:proofErr w:type="gramStart"/>
      <w:r>
        <w:t>fylke</w:t>
      </w:r>
      <w:proofErr w:type="gramEnd"/>
      <w:r>
        <w:t xml:space="preserve"> og har eit godt kontaktnett ute i skulane. Organisasjonen har såleis høve til </w:t>
      </w:r>
      <w:proofErr w:type="gramStart"/>
      <w:r>
        <w:t>å</w:t>
      </w:r>
      <w:proofErr w:type="gramEnd"/>
      <w:r>
        <w:t xml:space="preserve"> vere fysisk til stades og ta del i undervisinga på skulane. Tiltaka i regi av høgskulen og UE når ut til ein avgrensa del av skuleelevane. Barne- og fam</w:t>
      </w:r>
      <w:r>
        <w:t>i</w:t>
      </w:r>
      <w:r>
        <w:t>liedepartementet vil vurdere om det er mogleg å auke innsatsen slik at dei frivillige tilboda blir tilgjengelege for fleire, både i og utanfor skulen.</w:t>
      </w:r>
    </w:p>
    <w:p w:rsidR="00D30C4D" w:rsidRDefault="00741EEC" w:rsidP="00741EEC">
      <w:pPr>
        <w:pStyle w:val="Figur"/>
      </w:pPr>
      <w:r>
        <w:rPr>
          <w:noProof/>
        </w:rPr>
        <w:t>[:figur:figX-X.jpg]</w:t>
      </w:r>
    </w:p>
    <w:p w:rsidR="00D30C4D" w:rsidRDefault="00B964E1" w:rsidP="00020FC3">
      <w:pPr>
        <w:pStyle w:val="figur-tittel"/>
      </w:pPr>
      <w:r>
        <w:t> </w:t>
      </w:r>
    </w:p>
    <w:p w:rsidR="00D30C4D" w:rsidRDefault="00B964E1" w:rsidP="00020FC3">
      <w:pPr>
        <w:pStyle w:val="figur-noter"/>
        <w:rPr>
          <w:sz w:val="21"/>
          <w:szCs w:val="21"/>
        </w:rPr>
      </w:pPr>
      <w:r>
        <w:t>Foto: Johnér</w:t>
      </w:r>
    </w:p>
    <w:p w:rsidR="00D30C4D" w:rsidRDefault="00B964E1" w:rsidP="00020FC3">
      <w:pPr>
        <w:pStyle w:val="Overskrift2"/>
      </w:pPr>
      <w:r>
        <w:lastRenderedPageBreak/>
        <w:t>Berekraft i matkjeda</w:t>
      </w:r>
    </w:p>
    <w:p w:rsidR="00D30C4D" w:rsidRDefault="00B964E1" w:rsidP="00020FC3">
      <w:r>
        <w:t>Berekraftig og miljøvennleg praksis i matkjeda gjeld mellom anna korleis kosthaldet er sett saman, matsvinn og miljøomsyn ved produksjon av mat. Det er stort samsvar mellom hels</w:t>
      </w:r>
      <w:r>
        <w:t>e</w:t>
      </w:r>
      <w:r>
        <w:t>fremjande og berekraftig kosthald.</w:t>
      </w:r>
      <w:r>
        <w:rPr>
          <w:vertAlign w:val="superscript"/>
        </w:rPr>
        <w:footnoteReference w:id="95"/>
      </w:r>
    </w:p>
    <w:p w:rsidR="00D30C4D" w:rsidRDefault="00B964E1" w:rsidP="00020FC3">
      <w:r>
        <w:t xml:space="preserve">I </w:t>
      </w:r>
      <w:r>
        <w:rPr>
          <w:rStyle w:val="kursiv"/>
          <w:sz w:val="21"/>
          <w:szCs w:val="21"/>
        </w:rPr>
        <w:t xml:space="preserve">Nasjonal handlingsplan for </w:t>
      </w:r>
      <w:proofErr w:type="gramStart"/>
      <w:r>
        <w:rPr>
          <w:rStyle w:val="kursiv"/>
          <w:sz w:val="21"/>
          <w:szCs w:val="21"/>
        </w:rPr>
        <w:t>betre</w:t>
      </w:r>
      <w:proofErr w:type="gramEnd"/>
      <w:r>
        <w:rPr>
          <w:rStyle w:val="kursiv"/>
          <w:sz w:val="21"/>
          <w:szCs w:val="21"/>
        </w:rPr>
        <w:t xml:space="preserve"> kosthald (2017–2021)</w:t>
      </w:r>
      <w:r>
        <w:t xml:space="preserve"> blir det mellom anna påpeika at eit plant</w:t>
      </w:r>
      <w:r>
        <w:t>e</w:t>
      </w:r>
      <w:r>
        <w:t>basert kosthald og eit kosthald med meir fisk og mindre kjøt vil medverke til at ein når både helsepolitiske og klimapolitiske mål. Samanhengen mellom berekraft, miljøvennleg praksis og kosthald blir følgd opp mellom anna i samband med arbeidet for å nå berekraftmåla frå FN.</w:t>
      </w:r>
    </w:p>
    <w:p w:rsidR="00D30C4D" w:rsidRDefault="00B964E1" w:rsidP="00020FC3">
      <w:r>
        <w:t xml:space="preserve">Nøyaktig kva som ligg i omgrepet berekraftig kosthald, blir diskutert i ei rekkje forum, også internasjonalt. Temaet er aktuelt i nordisk samanheng i tilknyting til dei felles nordiske råda om kosthald. Nordisk ministerråd har ansvar for ei revidering av dei nordiske tilrådingane for næringsstoff. I dette arbeidet skal rådet ta omsyn til berekraftperspektivet. Regjeringsarbeidet for </w:t>
      </w:r>
      <w:proofErr w:type="gramStart"/>
      <w:r>
        <w:t>å</w:t>
      </w:r>
      <w:proofErr w:type="gramEnd"/>
      <w:r>
        <w:t xml:space="preserve"> fremje eit sunt kosthald vil derfor vere positivt også i eit berekraftperspektiv.</w:t>
      </w:r>
    </w:p>
    <w:p w:rsidR="00D30C4D" w:rsidRDefault="00B964E1" w:rsidP="00020FC3">
      <w:r>
        <w:t>Kosthaldsvala som forbrukarane gjer, har også konsekvensar for berekraftig matproduksjon. I den siste jordbruksmeldinga påpeikar regjeringa at produksjonen av ulike jordbruksvarer har ulikt klimaavtrykk.</w:t>
      </w:r>
      <w:r>
        <w:rPr>
          <w:vertAlign w:val="superscript"/>
        </w:rPr>
        <w:footnoteReference w:id="96"/>
      </w:r>
      <w:r>
        <w:t xml:space="preserve"> I økologisk matproduksjon blir det stilt ekstra krav til miljø og dyreve</w:t>
      </w:r>
      <w:r>
        <w:t>l</w:t>
      </w:r>
      <w:r>
        <w:t xml:space="preserve">ferd i produksjonen. Økologisk jordbruk bidreg også til </w:t>
      </w:r>
      <w:proofErr w:type="gramStart"/>
      <w:r>
        <w:t>å</w:t>
      </w:r>
      <w:proofErr w:type="gramEnd"/>
      <w:r>
        <w:t xml:space="preserve"> gjere norsk jordbruk meir milj</w:t>
      </w:r>
      <w:r>
        <w:t>ø</w:t>
      </w:r>
      <w:r>
        <w:t>vennleg, ved at erfaringar og kunnskap frå økologiske driftsformer kan overførast til det ko</w:t>
      </w:r>
      <w:r>
        <w:t>n</w:t>
      </w:r>
      <w:r>
        <w:t>vensjonelle jordbruket.</w:t>
      </w:r>
    </w:p>
    <w:p w:rsidR="00D30C4D" w:rsidRDefault="00B964E1" w:rsidP="00020FC3">
      <w:r>
        <w:t xml:space="preserve">Regjeringa vil halde fram arbeidet med </w:t>
      </w:r>
      <w:proofErr w:type="gramStart"/>
      <w:r>
        <w:t>å</w:t>
      </w:r>
      <w:proofErr w:type="gramEnd"/>
      <w:r>
        <w:t xml:space="preserve"> leggje til rette for berekraftig matproduksjon og eit sunt og berekraftig kosthald.</w:t>
      </w:r>
    </w:p>
    <w:p w:rsidR="00D30C4D" w:rsidRDefault="00B964E1" w:rsidP="00020FC3">
      <w:pPr>
        <w:pStyle w:val="Overskrift3"/>
      </w:pPr>
      <w:r>
        <w:t>Bransjeavtale om matsvinn</w:t>
      </w:r>
    </w:p>
    <w:p w:rsidR="00D30C4D" w:rsidRDefault="00B964E1" w:rsidP="00020FC3">
      <w:r>
        <w:t>Ein tredel av maten som blir produsert i verda, blir aldri eten. Dette er dels som følgje av svinn i dei ulike ledda i verdikjeda for mat, og dels som følgje av at forbrukarane kastar mat som framleis er etande. På globalt nivå vil mindre matsvinn auke tilgangen til mat utan at ein må auke matproduksjonen. Mindre matsvinn kan vere med på å redusere klima- og miljøpåkje</w:t>
      </w:r>
      <w:r>
        <w:t>n</w:t>
      </w:r>
      <w:r>
        <w:t>ningane. I Noreg står forbrukarane for over halvparten av matsvinnet.</w:t>
      </w:r>
    </w:p>
    <w:p w:rsidR="00D30C4D" w:rsidRDefault="00B964E1" w:rsidP="00020FC3">
      <w:r>
        <w:t>Det private initiativet ForMat-prosjektet frå 2010–2015 omfatta deler av matbransjen, det vil seie matindustrien, grossistane og daglegvarehandelen. Prosjektet var i tillegg retta mot fo</w:t>
      </w:r>
      <w:r>
        <w:t>r</w:t>
      </w:r>
      <w:r>
        <w:t>brukarane, og blei støtta av styresmaktene.</w:t>
      </w:r>
    </w:p>
    <w:p w:rsidR="00D30C4D" w:rsidRDefault="00B964E1" w:rsidP="00020FC3">
      <w:r>
        <w:t xml:space="preserve">I 2017 inngjekk regjeringa ein bransjeavtale om å redusere matsvinnet i Noreg med 50 prosent innan 2030. Dette reduksjonsmålet er i samsvar med berekraftsmål 12.3 frå FN om 50 prosent nedgang i det globale matsvinnet innan 2030. I bransjeavtalen er det også fastsett overordna </w:t>
      </w:r>
      <w:r>
        <w:lastRenderedPageBreak/>
        <w:t>delmål om 15 prosent reduksjon i matsvinnet innan 2020 og 30 prosent reduksjon innan 2025. Partane i avtalen omfattar fem departement</w:t>
      </w:r>
      <w:r>
        <w:rPr>
          <w:vertAlign w:val="superscript"/>
        </w:rPr>
        <w:footnoteReference w:id="97"/>
      </w:r>
      <w:r>
        <w:t xml:space="preserve"> og tolv bransjeorganisasjonar.</w:t>
      </w:r>
      <w:r>
        <w:rPr>
          <w:vertAlign w:val="superscript"/>
        </w:rPr>
        <w:footnoteReference w:id="98"/>
      </w:r>
      <w:r>
        <w:t xml:space="preserve"> Til saman r</w:t>
      </w:r>
      <w:r>
        <w:t>e</w:t>
      </w:r>
      <w:r>
        <w:t>presenterer bransjeorganisasjonane heile verdikjeda for mat. Klima- og miljødepartementet koordinerer arbeidet med bransjeavtalen. Matbransjen sin eigen organisasjon mot matsvinn, Matvett AS, representerer fleire av bransjeorganisasjonane og koordinerer matsvinnarbeidet hos matindustrien, grossistane, daglegvarehandelen og servicesektoren.</w:t>
      </w:r>
    </w:p>
    <w:p w:rsidR="00D30C4D" w:rsidRDefault="00B964E1" w:rsidP="00020FC3">
      <w:r>
        <w:t>Gjennom bransjeavtalen har regjeringa mellom anna sett i gang eit arbeid med systematisk kartlegging av matsvinnet og samanstilling av nasjonal statistikk. Matindustrien, grossistane, daglegvarehandelen og servicesektoren koordinerer, kartlegg og rapporterer frå verksemdene sine. Primærnæringa utarbeider eit opplegg for innsamling av matsvinnstatistikk i samarbeid med styresmaktene. Styresmaktene gir økonomisk støtte til Matvett, forsking og prosjekt retta mot forbrukarane, spesielt når det gjeld informasjon om haldbarheitsmerking.</w:t>
      </w:r>
    </w:p>
    <w:p w:rsidR="00D30C4D" w:rsidRDefault="00B964E1" w:rsidP="00020FC3">
      <w:r>
        <w:t>To år etter at bransjeavtalen blei inngått har 84 norske matverksemder, inkludert alle dagle</w:t>
      </w:r>
      <w:r>
        <w:t>g</w:t>
      </w:r>
      <w:r>
        <w:t>varekjedene, slutta seg til avtala gjennom ei eiga tilslutningsavtale. Også fleire kommunar tek del. Dei 1600 serveringsstadene som er med i bransjeprosjektet KuttMatsvinn 2020, omfattar både sentralkjøkken, sjukeheimar, skular og barnehagar. Totalt sett gjekk matsvinnet i Noreg ned med 14 prosent per person frå 2010 til 2016. Dette vil seie at kvar innbyggjar kasta 11,5 kilo mindre mat.</w:t>
      </w:r>
      <w:r>
        <w:rPr>
          <w:vertAlign w:val="superscript"/>
        </w:rPr>
        <w:footnoteReference w:id="99"/>
      </w:r>
    </w:p>
    <w:p w:rsidR="00D30C4D" w:rsidRDefault="00B964E1" w:rsidP="00020FC3">
      <w:r>
        <w:t>Samarbeidet mellom bransje og styresmakter har vekt internasjonal interesse. Den norske modellen har inspirert til liknande initiativ både i Nederland og i Finland. Norske styresmakter, forskingsmiljø og delvis også matbransjen engasjerer seg i det internasjonale arbeidet med å redusere matsvinn. Det gjeld aktivitetar i FN, OECD, EU og Nordisk ministerråd, inkludert FN-komiteen for mattryggleik, EU-plattforma og EU-ekspertgruppa for matsvinn. Bransjea</w:t>
      </w:r>
      <w:r>
        <w:t>v</w:t>
      </w:r>
      <w:r>
        <w:t>tala representerer eit nybrottsarbeid og er unik i verdssamanheng ved at ho femnar om heile verdikjeda for mat.</w:t>
      </w:r>
    </w:p>
    <w:p w:rsidR="00D30C4D" w:rsidRDefault="00B964E1" w:rsidP="00020FC3">
      <w:r>
        <w:t xml:space="preserve">Temaet matsvinn er omtalt i Meld. St. 45 (2016–2017) </w:t>
      </w:r>
      <w:r>
        <w:rPr>
          <w:rStyle w:val="kursiv"/>
          <w:spacing w:val="-1"/>
          <w:sz w:val="21"/>
          <w:szCs w:val="21"/>
        </w:rPr>
        <w:t>Avfall som ressurs – avfallspolitikk og sirkulær økonomi</w:t>
      </w:r>
      <w:r>
        <w:t xml:space="preserve">. Stortinget har ved handsaminga av meldinga </w:t>
      </w:r>
      <w:proofErr w:type="gramStart"/>
      <w:r>
        <w:t>bede</w:t>
      </w:r>
      <w:proofErr w:type="gramEnd"/>
      <w:r>
        <w:t xml:space="preserve"> regjeringa om å utarbeide ei eiga matkastelov.</w:t>
      </w:r>
      <w:r>
        <w:rPr>
          <w:vertAlign w:val="superscript"/>
        </w:rPr>
        <w:footnoteReference w:id="100"/>
      </w:r>
      <w:r>
        <w:t xml:space="preserve"> Miljødirektoratet har fått i oppdrag å utarbeide eit forslag til matkastelov.</w:t>
      </w:r>
    </w:p>
    <w:p w:rsidR="00D30C4D" w:rsidRDefault="00B964E1" w:rsidP="00020FC3">
      <w:pPr>
        <w:pStyle w:val="tittel-ramme"/>
      </w:pPr>
      <w:r>
        <w:lastRenderedPageBreak/>
        <w:t>Hjelp til å unngå matsvinn</w:t>
      </w:r>
    </w:p>
    <w:p w:rsidR="00D30C4D" w:rsidRDefault="00B964E1" w:rsidP="00020FC3">
      <w:pPr>
        <w:pStyle w:val="avsnitt-undertittel"/>
      </w:pPr>
      <w:r>
        <w:t>Too good to go</w:t>
      </w:r>
    </w:p>
    <w:p w:rsidR="00D30C4D" w:rsidRDefault="00B964E1" w:rsidP="00020FC3">
      <w:r>
        <w:t>«Too good to go» er ein app som er utvikla for å redusere matsvinn. Appen er gratis å laste ned. Han koplar forbrukarar opp mot serveringsstader og butikkar som for ein rimeleg penge sel overskotsmat som elles ville ha blitt kasta. Dette er alt frå bakeri, bensinstasjonar, daglegv</w:t>
      </w:r>
      <w:r>
        <w:t>a</w:t>
      </w:r>
      <w:r>
        <w:t>rebutikkar, kantiner og kafear til hotell og kioskar. I appen får forbrukarane opp servering</w:t>
      </w:r>
      <w:r>
        <w:t>s</w:t>
      </w:r>
      <w:r>
        <w:t xml:space="preserve">stader og butikkar i nærleiken. Etter å ha valt ønskt overskotsmat, betaler forbrukaren gjennom appen, møter opp på avtalt hentestad og viser kvitteringa til dei som jobbar der. «Too good to go» er òg meint som ein haldningskampanje for </w:t>
      </w:r>
      <w:proofErr w:type="gramStart"/>
      <w:r>
        <w:t>å</w:t>
      </w:r>
      <w:proofErr w:type="gramEnd"/>
      <w:r>
        <w:t xml:space="preserve"> spreie bodskapen om matsvinn og skape auka medvit hos forbrukarane og bransjen om korleis ein kan utnytte ressursane på ein best mogleg måte.</w:t>
      </w:r>
    </w:p>
    <w:p w:rsidR="00D30C4D" w:rsidRDefault="00B964E1" w:rsidP="00020FC3">
      <w:pPr>
        <w:pStyle w:val="avsnitt-undertittel"/>
      </w:pPr>
      <w:r>
        <w:t>Holdbart.no</w:t>
      </w:r>
    </w:p>
    <w:p w:rsidR="00D30C4D" w:rsidRDefault="00B964E1" w:rsidP="00020FC3">
      <w:r>
        <w:t>Holdbart.no har både ein nettbutikk og fysiske utsal. Dei sel daglegvarer som har blitt til overs, til forbrukarar i heile Noreg. Butikken kjøper inn varer som av ein eller annan grunn ikkje skal seljast gjennom dei vanlege daglegvarekanalane i Noreg. Dette kan vere produkt som har kort «best før»-dato, har blitt tekne ut av sortimentet til dei store daglegvarekjedene, har pa</w:t>
      </w:r>
      <w:r>
        <w:t>k</w:t>
      </w:r>
      <w:r>
        <w:t>ningsendringar, er sesongvarer eller varer det har blitt produsert for mykje av. Holdbart.no kjøper inn desse varene og sel dei vidare til kundane sine til 20–90 prosent lågare pris sama</w:t>
      </w:r>
      <w:r>
        <w:t>n</w:t>
      </w:r>
      <w:r>
        <w:t>likna med daglegvarebutikken. Holdbart.no ønskjer å redusere den store mengda av matvarer som kvart år blir kasta i Noreg.</w:t>
      </w:r>
    </w:p>
    <w:p w:rsidR="00D30C4D" w:rsidRDefault="00B964E1" w:rsidP="00020FC3">
      <w:pPr>
        <w:pStyle w:val="avsnitt-undertittel"/>
      </w:pPr>
      <w:r>
        <w:t>«Sjå-lukt-smak»-merking</w:t>
      </w:r>
    </w:p>
    <w:p w:rsidR="00D30C4D" w:rsidRDefault="00B964E1" w:rsidP="00020FC3">
      <w:r>
        <w:t>Ei av hovudårsakene til at mat blir kasta, er at han har gått ut på dato. For å oppmuntre fo</w:t>
      </w:r>
      <w:r>
        <w:t>r</w:t>
      </w:r>
      <w:r>
        <w:t>brukarane til å bruke sansane sine når dei vurderer mat som er merka med «best før», er det semje i matbransjen om å utvikle eit frivillig, felles «Sjå-lukt-smak»-symbol. Matbransjen ønskjer gjennom dette prosjektet også å gi generell kunnskap om rett oppbevaring av mat for å sikre lang haldbarheit. Matvett leier prosessen med å utvikle symbolet med ein tilhøyrande frivillig støttetekst som alle leverandørane kan einast om å nytte.</w:t>
      </w:r>
    </w:p>
    <w:p w:rsidR="00D30C4D" w:rsidRDefault="00B964E1">
      <w:pPr>
        <w:pStyle w:val="Ramme-slutt"/>
        <w:rPr>
          <w:sz w:val="26"/>
          <w:szCs w:val="26"/>
        </w:rPr>
      </w:pPr>
      <w:r>
        <w:rPr>
          <w:sz w:val="26"/>
          <w:szCs w:val="26"/>
        </w:rPr>
        <w:t>[Boks slutt]</w:t>
      </w:r>
    </w:p>
    <w:p w:rsidR="00D30C4D" w:rsidRDefault="00B964E1" w:rsidP="00020FC3">
      <w:pPr>
        <w:pStyle w:val="Overskrift2"/>
      </w:pPr>
      <w:r>
        <w:t>Regjeringa vil</w:t>
      </w:r>
    </w:p>
    <w:p w:rsidR="00D30C4D" w:rsidRDefault="00B964E1" w:rsidP="00E05FE4">
      <w:pPr>
        <w:pStyle w:val="Listebombe"/>
        <w:numPr>
          <w:ilvl w:val="0"/>
          <w:numId w:val="1"/>
        </w:numPr>
        <w:ind w:left="320" w:hanging="320"/>
        <w:rPr>
          <w:sz w:val="21"/>
          <w:szCs w:val="21"/>
        </w:rPr>
      </w:pPr>
      <w:r>
        <w:rPr>
          <w:sz w:val="21"/>
          <w:szCs w:val="21"/>
        </w:rPr>
        <w:t>etablere eit samarbeidsforum for berekraftig forbruk</w:t>
      </w:r>
    </w:p>
    <w:p w:rsidR="00D30C4D" w:rsidRDefault="00B964E1" w:rsidP="00E05FE4">
      <w:pPr>
        <w:pStyle w:val="Listebombe"/>
        <w:numPr>
          <w:ilvl w:val="0"/>
          <w:numId w:val="1"/>
        </w:numPr>
        <w:ind w:left="320" w:hanging="320"/>
        <w:rPr>
          <w:sz w:val="21"/>
          <w:szCs w:val="21"/>
        </w:rPr>
      </w:pPr>
      <w:r>
        <w:rPr>
          <w:sz w:val="21"/>
          <w:szCs w:val="21"/>
        </w:rPr>
        <w:t xml:space="preserve">satse på </w:t>
      </w:r>
      <w:proofErr w:type="gramStart"/>
      <w:r>
        <w:rPr>
          <w:sz w:val="21"/>
          <w:szCs w:val="21"/>
        </w:rPr>
        <w:t>betre</w:t>
      </w:r>
      <w:proofErr w:type="gramEnd"/>
      <w:r>
        <w:rPr>
          <w:sz w:val="21"/>
          <w:szCs w:val="21"/>
        </w:rPr>
        <w:t xml:space="preserve"> kunnskap om berekraftig forbruk gjennom betre informasjon og opplæring på ulike arenaer</w:t>
      </w:r>
    </w:p>
    <w:p w:rsidR="00D30C4D" w:rsidRDefault="00B964E1" w:rsidP="00E05FE4">
      <w:pPr>
        <w:pStyle w:val="Listebombe"/>
        <w:numPr>
          <w:ilvl w:val="0"/>
          <w:numId w:val="1"/>
        </w:numPr>
        <w:ind w:left="320" w:hanging="320"/>
        <w:rPr>
          <w:sz w:val="21"/>
          <w:szCs w:val="21"/>
        </w:rPr>
      </w:pPr>
      <w:r>
        <w:rPr>
          <w:sz w:val="21"/>
          <w:szCs w:val="21"/>
        </w:rPr>
        <w:t xml:space="preserve">arbeide for </w:t>
      </w:r>
      <w:proofErr w:type="gramStart"/>
      <w:r>
        <w:rPr>
          <w:sz w:val="21"/>
          <w:szCs w:val="21"/>
        </w:rPr>
        <w:t>å</w:t>
      </w:r>
      <w:proofErr w:type="gramEnd"/>
      <w:r>
        <w:rPr>
          <w:sz w:val="21"/>
          <w:szCs w:val="21"/>
        </w:rPr>
        <w:t xml:space="preserve"> styrkje dei internasjonale miljømerkeordningane</w:t>
      </w:r>
    </w:p>
    <w:p w:rsidR="00D30C4D" w:rsidRDefault="00B964E1" w:rsidP="00E05FE4">
      <w:pPr>
        <w:pStyle w:val="Listebombe"/>
        <w:numPr>
          <w:ilvl w:val="0"/>
          <w:numId w:val="1"/>
        </w:numPr>
        <w:ind w:left="320" w:hanging="320"/>
        <w:rPr>
          <w:sz w:val="21"/>
          <w:szCs w:val="21"/>
        </w:rPr>
      </w:pPr>
      <w:r>
        <w:rPr>
          <w:sz w:val="21"/>
          <w:szCs w:val="21"/>
        </w:rPr>
        <w:t>utarbeide ein nasjonal strategi for sirkulær økonomi</w:t>
      </w:r>
    </w:p>
    <w:p w:rsidR="00D30C4D" w:rsidRDefault="00B964E1" w:rsidP="00E05FE4">
      <w:pPr>
        <w:pStyle w:val="Listebombe"/>
        <w:numPr>
          <w:ilvl w:val="0"/>
          <w:numId w:val="1"/>
        </w:numPr>
        <w:ind w:left="320" w:hanging="320"/>
        <w:rPr>
          <w:sz w:val="21"/>
          <w:szCs w:val="21"/>
        </w:rPr>
      </w:pPr>
      <w:r>
        <w:rPr>
          <w:sz w:val="21"/>
          <w:szCs w:val="21"/>
        </w:rPr>
        <w:t>halde fram samarbeidet med matbransjen om å redusere matsvinnet gjennom bransjeavtalen om matsvinn</w:t>
      </w:r>
    </w:p>
    <w:p w:rsidR="00D30C4D" w:rsidRDefault="00B964E1" w:rsidP="00020FC3">
      <w:pPr>
        <w:pStyle w:val="Overskrift1"/>
      </w:pPr>
      <w:r>
        <w:lastRenderedPageBreak/>
        <w:t>Forbrukarutfordringar på daglegvaremarknaden</w:t>
      </w:r>
    </w:p>
    <w:p w:rsidR="00D30C4D" w:rsidRDefault="00741EEC" w:rsidP="00741EEC">
      <w:pPr>
        <w:pStyle w:val="Figur"/>
      </w:pPr>
      <w:r>
        <w:rPr>
          <w:noProof/>
        </w:rPr>
        <w:t>[:figur:figX-X.jpg]</w:t>
      </w:r>
    </w:p>
    <w:p w:rsidR="00D30C4D" w:rsidRDefault="00B964E1" w:rsidP="00020FC3">
      <w:pPr>
        <w:pStyle w:val="figur-tittel"/>
      </w:pPr>
      <w:r>
        <w:t> </w:t>
      </w:r>
    </w:p>
    <w:p w:rsidR="00D30C4D" w:rsidRDefault="00B964E1" w:rsidP="00020FC3">
      <w:pPr>
        <w:pStyle w:val="figur-noter"/>
      </w:pPr>
      <w:r>
        <w:t>Foto: Johnér</w:t>
      </w:r>
    </w:p>
    <w:p w:rsidR="00D30C4D" w:rsidRDefault="00B964E1" w:rsidP="00BC317E">
      <w:pPr>
        <w:pStyle w:val="Overskrift2"/>
        <w:numPr>
          <w:ilvl w:val="1"/>
          <w:numId w:val="40"/>
        </w:numPr>
      </w:pPr>
      <w:r>
        <w:t>Innleiing</w:t>
      </w:r>
    </w:p>
    <w:p w:rsidR="00D30C4D" w:rsidRDefault="00B964E1" w:rsidP="00020FC3">
      <w:r>
        <w:t>Daglegvaremarknaden er viktig for forbrukarane. Ein god daglegvaremarknad er kjenneteikna av at forbrukarane kan gjere informerte val i tråd med eigne preferansar. Dette inneber god tilgang til eit breitt utval av trygge og sunne daglegvarer av god kvalitet i ulike priskategoriar, og enkelt forståeleg og tilgjengeleg informasjon om kva varene inneheld og kva eigenskapar dei har. Korrekt og informativ merking skal medverke til dette.</w:t>
      </w:r>
    </w:p>
    <w:p w:rsidR="00D30C4D" w:rsidRDefault="00B964E1" w:rsidP="00020FC3">
      <w:r>
        <w:t>Dette kapittelet omhandlar enkelte utviklingstrekk ved daglegvaremarknaden. Vi går her inn på dei viktigaste utfordringane for forbrukarane knytt til digitalisering, merking, merkeordningar og marknadsføring av mat overfor barn og unge. Konkurransen på daglegvaremarknaden er tema i stortingsmeldinga om handelsnæringa, Meld. St. 9 (2018–2019). Konkurransesituasj</w:t>
      </w:r>
      <w:r>
        <w:t>o</w:t>
      </w:r>
      <w:r>
        <w:t>nen får her derfor berre ein kort omtale.</w:t>
      </w:r>
    </w:p>
    <w:p w:rsidR="00D30C4D" w:rsidRDefault="00B964E1" w:rsidP="00020FC3">
      <w:pPr>
        <w:pStyle w:val="Overskrift2"/>
      </w:pPr>
      <w:r>
        <w:t>Utviklinga og konkurransen på daglegvaremarknaden</w:t>
      </w:r>
    </w:p>
    <w:p w:rsidR="00D30C4D" w:rsidRDefault="00B964E1" w:rsidP="00020FC3">
      <w:r>
        <w:t>Ifølgje SSB utgjorde utgiftene til mat og alkoholfrie drikkevarer 11 prosent av dei totale fo</w:t>
      </w:r>
      <w:r>
        <w:t>r</w:t>
      </w:r>
      <w:r>
        <w:t xml:space="preserve">bruksutgiftene til hushalda i 2017. Denne prosentdelen har </w:t>
      </w:r>
      <w:proofErr w:type="gramStart"/>
      <w:r>
        <w:t>lege</w:t>
      </w:r>
      <w:proofErr w:type="gramEnd"/>
      <w:r>
        <w:t xml:space="preserve"> stabilt dei siste åra. Samanlikna med nabolanda har Noreg likevel høgare prisar og eit meir avgrensa utval i daglegvarehand</w:t>
      </w:r>
      <w:r>
        <w:t>e</w:t>
      </w:r>
      <w:r>
        <w:t xml:space="preserve">len. Dette kan forklarast med mellom anna geografi og spreidd folkesetnad, klima og politisk bestemte rammevilkår. Den utfordrande konkurransesituasjonen på daglegvaremarknaden, med høg konsentrasjon både på leverandørleddet og detaljistleddet, kan også vere ei årsak. Ein viktig skilnad mellom den norske og dei andre skandinaviske marknadene er at konkurransen på detaljistleddet i Noreg er prega av fråvær av små, utanlandske utfordrarar i lågprissegmentet. Dette svekkjer den faktiske og potensielle konkurransen frå utanlandske kjeder for dei tre norske </w:t>
      </w:r>
      <w:proofErr w:type="gramStart"/>
      <w:r>
        <w:t>kjedene</w:t>
      </w:r>
      <w:proofErr w:type="gramEnd"/>
      <w:r>
        <w:t>.</w:t>
      </w:r>
    </w:p>
    <w:p w:rsidR="00D30C4D" w:rsidRDefault="00B964E1" w:rsidP="00020FC3">
      <w:r>
        <w:t xml:space="preserve">Det er i dag rundt 15 ulike profilkjeder i Noreg. Dei to </w:t>
      </w:r>
      <w:proofErr w:type="gramStart"/>
      <w:r>
        <w:t>paraplykjedene</w:t>
      </w:r>
      <w:proofErr w:type="gramEnd"/>
      <w:r>
        <w:t xml:space="preserve"> Coop og NorgesGruppen kontrollerer begge fleire ulike profilkjeder i fleire ulike segment. Coop har kjedene Coop Extra, Coop Prix, Coop Obs Hypermarked, Coop Marked og Matkroken, mens NorgesGruppen har kjedene Kiwi, Meny, Joker, Spar, Eurospar, Jacob’s, Nærbutikken og CC. Reitangruppen og IK Lykke har berre éi profilkjede kvar – høvesvis REMA 1000 («REMA») og Bunnpris. I real</w:t>
      </w:r>
      <w:r>
        <w:t>i</w:t>
      </w:r>
      <w:r>
        <w:t>teten har ein derfor fire uavhengige daglegvaregrupperingar med daglegvarebutikkar i Noreg. Paraplykjedene driv og eig i varierande grad butikkane og lokala som er knytte til profilkj</w:t>
      </w:r>
      <w:r>
        <w:t>e</w:t>
      </w:r>
      <w:r>
        <w:t xml:space="preserve">dene. I dag er så godt som alle daglegvarebutikkar knytte til </w:t>
      </w:r>
      <w:proofErr w:type="gramStart"/>
      <w:r>
        <w:t>ei</w:t>
      </w:r>
      <w:proofErr w:type="gramEnd"/>
      <w:r>
        <w:t xml:space="preserve"> kjede.</w:t>
      </w:r>
    </w:p>
    <w:p w:rsidR="00D30C4D" w:rsidRDefault="00B964E1" w:rsidP="00020FC3">
      <w:r>
        <w:t xml:space="preserve">Omsetninga av daglegvarer i Noreg passerte 176 milliardar kroner i 2018 (AC Nielsen 2019), og talet på butikkar har vore stabilt (3843 butikkar ved utgangen av 2017). Meir enn 96 prosent av marknaden blir kontrollert av tre paraplykjeder: NorgesGruppen (43,1 prosent), Coop Norge </w:t>
      </w:r>
      <w:r>
        <w:lastRenderedPageBreak/>
        <w:t xml:space="preserve">(29,7 prosent) og Rema 1000 (23,4 prosent). Dei resterande prosentane blir i hovudsak dekte av Bunnpris (3,8 prosent). Grensehandelen kjem i tillegg og utgjorde i 2017 drygt 15 milliardar kroner. Nettbutikken Kolonial.no </w:t>
      </w:r>
      <w:proofErr w:type="gramStart"/>
      <w:r>
        <w:t>omsette</w:t>
      </w:r>
      <w:proofErr w:type="gramEnd"/>
      <w:r>
        <w:t xml:space="preserve"> i 2017 for 801 millionar kroner.</w:t>
      </w:r>
    </w:p>
    <w:p w:rsidR="00D30C4D" w:rsidRDefault="00B964E1" w:rsidP="00020FC3">
      <w:r>
        <w:t>Vi kan samanlikne konsentrasjonen på detaljistleddet i Noreg med nivået i nabolanda.</w:t>
      </w:r>
      <w:r>
        <w:rPr>
          <w:vertAlign w:val="superscript"/>
        </w:rPr>
        <w:footnoteReference w:id="101"/>
      </w:r>
      <w:r>
        <w:t xml:space="preserve"> Det som skil Noreg frå nabolanda, er mellom anna fråværet av utanlandske hard discount-kjeder som Aldi, Lidl og Netto. Dette er internasjonale kjeder som er store i andre europeiske land, og som derfor kan ha skalafordelar på tvers av landegrensene i mellom anna innkjøp, knowhow og konseptutvikling. Dette inneber at dei kan skape eit sterkare konkurransepress enn det mar</w:t>
      </w:r>
      <w:r>
        <w:t>k</w:t>
      </w:r>
      <w:r>
        <w:t>nadsdelen i dei nordiske landa skulle tilseie. Fråværet av slike kjeder i Noreg gjer at dette konkurransepresset manglar på den norske daglegvaremarknaden.</w:t>
      </w:r>
    </w:p>
    <w:p w:rsidR="00D30C4D" w:rsidRDefault="00B964E1" w:rsidP="00020FC3">
      <w:r>
        <w:t xml:space="preserve">Ein kan til </w:t>
      </w:r>
      <w:proofErr w:type="gramStart"/>
      <w:r>
        <w:t>ei</w:t>
      </w:r>
      <w:proofErr w:type="gramEnd"/>
      <w:r>
        <w:t xml:space="preserve"> viss grad kjøpe daglegvarer frå andre salskanalar enn daglegvarebutikkar – til dømes kioskar, bensinstasjonar, multivarebutikkar, nettbutikkar, taxfree-butikkar og gjennom grensehandel. Bondens marknad og spesialbutikkar for lokalmat har også etablert seg i ma</w:t>
      </w:r>
      <w:r>
        <w:t>t</w:t>
      </w:r>
      <w:r>
        <w:t>marknaden og bidreg til større mangfald for forbrukarane. I kva grad forbrukarane opplever desse salskanalane som reelle alternativ til daglegvarebutikkane, avheng mellom anna av kjøpssituasjonen og preferansane til forbrukarane og av eigenarten til dei ulike kanalane.</w:t>
      </w:r>
    </w:p>
    <w:p w:rsidR="00D30C4D" w:rsidRDefault="00B964E1" w:rsidP="00020FC3">
      <w:r>
        <w:t>For ein del forbrukarar kan netthandel vere ein enkel måte å handle daglegvarer på. Netthandel kan vere både tidssparande, oversiktleg og lett tilgjengeleg heimanfrå. Det kan særleg vere positivt for eldre, funksjonshemma og andre som har vanskar med å komme seg til fysiske butikkar. Samla sett utgjorde omsetninga frå sal av matkasser og daglegvarehandel på nettet om lag 2 milliardar kroner (eks. mva.) i 2018. Omsetninga på dei nye salsplattformene er venta å auke framover. Trenden er aukande også for middagskasser leverte av aktørar som Kolonih</w:t>
      </w:r>
      <w:r>
        <w:t>a</w:t>
      </w:r>
      <w:r>
        <w:t>gen, Godtlevert.no og Adams Matkasse.</w:t>
      </w:r>
    </w:p>
    <w:p w:rsidR="00D30C4D" w:rsidRDefault="00B964E1" w:rsidP="00020FC3">
      <w:r>
        <w:t>Rapporten som Oslo Economics gav ut i 2017 om etableringshinder på daglegvaremarknaden, slår fast at det er vanskeleg for nye aktørar å etablere seg på daglegvaremarknaden. At dei nettbaserte aktørane Marked.no og 123levert.no har måtta leggje ned dei siste åra, underbyggjer dette. Oslo Economics meiner likevel at dersom den aktuelle veksten i netthandelen og o</w:t>
      </w:r>
      <w:r>
        <w:t>m</w:t>
      </w:r>
      <w:r>
        <w:t>setninga av matkasser held fram, vil dette utgjere det største konkurransepresset på dei tre store daglegvarekjedene i tida framover. Utviklinga på denne delen av marknaden framstår likevel førebels som usikker, både med omsyn til omfang og lønnsemd. Slik situasjonen er i dag, ser nettaktørane ut til å utøve eit avgrensa konkurransetrykk på dei tradisjonelle daglegvarekj</w:t>
      </w:r>
      <w:r>
        <w:t>e</w:t>
      </w:r>
      <w:r>
        <w:t>dene.</w:t>
      </w:r>
    </w:p>
    <w:p w:rsidR="00D30C4D" w:rsidRDefault="00B964E1" w:rsidP="00020FC3">
      <w:r>
        <w:t>I stortingsmeldinga om handelsnæringa</w:t>
      </w:r>
      <w:r>
        <w:rPr>
          <w:vertAlign w:val="superscript"/>
        </w:rPr>
        <w:footnoteReference w:id="102"/>
      </w:r>
      <w:r>
        <w:t xml:space="preserve"> har regjeringa gjort greie for utfordringar med konkurransen på daglegvaremarknaden og kva tiltak ein jobbar med for å løyse desse.</w:t>
      </w:r>
    </w:p>
    <w:p w:rsidR="00D30C4D" w:rsidRDefault="00B964E1" w:rsidP="00020FC3">
      <w:pPr>
        <w:pStyle w:val="Overskrift2"/>
      </w:pPr>
      <w:r>
        <w:lastRenderedPageBreak/>
        <w:t>Fordelsprogramma til kjedene</w:t>
      </w:r>
    </w:p>
    <w:p w:rsidR="00D30C4D" w:rsidRDefault="00B964E1" w:rsidP="00020FC3">
      <w:r>
        <w:t>Kvar av dei tre største daglegvarekjedene tilbyr kundane eit fordelsprogram, det vil seie ei form for medlemskap som gir ulike former for utbyte, bonus eller rabatt. Til gjengjeld får kjedene betre kunnskap om kundane, høve til å individualisere tilbod – og kanskje ein viss kundeloj</w:t>
      </w:r>
      <w:r>
        <w:t>a</w:t>
      </w:r>
      <w:r>
        <w:t>litet. Ifølgje SIFO (2017) har Coop 1,7 millionar medlemmar, mens NorgesGruppen (Trumf-kort) har om lag 2 millionar medlemmar. Då Rema 1000 lanserte mobilappen «Æ» i januar 2017, oppgav kjeda at det i løpet av nokre få veker blei registrert 800 000 nedlastingar. Dei fleste forbrukarar er med andre ord medlemmar i eitt eller fleire fordelsprogram knytt til daglegvaremarknaden.</w:t>
      </w:r>
    </w:p>
    <w:p w:rsidR="00D30C4D" w:rsidRDefault="00B964E1" w:rsidP="00020FC3">
      <w:r>
        <w:t xml:space="preserve">Fordelsprogram kan auke kundelojaliteten på fleire måtar. Eit døme kan vere innelåsande mekanismar som trappetrinnbonusar, det vil seie fordelar ein oppnår ved </w:t>
      </w:r>
      <w:proofErr w:type="gramStart"/>
      <w:r>
        <w:t>å</w:t>
      </w:r>
      <w:proofErr w:type="gramEnd"/>
      <w:r>
        <w:t xml:space="preserve"> tene opp poeng over visse nivå. Dersom færre forbrukarar reagerer på prisendringar, dempar </w:t>
      </w:r>
      <w:proofErr w:type="gramStart"/>
      <w:r>
        <w:t>det</w:t>
      </w:r>
      <w:proofErr w:type="gramEnd"/>
      <w:r>
        <w:t xml:space="preserve"> konkurransen. For aktørar med ei dominerande stilling på marknaden kan slike former for rabattar vere i strid med konkurranselova § 11 dersom innlåsingsverknadene gjer at dei mindre aktørane får svekt høve til å konkurrere.</w:t>
      </w:r>
    </w:p>
    <w:p w:rsidR="00D30C4D" w:rsidRDefault="00B964E1" w:rsidP="00020FC3">
      <w:r>
        <w:t xml:space="preserve">Fordelsprogram kan også vere med på å tilsløre prisbiletet. Det skjer ved at forbrukarane fyrst må samanlikne hylleprisane og deretter ta høgde for bonusar, rabattar og personlege tilbod, før dei kan slå fast kvar varene eigentleg er billegast. Det kan i praksis vere vanskeleg for kvar enkelt forbrukar </w:t>
      </w:r>
      <w:proofErr w:type="gramStart"/>
      <w:r>
        <w:t>å</w:t>
      </w:r>
      <w:proofErr w:type="gramEnd"/>
      <w:r>
        <w:t xml:space="preserve"> gjere ei fullstendig prissamanlikning av daglegvarer på tvers av marknaden.</w:t>
      </w:r>
    </w:p>
    <w:p w:rsidR="00D30C4D" w:rsidRDefault="00B964E1" w:rsidP="00020FC3">
      <w:r>
        <w:t>Gjennom fordelsprogram kan daglegvarekjedene skaffe seg data om kjøpa til kvar enkelt kunde. Dette gjer det mogleg å analysere endringar i forbrukaråtferd på individnivå som følgje av til dømes prisendringar, hylleplassjusteringar, produktlanseringar og kampanjar. Slike data har derfor stor verdi for daglegvarekjedene.</w:t>
      </w:r>
    </w:p>
    <w:p w:rsidR="00D30C4D" w:rsidRDefault="00B964E1" w:rsidP="00020FC3">
      <w:r>
        <w:t>Fordelsprogramma til daglegvarekjedene reiser mykje av dei same personvernrelaterte problemstillingane som innsamling av forbrukardata i andre bransjar (t.d. i digitale betalings- og abonnementstenester). Førebelse undersøkingar av korleis kjedene nyttar kundedata, tyder likevel på at ein er noko tilbakehalden når det gjeld å utvide analysar og bruksområde av slike data.</w:t>
      </w:r>
      <w:r>
        <w:rPr>
          <w:vertAlign w:val="superscript"/>
        </w:rPr>
        <w:footnoteReference w:id="103"/>
      </w:r>
    </w:p>
    <w:p w:rsidR="00D30C4D" w:rsidRDefault="00B964E1" w:rsidP="00020FC3">
      <w:r>
        <w:t>Regjeringa meiner det er positivt at forbrukarane kan nytte seg av tilbod og rabattar på mar</w:t>
      </w:r>
      <w:r>
        <w:t>k</w:t>
      </w:r>
      <w:r>
        <w:t>naden. På den andre sida er det viktig at fordelsprogramma ikkje skaper nye, eller forsterkar eksisterande, utfordringar på daglegvaremarknaden. Regjeringa vil følgje med på utviklinga i bruken av kundedata frå fordelsprogram og tette kunnskapshol om korleis dette påverkar fo</w:t>
      </w:r>
      <w:r>
        <w:t>r</w:t>
      </w:r>
      <w:r>
        <w:t>brukarane på daglegvaremarknaden.</w:t>
      </w:r>
    </w:p>
    <w:p w:rsidR="00D30C4D" w:rsidRDefault="00B964E1" w:rsidP="00020FC3">
      <w:pPr>
        <w:pStyle w:val="tittel-ramme"/>
      </w:pPr>
      <w:r>
        <w:t>Nettsal av kosttilskot</w:t>
      </w:r>
    </w:p>
    <w:p w:rsidR="00D30C4D" w:rsidRDefault="00B964E1" w:rsidP="00020FC3">
      <w:r>
        <w:t xml:space="preserve">Nettsalet av kosttilskot er uoversiktleg, og ein stor del av salet går via norske og utanlandske nettbutikkar, treningssenter og ulike alternative behandlarar. Mattilsynet har utført tilsyn som </w:t>
      </w:r>
      <w:r>
        <w:lastRenderedPageBreak/>
        <w:t>viser at aktørane ofte har lite kunnskap om potensielle farar for forbrukarane og kva reglar som gjeld for salet. Mattilsynet og Tolletaten fann i 2017 ulovlege stoff – deriblant anabole steroid, særs høge koffeinnivå, narkotika og reseptpliktige legemiddel – i 70 prøver henta frå kosttilskot som var kjøpte hos utanlandske nettbutikkar. Fleire av dei funne stoffa kunne vere direkte helseskadelege.</w:t>
      </w:r>
    </w:p>
    <w:p w:rsidR="00D30C4D" w:rsidRDefault="00B964E1">
      <w:pPr>
        <w:pStyle w:val="Ramme-slutt"/>
        <w:rPr>
          <w:sz w:val="26"/>
          <w:szCs w:val="26"/>
        </w:rPr>
      </w:pPr>
      <w:r>
        <w:rPr>
          <w:sz w:val="26"/>
          <w:szCs w:val="26"/>
        </w:rPr>
        <w:t>[Boks slutt]</w:t>
      </w:r>
    </w:p>
    <w:p w:rsidR="00D30C4D" w:rsidRDefault="00B964E1" w:rsidP="00020FC3">
      <w:pPr>
        <w:pStyle w:val="tittel-ramme"/>
      </w:pPr>
      <w:r>
        <w:t>Nettsal av alkohol</w:t>
      </w:r>
    </w:p>
    <w:p w:rsidR="00D30C4D" w:rsidRDefault="00B964E1" w:rsidP="00020FC3">
      <w:r>
        <w:t xml:space="preserve">På bakgrunn av utviklinga i sal av daglegvarer på nett er det vedteke </w:t>
      </w:r>
      <w:proofErr w:type="gramStart"/>
      <w:r>
        <w:t>å</w:t>
      </w:r>
      <w:proofErr w:type="gramEnd"/>
      <w:r>
        <w:t xml:space="preserve"> sjå nærare på om ein bør endre regelverket når det gjeld nettsal av alkohol. Helsedirektoratet har på oppdrag frå Helse- og omsorgsdepartementet kartlagt problemstillingar og behovet for å endre regelverket. Rel</w:t>
      </w:r>
      <w:r>
        <w:t>e</w:t>
      </w:r>
      <w:r>
        <w:t>vante aktørar har komme med innspel til problemstillingar og utfordringar. Helse- og o</w:t>
      </w:r>
      <w:r>
        <w:t>m</w:t>
      </w:r>
      <w:r>
        <w:t>sorgsdepartementet vil vurdere kartlegginga frå direktoratet og om det er behov for endringar i regelverket. Eventuelle forslag til endringar i regelverket vil bli sende på høyring.</w:t>
      </w:r>
    </w:p>
    <w:p w:rsidR="00D30C4D" w:rsidRDefault="00B964E1">
      <w:pPr>
        <w:pStyle w:val="Ramme-slutt"/>
        <w:rPr>
          <w:sz w:val="26"/>
          <w:szCs w:val="26"/>
        </w:rPr>
      </w:pPr>
      <w:r>
        <w:rPr>
          <w:sz w:val="26"/>
          <w:szCs w:val="26"/>
        </w:rPr>
        <w:t>[Boks slutt]</w:t>
      </w:r>
    </w:p>
    <w:p w:rsidR="00D30C4D" w:rsidRDefault="00B964E1" w:rsidP="00020FC3">
      <w:pPr>
        <w:pStyle w:val="Overskrift2"/>
      </w:pPr>
      <w:r>
        <w:t>Nye marknadsplassar – nye høve for forbrukarane</w:t>
      </w:r>
    </w:p>
    <w:p w:rsidR="00D30C4D" w:rsidRDefault="00B964E1" w:rsidP="00020FC3">
      <w:proofErr w:type="gramStart"/>
      <w:r>
        <w:t>Ei</w:t>
      </w:r>
      <w:proofErr w:type="gramEnd"/>
      <w:r>
        <w:t xml:space="preserve"> stadig større mengde mat og næringsmiddel blir omsett via internett, formidla gjennom nettbutikkar, sosiale medium og privat delingsøkonomi.</w:t>
      </w:r>
      <w:r>
        <w:rPr>
          <w:vertAlign w:val="superscript"/>
        </w:rPr>
        <w:footnoteReference w:id="104"/>
      </w:r>
      <w:r>
        <w:t xml:space="preserve"> Det blir selt matkasser og tilbode mat mellom privatpersonar gjennom eigne grupper på sosiale medium. Det er positivt at mat blir omsett gjennom nye kanalar. For mange forbrukarar er netthandel ein enklare måte å kjøpe daglegvarer på, både fordi det sparer tid og fordi det kan vere meir oversiktleg.</w:t>
      </w:r>
    </w:p>
    <w:p w:rsidR="00D30C4D" w:rsidRDefault="00B964E1" w:rsidP="00020FC3">
      <w:r>
        <w:t>Omsetning og servering av mat og næringsmiddel er regulert av føresegnene i matlova om å sikre helsemessig trygge næringsmiddel, fremje helse, kvalitet og forbrukaromsyn langs heile produksjonskjeda og sørgje for miljøvennleg produksjon. Mattilsynet fører tilsyn med at mat- og drikkevareprodusentar følgjer regelverket for mattryggleik, men produsentane har sjølve ansvar for at maten er trygg. Reglane gjeld også ved omsetning gjennom nye kanalar.</w:t>
      </w:r>
    </w:p>
    <w:p w:rsidR="00D30C4D" w:rsidRDefault="00B964E1" w:rsidP="00020FC3">
      <w:r>
        <w:t>Regjeringa er oppteken av at ein skal ha eit fleksibelt regelverk og tilsyn, slik at ein kan tilpasse det i takt med utviklinga av nye marknadsplassar. Dette er viktig for å sikre forbrukarane trygg mat og trygge næringsmiddel. Mattilsynet jobbar med å utvikle tilsynet med netthandel og naudsynte støtteverktøy for slikt tilsyn.</w:t>
      </w:r>
    </w:p>
    <w:p w:rsidR="00D30C4D" w:rsidRDefault="00B964E1" w:rsidP="00020FC3">
      <w:pPr>
        <w:pStyle w:val="tittel-ramme"/>
      </w:pPr>
      <w:r>
        <w:t>Rettferdig konsum – REKO-ringar i Noreg</w:t>
      </w:r>
    </w:p>
    <w:p w:rsidR="00D30C4D" w:rsidRDefault="00B964E1" w:rsidP="00020FC3">
      <w:r>
        <w:t>REKO-ringar har blitt ein ny salskanal for lokalprodusert mat i Noreg. Ein REKO-ring er ein enkel distribusjonsmodell for matvarer og fungerer som ei digital kontaktplattform mellom produsentar og forbrukarar i nærområdet. Ein REKO-ring er eit matnettverk der fleire loka</w:t>
      </w:r>
      <w:r>
        <w:t>l</w:t>
      </w:r>
      <w:r>
        <w:lastRenderedPageBreak/>
        <w:t>matprodusentar annonserer varer i ei felles Facebook-gruppe. Kundane førehandsbestiller varer via Facebook-gruppa og får levert varene til avtalt tid på ein fast stad.</w:t>
      </w:r>
    </w:p>
    <w:p w:rsidR="00D30C4D" w:rsidRDefault="00B964E1" w:rsidP="00020FC3">
      <w:r>
        <w:t>REKO, av REttferdig KOnsum, er eit konsept som opphavleg kjem frå Finland. Salsforma har ingen mellomledd og produsenten får 100 prosent av salssummen. Den fyrste REKO-ringen blei etablert i november 2017. Hittil er det etablert om lag 40 REKO-ringar i ulike byar i Noreg, og fleire er planlagde. Dei ulike REKO-ringane i Noreg har til saman over 100 000 følgjarar på Facebook. Om lag 450 produsentar tilbyr varer gjennom denne salskanalen.</w:t>
      </w:r>
    </w:p>
    <w:p w:rsidR="00D30C4D" w:rsidRDefault="00B964E1" w:rsidP="00020FC3">
      <w:r>
        <w:t>Med REKO blir lokal mat lettare tilgjengeleg for forbrukarane, og produsentane kan selje varene sine på ein effektiv måte utan bruk av mellomledd. Etableringa av REKO-ringane er ein del av prosjektet Matnyttig, som Norsk Bonde- og Småbrukarlag har starta. Målet med pr</w:t>
      </w:r>
      <w:r>
        <w:t>o</w:t>
      </w:r>
      <w:r>
        <w:t>sjektet er å auke lokalmatproduksjonen i Noreg, stimulere til betre lønnsemd og skape medvit blant forbrukarane om kor viktig det er med lokal vidareforedling og produksjon i liten skala. Krava til mattryggleik i samband med REKO-ringane er skildra i kapittel 14.4.</w:t>
      </w:r>
    </w:p>
    <w:p w:rsidR="00D30C4D" w:rsidRDefault="00B964E1">
      <w:pPr>
        <w:pStyle w:val="Ramme-slutt"/>
        <w:rPr>
          <w:sz w:val="26"/>
          <w:szCs w:val="26"/>
        </w:rPr>
      </w:pPr>
      <w:r>
        <w:rPr>
          <w:sz w:val="26"/>
          <w:szCs w:val="26"/>
        </w:rPr>
        <w:t>[Boks slutt]</w:t>
      </w:r>
    </w:p>
    <w:p w:rsidR="00D30C4D" w:rsidRDefault="00B964E1" w:rsidP="00020FC3">
      <w:pPr>
        <w:pStyle w:val="Overskrift2"/>
      </w:pPr>
      <w:r>
        <w:t>Forbrukarinformasjon på daglegvaremarknaden</w:t>
      </w:r>
    </w:p>
    <w:p w:rsidR="00D30C4D" w:rsidRDefault="00B964E1" w:rsidP="00020FC3">
      <w:r>
        <w:t>Samanhengen mellom mat og helse, miljø og etikk ved produksjon og forbruk av mat har fått mykje merksemd. Dette er tema som er viktige for matvala til mange forbrukarar. Samstundes er det òg knytt enkelte meir overordna helse- og miljøpolitiske mål til matforbruket.</w:t>
      </w:r>
      <w:r>
        <w:rPr>
          <w:vertAlign w:val="superscript"/>
        </w:rPr>
        <w:footnoteReference w:id="105"/>
      </w:r>
    </w:p>
    <w:p w:rsidR="00D30C4D" w:rsidRDefault="00B964E1" w:rsidP="00020FC3">
      <w:r>
        <w:t>Det florerer med medieoppslag og meiningsytringar om helse og kosthald. Også sjølvop</w:t>
      </w:r>
      <w:r>
        <w:t>p</w:t>
      </w:r>
      <w:r>
        <w:t xml:space="preserve">nemnde ekspertar, kommersielle og til dels useriøse aktørar ytrar seg om desse temaa. Dette kan gjere det krevjande for styresmaktene å nå fram med kunnskapsbaserte råd og tilrådingar om helse og kosthald. Regjeringa arbeider for at forbrukarane skal få god og rett kunnskap om samanhengane mellom kosthald, ernæring og helse. Dette er viktig for å kunne nyttiggjere seg av informasjon om matvarer og navigere i eit uoversiktleg mediebilete. Helsestyresmaktene har ei viktig oppgåve i </w:t>
      </w:r>
      <w:proofErr w:type="gramStart"/>
      <w:r>
        <w:t>å</w:t>
      </w:r>
      <w:proofErr w:type="gramEnd"/>
      <w:r>
        <w:t xml:space="preserve"> leggje til rette for at alle skal få tydeleg og lettfatteleg informasjon om desse temaa. I tråd med dette la regjeringa i 2017 fram ein nasjonal handlingsplan for kos</w:t>
      </w:r>
      <w:r>
        <w:t>t</w:t>
      </w:r>
      <w:r>
        <w:t>hald.</w:t>
      </w:r>
      <w:r>
        <w:rPr>
          <w:vertAlign w:val="superscript"/>
        </w:rPr>
        <w:footnoteReference w:id="106"/>
      </w:r>
      <w:r>
        <w:t xml:space="preserve"> Handlingsplanen viser mellom anna til nyare forsking som påpeikar at eit usunt kos</w:t>
      </w:r>
      <w:r>
        <w:t>t</w:t>
      </w:r>
      <w:r>
        <w:t>hald, saman med høgt blodtrykk og tobakk, er det som tek flest liv i Noreg.</w:t>
      </w:r>
      <w:r>
        <w:rPr>
          <w:vertAlign w:val="superscript"/>
        </w:rPr>
        <w:footnoteReference w:id="107"/>
      </w:r>
      <w:r>
        <w:t xml:space="preserve"> God informasjon om kosthald er derfor prioritert frå regjeringa si side. Her har også matbransjen sjølv ei u</w:t>
      </w:r>
      <w:r>
        <w:t>t</w:t>
      </w:r>
      <w:r>
        <w:t xml:space="preserve">fordring i å gi forbrukarane god og rett informasjon om merking, kvalitet, pris og vareutval. </w:t>
      </w:r>
      <w:r>
        <w:lastRenderedPageBreak/>
        <w:t>Eventuelle digitale informasjonsløysingar vil spesielt kunne gi fordelar for mellom anna a</w:t>
      </w:r>
      <w:r>
        <w:t>l</w:t>
      </w:r>
      <w:r>
        <w:t>lergikarar og svaksynte.</w:t>
      </w:r>
    </w:p>
    <w:p w:rsidR="00D30C4D" w:rsidRDefault="00B964E1" w:rsidP="00020FC3">
      <w:r>
        <w:t xml:space="preserve">Helsedirektoratet </w:t>
      </w:r>
      <w:proofErr w:type="gramStart"/>
      <w:r>
        <w:t>sin</w:t>
      </w:r>
      <w:proofErr w:type="gramEnd"/>
      <w:r>
        <w:t xml:space="preserve"> årlege rapport om utviklinga i norsk kosthald i 2018 viser ei positiv u</w:t>
      </w:r>
      <w:r>
        <w:t>t</w:t>
      </w:r>
      <w:r>
        <w:t>vikling i det norske kosthaldet over tid, men ein negativ trend i konsumet av fisk held fram. Fiskekonsumet er ifølgje helsestyresmaktene allereie lågare enn ein ønskjer. Årsakene er samansette. Faktorar som har innverknad på konsumet av sjømat, er ifølgje Norges Sjømatråd mellom anna del av reklamen, produktutval, pris og tilgjengelegheit. Det er også ein gener</w:t>
      </w:r>
      <w:r>
        <w:t>a</w:t>
      </w:r>
      <w:r>
        <w:t>sjonseffekt; dei eldre et meir enn dei yngre.</w:t>
      </w:r>
    </w:p>
    <w:p w:rsidR="00D30C4D" w:rsidRDefault="00B964E1" w:rsidP="00020FC3">
      <w:r>
        <w:t>Helseministeren etablerte i 2014 ei næringslivsgruppe på matområdet med mål om å sama</w:t>
      </w:r>
      <w:r>
        <w:t>r</w:t>
      </w:r>
      <w:r>
        <w:t>beide om betre kosthald hos innbyggjarane.</w:t>
      </w:r>
      <w:r>
        <w:rPr>
          <w:vertAlign w:val="superscript"/>
        </w:rPr>
        <w:footnoteReference w:id="108"/>
      </w:r>
      <w:r>
        <w:t xml:space="preserve"> Eldre- og folkehelseministeren møter gruppa jamleg for å diskutere aktuelle saker. For </w:t>
      </w:r>
      <w:proofErr w:type="gramStart"/>
      <w:r>
        <w:t>å</w:t>
      </w:r>
      <w:proofErr w:type="gramEnd"/>
      <w:r>
        <w:t xml:space="preserve"> gjere arbeidet til gruppa meir heilskapeleg og f</w:t>
      </w:r>
      <w:r>
        <w:t>ø</w:t>
      </w:r>
      <w:r>
        <w:t>reseieleg inngjekk partane ein eigen intensjonsavtale i 2016. I tillegg til konkrete mål for r</w:t>
      </w:r>
      <w:r>
        <w:t>e</w:t>
      </w:r>
      <w:r>
        <w:t xml:space="preserve">duksjon av salt, metta feitt og sukker i kosthaldet, inneheld avtalen mål for å auke inntaket av frukt, bær, grove kornvarer og fisk. Dette er i tråd med måla i handlingsplanen for </w:t>
      </w:r>
      <w:proofErr w:type="gramStart"/>
      <w:r>
        <w:t>betre</w:t>
      </w:r>
      <w:proofErr w:type="gramEnd"/>
      <w:r>
        <w:t xml:space="preserve"> kos</w:t>
      </w:r>
      <w:r>
        <w:t>t</w:t>
      </w:r>
      <w:r>
        <w:t xml:space="preserve">hald. Dei kosthaldsrelaterte kommunikasjonskampanjane til Helsedirektoratet skal støtte opp om arbeidet knytt til intensjonsavtalen. Om lag 100 verksemder i matbransjen er no </w:t>
      </w:r>
      <w:proofErr w:type="gramStart"/>
      <w:r>
        <w:t>tilknytte</w:t>
      </w:r>
      <w:proofErr w:type="gramEnd"/>
      <w:r>
        <w:t xml:space="preserve"> denne avtalen.</w:t>
      </w:r>
    </w:p>
    <w:p w:rsidR="00D30C4D" w:rsidRDefault="00B964E1" w:rsidP="00020FC3">
      <w:pPr>
        <w:pStyle w:val="tittel-ramme"/>
      </w:pPr>
      <w:r>
        <w:t>Matportalen.no</w:t>
      </w:r>
    </w:p>
    <w:p w:rsidR="00D30C4D" w:rsidRDefault="00B964E1" w:rsidP="00020FC3">
      <w:r>
        <w:t xml:space="preserve">Matportalen.no er ein informasjonsportal som styresmaktene har oppretta for å gi forbrukarretta informasjon om sunn og trygg mat, og fysisk aktivitet. Målet med Matportalen.no er </w:t>
      </w:r>
      <w:proofErr w:type="gramStart"/>
      <w:r>
        <w:t>å</w:t>
      </w:r>
      <w:proofErr w:type="gramEnd"/>
      <w:r>
        <w:t xml:space="preserve"> gjere forbrukarane i stand til å gjere informerte val. Kosthald, helse, matsmitte, hygiene, fysisk a</w:t>
      </w:r>
      <w:r>
        <w:t>k</w:t>
      </w:r>
      <w:r>
        <w:t>tivitet og merking av mat er blant hovudtemaa på Matportalen.no. Fleire etatar er bidragsytarar til Matportalen.no: Mattilsynet, Helsedirektoratet, Folkehelseinstituttet, Vitskapskomiteen for mat og miljø, Veterinærinstituttet, Norsk institutt for bioøkonomi, Havforskingsinstituttet, Direktoratet for strålevern og atomtryggleik, og offentlege matstyresmakter i andre land. A</w:t>
      </w:r>
      <w:r>
        <w:t>n</w:t>
      </w:r>
      <w:r>
        <w:t>svarleg redaktør er kommunikasjonsdirektøren i Mattilsynet.</w:t>
      </w:r>
    </w:p>
    <w:p w:rsidR="00D30C4D" w:rsidRDefault="00B964E1">
      <w:pPr>
        <w:pStyle w:val="Ramme-slutt"/>
        <w:rPr>
          <w:sz w:val="26"/>
          <w:szCs w:val="26"/>
        </w:rPr>
      </w:pPr>
      <w:r>
        <w:rPr>
          <w:sz w:val="26"/>
          <w:szCs w:val="26"/>
        </w:rPr>
        <w:t>[Boks slutt]</w:t>
      </w:r>
    </w:p>
    <w:p w:rsidR="00D30C4D" w:rsidRDefault="00B964E1" w:rsidP="00020FC3">
      <w:pPr>
        <w:pStyle w:val="Overskrift2"/>
      </w:pPr>
      <w:r>
        <w:t>Merking av matvarer</w:t>
      </w:r>
    </w:p>
    <w:p w:rsidR="00D30C4D" w:rsidRDefault="00B964E1" w:rsidP="00020FC3">
      <w:r>
        <w:t>Korrekt, relevant og lett tilgjengeleg matinformasjon er ein føresetnad for at forbrukarane skal kunne gjere informerte val, setje saman eit sunt kosthald og utøve forbrukarmakt på ma</w:t>
      </w:r>
      <w:r>
        <w:t>t</w:t>
      </w:r>
      <w:r>
        <w:t>marknaden.</w:t>
      </w:r>
    </w:p>
    <w:p w:rsidR="00D30C4D" w:rsidRDefault="00B964E1" w:rsidP="00020FC3">
      <w:r>
        <w:t>Regelverket for matinformasjon, inkludert merking, er heimla i matlova. Matinformasjon</w:t>
      </w:r>
      <w:r>
        <w:t>s</w:t>
      </w:r>
      <w:r>
        <w:t>forskrifta inneheld generelle krav til merking og næringsdeklarasjon av matvarer. Forskrifta er basert på EUs forordning (EU) nr. 1169/2011 om matinformasjon til forbrukarane. Næring</w:t>
      </w:r>
      <w:r>
        <w:t>s</w:t>
      </w:r>
      <w:r>
        <w:lastRenderedPageBreak/>
        <w:t>deklarasjonen skal gi informasjon om innhaldet av energi, feitt, metta feitt, karbohydrat, su</w:t>
      </w:r>
      <w:r>
        <w:t>k</w:t>
      </w:r>
      <w:r>
        <w:t>kerartar, protein og salt.</w:t>
      </w:r>
    </w:p>
    <w:p w:rsidR="00D30C4D" w:rsidRDefault="00B964E1" w:rsidP="00020FC3">
      <w:r>
        <w:t>Krava til merking skal gjere det enklare for forbrukarane å lese og forstå kva maten inneheld. Merkinga skal vere korrekt, gi tilstrekkeleg informasjon og ikkje villeie forbrukarane. Dette er spesielt viktig for personar som har allergiar eller intoleranse mot visse typar matvarer. I tillegg til merking på sjølve matvara, blir det stilt krav til presentasjon og reklame.</w:t>
      </w:r>
    </w:p>
    <w:p w:rsidR="00D30C4D" w:rsidRDefault="00B964E1" w:rsidP="00020FC3">
      <w:r>
        <w:t xml:space="preserve">I tillegg til å ta inn EU sine generelle merkereglar, har vi også nasjonale merkereglar. Særeigne merkereglar på fisk gir forbrukarane rett til informasjon om fangst-/slaktedato på fersk fisk og </w:t>
      </w:r>
      <w:r>
        <w:rPr>
          <w:spacing w:val="-1"/>
        </w:rPr>
        <w:t>informasjon om fiskeart, produksjonsmetode (opp</w:t>
      </w:r>
      <w:r>
        <w:t>drett eller villfanga) og fangstområde eller opprinnelsesland på fisk.</w:t>
      </w:r>
    </w:p>
    <w:p w:rsidR="00D30C4D" w:rsidRDefault="00B964E1" w:rsidP="00020FC3">
      <w:r>
        <w:t>Det er produsentane og importørane som har ansvaret for at produkta er trygge å ete, og at merkinga er i samsvar med regelverket. Merking er viktig for eit påliteleg frambod og tek vare på både forbrukaren og dei pålitelege aktørane i matkjeda. Informasjon om til dømes hal</w:t>
      </w:r>
      <w:r>
        <w:t>d</w:t>
      </w:r>
      <w:r>
        <w:t>barheit, ingrediensar og næringsinnhald speler òg ei rolle for tryggleiken som forbrukarane opplever. I dette ligg det at forbrukarane skal oppleve subjektivt, og ha tillit til, at maten er trygg, og at produktet faktisk er det som står på pakka. Mattilsynet fører tilsyn med at matvarer som blir produserte og selde i Noreg, innfrir krava i regelverket.</w:t>
      </w:r>
    </w:p>
    <w:p w:rsidR="00D30C4D" w:rsidRDefault="00B964E1" w:rsidP="00020FC3">
      <w:r>
        <w:t>Forbrukarrådet har ved fleire høve gjort undersøkingar som viser at produkt i daglegvareha</w:t>
      </w:r>
      <w:r>
        <w:t>n</w:t>
      </w:r>
      <w:r>
        <w:t xml:space="preserve">delen ikkje alltid inneheld det som blir lovt på pakningane. Forbrukarrådet har derfor oppmoda styresmakter og produsentar til å rydde opp i det som kan bli oppfatta som villeiande merking, slik at forbrukarane kan ha tillit til produsentane. Kvart år går Mattilsynet gjennom merkinga på eit utval av varer i butikkane og gir produsentane pålegg om å rette opp eventuelle feil. Til dømes viste Mattilsynet sin merkesjekk i 2018 at 177 av </w:t>
      </w:r>
      <w:r>
        <w:rPr>
          <w:spacing w:val="-1"/>
        </w:rPr>
        <w:t>209 kontrollerte brød og brødvarer var merkte feil.</w:t>
      </w:r>
      <w:r>
        <w:t xml:space="preserve"> Tala må sjåast i lys av at Mattilsynet fører risikobasert tilsyn i den forstand at ein prioriterer tilsyn på område der ein ventar brot på regelverket. Ingen av feila var av ein slik karakter at dei kunne medføre fare for forbrukarane si helse. For </w:t>
      </w:r>
      <w:proofErr w:type="gramStart"/>
      <w:r>
        <w:t>å</w:t>
      </w:r>
      <w:proofErr w:type="gramEnd"/>
      <w:r>
        <w:t xml:space="preserve"> gjere det enklare for n</w:t>
      </w:r>
      <w:r>
        <w:t>æ</w:t>
      </w:r>
      <w:r>
        <w:t>ringsaktørane å følgje regelverket har Mattilsynet utarbeidd rettleiingsmateriell og informasjon. I tillegg til regelverket generelt, går materiellet på tema som næringsdeklarasjonar, merking av allergen og bruk av helse- og ernæringspåstandar.</w:t>
      </w:r>
    </w:p>
    <w:p w:rsidR="00D30C4D" w:rsidRDefault="00B964E1" w:rsidP="00020FC3">
      <w:r>
        <w:t>Mykje tyder på at næringsdeklarasjonar og innhaldslister er vanskelege å forstå for mange forbrukarar. I ein SIFO-studie frå 2015 var nærare 50 prosent heilt eller delvis samde i p</w:t>
      </w:r>
      <w:r>
        <w:t>å</w:t>
      </w:r>
      <w:r>
        <w:t>standen om at det er vanskeleg å forstå merkinga. Langt færre (31 prosent) svarte at dei ikkje brydde seg om å lese merkinga.</w:t>
      </w:r>
      <w:r>
        <w:rPr>
          <w:vertAlign w:val="superscript"/>
        </w:rPr>
        <w:footnoteReference w:id="109"/>
      </w:r>
      <w:r>
        <w:t xml:space="preserve"> Eit viktig argument for å innføre sunnheitsmerking har nettopp vore at det kan vere vanskeleg å forstå og tolke varedeklarasjonar. Helsestyresmaktene rår forbrukarane til </w:t>
      </w:r>
      <w:proofErr w:type="gramStart"/>
      <w:r>
        <w:t>å</w:t>
      </w:r>
      <w:proofErr w:type="gramEnd"/>
      <w:r>
        <w:t xml:space="preserve"> sjå etter nøkkelholsmerket for å gjere betre og sunnare val.</w:t>
      </w:r>
    </w:p>
    <w:p w:rsidR="00D30C4D" w:rsidRDefault="00B964E1" w:rsidP="00020FC3">
      <w:pPr>
        <w:pStyle w:val="Overskrift3"/>
      </w:pPr>
      <w:r>
        <w:lastRenderedPageBreak/>
        <w:t>Haldbarheitsmerking</w:t>
      </w:r>
    </w:p>
    <w:p w:rsidR="00D30C4D" w:rsidRDefault="00B964E1" w:rsidP="00020FC3">
      <w:r>
        <w:t>Haldbarheitsmerkinga gir viktig informasjon om mattryggleik. Krava til haldbarheitsmerking følgjer av matinformasjonsforskrifta. Ferdigpakka matvarer skal merkast med haldbarheit</w:t>
      </w:r>
      <w:r>
        <w:t>s</w:t>
      </w:r>
      <w:r>
        <w:t>dato. Det er to former for haldbarheitsdato: «Siste forbruksdag» og «best før». Merking med haldbarheitsdato blir gjort av omsyn til både helse og kvalitet. Dei fleste matvarer skal vere merka med «best før…» eller «best før utgangen av…». Datoen viser kor lenge vara held seg i uopna emballasje utan å tape kvalitet eller andre spesifikke eigenskapar. Dersom ein må op</w:t>
      </w:r>
      <w:r>
        <w:t>p</w:t>
      </w:r>
      <w:r>
        <w:t>bevare matvara på ein bestemd måte, skal det i tillegg til dato også vere oppgitt oppbev</w:t>
      </w:r>
      <w:r>
        <w:t>a</w:t>
      </w:r>
      <w:r>
        <w:t>ringsmåte. Matvarer som lett blir skjemde og derfor kan bli helsefarlege, skal merkast med «siste forbruksdag…» etterfølgt av sjølve datoen. Slike matvarer kan ikkje seljast etter at d</w:t>
      </w:r>
      <w:r>
        <w:t>a</w:t>
      </w:r>
      <w:r>
        <w:t>toen er gått ut. Matvarer som lett blir skjemde, skal alltid vere merka med informasjon om oppbevaringsmåte.</w:t>
      </w:r>
    </w:p>
    <w:p w:rsidR="00D30C4D" w:rsidRDefault="00B964E1" w:rsidP="00020FC3">
      <w:r>
        <w:t>Det er produsenten som vurderer og set haldbarheitsdato på matvara. For å unngå unødig matsvinn er det viktig at merking med «siste forbruksdag» berre blir nytta på varer som lett blir skjemde, og som kan bli helsefarlege utan at forbrukarane vil kunne registrere det ved å bruke sansane. For varer som er merka med «best før», vil forbrukarane kunne nytte sansane for å vurdere på eiga hand om ein bør kaste vara. Mattilsynet har utarbeidd eit faktaark om hal</w:t>
      </w:r>
      <w:r>
        <w:t>d</w:t>
      </w:r>
      <w:r>
        <w:t>barheitsmerking. Faktaarket er tilgjengeleg på nettstaden Matportalen.no. Her finst det også forbrukarinformasjon om handtering og oppbevaring av mat på eige kjøkken, og til dømes korleis ein oppbevarer middagsrestar på ein trygg måte.</w:t>
      </w:r>
    </w:p>
    <w:p w:rsidR="00D30C4D" w:rsidRDefault="00B964E1" w:rsidP="00020FC3">
      <w:r>
        <w:t>I samband med oppfølginga av bransjeavtalen om matsvinn som blei omtalt i kapittelet om berekraft, har regjeringa sett i verk ei rekkje tiltak i samarbeid med matbransjen. Store delar av matbransjen blei i 2018 samde om å nytte den frivillige tilleggsmerkinga «best før (dato), ofte god etter». Mattilsynet er einig i at denne frivillige tilleggsmerkinga kan brukast. Målet er å stimulere forbrukarane til å nytte sansane sine for å vurdere om matvarer er skjemde eller etande. Matbransjen har også utvikla eit felles «sjå, lukt, smak»-symbol for å hjelpe forbr</w:t>
      </w:r>
      <w:r>
        <w:t>u</w:t>
      </w:r>
      <w:r>
        <w:t>karane.</w:t>
      </w:r>
    </w:p>
    <w:p w:rsidR="00D30C4D" w:rsidRDefault="00B964E1" w:rsidP="00020FC3">
      <w:r>
        <w:t>Frukt, grønsaker og bakevarer utgjer ein stor del av maten som forbrukarane kastar.</w:t>
      </w:r>
      <w:r>
        <w:rPr>
          <w:vertAlign w:val="superscript"/>
        </w:rPr>
        <w:footnoteReference w:id="110"/>
      </w:r>
      <w:r>
        <w:t xml:space="preserve"> For denne typen varer er det ikkje krav om haldbarheitsmerking. Undersøkingar viser at årsakene til at forbrukarane kastar mat, er komplekse.</w:t>
      </w:r>
      <w:r>
        <w:rPr>
          <w:vertAlign w:val="superscript"/>
        </w:rPr>
        <w:footnoteReference w:id="111"/>
      </w:r>
      <w:r>
        <w:t xml:space="preserve"> For </w:t>
      </w:r>
      <w:proofErr w:type="gramStart"/>
      <w:r>
        <w:t>å</w:t>
      </w:r>
      <w:proofErr w:type="gramEnd"/>
      <w:r>
        <w:t xml:space="preserve"> førebyggje og redusere matsvinn krevst derfor meir informasjon, kunnskapsspreiing og medvitsgjering. Mattilsynet vil i samarbeid med Forbrukarrådet vurdere ytterlegare tiltak for å gi forbrukarane større kunnskap om haldba</w:t>
      </w:r>
      <w:r>
        <w:t>r</w:t>
      </w:r>
      <w:r>
        <w:t>heitsmerking og korleis dei handsamar og oppbevarer mat på rett måte. Organisasjonen Matvett AS arbeider for å redusere matsvinnet blant forbrukarane. Regjeringa vil saman med ma</w:t>
      </w:r>
      <w:r>
        <w:t>t</w:t>
      </w:r>
      <w:r>
        <w:t>bransjen halde fram med å arbeide aktivt for å hjelpe forbrukarane å kaste mindre mat.</w:t>
      </w:r>
    </w:p>
    <w:p w:rsidR="00D30C4D" w:rsidRDefault="00B964E1" w:rsidP="00020FC3">
      <w:pPr>
        <w:pStyle w:val="Overskrift3"/>
      </w:pPr>
      <w:r>
        <w:lastRenderedPageBreak/>
        <w:t>Nye reglar for merking av alkoholhaldige drikkevarer</w:t>
      </w:r>
    </w:p>
    <w:p w:rsidR="00D30C4D" w:rsidRDefault="00B964E1" w:rsidP="00020FC3">
      <w:r>
        <w:t>Alkoholhaldige drikkevarer med meir enn 1,2 volumprosent alkohol er unnatekne frå det o</w:t>
      </w:r>
      <w:r>
        <w:t>b</w:t>
      </w:r>
      <w:r>
        <w:t>ligatoriske kravet i matinformasjonsforordninga om merking med ingrediensliste og næring</w:t>
      </w:r>
      <w:r>
        <w:t>s</w:t>
      </w:r>
      <w:r>
        <w:t>deklarasjon. EU-kommisjonen skal i samsvar med matinformasjonsforordninga vurdere om alkoholhaldige drikkevarer skal vere omfatta av kravet om merking med ingrediensliste og næringsdeklarasjon. Så langt har EU-kommisjonen oppmoda ein samla alkoholindustri til å komme opp med eit felles forslag til ei sjølvreguleringsordning som oppfyller forventinga frå forbrukarane om informasjon om innhald i alkoholhaldige drikkevarer. Alkoholindustrien la fram forslaget sitt til sjølvreguleringsordning i mars 2018. Forslaget inneber ikkje eitt felles forslag, men nokre konkrete krav som skal gjelde for kvar sektor. Forslaget til sjølvregul</w:t>
      </w:r>
      <w:r>
        <w:t>e</w:t>
      </w:r>
      <w:r>
        <w:t>ringsordning er no til vurdering hos EU-kommisjonen.</w:t>
      </w:r>
    </w:p>
    <w:p w:rsidR="00D30C4D" w:rsidRDefault="00B964E1" w:rsidP="00020FC3">
      <w:r>
        <w:t>Regjeringa meiner at alkoholhaldige drikkevarer bør merkast på lik linje med andre matvarer. Det er viktig for folkehelsa at forbrukarane får vite kva produkta inneheld, slik at dei kan gjere informerte val. Frå norsk side er det ønskjeleg med ei regulering, og Noreg har teke opp dette med EU-kommisjonen ved fleire høve. Helse- og omsorgsdepartementet følgjer saka i EU.</w:t>
      </w:r>
    </w:p>
    <w:p w:rsidR="00D30C4D" w:rsidRDefault="00741EEC" w:rsidP="00741EEC">
      <w:pPr>
        <w:pStyle w:val="Figur"/>
      </w:pPr>
      <w:r>
        <w:rPr>
          <w:noProof/>
        </w:rPr>
        <w:t>[:figur:figX-X.jpg]</w:t>
      </w:r>
    </w:p>
    <w:p w:rsidR="00D30C4D" w:rsidRDefault="00B964E1" w:rsidP="00020FC3">
      <w:pPr>
        <w:pStyle w:val="figur-tittel"/>
      </w:pPr>
      <w:r>
        <w:t> </w:t>
      </w:r>
    </w:p>
    <w:p w:rsidR="00D30C4D" w:rsidRDefault="00B964E1" w:rsidP="00020FC3">
      <w:pPr>
        <w:pStyle w:val="figur-noter"/>
        <w:rPr>
          <w:sz w:val="21"/>
          <w:szCs w:val="21"/>
        </w:rPr>
      </w:pPr>
      <w:r>
        <w:t>Foto: Johnér</w:t>
      </w:r>
    </w:p>
    <w:p w:rsidR="00D30C4D" w:rsidRDefault="00B964E1" w:rsidP="00020FC3">
      <w:pPr>
        <w:pStyle w:val="Overskrift2"/>
      </w:pPr>
      <w:r>
        <w:t>Merkeordningar på daglegvaremarknaden</w:t>
      </w:r>
    </w:p>
    <w:p w:rsidR="00D30C4D" w:rsidRDefault="00B964E1" w:rsidP="00020FC3">
      <w:r>
        <w:t>Siktemålet med ei merkeordning er at ho skal vere informativ og gi objektive fakta. Eitt av hovudvilkåra for all merking av mat, inkludert private merkeordningar, er at merkinga ikkje skal vere villeiande. Utover dette kravet er det stor fridom til å utforme private merkeordningar.</w:t>
      </w:r>
    </w:p>
    <w:p w:rsidR="00D30C4D" w:rsidRDefault="00B964E1" w:rsidP="00020FC3">
      <w:r>
        <w:t>Regelverket om bruk av ernærings- og helsepåstandar, informasjon, sporbarheit og merking på matområdet er harmonisert gjennom EØS-avtala. Regelverket om nøkkelholsmerking, verna nemningar og enkelte kvalitetsføresegner er nasjonalt regelverk.</w:t>
      </w:r>
    </w:p>
    <w:p w:rsidR="00D30C4D" w:rsidRDefault="00B964E1" w:rsidP="00020FC3">
      <w:pPr>
        <w:pStyle w:val="Overskrift3"/>
      </w:pPr>
      <w:r>
        <w:t>Nøkkelholet</w:t>
      </w:r>
    </w:p>
    <w:p w:rsidR="00D30C4D" w:rsidRDefault="00B964E1" w:rsidP="00020FC3">
      <w:r>
        <w:t>Nøkkelholet er ei nordisk, offentleg og frivillig merkeordning for sunnare matvarer. Ordninga blei innført i 2009. Kva grupper matvarer som kan få Nøkkelholet, og kva kriterium dei må oppfylle, er fastsett i fellesskap av norske, svenske, danske og islandske styresmakter. Merk</w:t>
      </w:r>
      <w:r>
        <w:t>e</w:t>
      </w:r>
      <w:r>
        <w:t xml:space="preserve">ordninga skal gjere det enkelt </w:t>
      </w:r>
      <w:proofErr w:type="gramStart"/>
      <w:r>
        <w:t>å</w:t>
      </w:r>
      <w:proofErr w:type="gramEnd"/>
      <w:r>
        <w:t xml:space="preserve"> velje sunnare matvarer som inneheld meir fiber og fullkorn og mindre metta feitt, sukker og salt. Innanfor kvar matvaregruppe er det sett ulike kriterium for innhaldet av desse næringsstoffa. Matvaregrupper som brus, godteri, kaker og kjeks kan ikkje merkast med Nøkkelholet. Helsedirektoratet og Mattilsynet har ansvar for utvikling av me</w:t>
      </w:r>
      <w:r>
        <w:t>r</w:t>
      </w:r>
      <w:r>
        <w:t>keordninga, og Mattilsynet fører tilsyn med at reglane for bruk av merket blir følgde. Ei kar</w:t>
      </w:r>
      <w:r>
        <w:t>t</w:t>
      </w:r>
      <w:r>
        <w:t xml:space="preserve">legging som Universitetet i Oslo gjennomførte på oppdrag frå Helsedirektoratet, viser at det </w:t>
      </w:r>
      <w:proofErr w:type="gramStart"/>
      <w:r>
        <w:t>å</w:t>
      </w:r>
      <w:proofErr w:type="gramEnd"/>
      <w:r>
        <w:t xml:space="preserve"> byte til nøkkelholsmerka produkt er eit effektivt grep for å komme nærare eit kosthald som er i tråd med tilrådingane frå styresmaktene.</w:t>
      </w:r>
    </w:p>
    <w:p w:rsidR="00D30C4D" w:rsidRDefault="00B964E1" w:rsidP="00020FC3">
      <w:r>
        <w:lastRenderedPageBreak/>
        <w:t>I 2015 blei forskrifta revidert med skjerpa krav til metta feitt, salt, tilsett sukker og fiber. He</w:t>
      </w:r>
      <w:r>
        <w:t>l</w:t>
      </w:r>
      <w:r>
        <w:t xml:space="preserve">sestyresmaktene meiner det er behov for </w:t>
      </w:r>
      <w:proofErr w:type="gramStart"/>
      <w:r>
        <w:t>å</w:t>
      </w:r>
      <w:proofErr w:type="gramEnd"/>
      <w:r>
        <w:t xml:space="preserve"> følgje utviklinga i talet på og omsetninga av nø</w:t>
      </w:r>
      <w:r>
        <w:t>k</w:t>
      </w:r>
      <w:r>
        <w:t>kelholsprodukt for å kunne vurdere effekten av merkeordninga. Det er også viktig med god kommunikasjon om merkeordninga, slik at fleire forbrukarar vel merka produkt. Samstundes er det viktig å motivere bransjen til å utvikle fleire produkt som kan merkast med Nøkkelholet. Helsestyresmaktene jobbar systematisk med merket, både når det gjeld å revidere og stramme inn kriteria og å styrkje kommunikasjonen mot alle grupper i befolkninga.</w:t>
      </w:r>
    </w:p>
    <w:p w:rsidR="00D30C4D" w:rsidRDefault="00B964E1" w:rsidP="00020FC3">
      <w:r>
        <w:t xml:space="preserve">Talet på nøkkelholsprodukt har auka kraftig sidan merket blei etablert i Noreg. I 2009 var det 409 produkt, mens det i 2017 var 2084 produkt. To av tre nordmenn meiner at merkeordninga er god, og i 2018 hadde 60 prosent stor eller særs stor tillit til Nøkkelholet. Eit av tiltaka i handlingsplanen for </w:t>
      </w:r>
      <w:proofErr w:type="gramStart"/>
      <w:r>
        <w:t>betre</w:t>
      </w:r>
      <w:proofErr w:type="gramEnd"/>
      <w:r>
        <w:t xml:space="preserve"> kosthald er å vurdere om ein kan gjere dei merka produkta enkle å kjenne att, også for for dei med nedsett syn.</w:t>
      </w:r>
    </w:p>
    <w:p w:rsidR="00D30C4D" w:rsidRDefault="00B964E1" w:rsidP="00020FC3">
      <w:r>
        <w:t>Det er eit mål å auke tilbodet av nøkkelholsprodukt i alle daglegvarekjeder og på kiosk-, ben</w:t>
      </w:r>
      <w:r>
        <w:rPr>
          <w:spacing w:val="-3"/>
        </w:rPr>
        <w:t>sin- og servicemarknaden (KBS-marknaden). Dette</w:t>
      </w:r>
      <w:r>
        <w:t xml:space="preserve"> er i tråd med både handlingsplanen for </w:t>
      </w:r>
      <w:proofErr w:type="gramStart"/>
      <w:r>
        <w:t>betre</w:t>
      </w:r>
      <w:proofErr w:type="gramEnd"/>
      <w:r>
        <w:t xml:space="preserve"> kosthald og intensjonsavtalen mellom helsestyresmaktene og matvarebransjen. Matbransjen støttar opp om merket og arbeider for å auke talet på nøkkelholsmerka matvarer.</w:t>
      </w:r>
    </w:p>
    <w:p w:rsidR="00D30C4D" w:rsidRDefault="00B964E1" w:rsidP="00020FC3">
      <w:r>
        <w:t xml:space="preserve">I samarbeid med dei andre nordiske </w:t>
      </w:r>
      <w:proofErr w:type="gramStart"/>
      <w:r>
        <w:t>landa</w:t>
      </w:r>
      <w:proofErr w:type="gramEnd"/>
      <w:r>
        <w:t xml:space="preserve"> vil regjeringa i 2019 lansere og implementere ein felles nordisk varemerkestrategi for å styrkje og utvikle Nøkkelholet.</w:t>
      </w:r>
    </w:p>
    <w:p w:rsidR="00D30C4D" w:rsidRDefault="00B964E1" w:rsidP="00020FC3">
      <w:pPr>
        <w:pStyle w:val="Overskrift3"/>
      </w:pPr>
      <w:r>
        <w:t>Merkeordningar for norsk mat</w:t>
      </w:r>
    </w:p>
    <w:p w:rsidR="00D30C4D" w:rsidRDefault="00B964E1" w:rsidP="00020FC3">
      <w:r>
        <w:t>Stiftinga Matmerk administrerer fleire merkeordningar for norsk mat. Nyt Norge er ei frivillig merkeordning for produkt som er baserte på norske råvarer og kvalitetssikra gjennom Kval</w:t>
      </w:r>
      <w:r>
        <w:t>i</w:t>
      </w:r>
      <w:r>
        <w:t>tetssystem i landbruket (KSL). Nyt Norge-merket garanterer bruk av norske råvarer og stiller krav til at matvarene er heilproduserte av verksemder som er lokaliserte i Noreg.</w:t>
      </w:r>
    </w:p>
    <w:p w:rsidR="00D30C4D" w:rsidRDefault="00B964E1" w:rsidP="00020FC3">
      <w:r>
        <w:t>Spesialitet er den største merkeordninga for lokalmat i Noreg. Produkt med dette merket er laga i Noreg og oppfyller bestemte krav til råvarer, produksjonsmetode og/eller oppskrift.</w:t>
      </w:r>
    </w:p>
    <w:p w:rsidR="00D30C4D" w:rsidRDefault="00B964E1" w:rsidP="00020FC3">
      <w:r>
        <w:t>Beskytta nemningar er ei offentleg merkeordning som gir høve til å verne produktnemningar for mat og drikke ut frå opphav, geografi og tradisjonelt særpreg. Ordninga blir regulert av ei eiga nasjonal forskrift. 29 norske og tre utanlandske produkt er no verna via ordninga. Man</w:t>
      </w:r>
      <w:r>
        <w:t>g</w:t>
      </w:r>
      <w:r>
        <w:t>faldet av produkt er eit resultat av lange tradisjonar, høg kunnskap og råvarer som er dyrka under særs gunstige vekstvilkår. Dette er med på å gi produkta unik smak og karakteristikk.</w:t>
      </w:r>
    </w:p>
    <w:p w:rsidR="00D30C4D" w:rsidRDefault="00B964E1" w:rsidP="00020FC3">
      <w:pPr>
        <w:pStyle w:val="Overskrift3"/>
      </w:pPr>
      <w:r>
        <w:t>Merkeordning for økologiske produkt (Ø-merket)</w:t>
      </w:r>
    </w:p>
    <w:p w:rsidR="00D30C4D" w:rsidRDefault="00B964E1" w:rsidP="00020FC3">
      <w:r>
        <w:t>Omgrepet «økologisk» er verna gjennom det offentlege regelverket for økologisk produksjon. Regelverket er ein del av EØS-avtalen, og dekkjer heile matproduksjonskjeda. EØS-regelverket forpliktar Noreg til å ha ei kontrollordning i offentleg regi. Mattilsynet har gitt Debio rett til å føre tilsyn med og gjere enkeltvedtak på dei fleste av områda som er omfatta av forskrifta. Debio fører tilsyn med at produkt som blir marknadsførte som økologiske, tilfred</w:t>
      </w:r>
      <w:r>
        <w:t>s</w:t>
      </w:r>
      <w:r>
        <w:t>stiller krava som regelverket stiller til økologisk produksjonsmetode. Ø-merket frå Debio kan brukast til å merke økologiske produkt. Det finst òg ein eigen EU-logo for økologiske produkt. Logoane kan brukast saman.</w:t>
      </w:r>
    </w:p>
    <w:p w:rsidR="00D30C4D" w:rsidRDefault="00B964E1" w:rsidP="00020FC3">
      <w:pPr>
        <w:pStyle w:val="tittel-ramme"/>
      </w:pPr>
      <w:r>
        <w:lastRenderedPageBreak/>
        <w:t>Brødskalaen</w:t>
      </w:r>
    </w:p>
    <w:p w:rsidR="00D30C4D" w:rsidRDefault="00B964E1" w:rsidP="00020FC3">
      <w:r>
        <w:t>I Noreg finst det også private merkeordningar for mat. Brødskalaen er ei frivillig merkeordning for mjøl- og bakeribransjen. Merkeordninga er eigd av Baker- og Konditorbransjens Land</w:t>
      </w:r>
      <w:r>
        <w:t>s</w:t>
      </w:r>
      <w:r>
        <w:t>forening. Skalaen viser kor stor prosentdel av den totale mjølmengda i brødet som er heilkorn, sammale mjøl og kli. I tillegg til brødskalasymbolet, er emballasjen merka med grovheitsgrad i prosent.</w:t>
      </w:r>
    </w:p>
    <w:p w:rsidR="00D30C4D" w:rsidRDefault="00B964E1" w:rsidP="00020FC3">
      <w:r>
        <w:t xml:space="preserve">Merkeordninga har gjort det lettare for forbrukarane </w:t>
      </w:r>
      <w:proofErr w:type="gramStart"/>
      <w:r>
        <w:t>å</w:t>
      </w:r>
      <w:proofErr w:type="gramEnd"/>
      <w:r>
        <w:t xml:space="preserve"> velje sunnare brød, og særs mange brød blir i dag selde med brødskalamerket. Ei undersøking som YouGov gjennomførte i 2017, viste at halvparten av dei spurde brukte Brødskalaen dagleg når dei kjøpte brød.</w:t>
      </w:r>
    </w:p>
    <w:p w:rsidR="00D30C4D" w:rsidRDefault="00B964E1">
      <w:pPr>
        <w:pStyle w:val="Ramme-slutt"/>
        <w:rPr>
          <w:sz w:val="26"/>
          <w:szCs w:val="26"/>
        </w:rPr>
      </w:pPr>
      <w:r>
        <w:rPr>
          <w:sz w:val="26"/>
          <w:szCs w:val="26"/>
        </w:rPr>
        <w:t>[Boks slutt]</w:t>
      </w:r>
    </w:p>
    <w:p w:rsidR="00D30C4D" w:rsidRDefault="00B964E1" w:rsidP="00020FC3">
      <w:pPr>
        <w:pStyle w:val="Overskrift3"/>
      </w:pPr>
      <w:r>
        <w:t>Korleis forbrukarane opplever merkemangfaldet</w:t>
      </w:r>
    </w:p>
    <w:p w:rsidR="00D30C4D" w:rsidRDefault="00B964E1" w:rsidP="00020FC3">
      <w:r>
        <w:t>Det finst eit mangfald av merke på den norske daglegvaremarknaden. Ei undersøking som SIFO gjorde i 2011, viser at mange forbrukarar synest det kan vere vanskeleg å orientere seg i mangfaldet av merke. Særs mange ville likevel ikkje vore mangfaldet forutan og prøver å nytte seg aktivt av merka i det daglege. Hovudfunnet i undersøkinga var at forbrukarar flest var nøgde med merkeordningane. Forbrukarane som sette seg inn i og nytta relevante merkeor</w:t>
      </w:r>
      <w:r>
        <w:t>d</w:t>
      </w:r>
      <w:r>
        <w:t xml:space="preserve">ningar når dei handla, var stort sett dei som var særleg opptekne av bestemte vareeigenskapar. Undersøkinga viste også at forbrukarane har høgast tillit til dei offentlege merka. Sjølv om det ikkje såg ut til </w:t>
      </w:r>
      <w:proofErr w:type="gramStart"/>
      <w:r>
        <w:t>å</w:t>
      </w:r>
      <w:proofErr w:type="gramEnd"/>
      <w:r>
        <w:t xml:space="preserve"> vere grunnlag for å hevde at mangfaldet av merke i seg sjølv var eit problem, blei det påpeika eit klart behov for betre informasjon om kva dei ulike merka inneber.</w:t>
      </w:r>
      <w:r>
        <w:rPr>
          <w:vertAlign w:val="superscript"/>
        </w:rPr>
        <w:footnoteReference w:id="112"/>
      </w:r>
    </w:p>
    <w:p w:rsidR="00D30C4D" w:rsidRDefault="00B964E1" w:rsidP="00020FC3">
      <w:r>
        <w:t xml:space="preserve">For </w:t>
      </w:r>
      <w:proofErr w:type="gramStart"/>
      <w:r>
        <w:t>å</w:t>
      </w:r>
      <w:proofErr w:type="gramEnd"/>
      <w:r>
        <w:t xml:space="preserve"> styrkje effekten av merkeordningar som forbrukarrettleiing utarbeidde Forbrukarrådet i 2012 ei nettbasert informasjonsløysing for dei vanlegaste merkeordningane på daglegvar</w:t>
      </w:r>
      <w:r>
        <w:t>e</w:t>
      </w:r>
      <w:r>
        <w:t>marknaden. Merkeoversikta gir lettfatteleg informasjon om mellom anna kven som står bak kvart merke, og kva kriterium som gjeld for bruken av dei ulike merka.</w:t>
      </w:r>
    </w:p>
    <w:p w:rsidR="00D30C4D" w:rsidRDefault="00B964E1" w:rsidP="00020FC3">
      <w:pPr>
        <w:pStyle w:val="Overskrift2"/>
      </w:pPr>
      <w:r>
        <w:t>Marknadsføring av usunn mat og drikke til barn</w:t>
      </w:r>
    </w:p>
    <w:p w:rsidR="00D30C4D" w:rsidRDefault="00B964E1" w:rsidP="00020FC3">
      <w:r>
        <w:t>Vala som forbrukarane tek, blir ikkje styrte berre av kunnskap og haldningar, men også av andre faktorar. Dette kan bli utnytta i marknadsføringa av produkta. Eit døme er produktpla</w:t>
      </w:r>
      <w:r>
        <w:t>s</w:t>
      </w:r>
      <w:r>
        <w:t xml:space="preserve">seringa i daglegvarebutikkane, som kan vere innretta slik at ein impulsivt blir freista til </w:t>
      </w:r>
      <w:proofErr w:type="gramStart"/>
      <w:r>
        <w:t>å</w:t>
      </w:r>
      <w:proofErr w:type="gramEnd"/>
      <w:r>
        <w:t xml:space="preserve"> velje usunne produkt.</w:t>
      </w:r>
    </w:p>
    <w:p w:rsidR="00D30C4D" w:rsidRDefault="00B964E1" w:rsidP="00020FC3">
      <w:r>
        <w:t>Marknadsføringa av mat kan ha andre og til dels motstridande bodskapar samanlikna med merkinga, som skal vere faktabasert. Informasjon som forbrukarpolitisk verkemiddel er a</w:t>
      </w:r>
      <w:r>
        <w:t>v</w:t>
      </w:r>
      <w:r>
        <w:t>grensa til upartisk informasjon som ikkje er knytt til eit personleg økonomisk motiv for å gi informasjonen. Marknadsføring av mat fell derfor ikkje inn under dette informasjonsomgrepet.</w:t>
      </w:r>
    </w:p>
    <w:p w:rsidR="00D30C4D" w:rsidRDefault="00B964E1" w:rsidP="00020FC3">
      <w:r>
        <w:t xml:space="preserve">Verdas helseorganisasjon (WHO) har sidan 2006 jobba med å finne ut korleis medlemslanda kan regulere marknadsføring av usunn mat og drikke til barn. Dette arbeidet er forankra i ei </w:t>
      </w:r>
      <w:r>
        <w:lastRenderedPageBreak/>
        <w:t>rekke deklarasjonar, strategiar og handlingsplanar frå WHO. I 2010 vedtok Verdas helsefo</w:t>
      </w:r>
      <w:r>
        <w:t>r</w:t>
      </w:r>
      <w:r>
        <w:t>samling i WHO tilrådingar om korleis medlemslanda kan regulere denne typen marknadsføring nasjonalt. Noreg har vore initiativtakar og pådrivar for arbeidet i dei styrande WHO-organa.</w:t>
      </w:r>
    </w:p>
    <w:p w:rsidR="00D30C4D" w:rsidRDefault="00B964E1" w:rsidP="00020FC3">
      <w:r>
        <w:t>I 2013 blei det i eit samarbeid mellom Virke, Annonsørforeningen (ANFO) og NHO utarbeidd frivillige retningslinjer for marknadsføring av usunn mat og drikke til barn og unge. Dette var etter at Helse- og omsorgsdepartementet og dåverande Barne-, likestillings- og inkludering</w:t>
      </w:r>
      <w:r>
        <w:t>s</w:t>
      </w:r>
      <w:r>
        <w:t xml:space="preserve">departementet hadde sendt eit forslag til forskrift om regulering av marknadsføring retta mot barn og unge av usunn mat og drikke på høyring. Dei frivillige retningslinjene tok utgangspunkt i forslaget til regulering frå dei to </w:t>
      </w:r>
      <w:proofErr w:type="gramStart"/>
      <w:r>
        <w:t>departementa</w:t>
      </w:r>
      <w:proofErr w:type="gramEnd"/>
      <w:r>
        <w:t>. Virke, ANFO og NHO etablerte Matvar</w:t>
      </w:r>
      <w:r>
        <w:t>e</w:t>
      </w:r>
      <w:r>
        <w:t>bransjens Faglige Utvalg (MFU), som administrerer retningslinjene. Retningslinjene tredde i kraft i januar 2014 og fungerer no som ei sjølvreguleringsordning for matbransjen.</w:t>
      </w:r>
    </w:p>
    <w:p w:rsidR="00D30C4D" w:rsidRDefault="00B964E1" w:rsidP="00020FC3">
      <w:r>
        <w:t>Målet med ordninga er å hindre marknadsføring av visse typar mat og drikke retta mot barn under 13 år. Retningslinjene er eit supplement til, og ei konkretisering av, gjeldande regelverk (m.a. marknadsføringslova). Alternativet til retningslinjene var ei eiga forskrift under matlova. Marknadsføringslova inneheld særlege føresegner som skal verne barn mot urimeleg handel</w:t>
      </w:r>
      <w:r>
        <w:t>s</w:t>
      </w:r>
      <w:r>
        <w:t>praksis og ulovleg marknadsføring. Forbrukartilsynet har i enkelte saker brukt desse førese</w:t>
      </w:r>
      <w:r>
        <w:t>g</w:t>
      </w:r>
      <w:r>
        <w:t>nene til å gripe inn mot marknadsføring av usunn mat retta mot barn. Styresmaktene vedtok i 2013 at sjølvreguleringsordninga skulle prøvast ut i ein toårsperiode og deretter evaluerast.</w:t>
      </w:r>
    </w:p>
    <w:p w:rsidR="00D30C4D" w:rsidRDefault="00B964E1" w:rsidP="00020FC3">
      <w:r>
        <w:t>I 2017 fekk Forbrukarrådet gjennomført ei undersøking blant unge i alderen 13 til 15 år om marknadsføring av usunn mat og drikke i sosiale medium. Undersøkinga viste at denne typen marknadsføring i stor grad «går under radaren» hos ungdommane – det vil seie at dei unge ikkje forstår at det er reklame. Ungdommane var merksame på den tradisjonelle reklamen, men ikkje den reklamen som dukka opp som statusoppdatering frå merkevareprodusentar, eller som produkt i nyheitsoppdateringar på Facebook. Heller ikkje innhaldsreklame i videoar på YouTube blei oppfatta som reklame.</w:t>
      </w:r>
    </w:p>
    <w:p w:rsidR="00D30C4D" w:rsidRDefault="00B964E1" w:rsidP="00020FC3">
      <w:r>
        <w:t>Helse- og omsorgsdepartementet følgjer opp dialogen med MFU. Retningslinjene blei eval</w:t>
      </w:r>
      <w:r>
        <w:t>u</w:t>
      </w:r>
      <w:r>
        <w:t>erte av Helsedirektoratet i 2016 basert på ein kartleggingsstudie frå SIFO, ei sjølvevaluering frå MFU og synspunkt og vurderingar frå frivillige organisasjonar. Evalueringa viste at ordninga burde betrast med omsyn til aldersgrenser, marknadsføring i sosiale medium, bruk av emba</w:t>
      </w:r>
      <w:r>
        <w:t>l</w:t>
      </w:r>
      <w:r>
        <w:t xml:space="preserve">lasje som marknadsføringskanal og bruk av reklame knytt til sponsing. I tillegg kom det fram at ordninga var </w:t>
      </w:r>
      <w:proofErr w:type="gramStart"/>
      <w:r>
        <w:t>lite</w:t>
      </w:r>
      <w:proofErr w:type="gramEnd"/>
      <w:r>
        <w:t xml:space="preserve"> kjend blant forbrukarane. Desse tilhøva har MFU jobba med. Produsentane var på den andre sida godt kjende med ordninga, og søkjer ofte råd hos MFU ved planlegging av marknadsføringsaktivitetar. Dette blei vurdert som eit positivt og viktig aspekt ved ordninga. Retningslinjene er viktige både i ordinær butikkhandel, på internett og i sosiale medium. Helse- og omsorgsministeren vurderte at det er gjort mykje bra på kort tid for å få etablert eit system og forankre det internt i bransjen. Matbransjen sjølv ønskjer </w:t>
      </w:r>
      <w:proofErr w:type="gramStart"/>
      <w:r>
        <w:t>å</w:t>
      </w:r>
      <w:proofErr w:type="gramEnd"/>
      <w:r>
        <w:t xml:space="preserve"> halde fram med ordninga og viser til positive resultat. Regjeringa skal evaluere retningslinjene på nytt i 2019. Det vil vere viktig at retningslinjene er tilstrekkeleg omfattande, godt kjende og tilgjengelege – spesielt for mar</w:t>
      </w:r>
      <w:r>
        <w:t>k</w:t>
      </w:r>
      <w:r>
        <w:t xml:space="preserve">nadsførarane. I tillegg er det viktig at ordninga har tillit frå styresmaktene si side. Regjeringa </w:t>
      </w:r>
      <w:r>
        <w:lastRenderedPageBreak/>
        <w:t>ønskjer framleis å få innspel frå Forbrukarrådet og andre i den vidare utviklinga av retning</w:t>
      </w:r>
      <w:r>
        <w:t>s</w:t>
      </w:r>
      <w:r>
        <w:t>linjene.</w:t>
      </w:r>
      <w:r>
        <w:rPr>
          <w:vertAlign w:val="superscript"/>
        </w:rPr>
        <w:footnoteReference w:id="113"/>
      </w:r>
    </w:p>
    <w:p w:rsidR="00D30C4D" w:rsidRDefault="00B964E1" w:rsidP="00020FC3">
      <w:pPr>
        <w:pStyle w:val="tittel-ramme"/>
      </w:pPr>
      <w:r>
        <w:t>Energidrikkar</w:t>
      </w:r>
    </w:p>
    <w:p w:rsidR="00D30C4D" w:rsidRDefault="00B964E1" w:rsidP="00020FC3">
      <w:r>
        <w:t xml:space="preserve">Fram til hausten 2008 blei næringsmiddel med tilsett koffein rekna som legemiddel, og berre små mengder koffein var som unntak frå dette </w:t>
      </w:r>
      <w:proofErr w:type="gramStart"/>
      <w:r>
        <w:t>tillate</w:t>
      </w:r>
      <w:proofErr w:type="gramEnd"/>
      <w:r>
        <w:t xml:space="preserve"> å tilsetje som aroma i cola og andre le</w:t>
      </w:r>
      <w:r>
        <w:t>s</w:t>
      </w:r>
      <w:r>
        <w:t>kedrikkar. No kan koffein lovleg tilsetjast som aromastoff i matvarer og drikkar i samsvar med gjeldande næringsmiddelregelverk. I seinare år har salet av energidrikkar auka kraftig. R</w:t>
      </w:r>
      <w:r>
        <w:t>e</w:t>
      </w:r>
      <w:r>
        <w:t>gelendringa har ført til ein stor auke i talet på produkt med tilsett koffein som seljast i butikkar, kioskar, på treningssenter og over internett. Marknadsføringa rettar seg gjerne mot barn og ungdom ved at ho blir knytt opp mot idrettsheltar. I ein rapport frå 2009 uttaler Vitskapsk</w:t>
      </w:r>
      <w:r>
        <w:t>o</w:t>
      </w:r>
      <w:r>
        <w:t>miteen for mattryggleik at barn og unge kan få i seg for mykje koffein gjennom energidrikkar. Forbrukarrådet har gjennomført ei undersøking som viser at barn heilt ned i 10–12-årsalderen oppgir regelmessig forbruk av energidrikkar. Forbruksmønsteret endrar seg med alderen, ved at «inntak fleire gonger per veke» aukar monaleg frå 10–12-årsalderen til 13–15-årsalderen. Forbrukarrådet meiner at ein på grunn av skadeverknadene bør innføre forbod mot sal av energidrikkar til barn og unge.</w:t>
      </w:r>
    </w:p>
    <w:p w:rsidR="00D30C4D" w:rsidRDefault="00B964E1" w:rsidP="00020FC3">
      <w:r>
        <w:t>Sjølv om det ikkje er sett noko aldersgrense for kjøp av energidrikkar i Noreg, har levera</w:t>
      </w:r>
      <w:r>
        <w:t>n</w:t>
      </w:r>
      <w:r>
        <w:t xml:space="preserve">dørane av energidrikkar til den norske marknaden blitt samde om ikkje </w:t>
      </w:r>
      <w:proofErr w:type="gramStart"/>
      <w:r>
        <w:t>å</w:t>
      </w:r>
      <w:proofErr w:type="gramEnd"/>
      <w:r>
        <w:t xml:space="preserve"> marknadsføre ene</w:t>
      </w:r>
      <w:r>
        <w:t>r</w:t>
      </w:r>
      <w:r>
        <w:t>gidrikkar mot ungdom under 16 år. I tillegg har den norske drikkevarebransjen sjølvpålagde retningslinjer om ikkje å drive marknadsføring mot barn under 13 år. Helse- og omsorgsd</w:t>
      </w:r>
      <w:r>
        <w:t>e</w:t>
      </w:r>
      <w:r>
        <w:t xml:space="preserve">partementet har bedd Mattilsynet om </w:t>
      </w:r>
      <w:proofErr w:type="gramStart"/>
      <w:r>
        <w:t>å</w:t>
      </w:r>
      <w:proofErr w:type="gramEnd"/>
      <w:r>
        <w:t xml:space="preserve"> undersøkje ulike alternative tiltak for å verne barn og unge mot helseskadar som følgje av høgt inntak av energidrikkar. Rapporten blei levert i f</w:t>
      </w:r>
      <w:r>
        <w:t>e</w:t>
      </w:r>
      <w:r>
        <w:t>bruar 2019. Helse- og omsorgsdepartementet vil vurdere forslaga i rapporten og følgje opp på eigna måte.</w:t>
      </w:r>
    </w:p>
    <w:p w:rsidR="00D30C4D" w:rsidRDefault="00B964E1">
      <w:pPr>
        <w:pStyle w:val="Ramme-slutt"/>
        <w:rPr>
          <w:sz w:val="26"/>
          <w:szCs w:val="26"/>
        </w:rPr>
      </w:pPr>
      <w:r>
        <w:rPr>
          <w:sz w:val="26"/>
          <w:szCs w:val="26"/>
        </w:rPr>
        <w:t>[Boks slutt]</w:t>
      </w:r>
    </w:p>
    <w:p w:rsidR="00D30C4D" w:rsidRDefault="00B964E1" w:rsidP="00020FC3">
      <w:pPr>
        <w:pStyle w:val="Overskrift2"/>
      </w:pPr>
      <w:r>
        <w:t>Regjeringa vil</w:t>
      </w:r>
    </w:p>
    <w:p w:rsidR="00D30C4D" w:rsidRDefault="00B964E1" w:rsidP="00E05FE4">
      <w:pPr>
        <w:pStyle w:val="Listebombe"/>
        <w:numPr>
          <w:ilvl w:val="0"/>
          <w:numId w:val="1"/>
        </w:numPr>
        <w:ind w:left="320" w:hanging="320"/>
        <w:rPr>
          <w:sz w:val="21"/>
          <w:szCs w:val="21"/>
        </w:rPr>
      </w:pPr>
      <w:r>
        <w:rPr>
          <w:sz w:val="21"/>
          <w:szCs w:val="21"/>
        </w:rPr>
        <w:t>tette kunnskapshol om korleis kvardagen til forbrukarane blir påverka av måten dagleg</w:t>
      </w:r>
      <w:r>
        <w:rPr>
          <w:spacing w:val="-2"/>
          <w:sz w:val="21"/>
          <w:szCs w:val="21"/>
        </w:rPr>
        <w:t>varekjedene samlar inn og bruker kundedata på</w:t>
      </w:r>
    </w:p>
    <w:p w:rsidR="00D30C4D" w:rsidRDefault="00B964E1" w:rsidP="00E05FE4">
      <w:pPr>
        <w:pStyle w:val="Listebombe"/>
        <w:numPr>
          <w:ilvl w:val="0"/>
          <w:numId w:val="1"/>
        </w:numPr>
        <w:ind w:left="320" w:hanging="320"/>
        <w:rPr>
          <w:sz w:val="21"/>
          <w:szCs w:val="21"/>
        </w:rPr>
      </w:pPr>
      <w:r>
        <w:rPr>
          <w:sz w:val="21"/>
          <w:szCs w:val="21"/>
        </w:rPr>
        <w:t>vurdere tiltak for å beskytte barn og unge mot helseskadar som skuldast høgt konsum av energi</w:t>
      </w:r>
      <w:r>
        <w:rPr>
          <w:sz w:val="21"/>
          <w:szCs w:val="21"/>
        </w:rPr>
        <w:t>d</w:t>
      </w:r>
      <w:r>
        <w:rPr>
          <w:sz w:val="21"/>
          <w:szCs w:val="21"/>
        </w:rPr>
        <w:t>rikkar</w:t>
      </w:r>
    </w:p>
    <w:p w:rsidR="00D30C4D" w:rsidRDefault="00B964E1" w:rsidP="00E05FE4">
      <w:pPr>
        <w:pStyle w:val="Listebombe"/>
        <w:numPr>
          <w:ilvl w:val="0"/>
          <w:numId w:val="1"/>
        </w:numPr>
        <w:ind w:left="320" w:hanging="320"/>
        <w:rPr>
          <w:sz w:val="21"/>
          <w:szCs w:val="21"/>
        </w:rPr>
      </w:pPr>
      <w:r>
        <w:rPr>
          <w:sz w:val="21"/>
          <w:szCs w:val="21"/>
        </w:rPr>
        <w:t xml:space="preserve">følgje opp </w:t>
      </w:r>
      <w:proofErr w:type="gramStart"/>
      <w:r>
        <w:rPr>
          <w:sz w:val="21"/>
          <w:szCs w:val="21"/>
        </w:rPr>
        <w:t>og</w:t>
      </w:r>
      <w:proofErr w:type="gramEnd"/>
      <w:r>
        <w:rPr>
          <w:sz w:val="21"/>
          <w:szCs w:val="21"/>
        </w:rPr>
        <w:t xml:space="preserve"> evaluere dei frivillige retningslinjene for marknadsføring av usunn mat til barn og unge i 2019</w:t>
      </w:r>
    </w:p>
    <w:p w:rsidR="00D30C4D" w:rsidRDefault="00B964E1" w:rsidP="00020FC3">
      <w:pPr>
        <w:pStyle w:val="Overskrift1"/>
      </w:pPr>
      <w:r>
        <w:t>Forbrukarar og arbeidslivskriminalitet</w:t>
      </w:r>
    </w:p>
    <w:p w:rsidR="00D30C4D" w:rsidRDefault="00741EEC" w:rsidP="00741EEC">
      <w:pPr>
        <w:pStyle w:val="Figur"/>
      </w:pPr>
      <w:r>
        <w:rPr>
          <w:noProof/>
        </w:rPr>
        <w:t>[:figur:figX-X.jpg]</w:t>
      </w:r>
    </w:p>
    <w:p w:rsidR="00D30C4D" w:rsidRDefault="00B964E1" w:rsidP="00020FC3">
      <w:pPr>
        <w:pStyle w:val="figur-tittel"/>
      </w:pPr>
      <w:r>
        <w:lastRenderedPageBreak/>
        <w:t> </w:t>
      </w:r>
    </w:p>
    <w:p w:rsidR="00D30C4D" w:rsidRDefault="00B964E1" w:rsidP="00020FC3">
      <w:pPr>
        <w:pStyle w:val="figur-noter"/>
      </w:pPr>
      <w:r>
        <w:t>Foto: Johnér</w:t>
      </w:r>
    </w:p>
    <w:p w:rsidR="00D30C4D" w:rsidRDefault="00B964E1" w:rsidP="00BC317E">
      <w:pPr>
        <w:pStyle w:val="Overskrift2"/>
        <w:numPr>
          <w:ilvl w:val="1"/>
          <w:numId w:val="41"/>
        </w:numPr>
      </w:pPr>
      <w:r>
        <w:t>Innleiing</w:t>
      </w:r>
    </w:p>
    <w:p w:rsidR="00D30C4D" w:rsidRDefault="00B964E1" w:rsidP="00020FC3">
      <w:r>
        <w:t>Forbrukarpolitikken handlar også om å støtte opp om forbruk som kan bidra positivt for sa</w:t>
      </w:r>
      <w:r>
        <w:t>m</w:t>
      </w:r>
      <w:r>
        <w:t xml:space="preserve">funnet. Forbrukarar som får betre informasjon og støtte til </w:t>
      </w:r>
      <w:proofErr w:type="gramStart"/>
      <w:r>
        <w:t>å</w:t>
      </w:r>
      <w:proofErr w:type="gramEnd"/>
      <w:r>
        <w:t xml:space="preserve"> velje seriøse og lovlydige ver</w:t>
      </w:r>
      <w:r>
        <w:t>k</w:t>
      </w:r>
      <w:r>
        <w:t>semder, kan bidra positivt til å motverke arbeidslivskriminalitet og svart økonomi.</w:t>
      </w:r>
    </w:p>
    <w:p w:rsidR="00D30C4D" w:rsidRDefault="00B964E1" w:rsidP="00020FC3">
      <w:r>
        <w:t>Eit karakteristisk trekk ved arbeidslivskriminalitet er innslaget av multikriminalitet. Det kan vere skatte- og avgiftskriminalitet, korrupsjon, kvitvasking, trygdesvindel, feil eller falsk i</w:t>
      </w:r>
      <w:r>
        <w:t>n</w:t>
      </w:r>
      <w:r>
        <w:t xml:space="preserve">formasjon og dokumentasjon, bruk av ulovleg arbeidskraft eller grove brot på føresegnene om lønn og arbeidstid. Den vanlegaste forma for arbeidslivskriminalitet er ein kombinasjon av svart arbeid og svart omsetning i samanheng med brot på reglane som gjeld for arbeidslivet. For </w:t>
      </w:r>
      <w:proofErr w:type="gramStart"/>
      <w:r>
        <w:t>å</w:t>
      </w:r>
      <w:proofErr w:type="gramEnd"/>
      <w:r>
        <w:t xml:space="preserve"> førebyggje og </w:t>
      </w:r>
      <w:r>
        <w:rPr>
          <w:spacing w:val="-1"/>
        </w:rPr>
        <w:t>kjempe mot eit så samansett problem som arbeids</w:t>
      </w:r>
      <w:r>
        <w:t>livskriminalitet krevst ein felles innsats frå ulike aktørar og på ulike arenaer.</w:t>
      </w:r>
    </w:p>
    <w:p w:rsidR="00D30C4D" w:rsidRDefault="00B964E1" w:rsidP="00020FC3">
      <w:r>
        <w:t>Det er vanskeleg å slå fast det samla omfanget av arbeidslivskriminalitet i Noreg. Det er rekna ut at i 2015 utgjorde verdiskaping knytt til ulovleg verksemd som er skjult for omverda, 1,2 prosent av fastlands-BNP, det vil seie om lag 30 milliardar kroner.</w:t>
      </w:r>
      <w:r>
        <w:rPr>
          <w:vertAlign w:val="superscript"/>
        </w:rPr>
        <w:footnoteReference w:id="114"/>
      </w:r>
    </w:p>
    <w:p w:rsidR="00D30C4D" w:rsidRDefault="00B964E1" w:rsidP="00020FC3">
      <w:r>
        <w:t>Svart arbeid og arbeidslivskriminalitet er eit samfunnsproblem ved at det offentlege taper inntekter som kunne vore brukte til å finansiere velferd og fellesgode. Arbeidslivskriminalitet er også eit problem for seriøse verksemder, fordi det skaper skeive konkurransevilkår. På i</w:t>
      </w:r>
      <w:r>
        <w:t>n</w:t>
      </w:r>
      <w:r>
        <w:t>dividnivå er det ei utfordring at dei som jobbar svart i staden for kvitt, misser retten på feri</w:t>
      </w:r>
      <w:r>
        <w:t>e</w:t>
      </w:r>
      <w:r>
        <w:t>pengar, lønn under sjukdom, pensjonsopptening og så vidare.</w:t>
      </w:r>
    </w:p>
    <w:p w:rsidR="00D30C4D" w:rsidRDefault="00B964E1" w:rsidP="00020FC3">
      <w:r>
        <w:t xml:space="preserve">Ein rapport frå 2018 om innsatsen mot arbeidslivskriminalitet peikar på at private og offentlege oppdragsgivarar er dei som har størst moglegheit til </w:t>
      </w:r>
      <w:proofErr w:type="gramStart"/>
      <w:r>
        <w:t>å</w:t>
      </w:r>
      <w:proofErr w:type="gramEnd"/>
      <w:r>
        <w:t xml:space="preserve"> setje i verk trussel- og sårbarheitsred</w:t>
      </w:r>
      <w:r>
        <w:t>u</w:t>
      </w:r>
      <w:r>
        <w:t>serande tiltak mot kriminelle aktørar i arbeidslivet.</w:t>
      </w:r>
      <w:r>
        <w:rPr>
          <w:vertAlign w:val="superscript"/>
        </w:rPr>
        <w:footnoteReference w:id="115"/>
      </w:r>
      <w:r>
        <w:t xml:space="preserve"> Dersom oppdrag ikkje lenger er ti</w:t>
      </w:r>
      <w:r>
        <w:t>l</w:t>
      </w:r>
      <w:r>
        <w:t>gjengelege for kriminelle aktørar, blir innteningsmoglegheitene reduserte.</w:t>
      </w:r>
    </w:p>
    <w:p w:rsidR="00D30C4D" w:rsidRDefault="00B964E1" w:rsidP="00020FC3">
      <w:r>
        <w:t>Partane i arbeids- og næringslivet har også over tid retta merksemd mot forbrukarmarknaden. LO, NHO, KS, Unio, YS og Skatteetaten har gjennom fleire år hatt eit organisert samarbeid mot svart økonomi (SMSØ). Føremålet med samarbeidet er å arbeide haldningsskapande og før</w:t>
      </w:r>
      <w:r>
        <w:t>e</w:t>
      </w:r>
      <w:r>
        <w:t>byggjande mot svart økonomi. Tiltaka rettar seg også mot forbrukarar.</w:t>
      </w:r>
    </w:p>
    <w:p w:rsidR="00D30C4D" w:rsidRDefault="00B964E1" w:rsidP="00020FC3">
      <w:r>
        <w:t>Ved å handle kvitt medverkar forbrukarar til at seriøse verksemder får rettferdige konkurra</w:t>
      </w:r>
      <w:r>
        <w:t>n</w:t>
      </w:r>
      <w:r>
        <w:t xml:space="preserve">sevilkår og at arbeidstakarar får lovlege lønns- og arbeidsvilkår. Regjeringa vil at forbrukarar </w:t>
      </w:r>
      <w:r>
        <w:lastRenderedPageBreak/>
        <w:t>skal ha eit medvite og aktivt tilhøve til korleis dei kan vere med på å hindre arbeidslivskrim</w:t>
      </w:r>
      <w:r>
        <w:t>i</w:t>
      </w:r>
      <w:r>
        <w:t>nalitet og svart økonomi.</w:t>
      </w:r>
    </w:p>
    <w:p w:rsidR="00D30C4D" w:rsidRDefault="00B964E1" w:rsidP="00020FC3">
      <w:pPr>
        <w:pStyle w:val="Overskrift2"/>
      </w:pPr>
      <w:r>
        <w:t>Regjeringsstrategien mot arbeidslivskriminalitet</w:t>
      </w:r>
    </w:p>
    <w:p w:rsidR="00D30C4D" w:rsidRDefault="00B964E1" w:rsidP="00020FC3">
      <w:r>
        <w:t xml:space="preserve">Eit viktig mål for regjeringa er </w:t>
      </w:r>
      <w:proofErr w:type="gramStart"/>
      <w:r>
        <w:t>å</w:t>
      </w:r>
      <w:proofErr w:type="gramEnd"/>
      <w:r>
        <w:t xml:space="preserve"> sørgje for eit ryddig og seriøst arbeidsliv. For å forhindre og motverke kriminalitet i arbeidslivet, la regjeringa i 2015 fram ein eigen strategi mot arbeid</w:t>
      </w:r>
      <w:r>
        <w:t>s</w:t>
      </w:r>
      <w:r>
        <w:t>livskriminalitet. For ytterlegare å forsterke innsatsen blei strategien oppdatert og revidert i 2017 og sist gong i februar 2019.</w:t>
      </w:r>
      <w:r>
        <w:rPr>
          <w:vertAlign w:val="superscript"/>
        </w:rPr>
        <w:footnoteReference w:id="116"/>
      </w:r>
    </w:p>
    <w:p w:rsidR="00D30C4D" w:rsidRDefault="00B964E1" w:rsidP="00020FC3">
      <w:r>
        <w:t>Eit hovudgrep i den reviderte strategien er større vektlegging av førebygging, betre kun</w:t>
      </w:r>
      <w:r>
        <w:t>n</w:t>
      </w:r>
      <w:r>
        <w:t xml:space="preserve">skapsgrunnlag og meir målretta informasjon som skal medverke til </w:t>
      </w:r>
      <w:proofErr w:type="gramStart"/>
      <w:r>
        <w:t>å</w:t>
      </w:r>
      <w:proofErr w:type="gramEnd"/>
      <w:r>
        <w:t xml:space="preserve"> gjere marknaden mindre for kriminelle aktørar. Vidare vil regjeringa styrkje innsatsen mot arbeidslivskriminalitet og svart økonomi i privatmarknadene ved </w:t>
      </w:r>
      <w:proofErr w:type="gramStart"/>
      <w:r>
        <w:t>å</w:t>
      </w:r>
      <w:proofErr w:type="gramEnd"/>
      <w:r>
        <w:t xml:space="preserve"> gjere det enklare for forbrukarar å velje seriøse a</w:t>
      </w:r>
      <w:r>
        <w:t>k</w:t>
      </w:r>
      <w:r>
        <w:t>tørar.</w:t>
      </w:r>
    </w:p>
    <w:p w:rsidR="00D30C4D" w:rsidRDefault="00B964E1" w:rsidP="00020FC3">
      <w:r>
        <w:t>Dei resterande tiltaka i strategien vil også bidra til å redusere arbeidslivskriminalitet i forbr</w:t>
      </w:r>
      <w:r>
        <w:t>u</w:t>
      </w:r>
      <w:r>
        <w:t xml:space="preserve">karmarknadene. Det dreier seg her mellom anna om </w:t>
      </w:r>
      <w:proofErr w:type="gramStart"/>
      <w:r>
        <w:t>å</w:t>
      </w:r>
      <w:proofErr w:type="gramEnd"/>
      <w:r>
        <w:t xml:space="preserve"> vidareføre samarbeidet mot svart øk</w:t>
      </w:r>
      <w:r>
        <w:t>o</w:t>
      </w:r>
      <w:r>
        <w:t>nomi (SMSØ) og treparts-bransjeprogram, auke kunnskapen om omfanget av skattesvik og svart økonomi, målrette informasjonstilbodet til utanlandske arbeidstakarar og styrkje ti</w:t>
      </w:r>
      <w:r>
        <w:t>l</w:t>
      </w:r>
      <w:r>
        <w:t>synssamarbeidet mellom offentlege etatar.</w:t>
      </w:r>
    </w:p>
    <w:p w:rsidR="00D30C4D" w:rsidRDefault="00B964E1" w:rsidP="00020FC3">
      <w:pPr>
        <w:pStyle w:val="Overskrift2"/>
      </w:pPr>
      <w:r>
        <w:t>Arbeidslivskriminalitet på forbrukarmarknader</w:t>
      </w:r>
    </w:p>
    <w:p w:rsidR="00D30C4D" w:rsidRDefault="00B964E1" w:rsidP="00020FC3">
      <w:r>
        <w:t xml:space="preserve">Marknaden for tenester til forbrukarar er stor. Ifølgje landsforeininga til byggjenæringa i NHO utgjer omsetninga på oppussingsmarknaden for private bustader i overkant av 70 milliardar kroner årleg. Om lag ti prosent av dei private husstandane kjøper reinhaldstenester, og trenden ser ut til </w:t>
      </w:r>
      <w:proofErr w:type="gramStart"/>
      <w:r>
        <w:t>å</w:t>
      </w:r>
      <w:proofErr w:type="gramEnd"/>
      <w:r>
        <w:t xml:space="preserve"> vere stigande. Private forbrukarar utgjer også storparten av marknaden for fleire av dei andre bransjane som har store utfordringar med arbeidslivskriminalitet (m.a. bil- og serv</w:t>
      </w:r>
      <w:r>
        <w:t>e</w:t>
      </w:r>
      <w:r>
        <w:t xml:space="preserve">ringsbransjen). 1 av 10 nordmenn oppgir at dei har handla svarte tenester dei </w:t>
      </w:r>
      <w:proofErr w:type="gramStart"/>
      <w:r>
        <w:t>siste to åra</w:t>
      </w:r>
      <w:proofErr w:type="gramEnd"/>
      <w:r>
        <w:t>.</w:t>
      </w:r>
      <w:r>
        <w:rPr>
          <w:vertAlign w:val="superscript"/>
        </w:rPr>
        <w:footnoteReference w:id="117"/>
      </w:r>
    </w:p>
    <w:p w:rsidR="00D30C4D" w:rsidRDefault="00B964E1" w:rsidP="00020FC3">
      <w:r>
        <w:t>Utfordringane med arbeidslivskriminalitet på forbrukarmarknaden er gjerne knytte til man</w:t>
      </w:r>
      <w:r>
        <w:t>g</w:t>
      </w:r>
      <w:r>
        <w:t>lande betaling av skattar og avgifter og brot på arbeidsmiljø- eller allmenngjeringslova. Dersom arbeidet blir utført etter avtale/kontrakt med den private oppdragsgivaren, er det verksemda sjølv som har ansvar for dette. Privatpersonar kan ha arbeidsgivaransvar for personar som utfører arbeidsoppgåver i hus og heim, og dermed plikt til å innfri krav til helse, miljø og tryggleik på arbeidsplassen. Dersom det skjer ulukker, kan den private arbeidsgivaren bli e</w:t>
      </w:r>
      <w:r>
        <w:t>r</w:t>
      </w:r>
      <w:r>
        <w:t>statningsansvarleg for påførte skader.</w:t>
      </w:r>
    </w:p>
    <w:p w:rsidR="00D30C4D" w:rsidRDefault="00B964E1" w:rsidP="00020FC3">
      <w:pPr>
        <w:pStyle w:val="tittel-ramme"/>
      </w:pPr>
      <w:r>
        <w:lastRenderedPageBreak/>
        <w:t>Tilsyn og høve til sanksjonar</w:t>
      </w:r>
    </w:p>
    <w:p w:rsidR="00D30C4D" w:rsidRDefault="00B964E1" w:rsidP="00020FC3">
      <w:r>
        <w:t>Arbeidstilsynet kan føre tilsyn med verksemder som arbeider utvendig på private heimar (t.d. sikringstiltak i samband med byggjeverksemd), men kan ikkje føre tilsyn med innvendig a</w:t>
      </w:r>
      <w:r>
        <w:t>r</w:t>
      </w:r>
      <w:r>
        <w:t xml:space="preserve">beid. Nasjonalt tverretatleg analyse- og etterretningssenter (NTAES) har utarbeidd ein rapport med tittelen </w:t>
      </w:r>
      <w:r>
        <w:rPr>
          <w:rStyle w:val="kursiv"/>
          <w:sz w:val="21"/>
          <w:szCs w:val="21"/>
        </w:rPr>
        <w:t>Mer effektiv sanksjonering</w:t>
      </w:r>
      <w:r>
        <w:t xml:space="preserve"> (februar 2018). Rapporten gir </w:t>
      </w:r>
      <w:proofErr w:type="gramStart"/>
      <w:r>
        <w:t>ei</w:t>
      </w:r>
      <w:proofErr w:type="gramEnd"/>
      <w:r>
        <w:t xml:space="preserve"> oversikt over alle høva som Arbeidstilsynet, NAV, Politiet, Skatteetaten, Tolletaten og Utlendingsdirektoratet har til sanksjonar, og medverkar på den måten til ei meir effektiv sanksjonering av lovbrot.</w:t>
      </w:r>
    </w:p>
    <w:p w:rsidR="00D30C4D" w:rsidRDefault="00B964E1" w:rsidP="00020FC3">
      <w:r>
        <w:t>To arbeidsgrupper med representantar frå Riksadvokaten, ØKOKRIM, Arbeidstilsynet, NAV, Tolldirektoratet og Skatteetaten har sett nærare på høva til sanksjonar. Den eine gruppa har sett på såkalla formallovbrot, og anbefaler mellom anna at det blir greidd ut ein ny regel om straff for såkalla stråmannsverksemd. Den andre gruppa har sett på samordning mellom forva</w:t>
      </w:r>
      <w:r>
        <w:t>l</w:t>
      </w:r>
      <w:r>
        <w:t>tingssanksjonar og andre sanksjonar. Gruppa uttaler mellom anna at lovbrot som forvaltinga har like gode føresetnader for å oppklare og reagere på, ikkje bør bringast inn for handsaming i det strafferettslege sporet. Arbeidsgruppa anbefaler at kvar kontrolletat går igjennom sin me</w:t>
      </w:r>
      <w:r>
        <w:t>l</w:t>
      </w:r>
      <w:r>
        <w:t xml:space="preserve">deinstruks. Rapportane frå dei to </w:t>
      </w:r>
      <w:proofErr w:type="gramStart"/>
      <w:r>
        <w:t>arbeidsgruppene</w:t>
      </w:r>
      <w:proofErr w:type="gramEnd"/>
      <w:r>
        <w:t xml:space="preserve"> blei leverte til Det sentrale samarbeidsforum (DSSF) 15. oktober 2018.</w:t>
      </w:r>
    </w:p>
    <w:p w:rsidR="00D30C4D" w:rsidRDefault="00B964E1">
      <w:pPr>
        <w:pStyle w:val="Ramme-slutt"/>
        <w:rPr>
          <w:sz w:val="26"/>
          <w:szCs w:val="26"/>
        </w:rPr>
      </w:pPr>
      <w:r>
        <w:rPr>
          <w:sz w:val="26"/>
          <w:szCs w:val="26"/>
        </w:rPr>
        <w:t>[Boks slutt]</w:t>
      </w:r>
    </w:p>
    <w:p w:rsidR="00D30C4D" w:rsidRDefault="00B964E1" w:rsidP="00020FC3">
      <w:r>
        <w:t>Skatteetatens årlege undersøking av etterleving, rapportering og oppdagingsrisiko</w:t>
      </w:r>
      <w:r>
        <w:rPr>
          <w:vertAlign w:val="superscript"/>
        </w:rPr>
        <w:footnoteReference w:id="118"/>
      </w:r>
      <w:r>
        <w:t xml:space="preserve"> (SERO) handlar om norske verksemders haldningar til etterleving. Undersøkinga i 2017 viste at det i bransjane handverk (snikkararbeid, måling og belegg), bygg og anlegg og reinhald er færrast som meiner det er vanskeleg å unndra seg skattar og avgifter i eigen bransje. I tillegg viste undersøkinga at aksepten for å unnlate å betale skattar og avgifter er størst i bransjane reinhald, servering, bygg og anlegg og taxi- og turbil.</w:t>
      </w:r>
    </w:p>
    <w:p w:rsidR="00D30C4D" w:rsidRDefault="00B964E1" w:rsidP="00020FC3">
      <w:r>
        <w:t>Undersøkinga frå Opinion om kjøp av svart arbeid</w:t>
      </w:r>
      <w:r>
        <w:rPr>
          <w:vertAlign w:val="superscript"/>
        </w:rPr>
        <w:footnoteReference w:id="119"/>
      </w:r>
      <w:r>
        <w:t xml:space="preserve"> underbyggjer desse funna. Det går fram av undersøkinga at reinhald, barnepass, snikkararbeid og bygg- og anleggstenester er dei største tenestegruppene som forbrukarar kjøper svart. Blant dei som kjøpte reinhaldstenester, var det 29 prosent som kjøpte arbeidet svart. 18 prosent av dei som kjøpte barnepass, oppgav at det blei gjort svart, medan målar-, snikkar- og andre bygg- og anleggstenester blei kjøpte svart i h</w:t>
      </w:r>
      <w:r>
        <w:t>ø</w:t>
      </w:r>
      <w:r>
        <w:t>vesvis 16, 13 og 12 prosent av tilfella. Undersøkinga viser at den vanlegaste årsaka til at fo</w:t>
      </w:r>
      <w:r>
        <w:t>r</w:t>
      </w:r>
      <w:r>
        <w:t>brukarar vel å kjøpe svart, er at det er billeg.</w:t>
      </w:r>
    </w:p>
    <w:p w:rsidR="00D30C4D" w:rsidRDefault="00B964E1" w:rsidP="00020FC3">
      <w:r>
        <w:t>I bransjane for bygg og reinhald, og i andre bransjar med særleg stor risiko for arbeidsliv</w:t>
      </w:r>
      <w:r>
        <w:t>s</w:t>
      </w:r>
      <w:r>
        <w:t>kriminalitet, finn ein eit vesentleg innslag av utanlandske arbeidstakarar. Tilsynsstyresmaktene erfarer at utanlandske arbeidstakarar i større grad enn dei norske er utsette for dårlege lønns- og arbeidsvilkår. Desse arbeidstakarane kjem ofte frå land med klart lågare lønnsnivå, og dei manglar gjerne informasjon om rettane dei har på den norske arbeidsmarknaden. Unders</w:t>
      </w:r>
      <w:r>
        <w:t>ø</w:t>
      </w:r>
      <w:r>
        <w:lastRenderedPageBreak/>
        <w:t>kingar blant utanlandske arbeidstakarar i byggjenæringa tyder på at majoriteten av dei arbeider i den delen av marknaden som har privatpersonar som oppdragsgivarar.</w:t>
      </w:r>
      <w:r>
        <w:rPr>
          <w:vertAlign w:val="superscript"/>
        </w:rPr>
        <w:footnoteReference w:id="120"/>
      </w:r>
    </w:p>
    <w:p w:rsidR="00D30C4D" w:rsidRDefault="00B964E1" w:rsidP="00020FC3">
      <w:r>
        <w:t>Nedanfor blir eit utval bransjar som ein går ut frå har vesentlege utfordringar med arbeid</w:t>
      </w:r>
      <w:r>
        <w:t>s</w:t>
      </w:r>
      <w:r>
        <w:t>livskriminalitet, og der det er etablert eller blir planlagt tiltak retta mot forbrukarar, omtalt.</w:t>
      </w:r>
    </w:p>
    <w:p w:rsidR="00D30C4D" w:rsidRDefault="00B964E1" w:rsidP="00E05FE4">
      <w:pPr>
        <w:pStyle w:val="Overskrift3"/>
        <w:numPr>
          <w:ilvl w:val="2"/>
          <w:numId w:val="27"/>
        </w:numPr>
      </w:pPr>
      <w:r>
        <w:t>Byggjenæringa</w:t>
      </w:r>
    </w:p>
    <w:p w:rsidR="00D30C4D" w:rsidRDefault="00B964E1" w:rsidP="00020FC3">
      <w:r>
        <w:t xml:space="preserve">Byggjenæringa blir rekna som meir belasta med svart arbeid enn mange andre næringar. I NOU 2015: 1 uttalte Produktivitetskommisjonen mellom anna at svart arbeid truleg er utprega i delar av næringa. I tillegg blir det påpeika at éin av tre utanlandske arbeidstakarar oppgir </w:t>
      </w:r>
      <w:proofErr w:type="gramStart"/>
      <w:r>
        <w:t>å</w:t>
      </w:r>
      <w:proofErr w:type="gramEnd"/>
      <w:r>
        <w:t xml:space="preserve"> tene mindre enn den allmenngjorde minstesatsen for ufaglærte.</w:t>
      </w:r>
      <w:r>
        <w:rPr>
          <w:vertAlign w:val="superscript"/>
        </w:rPr>
        <w:footnoteReference w:id="121"/>
      </w:r>
    </w:p>
    <w:p w:rsidR="00D30C4D" w:rsidRDefault="00B964E1" w:rsidP="00020FC3">
      <w:r>
        <w:t xml:space="preserve">Vidare gjer kommisjonen merksam på at etterspurnadssida på byggmarknaden er prega av mange private aktørar som er på denne marknaden berre éin eller nokre få gonger i livet. Det blir også peika på at byggmarknaden kan framstå som lite oversiktleg for kjøparane, og at mange kjøparar har avgrensa kompetanse på produksjon av bygg. Ifølgje kommisjonen kan det dessutan vere vanskeleg for etterspurnadssida </w:t>
      </w:r>
      <w:proofErr w:type="gramStart"/>
      <w:r>
        <w:t>å</w:t>
      </w:r>
      <w:proofErr w:type="gramEnd"/>
      <w:r>
        <w:t xml:space="preserve"> avdekkje dårleg kvalitet i bygga eller ulovlege arbeidstilhøve.</w:t>
      </w:r>
    </w:p>
    <w:p w:rsidR="00D30C4D" w:rsidRDefault="00B964E1" w:rsidP="00020FC3">
      <w:r>
        <w:t xml:space="preserve">Fafo-rapport 2014: 14 </w:t>
      </w:r>
      <w:r>
        <w:rPr>
          <w:rStyle w:val="kursiv"/>
          <w:sz w:val="21"/>
          <w:szCs w:val="21"/>
        </w:rPr>
        <w:t>Privatmarkedet i byggenæringen</w:t>
      </w:r>
      <w:r>
        <w:t xml:space="preserve"> omtaler resultata frå ei undersøking som blei gjennomført blant verksemder om omfanget av svart arbeid på privatmarknaden. I denne undersøkinga svarte 45 prosent av respondentane at det er særs eller ganske uvanleg å ta delar av eit oppdrag svart. 56 prosent svarte at det er særs eller ganske uvanleg å ta heile oppdrag svart.</w:t>
      </w:r>
    </w:p>
    <w:p w:rsidR="00D30C4D" w:rsidRDefault="00B964E1" w:rsidP="00020FC3">
      <w:r>
        <w:t xml:space="preserve">I rapporten </w:t>
      </w:r>
      <w:r>
        <w:rPr>
          <w:rStyle w:val="kursiv"/>
          <w:sz w:val="21"/>
          <w:szCs w:val="21"/>
        </w:rPr>
        <w:t xml:space="preserve">Enkelt </w:t>
      </w:r>
      <w:proofErr w:type="gramStart"/>
      <w:r>
        <w:rPr>
          <w:rStyle w:val="kursiv"/>
          <w:sz w:val="21"/>
          <w:szCs w:val="21"/>
        </w:rPr>
        <w:t>å</w:t>
      </w:r>
      <w:proofErr w:type="gramEnd"/>
      <w:r>
        <w:rPr>
          <w:rStyle w:val="kursiv"/>
          <w:sz w:val="21"/>
          <w:szCs w:val="21"/>
        </w:rPr>
        <w:t xml:space="preserve"> vere seriøs </w:t>
      </w:r>
      <w:r>
        <w:t>frå august 2014 påpeikar byggje- og anleggsnæringa at useriøse føretak er eit stort problem i norsk byggje- og anleggsverksemd.</w:t>
      </w:r>
    </w:p>
    <w:p w:rsidR="00D30C4D" w:rsidRDefault="00B964E1" w:rsidP="00020FC3">
      <w:r>
        <w:t>Regjeringa ser det som urovekkjande at mange bruker svart arbeidskraft i byggjeprosjekt, og at det er mange brot på føresegnene om helse, miljø og tryggleik (kalla HMS) i desse prosjekta. Det gjer marknaden vanskeleg for seriøse føretak.</w:t>
      </w:r>
    </w:p>
    <w:p w:rsidR="00D30C4D" w:rsidRDefault="00B964E1" w:rsidP="00020FC3">
      <w:r>
        <w:t>Det er viktig for kvaliteten på byggjeprosjekt at det blir nytta kvalifiserte og seriøse føretak. Dessverre er marknaden i byggjenæringa uoversiktleg, med rundt rekna 55 000 føretak i sek</w:t>
      </w:r>
      <w:r>
        <w:t>t</w:t>
      </w:r>
      <w:r>
        <w:t>oren. Særleg for forbrukarar kan det vere vanskeleg å finne seriøse føretak.</w:t>
      </w:r>
    </w:p>
    <w:p w:rsidR="00D30C4D" w:rsidRDefault="00B964E1" w:rsidP="00020FC3">
      <w:r>
        <w:t>Sjølv om det ikkje er påvist i undersøkingar, går ein ut frå at det er ein samanheng mellom brot på HMS-reglar, plan- og bygningslovgivinga og kvaliteten på byggjearbeid. Ifølgje Produkt</w:t>
      </w:r>
      <w:r>
        <w:t>i</w:t>
      </w:r>
      <w:r>
        <w:t xml:space="preserve">vitetskommisjonen blir seriøse og kompetente føretak pressa ut av marknaden. Svart arbeid gjer det dessutan vanskelegare for forbrukarar </w:t>
      </w:r>
      <w:proofErr w:type="gramStart"/>
      <w:r>
        <w:t>å</w:t>
      </w:r>
      <w:proofErr w:type="gramEnd"/>
      <w:r>
        <w:t xml:space="preserve"> følgje opp eventuelle feil, ettersom arbeidet ofte blir gjennomført utan kontraktar.</w:t>
      </w:r>
    </w:p>
    <w:p w:rsidR="00D30C4D" w:rsidRDefault="00B964E1" w:rsidP="00020FC3">
      <w:r>
        <w:lastRenderedPageBreak/>
        <w:t>Regjeringa har sett ned eit ekspertutval som skal vurdere om dagens system med «Sentral godkjenning for ansvarsrett», erklæring om ansvarsrett i byggjesaker, uavhengig kontroll og det føreslegne Seriøsitetsregisteret er med på å oppfylle målet om forsvarleg byggkvalitet, tydeleg plassering av ansvar, kvalifiserte og seriøse aktørar. Utvalet skal også vurdere om det er behov for nye tiltak. Kommunal- og moderniseringsdepartementet vil følgje opp rapporten frå utvalet og vurdere om ein bør utarbeide nye verkemiddel i tilknyting til plan- og bygning</w:t>
      </w:r>
      <w:r>
        <w:t>s</w:t>
      </w:r>
      <w:r>
        <w:t>lovgivinga for å auke seriøsiteten og kvaliteten i næringa.</w:t>
      </w:r>
    </w:p>
    <w:p w:rsidR="00D30C4D" w:rsidRDefault="00B964E1" w:rsidP="00020FC3">
      <w:r>
        <w:t>Skatteetaten, Politiet, Arbeidstilsynet og NAV har gjennomført fleire samordna kontrollar på privatmarknaden for bygg. Ein aksjon våren 2018 viste at forbrukarar kjøper tenester frå føretak som nyttar uregistrerte arbeidarar, driv svart arbeid og trygdesvindel, og utset arbeidstakarane sine for farleg arbeid. Fleire av føretaka var også involverte i organisert kriminalitet.</w:t>
      </w:r>
    </w:p>
    <w:p w:rsidR="00D30C4D" w:rsidRDefault="00B964E1" w:rsidP="00020FC3">
      <w:r>
        <w:t xml:space="preserve">Forbrukarar kan vere med på å hindre arbeidslivskriminalitet på byggmarknaden ved </w:t>
      </w:r>
      <w:proofErr w:type="gramStart"/>
      <w:r>
        <w:t>å</w:t>
      </w:r>
      <w:proofErr w:type="gramEnd"/>
      <w:r>
        <w:t xml:space="preserve"> velje seriøse leverandørar og krevje å få sjå HMS-korta (tidlegare kalla ID-kort) til arbeidstakarane. Alle som utfører arbeid på byggje- og anleggsplassar, både norske og utanlandske arbeidst</w:t>
      </w:r>
      <w:r>
        <w:t>a</w:t>
      </w:r>
      <w:r>
        <w:t>karar, skal ha HMS-kort.</w:t>
      </w:r>
    </w:p>
    <w:p w:rsidR="00D30C4D" w:rsidRDefault="00B964E1" w:rsidP="00020FC3">
      <w:r>
        <w:t>Ordninga med HMS-kort medverkar til ryddigheit i bransjane, ettersom verksemdene må vere registrerte i visse offentlege register for å få slike kort. HMS-korta dokumenterer at arbeid</w:t>
      </w:r>
      <w:r>
        <w:t>s</w:t>
      </w:r>
      <w:r>
        <w:t>takarane jobbar i ei godkjend verksemd.</w:t>
      </w:r>
    </w:p>
    <w:p w:rsidR="00D30C4D" w:rsidRDefault="00B964E1" w:rsidP="00020FC3">
      <w:r>
        <w:t xml:space="preserve">Forbrukarar har rett til </w:t>
      </w:r>
      <w:proofErr w:type="gramStart"/>
      <w:r>
        <w:t>å</w:t>
      </w:r>
      <w:proofErr w:type="gramEnd"/>
      <w:r>
        <w:t xml:space="preserve"> krevje å få sjå HMS-kort og eventuelt velje ein annan tilbydar dersom gyldig kort ikkje blir lagt fram. Forbrukarar kan også tipse Arbeidstilsynet om tenesteytarar som manglar gyldig HMS-kort.</w:t>
      </w:r>
    </w:p>
    <w:p w:rsidR="00D30C4D" w:rsidRDefault="00B964E1" w:rsidP="00020FC3">
      <w:r>
        <w:t>Ei evaluering som Fafo gjorde av godkjenningsordninga i reinhaldsbransjen,</w:t>
      </w:r>
      <w:r>
        <w:rPr>
          <w:vertAlign w:val="superscript"/>
        </w:rPr>
        <w:footnoteReference w:id="122"/>
      </w:r>
      <w:r>
        <w:t xml:space="preserve"> viste at 80 prosent av forbrukarane ikkje kjende til ordninga med HMS-kort. Det er ingen haldepunkt for at ordninga er </w:t>
      </w:r>
      <w:proofErr w:type="gramStart"/>
      <w:r>
        <w:t>betre</w:t>
      </w:r>
      <w:proofErr w:type="gramEnd"/>
      <w:r>
        <w:t xml:space="preserve"> kjend blant forbrukarar på byggmarknaden. Ordninga bør derfor bli gjort betre kjend. Forbrukarar må få meir informasjon om at dei både kan og bør be om å få sjå gyldig HMS-kort. Dette vil gjere det vanskelegare for useriøse aktørar å få tilgang til denne markn</w:t>
      </w:r>
      <w:r>
        <w:t>a</w:t>
      </w:r>
      <w:r>
        <w:t>den.</w:t>
      </w:r>
    </w:p>
    <w:p w:rsidR="00D30C4D" w:rsidRDefault="00B964E1" w:rsidP="00020FC3">
      <w:pPr>
        <w:pStyle w:val="tittel-ramme"/>
      </w:pPr>
      <w:r>
        <w:t>Råd og rettleiing frå Forbrukarrådet om tenestekjøp</w:t>
      </w:r>
    </w:p>
    <w:p w:rsidR="00D30C4D" w:rsidRDefault="00B964E1" w:rsidP="00020FC3">
      <w:r>
        <w:t>Forbrukarar kan søkje om råd og rettleiing hos Forbrukarrådet i samband med kjøp av han</w:t>
      </w:r>
      <w:r>
        <w:t>d</w:t>
      </w:r>
      <w:r>
        <w:t xml:space="preserve">verkartenester. Forbrukarrådet </w:t>
      </w:r>
      <w:proofErr w:type="gramStart"/>
      <w:r>
        <w:t>har</w:t>
      </w:r>
      <w:proofErr w:type="gramEnd"/>
      <w:r>
        <w:t xml:space="preserve"> </w:t>
      </w:r>
      <w:proofErr w:type="gramStart"/>
      <w:r>
        <w:t>standardiserte</w:t>
      </w:r>
      <w:proofErr w:type="gramEnd"/>
      <w:r>
        <w:t xml:space="preserve"> kontraktar som forbrukarar kan nytte seg av. Desse kontraktane er tilgjengelege gratis på nettsidene til Forbrukarrådet. Her finn ein også ei sjekkliste ein kan bruke før ein vel handverkar og ei rettleiing om kjøp av seriøse reinhaldst</w:t>
      </w:r>
      <w:r>
        <w:t>e</w:t>
      </w:r>
      <w:r>
        <w:t>nester.</w:t>
      </w:r>
    </w:p>
    <w:p w:rsidR="00D30C4D" w:rsidRDefault="00B964E1">
      <w:pPr>
        <w:pStyle w:val="Ramme-slutt"/>
        <w:rPr>
          <w:sz w:val="26"/>
          <w:szCs w:val="26"/>
        </w:rPr>
      </w:pPr>
      <w:r>
        <w:rPr>
          <w:sz w:val="26"/>
          <w:szCs w:val="26"/>
        </w:rPr>
        <w:t>[Boks slutt]</w:t>
      </w:r>
    </w:p>
    <w:p w:rsidR="00D30C4D" w:rsidRDefault="00B964E1" w:rsidP="00020FC3">
      <w:pPr>
        <w:pStyle w:val="Overskrift3"/>
      </w:pPr>
      <w:r>
        <w:lastRenderedPageBreak/>
        <w:t>Reinhaldsbransjen</w:t>
      </w:r>
    </w:p>
    <w:p w:rsidR="00D30C4D" w:rsidRDefault="00B964E1" w:rsidP="00020FC3">
      <w:r>
        <w:t>I dag kjøper om lag ti prosent av dei private husstandane reinhaldstenester.</w:t>
      </w:r>
      <w:r>
        <w:rPr>
          <w:vertAlign w:val="superscript"/>
        </w:rPr>
        <w:footnoteReference w:id="123"/>
      </w:r>
      <w:r>
        <w:t xml:space="preserve"> Trenden ser ut til </w:t>
      </w:r>
      <w:proofErr w:type="gramStart"/>
      <w:r>
        <w:t>å</w:t>
      </w:r>
      <w:proofErr w:type="gramEnd"/>
      <w:r>
        <w:t xml:space="preserve"> vere aukande. Majoriteten av dei som jobbar med reinhald på forbrukarmarknaden, er in</w:t>
      </w:r>
      <w:r>
        <w:t>n</w:t>
      </w:r>
      <w:r>
        <w:t>vandrarar. Ein stor del kjem frå Aust- og Sentral-Europa. Ettersom reinhaldsbransjen har få kompetansekrav, er det mange arbeidstakarar som har lite utdanning og avgrensa norskkun</w:t>
      </w:r>
      <w:r>
        <w:t>n</w:t>
      </w:r>
      <w:r>
        <w:t>skapar. Ofte kjem reinhaldarane frå land der den nordiske velferdsstaten er ukjend, og der tilliten til styresmaktene er låg. Mange stiller derfor ikkje spørsmål ved dårlege lønns- og a</w:t>
      </w:r>
      <w:r>
        <w:t>r</w:t>
      </w:r>
      <w:r>
        <w:t xml:space="preserve">beidstilhøve, og terskelen for </w:t>
      </w:r>
      <w:proofErr w:type="gramStart"/>
      <w:r>
        <w:t>å</w:t>
      </w:r>
      <w:proofErr w:type="gramEnd"/>
      <w:r>
        <w:t xml:space="preserve"> søkje informasjon er ofte høg. I delar av reinhaldsbransjen er arbeidstakarane dermed utsette for uakseptable lønns- og arbeidsvilkår og ulike former for arbeidslivskriminalitet.</w:t>
      </w:r>
    </w:p>
    <w:p w:rsidR="00D30C4D" w:rsidRDefault="00B964E1" w:rsidP="00020FC3">
      <w:r>
        <w:t xml:space="preserve">Det er innført fleire tiltak i reinhaldsbransjen for </w:t>
      </w:r>
      <w:proofErr w:type="gramStart"/>
      <w:r>
        <w:t>å</w:t>
      </w:r>
      <w:proofErr w:type="gramEnd"/>
      <w:r>
        <w:t xml:space="preserve"> fremje seriøsitet i bransjen. I tillegg til al</w:t>
      </w:r>
      <w:r>
        <w:t>l</w:t>
      </w:r>
      <w:r>
        <w:t>menngjort lønn må alle reinhaldsverksemder vere offentleg godkjende, og det er innført eit eige treparts-bransjeprogram for reinhaldsbransjen. Treparts-bransjeprogrammet er eit verkemiddel for å bidra til høvelege og seriøse arbeidsvilkår i utvalde bransjar der dette er ei utfordring. Føremålet er å mobilisere arbeidsgivarar, arbeidstakarar og styresmakter til i fellesskap å d</w:t>
      </w:r>
      <w:r>
        <w:t>o</w:t>
      </w:r>
      <w:r>
        <w:t>kumentere og ta tak i kjende utfordringar når det gjeld arbeidsvilkår og arbeidsmiljø.</w:t>
      </w:r>
    </w:p>
    <w:p w:rsidR="00D30C4D" w:rsidRDefault="00B964E1" w:rsidP="00020FC3">
      <w:r>
        <w:t xml:space="preserve">Bransjeprogrammet for reinhald blei etablert i 2012. Som ein del av programmet er det sett i verk ei rekkje tiltak for </w:t>
      </w:r>
      <w:proofErr w:type="gramStart"/>
      <w:r>
        <w:t>å</w:t>
      </w:r>
      <w:proofErr w:type="gramEnd"/>
      <w:r>
        <w:t xml:space="preserve"> fremje trygge og seriøse arbeidstilhøve i bransjen. Dette inkluderer ei offentleg godkjenningsordning for reinhaldsverksemder. I 2018 starta bransjeprogrammet ein informasjonskampanje retta mot innkjøparar i privat sektor, for </w:t>
      </w:r>
      <w:proofErr w:type="gramStart"/>
      <w:r>
        <w:t>å</w:t>
      </w:r>
      <w:proofErr w:type="gramEnd"/>
      <w:r>
        <w:t xml:space="preserve"> gjere godkjenningsordninga for reinhald betre kjend og brukt. Gjennom bransjeprogrammet følgjer ein utviklinga i bransjen og vurderer kontinuerleg behovet for nye eller justerte tiltak.</w:t>
      </w:r>
    </w:p>
    <w:p w:rsidR="00D30C4D" w:rsidRDefault="00B964E1" w:rsidP="00020FC3">
      <w:r>
        <w:t>Godkjenningsordninga for reinhaldsverksemder inneber at alle reinhaldsverksemder skal vere godkjende av Arbeidstilsynet (eller ha søknad om godkjenning eller HMS-kortbestilling til handsaming). For å bli godkjende må verksemdene mellom anna dokumentere at dei har lo</w:t>
      </w:r>
      <w:r>
        <w:t>v</w:t>
      </w:r>
      <w:r>
        <w:t>lege arbeidsavtaler, betaler allmenngjort tarifflønn og at alle som utfører reinhald, har gyldig HMS-kort. Verksemder som ikkje er godkjende av Arbeidstilsynet, kan ikkje lovleg selje reinhaldstenester verken til verksemder eller forbrukarar.</w:t>
      </w:r>
    </w:p>
    <w:p w:rsidR="00D30C4D" w:rsidRDefault="00B964E1" w:rsidP="00020FC3">
      <w:r>
        <w:t xml:space="preserve">I 2018 gjennomførte regjeringa fleire endringar for </w:t>
      </w:r>
      <w:proofErr w:type="gramStart"/>
      <w:r>
        <w:t>å</w:t>
      </w:r>
      <w:proofErr w:type="gramEnd"/>
      <w:r>
        <w:t xml:space="preserve"> styrkje godkjenningsordninga for rei</w:t>
      </w:r>
      <w:r>
        <w:t>n</w:t>
      </w:r>
      <w:r>
        <w:t>hald. Mellom anna blei det innført eit forbod for forbrukarar mot å kjøpe reinhald frå ver</w:t>
      </w:r>
      <w:r>
        <w:t>k</w:t>
      </w:r>
      <w:r>
        <w:t>semder som ikkje er godkjende (inntil 1. juli 2018 gjaldt forbodet berre for næringsdrivande).</w:t>
      </w:r>
    </w:p>
    <w:p w:rsidR="00D30C4D" w:rsidRDefault="00B964E1" w:rsidP="00020FC3">
      <w:r>
        <w:t xml:space="preserve">Reinhaldsregisteret på heimesida til Arbeidstilsynet gir oversikt over verksemdene det er lovleg å kjøpe reinhaldstenester frå. Det er gjort fleire endringar i reinhaldsregisteret, mellom anna ny design og nye funksjonar for </w:t>
      </w:r>
      <w:proofErr w:type="gramStart"/>
      <w:r>
        <w:t>å</w:t>
      </w:r>
      <w:proofErr w:type="gramEnd"/>
      <w:r>
        <w:t xml:space="preserve"> gjere det enklare for forbrukarar å sjekke om ei reinhaldsver</w:t>
      </w:r>
      <w:r>
        <w:t>k</w:t>
      </w:r>
      <w:r>
        <w:t>semd er godkjend. I dag er det til dømes mogleg å abonnere på endringar hos reinhaldsver</w:t>
      </w:r>
      <w:r>
        <w:t>k</w:t>
      </w:r>
      <w:r>
        <w:t>semda ein bruker, slik at ein blir varsla dersom verksemda misser godkjenninga si.</w:t>
      </w:r>
    </w:p>
    <w:p w:rsidR="00D30C4D" w:rsidRDefault="00B964E1" w:rsidP="00020FC3">
      <w:r>
        <w:lastRenderedPageBreak/>
        <w:t>Det er viktig at reinhaldsregisteret blir godt kjent og brukt av forbrukarar. Som nemnt tidlegare blir det gjort ein del informasjonsarbeid retta mot forbrukarar i samband med det pågåande bransjeprogrammet for reinhald. Her har partane lang erfaring og kunnskap om dei ulike u</w:t>
      </w:r>
      <w:r>
        <w:t>t</w:t>
      </w:r>
      <w:r>
        <w:t xml:space="preserve">fordringane i bransjen og kva tiltak som kan treffe bransjen godt. Dette arbeidet kjem til </w:t>
      </w:r>
      <w:proofErr w:type="gramStart"/>
      <w:r>
        <w:t>å</w:t>
      </w:r>
      <w:proofErr w:type="gramEnd"/>
      <w:r>
        <w:t xml:space="preserve"> halde fram.</w:t>
      </w:r>
    </w:p>
    <w:p w:rsidR="00D30C4D" w:rsidRDefault="00B964E1" w:rsidP="00020FC3">
      <w:pPr>
        <w:pStyle w:val="Overskrift3"/>
      </w:pPr>
      <w:r>
        <w:t>Bilbransjen</w:t>
      </w:r>
    </w:p>
    <w:p w:rsidR="00D30C4D" w:rsidRDefault="00B964E1" w:rsidP="00020FC3">
      <w:r>
        <w:t>Bilbransjen omfattar mellom anna bilsal, bilreparasjon, dekkskift, bilvask- og pleie. Dette er tenester som i hovudsak er retta mot private forbrukarar. Arbeidstilsynet har over fleire år gjennomført ei rekkje tilsynsaktivitetar retta mot bilbransjen, mange av dei i samarbeid med andre offentlege etatar. Typiske funn i den useriøse delen av bransjen er helsefarlege arbeid</w:t>
      </w:r>
      <w:r>
        <w:t>s</w:t>
      </w:r>
      <w:r>
        <w:t>lokale med dårleg ventilasjon, støy og farleg handtering av sterke kjemikaliar. I tillegg har det blitt avdekt arbeidstid langt utover det som er lovleg og forsvarleg. Statens vegvesen fører tilsyn med bilverkstader og har eit samarbeid med politiet, Skatteetaten, Arbeids- og velferd</w:t>
      </w:r>
      <w:r>
        <w:t>s</w:t>
      </w:r>
      <w:r>
        <w:t xml:space="preserve">etaten og Arbeidstilsynet om innsats fleire stader i landet for </w:t>
      </w:r>
      <w:proofErr w:type="gramStart"/>
      <w:r>
        <w:t>å</w:t>
      </w:r>
      <w:proofErr w:type="gramEnd"/>
      <w:r>
        <w:t xml:space="preserve"> stengje ulovlege bilverkstader.</w:t>
      </w:r>
      <w:r>
        <w:rPr>
          <w:vertAlign w:val="superscript"/>
        </w:rPr>
        <w:footnoteReference w:id="124"/>
      </w:r>
    </w:p>
    <w:p w:rsidR="00D30C4D" w:rsidRDefault="00B964E1" w:rsidP="00020FC3">
      <w:r>
        <w:t>For å ta tak i utfordringane i bilbransjen blei det hausten 2018 etablert eit tr</w:t>
      </w:r>
      <w:r>
        <w:t>e</w:t>
      </w:r>
      <w:r>
        <w:t>parts-bransjeprogram for bilbransjen. Arbeidet blir leia av Arbeidstilsynet i samarbeid med Statens vegvesen. I bransjeprogrammet blir det vurdert moglege tiltak for å løyse utfordringane i bilbransjen. I første omgang blir det gjennomført ei undersøking av tilhøva i bransjen. Dette vil gi grunnlag for å vurdere målretta tiltak.</w:t>
      </w:r>
    </w:p>
    <w:p w:rsidR="00D30C4D" w:rsidRDefault="00B964E1" w:rsidP="00020FC3">
      <w:r>
        <w:t>Verkstader som utfører reparasjon, vedlikehald og anna arbeid på bil, må vere offentleg go</w:t>
      </w:r>
      <w:r>
        <w:t>d</w:t>
      </w:r>
      <w:r>
        <w:t xml:space="preserve">kjende. Det blei i 2018 jobba med </w:t>
      </w:r>
      <w:proofErr w:type="gramStart"/>
      <w:r>
        <w:t>å</w:t>
      </w:r>
      <w:proofErr w:type="gramEnd"/>
      <w:r>
        <w:t xml:space="preserve"> styrkje seriøsiteten i denne bransjen gjennom nye reglar for godkjenning og tilsyn. Reglane inneber mellom anna krav til kompetanse, habilitet og vandel for kontrollørane og verkstadene som utfører periodisk køyretøykontroll. Vidare inneber r</w:t>
      </w:r>
      <w:r>
        <w:t>e</w:t>
      </w:r>
      <w:r>
        <w:t xml:space="preserve">glane at det blir mogleg for offentlege styresmakter å gjennomføre eit meir effektivt tilsyn. Siktemålet med skjerpa krav er </w:t>
      </w:r>
      <w:proofErr w:type="gramStart"/>
      <w:r>
        <w:t>å</w:t>
      </w:r>
      <w:proofErr w:type="gramEnd"/>
      <w:r>
        <w:t xml:space="preserve"> styrkje kvaliteten på verkstadtenestene, bidra til auka tr</w:t>
      </w:r>
      <w:r>
        <w:t>a</w:t>
      </w:r>
      <w:r>
        <w:t>fikktryggleik og å motverke arbeidslivskriminalitet. Godkjenningsordninga for verkstader må gjerast betre kjend.</w:t>
      </w:r>
    </w:p>
    <w:p w:rsidR="00D30C4D" w:rsidRDefault="00B964E1" w:rsidP="00020FC3">
      <w:pPr>
        <w:pStyle w:val="Overskrift2"/>
      </w:pPr>
      <w:r>
        <w:t>Det må vere enkelt å handle kvitt</w:t>
      </w:r>
    </w:p>
    <w:p w:rsidR="00D30C4D" w:rsidRDefault="00B964E1" w:rsidP="00020FC3">
      <w:r>
        <w:t xml:space="preserve">For å få fleire til å handle kvitt må ein gjere forbrukarar merksame på kva rettar og plikter dei har ved kjøp av varer og tenester. Forbrukarar må vite kva ordningar som finst for </w:t>
      </w:r>
      <w:proofErr w:type="gramStart"/>
      <w:r>
        <w:t>å</w:t>
      </w:r>
      <w:proofErr w:type="gramEnd"/>
      <w:r>
        <w:t xml:space="preserve"> følgje regelverket, og vere i stand til å velje vekk kriminelle leverandørar. </w:t>
      </w:r>
      <w:r>
        <w:rPr>
          <w:spacing w:val="-1"/>
        </w:rPr>
        <w:t>Regjeringa jobbar langs fleire spor for å medverke til at fleire forbrukarar skal kunne gjere informerte val ved kjøp av mellom anna handverkstenester, reinhaldstenester og bilpleie</w:t>
      </w:r>
      <w:r>
        <w:t>.</w:t>
      </w:r>
    </w:p>
    <w:p w:rsidR="00D30C4D" w:rsidRDefault="00B964E1" w:rsidP="00020FC3">
      <w:r>
        <w:t xml:space="preserve">I ein del tilfelle opplever forbrukarar at det er vanskeleg å vite korleis ein handlar kvitt. Dei må ofte ta stilling til regelverk og informasjon frå fleire etatar, og informasjonen er ofte </w:t>
      </w:r>
      <w:proofErr w:type="gramStart"/>
      <w:r>
        <w:t>betre</w:t>
      </w:r>
      <w:proofErr w:type="gramEnd"/>
      <w:r>
        <w:t xml:space="preserve"> </w:t>
      </w:r>
      <w:r>
        <w:lastRenderedPageBreak/>
        <w:t>tilpassa bedriftsmarknaden enn småjobbar i heimen. Døme på dette er informasjon om ansvar ved skader og ulukker, rapportering av skatt og mogleg ansvar ved svart arbeid, eller om l</w:t>
      </w:r>
      <w:r>
        <w:t>e</w:t>
      </w:r>
      <w:r>
        <w:t xml:space="preserve">verandøren er lønnstakar eller næringsdrivande. Når det er vanskeleg å handle kvitt, aukar risikoen for at forbrukarar handlar svart. Det er derfor viktig </w:t>
      </w:r>
      <w:proofErr w:type="gramStart"/>
      <w:r>
        <w:t>å</w:t>
      </w:r>
      <w:proofErr w:type="gramEnd"/>
      <w:r>
        <w:t xml:space="preserve"> setje inn tiltak på området.</w:t>
      </w:r>
    </w:p>
    <w:p w:rsidR="00D30C4D" w:rsidRDefault="00B964E1" w:rsidP="00020FC3">
      <w:r>
        <w:t xml:space="preserve">Samarbeid mot svart økonomi (SMSØ) mellom KS, LO, NHO, YS, Unio og Skatteetaten har sidan 2011 gjennomført Handlekvitt-kampanjar knytte til nettstaden </w:t>
      </w:r>
      <w:r>
        <w:rPr>
          <w:rStyle w:val="kursiv"/>
          <w:spacing w:val="-1"/>
          <w:sz w:val="21"/>
          <w:szCs w:val="21"/>
        </w:rPr>
        <w:t>handlehvitt.no</w:t>
      </w:r>
      <w:r>
        <w:t>. Regjeringa vil i 2019 etablere eit samarbeid mellom SMSØ og aktørar som Forbrukarrådet, Arbeidstils</w:t>
      </w:r>
      <w:r>
        <w:t>y</w:t>
      </w:r>
      <w:r>
        <w:t xml:space="preserve">net, Skatteetaten og NAV for å etablere ei ny rettleiingsteneste på handlehvitt.no. Den nye tenesta skal gjere det enklare for forbrukarar </w:t>
      </w:r>
      <w:proofErr w:type="gramStart"/>
      <w:r>
        <w:t>å</w:t>
      </w:r>
      <w:proofErr w:type="gramEnd"/>
      <w:r>
        <w:t xml:space="preserve"> velje seriøse leverandørar og handle kvitt. R</w:t>
      </w:r>
      <w:r>
        <w:t>e</w:t>
      </w:r>
      <w:r>
        <w:t>gjeringa tek sikte på at rettleiingstenesta skal lanserast i 2020. Som eit ledd i etableringa av rettleiingstenesta skal SMSØ og etatane kartleggje kva kontakt og erfaringar forbrukarar har med relevante offentlege etatar når dei handlar kvitt. Område der det kan vere behov for å samordne informasjon tilpassa behova til forbrukarar, skal også kartleggjast.</w:t>
      </w:r>
    </w:p>
    <w:p w:rsidR="00D30C4D" w:rsidRDefault="00B964E1" w:rsidP="00020FC3">
      <w:r>
        <w:t xml:space="preserve">I avsnitta under blir fleire pågåande prosessar knytte til register- og attestløysingar som skal gjere det enklare for forbrukarar </w:t>
      </w:r>
      <w:proofErr w:type="gramStart"/>
      <w:r>
        <w:t>å</w:t>
      </w:r>
      <w:proofErr w:type="gramEnd"/>
      <w:r>
        <w:t xml:space="preserve"> velje seriøse leverandørar og handle kvitt, omtalt.</w:t>
      </w:r>
    </w:p>
    <w:p w:rsidR="00D30C4D" w:rsidRDefault="00B964E1" w:rsidP="00020FC3">
      <w:pPr>
        <w:pStyle w:val="Overskrift3"/>
      </w:pPr>
      <w:r>
        <w:t>Tilgang til opplysingar om tilbydarar (eBevis)</w:t>
      </w:r>
    </w:p>
    <w:p w:rsidR="00D30C4D" w:rsidRDefault="00B964E1" w:rsidP="00020FC3">
      <w:r>
        <w:t>I april 2019 blei tenesta «eBevis» lansert. Tenesta gir offentlege oppdragsgivarar digital tilgang til sanntidsinformasjon frå offentlege register om norske leverandørar ved innkjøp og oppfø</w:t>
      </w:r>
      <w:r>
        <w:t>l</w:t>
      </w:r>
      <w:r>
        <w:t>ging av kontraktar. Tenesta er utvikla av Direktoratet for forvalting og ikt (Difi) og Brønnø</w:t>
      </w:r>
      <w:r>
        <w:t>y</w:t>
      </w:r>
      <w:r>
        <w:t>sundregistra (BR). Brukarane får mellom anna tilgang til firmaattest, informasjon om konkurs og rekneskap frå Brønnøysundregistra og skatte- og meirverdiavgiftrestansar frå Skatteetaten. eBevis skal medverke til meir effektive innkjøp med betre kvalitet, og motverke arbeidsliv</w:t>
      </w:r>
      <w:r>
        <w:t>s</w:t>
      </w:r>
      <w:r>
        <w:t>kriminalitet. Det kan vere mogleg å utvide tenesta med fleire datakjelder. Difi vil i 2019 vurdere kva andre registeropplysingar det kan vere aktuelt å utvide tenesta med.</w:t>
      </w:r>
    </w:p>
    <w:p w:rsidR="00D30C4D" w:rsidRDefault="00B964E1" w:rsidP="00020FC3">
      <w:r>
        <w:t>I samsvar med den reviderte strategien mot arbeidslivskriminalitet (lansert februar 2019) vil regjeringa undersøkje om også forbrukarar kan og bør få digital tilgang til sanntidsinformasjon om norske leverandørar som er tilgjengeleg gjennom eBevis.</w:t>
      </w:r>
    </w:p>
    <w:p w:rsidR="00D30C4D" w:rsidRDefault="00B964E1" w:rsidP="00020FC3">
      <w:pPr>
        <w:pStyle w:val="Overskrift3"/>
      </w:pPr>
      <w:r>
        <w:t>Forenkla løysing for innrapportering av lønt arbeid i heimen</w:t>
      </w:r>
    </w:p>
    <w:p w:rsidR="00D30C4D" w:rsidRDefault="00B964E1" w:rsidP="00020FC3">
      <w:r>
        <w:t xml:space="preserve">Tenester som reinhald, oppussing og barnepass er dominerande når det gjeld svart arbeid på privatmarknaden. Store delar av dette blir levert av privatpersonar. I slike tilfelle skal som regel lønna rapporterast og det skal trekkjast skatt. Løysinga frå Skatteetaten, </w:t>
      </w:r>
      <w:r>
        <w:rPr>
          <w:rStyle w:val="kursiv"/>
          <w:sz w:val="21"/>
          <w:szCs w:val="21"/>
        </w:rPr>
        <w:t>Melding om lønna arbeid i heimen</w:t>
      </w:r>
      <w:r>
        <w:t xml:space="preserve"> (A04), gjer det mogleg for privatpersonar å hente skattekort, rekne ut skattetrekk og rapportere lønn for småjobbar i heimen på ein relativt enkel måte, i hovudsak i spennet mellom 6 000 og 60 000 kroner per år. Lønnsutbetalingane er fritekne for arbeidsgivaravgift.</w:t>
      </w:r>
    </w:p>
    <w:p w:rsidR="00D30C4D" w:rsidRDefault="00B964E1" w:rsidP="00020FC3">
      <w:r>
        <w:t>Trass i dette ser ikkje forbrukarane ut til å oppfatte ordninga som tilgjengeleg og tilstrekkeleg brukarvennleg. Brukarane av ordninga har etterspurt å kunne betale skattetrekket direkte i løysinga i Altinn.</w:t>
      </w:r>
    </w:p>
    <w:p w:rsidR="00D30C4D" w:rsidRDefault="00B964E1" w:rsidP="00020FC3">
      <w:r>
        <w:lastRenderedPageBreak/>
        <w:t>Regjeringa vil derfor greie ut korleis ein kan gjere A04-løysinga meir tilgjengeleg, bruka</w:t>
      </w:r>
      <w:r>
        <w:t>r</w:t>
      </w:r>
      <w:r>
        <w:t>vennleg og effektiv. Eit eventuelt tidspunkt for gjennomføring må vurderast nærare etter at ein har sett på gevinstane og kostnadene ved ei meir brukarvennleg ordning.</w:t>
      </w:r>
    </w:p>
    <w:p w:rsidR="00D30C4D" w:rsidRDefault="00B964E1" w:rsidP="00020FC3">
      <w:pPr>
        <w:pStyle w:val="Overskrift2"/>
      </w:pPr>
      <w:r>
        <w:t>Regjeringa vil</w:t>
      </w:r>
    </w:p>
    <w:p w:rsidR="00D30C4D" w:rsidRDefault="00B964E1" w:rsidP="00E05FE4">
      <w:pPr>
        <w:pStyle w:val="Listebombe"/>
        <w:numPr>
          <w:ilvl w:val="0"/>
          <w:numId w:val="1"/>
        </w:numPr>
        <w:ind w:left="320" w:hanging="320"/>
        <w:rPr>
          <w:sz w:val="21"/>
          <w:szCs w:val="21"/>
        </w:rPr>
      </w:pPr>
      <w:r>
        <w:rPr>
          <w:sz w:val="21"/>
          <w:szCs w:val="21"/>
        </w:rPr>
        <w:t xml:space="preserve">følgje opp tiltak frå strategien mot arbeidslivskriminalitet for </w:t>
      </w:r>
      <w:proofErr w:type="gramStart"/>
      <w:r>
        <w:rPr>
          <w:sz w:val="21"/>
          <w:szCs w:val="21"/>
        </w:rPr>
        <w:t>å</w:t>
      </w:r>
      <w:proofErr w:type="gramEnd"/>
      <w:r>
        <w:rPr>
          <w:sz w:val="21"/>
          <w:szCs w:val="21"/>
        </w:rPr>
        <w:t xml:space="preserve"> undersøkje om ein kan og bør bruke sanntidsdata frå offentlege register om tenestetilbydarar til å gi forbrukarar informasjon om kor s</w:t>
      </w:r>
      <w:r>
        <w:rPr>
          <w:sz w:val="21"/>
          <w:szCs w:val="21"/>
        </w:rPr>
        <w:t>e</w:t>
      </w:r>
      <w:r>
        <w:rPr>
          <w:sz w:val="21"/>
          <w:szCs w:val="21"/>
        </w:rPr>
        <w:t>riøse tilbydarane er (eBevis)</w:t>
      </w:r>
    </w:p>
    <w:p w:rsidR="00D30C4D" w:rsidRDefault="00B964E1" w:rsidP="00E05FE4">
      <w:pPr>
        <w:pStyle w:val="Listebombe"/>
        <w:numPr>
          <w:ilvl w:val="0"/>
          <w:numId w:val="1"/>
        </w:numPr>
        <w:ind w:left="320" w:hanging="320"/>
        <w:rPr>
          <w:sz w:val="21"/>
          <w:szCs w:val="21"/>
        </w:rPr>
      </w:pPr>
      <w:r>
        <w:rPr>
          <w:sz w:val="21"/>
          <w:szCs w:val="21"/>
        </w:rPr>
        <w:t>vurdere korleis ein kan gjere innrapporteringsordninga «Melding om lønna arbeid i heimen» meir tilgjengeleg, brukarvennleg og effektiv</w:t>
      </w:r>
    </w:p>
    <w:p w:rsidR="00D30C4D" w:rsidRDefault="00B964E1" w:rsidP="00E05FE4">
      <w:pPr>
        <w:pStyle w:val="Listebombe"/>
        <w:numPr>
          <w:ilvl w:val="0"/>
          <w:numId w:val="1"/>
        </w:numPr>
        <w:ind w:left="320" w:hanging="320"/>
        <w:rPr>
          <w:sz w:val="21"/>
          <w:szCs w:val="21"/>
        </w:rPr>
      </w:pPr>
      <w:proofErr w:type="gramStart"/>
      <w:r>
        <w:rPr>
          <w:sz w:val="21"/>
          <w:szCs w:val="21"/>
        </w:rPr>
        <w:t>etablere eit tverretatleg samarbeid for å utvikle ei ny rettleiingsteneste på nettstaden handlehvitt.no, med samordna informasjon om korleis forbrukarar kan handle kvitt</w:t>
      </w:r>
      <w:proofErr w:type="gramEnd"/>
    </w:p>
    <w:p w:rsidR="00D30C4D" w:rsidRDefault="00B964E1" w:rsidP="00020FC3">
      <w:pPr>
        <w:pStyle w:val="Overskrift1"/>
      </w:pPr>
      <w:r>
        <w:t>Økonomiske og administrative konsekvensar</w:t>
      </w:r>
    </w:p>
    <w:p w:rsidR="00D30C4D" w:rsidRDefault="00B964E1" w:rsidP="00020FC3">
      <w:r>
        <w:t>Tiltak som er varsla i meldinga, vil bli dekte innanfor dei gjeldande budsjettrammene. Det er per i dag vanskeleg å talfeste dei økonomiske og administrative konsekvensane av dei nye tiltaka som meldinga varslar ei nærare vurdering av. Tiltaka må fyrst gjerast meir konkrete. Dei samfunnsøkonomiske verknadene og eventuelle konsekvensar for private og offentlege partar vil bli vurderte i tråd med utgreiingsinstruksen, som ein del av det vidare arbeidet. I kva grad tiltaka vil bli tekne inn i budsjettet, vil avhenge av den økonomiske utviklinga og dei samla prioriteringane til regjeringa.</w:t>
      </w:r>
    </w:p>
    <w:p w:rsidR="00D30C4D" w:rsidRDefault="00B964E1" w:rsidP="00020FC3">
      <w:pPr>
        <w:pStyle w:val="a-tilraar-dep"/>
      </w:pPr>
      <w:r>
        <w:t>Barne- og familiedepartementet</w:t>
      </w:r>
    </w:p>
    <w:p w:rsidR="00D30C4D" w:rsidRDefault="00B964E1" w:rsidP="00020FC3">
      <w:pPr>
        <w:pStyle w:val="a-tilraar-tit"/>
      </w:pPr>
      <w:r>
        <w:t>tilrår:</w:t>
      </w:r>
    </w:p>
    <w:p w:rsidR="00D30C4D" w:rsidRDefault="00B964E1" w:rsidP="00020FC3">
      <w:r>
        <w:t>Tilråding frå Barne- og familiedepartementet 7. juni 2019 om Grøn, smart og digital blir send Stortinget.</w:t>
      </w:r>
    </w:p>
    <w:p w:rsidR="00D30C4D" w:rsidRDefault="00D30C4D" w:rsidP="00020FC3"/>
    <w:sectPr w:rsidR="00D30C4D">
      <w:footerReference w:type="first" r:id="rId8"/>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C4D" w:rsidRDefault="00B964E1">
      <w:pPr>
        <w:spacing w:line="240" w:lineRule="auto"/>
      </w:pPr>
      <w:r>
        <w:separator/>
      </w:r>
    </w:p>
  </w:endnote>
  <w:endnote w:type="continuationSeparator" w:id="0">
    <w:p w:rsidR="00D30C4D" w:rsidRDefault="00B964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28B" w:rsidRDefault="00FF128B" w:rsidP="00FF128B">
    <w:pPr>
      <w:pStyle w:val="Bunntekst"/>
      <w:jc w:val="center"/>
    </w:pPr>
    <w:r>
      <w:t xml:space="preserve">Side </w:t>
    </w:r>
    <w:r>
      <w:fldChar w:fldCharType="begin"/>
    </w:r>
    <w:r>
      <w:instrText xml:space="preserve"> PAGE  </w:instrText>
    </w:r>
    <w:r>
      <w:fldChar w:fldCharType="separate"/>
    </w:r>
    <w:r w:rsidR="00B55F3D">
      <w:rPr>
        <w:noProof/>
      </w:rPr>
      <w:t>1</w:t>
    </w:r>
    <w:r>
      <w:fldChar w:fldCharType="end"/>
    </w:r>
    <w:r>
      <w:t xml:space="preserve"> av </w:t>
    </w:r>
    <w:fldSimple w:instr=" NUMPAGES  ">
      <w:r w:rsidR="00B55F3D">
        <w:rPr>
          <w:noProof/>
        </w:rPr>
        <w:t>139</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C4D" w:rsidRDefault="00B964E1">
      <w:pPr>
        <w:spacing w:line="240" w:lineRule="auto"/>
      </w:pPr>
      <w:r>
        <w:separator/>
      </w:r>
    </w:p>
  </w:footnote>
  <w:footnote w:type="continuationSeparator" w:id="0">
    <w:p w:rsidR="00D30C4D" w:rsidRDefault="00B964E1">
      <w:pPr>
        <w:spacing w:line="240" w:lineRule="auto"/>
      </w:pPr>
      <w:r>
        <w:continuationSeparator/>
      </w:r>
    </w:p>
  </w:footnote>
  <w:footnote w:id="1">
    <w:p w:rsidR="00D30C4D" w:rsidRDefault="00B964E1">
      <w:pPr>
        <w:pStyle w:val="Fotnotetekst"/>
        <w:rPr>
          <w:sz w:val="17"/>
          <w:szCs w:val="17"/>
        </w:rPr>
      </w:pPr>
      <w:r>
        <w:rPr>
          <w:vertAlign w:val="superscript"/>
        </w:rPr>
        <w:footnoteRef/>
      </w:r>
      <w:r>
        <w:rPr>
          <w:sz w:val="17"/>
          <w:szCs w:val="17"/>
        </w:rPr>
        <w:t xml:space="preserve">United Nations, </w:t>
      </w:r>
      <w:r>
        <w:rPr>
          <w:rStyle w:val="kursiv"/>
          <w:sz w:val="17"/>
          <w:szCs w:val="17"/>
        </w:rPr>
        <w:t>Guidelines for Consumer Protection</w:t>
      </w:r>
      <w:r>
        <w:rPr>
          <w:sz w:val="17"/>
          <w:szCs w:val="17"/>
        </w:rPr>
        <w:t>, 2016.</w:t>
      </w:r>
    </w:p>
    <w:p w:rsidR="00D30C4D" w:rsidRDefault="00D30C4D">
      <w:pPr>
        <w:pStyle w:val="Fotnotetekst"/>
      </w:pPr>
    </w:p>
  </w:footnote>
  <w:footnote w:id="2">
    <w:p w:rsidR="00D30C4D" w:rsidRDefault="00B964E1">
      <w:pPr>
        <w:pStyle w:val="Fotnotetekst"/>
        <w:rPr>
          <w:sz w:val="17"/>
          <w:szCs w:val="17"/>
        </w:rPr>
      </w:pPr>
      <w:r>
        <w:rPr>
          <w:vertAlign w:val="superscript"/>
        </w:rPr>
        <w:footnoteRef/>
      </w:r>
      <w:r>
        <w:rPr>
          <w:sz w:val="17"/>
          <w:szCs w:val="17"/>
        </w:rPr>
        <w:t xml:space="preserve">St.meld. nr. 40 (1998–99) </w:t>
      </w:r>
      <w:r>
        <w:rPr>
          <w:rStyle w:val="kursiv"/>
          <w:sz w:val="17"/>
          <w:szCs w:val="17"/>
        </w:rPr>
        <w:t>Om forbrukerpolitikk og organisering av forbrukerapparatet</w:t>
      </w:r>
      <w:r>
        <w:rPr>
          <w:sz w:val="17"/>
          <w:szCs w:val="17"/>
        </w:rPr>
        <w:t>.</w:t>
      </w:r>
    </w:p>
    <w:p w:rsidR="00D30C4D" w:rsidRDefault="00D30C4D">
      <w:pPr>
        <w:pStyle w:val="Fotnotetekst"/>
      </w:pPr>
    </w:p>
  </w:footnote>
  <w:footnote w:id="3">
    <w:p w:rsidR="00D30C4D" w:rsidRDefault="00B964E1">
      <w:pPr>
        <w:pStyle w:val="Fotnotetekst"/>
        <w:rPr>
          <w:sz w:val="17"/>
          <w:szCs w:val="17"/>
        </w:rPr>
      </w:pPr>
      <w:r>
        <w:rPr>
          <w:vertAlign w:val="superscript"/>
        </w:rPr>
        <w:footnoteRef/>
      </w:r>
      <w:r>
        <w:rPr>
          <w:sz w:val="17"/>
          <w:szCs w:val="17"/>
        </w:rPr>
        <w:t>SIFO-surveyen er ein reiskap for å overvake forbrukarane sin situasjon og praksis på følgjande område: forbrukarøkonomi, forbrukarkompetanse, forbrukarmakt og konsekvensane av forbruket. Undersøkinga blir gjennomført kvart år.</w:t>
      </w:r>
    </w:p>
    <w:p w:rsidR="00D30C4D" w:rsidRDefault="00D30C4D">
      <w:pPr>
        <w:pStyle w:val="Fotnotetekst"/>
      </w:pPr>
    </w:p>
  </w:footnote>
  <w:footnote w:id="4">
    <w:p w:rsidR="00D30C4D" w:rsidRDefault="00B964E1">
      <w:pPr>
        <w:pStyle w:val="Fotnotetekst"/>
        <w:rPr>
          <w:sz w:val="17"/>
          <w:szCs w:val="17"/>
        </w:rPr>
      </w:pPr>
      <w:r>
        <w:rPr>
          <w:vertAlign w:val="superscript"/>
        </w:rPr>
        <w:footnoteRef/>
      </w:r>
      <w:r>
        <w:rPr>
          <w:sz w:val="17"/>
          <w:szCs w:val="17"/>
        </w:rPr>
        <w:t xml:space="preserve">SSB, </w:t>
      </w:r>
      <w:r>
        <w:rPr>
          <w:rStyle w:val="kursiv"/>
          <w:sz w:val="17"/>
          <w:szCs w:val="17"/>
        </w:rPr>
        <w:t>Dette bruker nordmenn penger på</w:t>
      </w:r>
      <w:r>
        <w:rPr>
          <w:sz w:val="17"/>
          <w:szCs w:val="17"/>
        </w:rPr>
        <w:t>, 2018.</w:t>
      </w:r>
    </w:p>
    <w:p w:rsidR="00D30C4D" w:rsidRDefault="00D30C4D">
      <w:pPr>
        <w:pStyle w:val="Fotnotetekst"/>
      </w:pPr>
    </w:p>
  </w:footnote>
  <w:footnote w:id="5">
    <w:p w:rsidR="00D30C4D" w:rsidRDefault="00B964E1">
      <w:pPr>
        <w:pStyle w:val="Fotnotetekst"/>
        <w:rPr>
          <w:sz w:val="17"/>
          <w:szCs w:val="17"/>
        </w:rPr>
      </w:pPr>
      <w:r>
        <w:rPr>
          <w:vertAlign w:val="superscript"/>
        </w:rPr>
        <w:footnoteRef/>
      </w:r>
      <w:r>
        <w:rPr>
          <w:sz w:val="17"/>
          <w:szCs w:val="17"/>
        </w:rPr>
        <w:t xml:space="preserve">Tala frå SSB si forbruksundersøking viser ein litt større auke i bustadutgiftene sidan år 2000 enn tala frå nasjonalrekneskapen. Dette skuldast at forbruksundersøkinga er basert på ein annan metodikk. SSB si forbruksundersøking blei sist gjennomført i 2012. </w:t>
      </w:r>
    </w:p>
    <w:p w:rsidR="00D30C4D" w:rsidRDefault="00D30C4D">
      <w:pPr>
        <w:pStyle w:val="Fotnotetekst"/>
      </w:pPr>
    </w:p>
  </w:footnote>
  <w:footnote w:id="6">
    <w:p w:rsidR="00D30C4D" w:rsidRDefault="00B964E1">
      <w:pPr>
        <w:pStyle w:val="Fotnotetekst"/>
        <w:rPr>
          <w:sz w:val="17"/>
          <w:szCs w:val="17"/>
        </w:rPr>
      </w:pPr>
      <w:r>
        <w:rPr>
          <w:vertAlign w:val="superscript"/>
        </w:rPr>
        <w:footnoteRef/>
      </w:r>
      <w:r>
        <w:rPr>
          <w:sz w:val="17"/>
          <w:szCs w:val="17"/>
        </w:rPr>
        <w:t xml:space="preserve">SSB, </w:t>
      </w:r>
      <w:r>
        <w:rPr>
          <w:rStyle w:val="kursiv"/>
          <w:sz w:val="17"/>
          <w:szCs w:val="17"/>
        </w:rPr>
        <w:t>Dette er Norge 2018 – Tall som forteller</w:t>
      </w:r>
      <w:r>
        <w:rPr>
          <w:sz w:val="17"/>
          <w:szCs w:val="17"/>
        </w:rPr>
        <w:t>, 2018.</w:t>
      </w:r>
    </w:p>
    <w:p w:rsidR="00D30C4D" w:rsidRDefault="00D30C4D">
      <w:pPr>
        <w:pStyle w:val="Fotnotetekst"/>
      </w:pPr>
    </w:p>
  </w:footnote>
  <w:footnote w:id="7">
    <w:p w:rsidR="00D30C4D" w:rsidRDefault="00B964E1">
      <w:pPr>
        <w:pStyle w:val="Fotnotetekst"/>
        <w:rPr>
          <w:sz w:val="17"/>
          <w:szCs w:val="17"/>
        </w:rPr>
      </w:pPr>
      <w:r>
        <w:rPr>
          <w:vertAlign w:val="superscript"/>
        </w:rPr>
        <w:footnoteRef/>
      </w:r>
      <w:r>
        <w:rPr>
          <w:sz w:val="17"/>
          <w:szCs w:val="17"/>
        </w:rPr>
        <w:t xml:space="preserve">SSB, </w:t>
      </w:r>
      <w:r>
        <w:rPr>
          <w:rStyle w:val="kursiv"/>
          <w:sz w:val="17"/>
          <w:szCs w:val="17"/>
        </w:rPr>
        <w:t>Vi kjøper mer av det meste</w:t>
      </w:r>
      <w:r>
        <w:rPr>
          <w:sz w:val="17"/>
          <w:szCs w:val="17"/>
        </w:rPr>
        <w:t>, 2015.</w:t>
      </w:r>
    </w:p>
    <w:p w:rsidR="00D30C4D" w:rsidRDefault="00D30C4D">
      <w:pPr>
        <w:pStyle w:val="Fotnotetekst"/>
      </w:pPr>
    </w:p>
  </w:footnote>
  <w:footnote w:id="8">
    <w:p w:rsidR="00D30C4D" w:rsidRDefault="00B964E1">
      <w:pPr>
        <w:pStyle w:val="Fotnotetekst"/>
        <w:rPr>
          <w:sz w:val="17"/>
          <w:szCs w:val="17"/>
        </w:rPr>
      </w:pPr>
      <w:r>
        <w:rPr>
          <w:vertAlign w:val="superscript"/>
        </w:rPr>
        <w:footnoteRef/>
      </w:r>
      <w:r>
        <w:rPr>
          <w:sz w:val="17"/>
          <w:szCs w:val="17"/>
        </w:rPr>
        <w:t xml:space="preserve">SSB, </w:t>
      </w:r>
      <w:r>
        <w:rPr>
          <w:rStyle w:val="kursiv"/>
          <w:sz w:val="17"/>
          <w:szCs w:val="17"/>
        </w:rPr>
        <w:t>Dette er Norge 2018 – Tall som forteller</w:t>
      </w:r>
      <w:r>
        <w:rPr>
          <w:sz w:val="17"/>
          <w:szCs w:val="17"/>
        </w:rPr>
        <w:t>, 2018.</w:t>
      </w:r>
    </w:p>
    <w:p w:rsidR="00D30C4D" w:rsidRDefault="00D30C4D">
      <w:pPr>
        <w:pStyle w:val="Fotnotetekst"/>
      </w:pPr>
    </w:p>
  </w:footnote>
  <w:footnote w:id="9">
    <w:p w:rsidR="00D30C4D" w:rsidRDefault="00B964E1">
      <w:pPr>
        <w:pStyle w:val="Fotnotetekst"/>
        <w:rPr>
          <w:sz w:val="17"/>
          <w:szCs w:val="17"/>
        </w:rPr>
      </w:pPr>
      <w:r>
        <w:rPr>
          <w:vertAlign w:val="superscript"/>
        </w:rPr>
        <w:footnoteRef/>
      </w:r>
      <w:r>
        <w:rPr>
          <w:sz w:val="17"/>
          <w:szCs w:val="17"/>
        </w:rPr>
        <w:t xml:space="preserve">Finansdepartementet, </w:t>
      </w:r>
      <w:r>
        <w:rPr>
          <w:rStyle w:val="kursiv"/>
          <w:sz w:val="17"/>
          <w:szCs w:val="17"/>
        </w:rPr>
        <w:t>Perspektivmeldingen 2017</w:t>
      </w:r>
      <w:r>
        <w:rPr>
          <w:sz w:val="17"/>
          <w:szCs w:val="17"/>
        </w:rPr>
        <w:t>, 2017.</w:t>
      </w:r>
    </w:p>
    <w:p w:rsidR="00D30C4D" w:rsidRDefault="00D30C4D">
      <w:pPr>
        <w:pStyle w:val="Fotnotetekst"/>
      </w:pPr>
    </w:p>
  </w:footnote>
  <w:footnote w:id="10">
    <w:p w:rsidR="00D30C4D" w:rsidRDefault="00B964E1">
      <w:pPr>
        <w:pStyle w:val="Fotnotetekst"/>
        <w:rPr>
          <w:sz w:val="17"/>
          <w:szCs w:val="17"/>
        </w:rPr>
      </w:pPr>
      <w:r>
        <w:rPr>
          <w:vertAlign w:val="superscript"/>
        </w:rPr>
        <w:footnoteRef/>
      </w:r>
      <w:r>
        <w:rPr>
          <w:sz w:val="17"/>
          <w:szCs w:val="17"/>
        </w:rPr>
        <w:t xml:space="preserve">Noregs Bank, </w:t>
      </w:r>
      <w:r>
        <w:rPr>
          <w:rStyle w:val="kursiv"/>
          <w:sz w:val="17"/>
          <w:szCs w:val="17"/>
        </w:rPr>
        <w:t>Finansiell stabilitet 2018</w:t>
      </w:r>
      <w:r>
        <w:rPr>
          <w:sz w:val="17"/>
          <w:szCs w:val="17"/>
        </w:rPr>
        <w:t>, 2018.</w:t>
      </w:r>
    </w:p>
    <w:p w:rsidR="00D30C4D" w:rsidRDefault="00D30C4D">
      <w:pPr>
        <w:pStyle w:val="Fotnotetekst"/>
      </w:pPr>
    </w:p>
  </w:footnote>
  <w:footnote w:id="11">
    <w:p w:rsidR="00D30C4D" w:rsidRDefault="00B964E1">
      <w:pPr>
        <w:pStyle w:val="Fotnotetekst"/>
        <w:rPr>
          <w:sz w:val="17"/>
          <w:szCs w:val="17"/>
        </w:rPr>
      </w:pPr>
      <w:r>
        <w:rPr>
          <w:vertAlign w:val="superscript"/>
        </w:rPr>
        <w:footnoteRef/>
      </w:r>
      <w:r>
        <w:rPr>
          <w:sz w:val="17"/>
          <w:szCs w:val="17"/>
        </w:rPr>
        <w:t xml:space="preserve">Meld. St. 27 (2015–2016) </w:t>
      </w:r>
      <w:r>
        <w:rPr>
          <w:rStyle w:val="kursiv"/>
          <w:sz w:val="17"/>
          <w:szCs w:val="17"/>
        </w:rPr>
        <w:t>Digital agenda for Norge</w:t>
      </w:r>
      <w:r>
        <w:rPr>
          <w:sz w:val="17"/>
          <w:szCs w:val="17"/>
        </w:rPr>
        <w:t>.</w:t>
      </w:r>
    </w:p>
    <w:p w:rsidR="00D30C4D" w:rsidRDefault="00D30C4D">
      <w:pPr>
        <w:pStyle w:val="Fotnotetekst"/>
      </w:pPr>
    </w:p>
  </w:footnote>
  <w:footnote w:id="12">
    <w:p w:rsidR="00D30C4D" w:rsidRDefault="00B964E1">
      <w:pPr>
        <w:pStyle w:val="Fotnotetekst"/>
        <w:rPr>
          <w:sz w:val="17"/>
          <w:szCs w:val="17"/>
        </w:rPr>
      </w:pPr>
      <w:r>
        <w:rPr>
          <w:vertAlign w:val="superscript"/>
        </w:rPr>
        <w:footnoteRef/>
      </w:r>
      <w:r>
        <w:rPr>
          <w:sz w:val="17"/>
          <w:szCs w:val="17"/>
        </w:rPr>
        <w:t xml:space="preserve">SIFO, </w:t>
      </w:r>
      <w:r>
        <w:rPr>
          <w:rStyle w:val="kursiv"/>
          <w:sz w:val="17"/>
          <w:szCs w:val="17"/>
        </w:rPr>
        <w:t>Kunnskapsoppsummering – Forbrukernes digitale hverdag</w:t>
      </w:r>
      <w:r>
        <w:rPr>
          <w:sz w:val="17"/>
          <w:szCs w:val="17"/>
        </w:rPr>
        <w:t>, 2018.</w:t>
      </w:r>
    </w:p>
    <w:p w:rsidR="00D30C4D" w:rsidRDefault="00D30C4D">
      <w:pPr>
        <w:pStyle w:val="Fotnotetekst"/>
      </w:pPr>
    </w:p>
  </w:footnote>
  <w:footnote w:id="13">
    <w:p w:rsidR="00D30C4D" w:rsidRDefault="00B964E1">
      <w:pPr>
        <w:pStyle w:val="Fotnotetekst"/>
        <w:rPr>
          <w:sz w:val="17"/>
          <w:szCs w:val="17"/>
        </w:rPr>
      </w:pPr>
      <w:r>
        <w:rPr>
          <w:vertAlign w:val="superscript"/>
        </w:rPr>
        <w:footnoteRef/>
      </w:r>
      <w:r>
        <w:rPr>
          <w:sz w:val="17"/>
          <w:szCs w:val="17"/>
        </w:rPr>
        <w:t xml:space="preserve">Forbrukarrådet, </w:t>
      </w:r>
      <w:r>
        <w:rPr>
          <w:rStyle w:val="kursiv"/>
          <w:sz w:val="17"/>
          <w:szCs w:val="17"/>
        </w:rPr>
        <w:t>Forbrukertrender 2018, del 1 – Digital helsehverdag</w:t>
      </w:r>
      <w:r>
        <w:rPr>
          <w:sz w:val="17"/>
          <w:szCs w:val="17"/>
        </w:rPr>
        <w:t>.</w:t>
      </w:r>
    </w:p>
    <w:p w:rsidR="00D30C4D" w:rsidRDefault="00D30C4D">
      <w:pPr>
        <w:pStyle w:val="Fotnotetekst"/>
      </w:pPr>
    </w:p>
  </w:footnote>
  <w:footnote w:id="14">
    <w:p w:rsidR="00D30C4D" w:rsidRDefault="00B964E1">
      <w:pPr>
        <w:pStyle w:val="Fotnotetekst"/>
        <w:rPr>
          <w:sz w:val="17"/>
          <w:szCs w:val="17"/>
        </w:rPr>
      </w:pPr>
      <w:r>
        <w:rPr>
          <w:vertAlign w:val="superscript"/>
        </w:rPr>
        <w:footnoteRef/>
      </w:r>
      <w:r>
        <w:rPr>
          <w:sz w:val="17"/>
          <w:szCs w:val="17"/>
        </w:rPr>
        <w:t xml:space="preserve">NOU 2017: 4 </w:t>
      </w:r>
      <w:r>
        <w:rPr>
          <w:rStyle w:val="kursiv"/>
          <w:sz w:val="17"/>
          <w:szCs w:val="17"/>
        </w:rPr>
        <w:t>Delingsøkonomien – muligheter og utfordringer</w:t>
      </w:r>
      <w:r>
        <w:rPr>
          <w:sz w:val="17"/>
          <w:szCs w:val="17"/>
        </w:rPr>
        <w:t>.</w:t>
      </w:r>
    </w:p>
    <w:p w:rsidR="00D30C4D" w:rsidRDefault="00D30C4D">
      <w:pPr>
        <w:pStyle w:val="Fotnotetekst"/>
      </w:pPr>
    </w:p>
  </w:footnote>
  <w:footnote w:id="15">
    <w:p w:rsidR="00D30C4D" w:rsidRDefault="00B964E1">
      <w:pPr>
        <w:pStyle w:val="Fotnotetekst"/>
        <w:rPr>
          <w:sz w:val="17"/>
          <w:szCs w:val="17"/>
        </w:rPr>
      </w:pPr>
      <w:r>
        <w:rPr>
          <w:vertAlign w:val="superscript"/>
        </w:rPr>
        <w:footnoteRef/>
      </w:r>
      <w:r>
        <w:rPr>
          <w:sz w:val="17"/>
          <w:szCs w:val="17"/>
        </w:rPr>
        <w:t>Bruken av ordet «delingsøkonomi» er mykje diskutert fordi mange av aktivitetane er forretningsmessig motiverte.</w:t>
      </w:r>
    </w:p>
    <w:p w:rsidR="00D30C4D" w:rsidRDefault="00D30C4D">
      <w:pPr>
        <w:pStyle w:val="Fotnotetekst"/>
      </w:pPr>
    </w:p>
  </w:footnote>
  <w:footnote w:id="16">
    <w:p w:rsidR="00D30C4D" w:rsidRDefault="00B964E1">
      <w:pPr>
        <w:pStyle w:val="Fotnotetekst"/>
        <w:rPr>
          <w:sz w:val="17"/>
          <w:szCs w:val="17"/>
        </w:rPr>
      </w:pPr>
      <w:r>
        <w:rPr>
          <w:vertAlign w:val="superscript"/>
        </w:rPr>
        <w:footnoteRef/>
      </w:r>
      <w:r>
        <w:rPr>
          <w:sz w:val="17"/>
          <w:szCs w:val="17"/>
        </w:rPr>
        <w:t xml:space="preserve">SIFO, </w:t>
      </w:r>
      <w:r>
        <w:rPr>
          <w:rStyle w:val="kursiv"/>
          <w:sz w:val="17"/>
          <w:szCs w:val="17"/>
        </w:rPr>
        <w:t>Delingsøkonomi – et kvalitativt øyeblikksbilde fra Norge</w:t>
      </w:r>
      <w:r>
        <w:rPr>
          <w:sz w:val="17"/>
          <w:szCs w:val="17"/>
        </w:rPr>
        <w:t>, 2016.</w:t>
      </w:r>
    </w:p>
    <w:p w:rsidR="00D30C4D" w:rsidRDefault="00D30C4D">
      <w:pPr>
        <w:pStyle w:val="Fotnotetekst"/>
      </w:pPr>
    </w:p>
  </w:footnote>
  <w:footnote w:id="17">
    <w:p w:rsidR="00D30C4D" w:rsidRDefault="00B964E1">
      <w:pPr>
        <w:pStyle w:val="Fotnotetekst"/>
        <w:rPr>
          <w:sz w:val="17"/>
          <w:szCs w:val="17"/>
        </w:rPr>
      </w:pPr>
      <w:r>
        <w:rPr>
          <w:vertAlign w:val="superscript"/>
        </w:rPr>
        <w:footnoteRef/>
      </w:r>
      <w:r>
        <w:rPr>
          <w:sz w:val="17"/>
          <w:szCs w:val="17"/>
        </w:rPr>
        <w:t xml:space="preserve">SIFO, </w:t>
      </w:r>
      <w:r>
        <w:rPr>
          <w:rStyle w:val="kursiv"/>
          <w:sz w:val="17"/>
          <w:szCs w:val="17"/>
        </w:rPr>
        <w:t>Delingsøkonomien i Norge – forbrukere og tilbyderes vurderinger av markeder i vekst</w:t>
      </w:r>
      <w:r>
        <w:rPr>
          <w:sz w:val="17"/>
          <w:szCs w:val="17"/>
        </w:rPr>
        <w:t>, 2017.</w:t>
      </w:r>
    </w:p>
    <w:p w:rsidR="00D30C4D" w:rsidRDefault="00D30C4D">
      <w:pPr>
        <w:pStyle w:val="Fotnotetekst"/>
      </w:pPr>
    </w:p>
  </w:footnote>
  <w:footnote w:id="18">
    <w:p w:rsidR="00D30C4D" w:rsidRDefault="00B964E1">
      <w:pPr>
        <w:pStyle w:val="Fotnotetekst"/>
        <w:rPr>
          <w:sz w:val="17"/>
          <w:szCs w:val="17"/>
        </w:rPr>
      </w:pPr>
      <w:r>
        <w:rPr>
          <w:vertAlign w:val="superscript"/>
        </w:rPr>
        <w:footnoteRef/>
      </w:r>
      <w:r>
        <w:rPr>
          <w:sz w:val="17"/>
          <w:szCs w:val="17"/>
        </w:rPr>
        <w:t xml:space="preserve">NOU 2017: 4 </w:t>
      </w:r>
      <w:r>
        <w:rPr>
          <w:rStyle w:val="kursiv"/>
          <w:sz w:val="17"/>
          <w:szCs w:val="17"/>
        </w:rPr>
        <w:t>Delingsøkonomien – muligheter og utfordringer</w:t>
      </w:r>
      <w:r>
        <w:rPr>
          <w:sz w:val="17"/>
          <w:szCs w:val="17"/>
        </w:rPr>
        <w:t>.</w:t>
      </w:r>
    </w:p>
    <w:p w:rsidR="00D30C4D" w:rsidRDefault="00D30C4D">
      <w:pPr>
        <w:pStyle w:val="Fotnotetekst"/>
      </w:pPr>
    </w:p>
  </w:footnote>
  <w:footnote w:id="19">
    <w:p w:rsidR="00D30C4D" w:rsidRDefault="00B964E1">
      <w:pPr>
        <w:pStyle w:val="Fotnotetekst"/>
        <w:rPr>
          <w:sz w:val="17"/>
          <w:szCs w:val="17"/>
        </w:rPr>
      </w:pPr>
      <w:r>
        <w:rPr>
          <w:vertAlign w:val="superscript"/>
        </w:rPr>
        <w:footnoteRef/>
      </w:r>
      <w:r>
        <w:rPr>
          <w:sz w:val="17"/>
          <w:szCs w:val="17"/>
        </w:rPr>
        <w:t xml:space="preserve">Forbrukarrådet, </w:t>
      </w:r>
      <w:r>
        <w:rPr>
          <w:rStyle w:val="kursiv"/>
          <w:sz w:val="17"/>
          <w:szCs w:val="17"/>
        </w:rPr>
        <w:t>Deceived by design – how tech companies use dark patterns to discourage us from exercising our rights to privacy</w:t>
      </w:r>
      <w:r>
        <w:rPr>
          <w:sz w:val="17"/>
          <w:szCs w:val="17"/>
        </w:rPr>
        <w:t>, 2018.</w:t>
      </w:r>
    </w:p>
    <w:p w:rsidR="00D30C4D" w:rsidRDefault="00D30C4D">
      <w:pPr>
        <w:pStyle w:val="Fotnotetekst"/>
      </w:pPr>
    </w:p>
  </w:footnote>
  <w:footnote w:id="20">
    <w:p w:rsidR="00D30C4D" w:rsidRDefault="00B964E1">
      <w:pPr>
        <w:pStyle w:val="Fotnotetekst"/>
        <w:rPr>
          <w:sz w:val="17"/>
          <w:szCs w:val="17"/>
        </w:rPr>
      </w:pPr>
      <w:r>
        <w:rPr>
          <w:vertAlign w:val="superscript"/>
        </w:rPr>
        <w:footnoteRef/>
      </w:r>
      <w:r>
        <w:rPr>
          <w:sz w:val="17"/>
          <w:szCs w:val="17"/>
        </w:rPr>
        <w:t xml:space="preserve">SIFO, </w:t>
      </w:r>
      <w:r>
        <w:rPr>
          <w:rStyle w:val="kursiv"/>
          <w:sz w:val="17"/>
          <w:szCs w:val="17"/>
        </w:rPr>
        <w:t>Kunnskapsoppsummering – Forbrukernes digitale hverdag</w:t>
      </w:r>
      <w:r>
        <w:rPr>
          <w:sz w:val="17"/>
          <w:szCs w:val="17"/>
        </w:rPr>
        <w:t>, 2018.</w:t>
      </w:r>
    </w:p>
    <w:p w:rsidR="00D30C4D" w:rsidRDefault="00D30C4D">
      <w:pPr>
        <w:pStyle w:val="Fotnotetekst"/>
      </w:pPr>
    </w:p>
  </w:footnote>
  <w:footnote w:id="21">
    <w:p w:rsidR="00D30C4D" w:rsidRDefault="00B964E1">
      <w:pPr>
        <w:pStyle w:val="Fotnotetekst"/>
        <w:rPr>
          <w:sz w:val="17"/>
          <w:szCs w:val="17"/>
        </w:rPr>
      </w:pPr>
      <w:r>
        <w:rPr>
          <w:vertAlign w:val="superscript"/>
        </w:rPr>
        <w:footnoteRef/>
      </w:r>
      <w:r>
        <w:rPr>
          <w:sz w:val="17"/>
          <w:szCs w:val="17"/>
        </w:rPr>
        <w:t xml:space="preserve">SIFO, </w:t>
      </w:r>
      <w:r>
        <w:rPr>
          <w:rStyle w:val="kursiv"/>
          <w:sz w:val="17"/>
          <w:szCs w:val="17"/>
        </w:rPr>
        <w:t>Når stordata blir big busines</w:t>
      </w:r>
      <w:r>
        <w:rPr>
          <w:sz w:val="17"/>
          <w:szCs w:val="17"/>
        </w:rPr>
        <w:t>s, 2018.</w:t>
      </w:r>
    </w:p>
    <w:p w:rsidR="00D30C4D" w:rsidRDefault="00D30C4D">
      <w:pPr>
        <w:pStyle w:val="Fotnotetekst"/>
      </w:pPr>
    </w:p>
  </w:footnote>
  <w:footnote w:id="22">
    <w:p w:rsidR="00D30C4D" w:rsidRDefault="00B964E1">
      <w:pPr>
        <w:pStyle w:val="Fotnotetekst"/>
        <w:rPr>
          <w:sz w:val="17"/>
          <w:szCs w:val="17"/>
        </w:rPr>
      </w:pPr>
      <w:r>
        <w:rPr>
          <w:vertAlign w:val="superscript"/>
        </w:rPr>
        <w:footnoteRef/>
      </w:r>
      <w:r>
        <w:rPr>
          <w:sz w:val="17"/>
          <w:szCs w:val="17"/>
        </w:rPr>
        <w:t>Sjå elles kapittel 13.5.2 for meir informasjon om arbeidet med miljømerking.</w:t>
      </w:r>
    </w:p>
    <w:p w:rsidR="00D30C4D" w:rsidRDefault="00D30C4D">
      <w:pPr>
        <w:pStyle w:val="Fotnotetekst"/>
      </w:pPr>
    </w:p>
  </w:footnote>
  <w:footnote w:id="23">
    <w:p w:rsidR="00D30C4D" w:rsidRDefault="00B964E1">
      <w:pPr>
        <w:pStyle w:val="Fotnotetekst"/>
        <w:rPr>
          <w:sz w:val="17"/>
          <w:szCs w:val="17"/>
        </w:rPr>
      </w:pPr>
      <w:r>
        <w:rPr>
          <w:vertAlign w:val="superscript"/>
        </w:rPr>
        <w:footnoteRef/>
      </w:r>
      <w:r>
        <w:rPr>
          <w:sz w:val="17"/>
          <w:szCs w:val="17"/>
        </w:rPr>
        <w:t>Sjå avsnitt 4.4 «Forbrukarapparatet i dei andre nordiske landa».</w:t>
      </w:r>
    </w:p>
    <w:p w:rsidR="00D30C4D" w:rsidRDefault="00D30C4D">
      <w:pPr>
        <w:pStyle w:val="Fotnotetekst"/>
      </w:pPr>
    </w:p>
  </w:footnote>
  <w:footnote w:id="24">
    <w:p w:rsidR="00D30C4D" w:rsidRDefault="00B964E1">
      <w:pPr>
        <w:pStyle w:val="Fotnotetekst"/>
        <w:rPr>
          <w:sz w:val="17"/>
          <w:szCs w:val="17"/>
        </w:rPr>
      </w:pPr>
      <w:r>
        <w:rPr>
          <w:vertAlign w:val="superscript"/>
        </w:rPr>
        <w:footnoteRef/>
      </w:r>
      <w:r>
        <w:rPr>
          <w:sz w:val="17"/>
          <w:szCs w:val="17"/>
        </w:rPr>
        <w:t xml:space="preserve">Meld. St. 9 (2018–2019) </w:t>
      </w:r>
      <w:r>
        <w:rPr>
          <w:rStyle w:val="kursiv"/>
          <w:sz w:val="17"/>
          <w:szCs w:val="17"/>
        </w:rPr>
        <w:t>Handelsnæringen – når kunden alltid har nett</w:t>
      </w:r>
      <w:r>
        <w:rPr>
          <w:sz w:val="17"/>
          <w:szCs w:val="17"/>
        </w:rPr>
        <w:t xml:space="preserve">. </w:t>
      </w:r>
    </w:p>
    <w:p w:rsidR="00D30C4D" w:rsidRDefault="00D30C4D">
      <w:pPr>
        <w:pStyle w:val="Fotnotetekst"/>
      </w:pPr>
    </w:p>
  </w:footnote>
  <w:footnote w:id="25">
    <w:p w:rsidR="00D30C4D" w:rsidRDefault="00B964E1">
      <w:pPr>
        <w:pStyle w:val="Fotnotetekst"/>
        <w:rPr>
          <w:sz w:val="17"/>
          <w:szCs w:val="17"/>
        </w:rPr>
      </w:pPr>
      <w:r>
        <w:rPr>
          <w:vertAlign w:val="superscript"/>
        </w:rPr>
        <w:footnoteRef/>
      </w:r>
      <w:r>
        <w:rPr>
          <w:sz w:val="17"/>
          <w:szCs w:val="17"/>
        </w:rPr>
        <w:t xml:space="preserve">Meld. St. 27 (2015–2016) </w:t>
      </w:r>
      <w:r>
        <w:rPr>
          <w:rStyle w:val="kursiv"/>
          <w:sz w:val="17"/>
          <w:szCs w:val="17"/>
        </w:rPr>
        <w:t>Digital agenda for Norge</w:t>
      </w:r>
      <w:r>
        <w:rPr>
          <w:sz w:val="17"/>
          <w:szCs w:val="17"/>
        </w:rPr>
        <w:t>.</w:t>
      </w:r>
    </w:p>
    <w:p w:rsidR="00D30C4D" w:rsidRDefault="00D30C4D">
      <w:pPr>
        <w:pStyle w:val="Fotnotetekst"/>
      </w:pPr>
    </w:p>
  </w:footnote>
  <w:footnote w:id="26">
    <w:p w:rsidR="00D30C4D" w:rsidRDefault="00B964E1">
      <w:pPr>
        <w:pStyle w:val="Fotnotetekst"/>
        <w:rPr>
          <w:sz w:val="17"/>
          <w:szCs w:val="17"/>
        </w:rPr>
      </w:pPr>
      <w:r>
        <w:rPr>
          <w:vertAlign w:val="superscript"/>
        </w:rPr>
        <w:footnoteRef/>
      </w:r>
      <w:r>
        <w:rPr>
          <w:sz w:val="17"/>
          <w:szCs w:val="17"/>
        </w:rPr>
        <w:t>Eurostat, 2018.</w:t>
      </w:r>
    </w:p>
    <w:p w:rsidR="00D30C4D" w:rsidRDefault="00D30C4D">
      <w:pPr>
        <w:pStyle w:val="Fotnotetekst"/>
      </w:pPr>
    </w:p>
  </w:footnote>
  <w:footnote w:id="27">
    <w:p w:rsidR="00D30C4D" w:rsidRDefault="00B964E1">
      <w:pPr>
        <w:pStyle w:val="Fotnotetekst"/>
        <w:rPr>
          <w:sz w:val="17"/>
          <w:szCs w:val="17"/>
        </w:rPr>
      </w:pPr>
      <w:r>
        <w:rPr>
          <w:vertAlign w:val="superscript"/>
        </w:rPr>
        <w:footnoteRef/>
      </w:r>
      <w:r>
        <w:rPr>
          <w:sz w:val="17"/>
          <w:szCs w:val="17"/>
        </w:rPr>
        <w:t xml:space="preserve">EU-kommisjonen si konsekvensanalyse av 11. april 2018 i samband med forslag til to nye direktiv under tittelen </w:t>
      </w:r>
      <w:r>
        <w:rPr>
          <w:rStyle w:val="kursiv"/>
          <w:sz w:val="17"/>
          <w:szCs w:val="17"/>
        </w:rPr>
        <w:t>A New Deal for Consumers</w:t>
      </w:r>
      <w:r>
        <w:rPr>
          <w:sz w:val="17"/>
          <w:szCs w:val="17"/>
        </w:rPr>
        <w:t xml:space="preserve">. </w:t>
      </w:r>
    </w:p>
    <w:p w:rsidR="00D30C4D" w:rsidRDefault="00D30C4D">
      <w:pPr>
        <w:pStyle w:val="Fotnotetekst"/>
      </w:pPr>
    </w:p>
  </w:footnote>
  <w:footnote w:id="28">
    <w:p w:rsidR="00D30C4D" w:rsidRDefault="00B964E1">
      <w:pPr>
        <w:pStyle w:val="Fotnotetekst"/>
        <w:rPr>
          <w:sz w:val="17"/>
          <w:szCs w:val="17"/>
        </w:rPr>
      </w:pPr>
      <w:r>
        <w:rPr>
          <w:vertAlign w:val="superscript"/>
        </w:rPr>
        <w:footnoteRef/>
      </w:r>
      <w:r>
        <w:rPr>
          <w:sz w:val="17"/>
          <w:szCs w:val="17"/>
        </w:rPr>
        <w:t xml:space="preserve">NHO, </w:t>
      </w:r>
      <w:r>
        <w:rPr>
          <w:rStyle w:val="kursiv"/>
          <w:sz w:val="17"/>
          <w:szCs w:val="17"/>
        </w:rPr>
        <w:t>Verden og oss – Næringslivets perspektivmelding 2018</w:t>
      </w:r>
      <w:r>
        <w:rPr>
          <w:sz w:val="17"/>
          <w:szCs w:val="17"/>
        </w:rPr>
        <w:t>, 2018.</w:t>
      </w:r>
    </w:p>
    <w:p w:rsidR="00D30C4D" w:rsidRDefault="00D30C4D">
      <w:pPr>
        <w:pStyle w:val="Fotnotetekst"/>
      </w:pPr>
    </w:p>
  </w:footnote>
  <w:footnote w:id="29">
    <w:p w:rsidR="00D30C4D" w:rsidRDefault="00B964E1">
      <w:pPr>
        <w:pStyle w:val="Fotnotetekst"/>
        <w:rPr>
          <w:sz w:val="17"/>
          <w:szCs w:val="17"/>
        </w:rPr>
      </w:pPr>
      <w:r>
        <w:rPr>
          <w:vertAlign w:val="superscript"/>
        </w:rPr>
        <w:footnoteRef/>
      </w:r>
      <w:r>
        <w:rPr>
          <w:sz w:val="17"/>
          <w:szCs w:val="17"/>
        </w:rPr>
        <w:t xml:space="preserve">WTO, </w:t>
      </w:r>
      <w:r>
        <w:rPr>
          <w:rStyle w:val="kursiv"/>
          <w:sz w:val="17"/>
          <w:szCs w:val="17"/>
        </w:rPr>
        <w:t>World Trade Report 2018 – The future of world trade:</w:t>
      </w:r>
      <w:r>
        <w:rPr>
          <w:sz w:val="17"/>
          <w:szCs w:val="17"/>
        </w:rPr>
        <w:t xml:space="preserve"> </w:t>
      </w:r>
      <w:r>
        <w:rPr>
          <w:rStyle w:val="kursiv"/>
          <w:sz w:val="17"/>
          <w:szCs w:val="17"/>
        </w:rPr>
        <w:t>How digital technologies are transforming global commerce</w:t>
      </w:r>
      <w:r>
        <w:rPr>
          <w:sz w:val="17"/>
          <w:szCs w:val="17"/>
        </w:rPr>
        <w:t>, 2018.</w:t>
      </w:r>
    </w:p>
    <w:p w:rsidR="00D30C4D" w:rsidRDefault="00D30C4D">
      <w:pPr>
        <w:pStyle w:val="Fotnotetekst"/>
      </w:pPr>
    </w:p>
  </w:footnote>
  <w:footnote w:id="30">
    <w:p w:rsidR="00D30C4D" w:rsidRDefault="00B964E1">
      <w:pPr>
        <w:pStyle w:val="Fotnotetekst"/>
        <w:rPr>
          <w:sz w:val="17"/>
          <w:szCs w:val="17"/>
        </w:rPr>
      </w:pPr>
      <w:r>
        <w:rPr>
          <w:vertAlign w:val="superscript"/>
        </w:rPr>
        <w:footnoteRef/>
      </w:r>
      <w:r>
        <w:rPr>
          <w:sz w:val="17"/>
          <w:szCs w:val="17"/>
        </w:rPr>
        <w:t xml:space="preserve">SIFO, </w:t>
      </w:r>
      <w:r>
        <w:rPr>
          <w:rStyle w:val="kursiv"/>
          <w:sz w:val="17"/>
          <w:szCs w:val="17"/>
        </w:rPr>
        <w:t>Tillit og sårbarhet på nett – Forbrukernes praksiser og vurderinger etter innføringen av den nye personvernforor</w:t>
      </w:r>
      <w:r>
        <w:rPr>
          <w:rStyle w:val="kursiv"/>
          <w:sz w:val="17"/>
          <w:szCs w:val="17"/>
        </w:rPr>
        <w:t>d</w:t>
      </w:r>
      <w:r>
        <w:rPr>
          <w:rStyle w:val="kursiv"/>
          <w:sz w:val="17"/>
          <w:szCs w:val="17"/>
        </w:rPr>
        <w:t>ningen i Norge</w:t>
      </w:r>
      <w:r>
        <w:rPr>
          <w:sz w:val="17"/>
          <w:szCs w:val="17"/>
        </w:rPr>
        <w:t>, 2018.</w:t>
      </w:r>
    </w:p>
    <w:p w:rsidR="00D30C4D" w:rsidRDefault="00D30C4D">
      <w:pPr>
        <w:pStyle w:val="Fotnotetekst"/>
      </w:pPr>
    </w:p>
  </w:footnote>
  <w:footnote w:id="31">
    <w:p w:rsidR="00D30C4D" w:rsidRDefault="00B964E1">
      <w:pPr>
        <w:pStyle w:val="Fotnotetekst"/>
        <w:rPr>
          <w:sz w:val="17"/>
          <w:szCs w:val="17"/>
        </w:rPr>
      </w:pPr>
      <w:r>
        <w:rPr>
          <w:vertAlign w:val="superscript"/>
        </w:rPr>
        <w:footnoteRef/>
      </w:r>
      <w:r>
        <w:rPr>
          <w:sz w:val="17"/>
          <w:szCs w:val="17"/>
        </w:rPr>
        <w:t xml:space="preserve">Datatilsynet og Teknologirådet, </w:t>
      </w:r>
      <w:r>
        <w:rPr>
          <w:rStyle w:val="kursiv"/>
          <w:sz w:val="17"/>
          <w:szCs w:val="17"/>
        </w:rPr>
        <w:t>Personvern – tilstand og trender</w:t>
      </w:r>
      <w:r>
        <w:rPr>
          <w:sz w:val="17"/>
          <w:szCs w:val="17"/>
        </w:rPr>
        <w:t>, 2016.</w:t>
      </w:r>
    </w:p>
    <w:p w:rsidR="00D30C4D" w:rsidRDefault="00D30C4D">
      <w:pPr>
        <w:pStyle w:val="Fotnotetekst"/>
      </w:pPr>
    </w:p>
  </w:footnote>
  <w:footnote w:id="32">
    <w:p w:rsidR="00D30C4D" w:rsidRDefault="00B964E1">
      <w:pPr>
        <w:pStyle w:val="Fotnotetekst"/>
        <w:rPr>
          <w:sz w:val="17"/>
          <w:szCs w:val="17"/>
        </w:rPr>
      </w:pPr>
      <w:r>
        <w:rPr>
          <w:vertAlign w:val="superscript"/>
        </w:rPr>
        <w:footnoteRef/>
      </w:r>
      <w:r>
        <w:rPr>
          <w:sz w:val="17"/>
          <w:szCs w:val="17"/>
        </w:rPr>
        <w:t>Då Forbrukarrådet i mai 2016 las gjennom avtalevilkåra til 33 appar, tok det i overkant av 32 timar. 33 appar var eit ko</w:t>
      </w:r>
      <w:r>
        <w:rPr>
          <w:sz w:val="17"/>
          <w:szCs w:val="17"/>
        </w:rPr>
        <w:t>n</w:t>
      </w:r>
      <w:r>
        <w:rPr>
          <w:sz w:val="17"/>
          <w:szCs w:val="17"/>
        </w:rPr>
        <w:t xml:space="preserve">servativt estimat av innhaldet på telefonen til ein gjennomsnittleg norsk forbrukar, </w:t>
      </w:r>
    </w:p>
    <w:p w:rsidR="00D30C4D" w:rsidRDefault="00D30C4D">
      <w:pPr>
        <w:pStyle w:val="Fotnotetekst"/>
      </w:pPr>
    </w:p>
  </w:footnote>
  <w:footnote w:id="33">
    <w:p w:rsidR="00D30C4D" w:rsidRDefault="00B964E1">
      <w:pPr>
        <w:pStyle w:val="Fotnotetekst"/>
        <w:rPr>
          <w:sz w:val="17"/>
          <w:szCs w:val="17"/>
        </w:rPr>
      </w:pPr>
      <w:r>
        <w:rPr>
          <w:vertAlign w:val="superscript"/>
        </w:rPr>
        <w:footnoteRef/>
      </w:r>
      <w:r>
        <w:rPr>
          <w:sz w:val="17"/>
          <w:szCs w:val="17"/>
        </w:rPr>
        <w:t xml:space="preserve">Forbrukartilsynet, </w:t>
      </w:r>
      <w:r>
        <w:rPr>
          <w:rStyle w:val="kursiv"/>
          <w:sz w:val="17"/>
          <w:szCs w:val="17"/>
        </w:rPr>
        <w:t>Veiledning om digitale avtalevilkår</w:t>
      </w:r>
      <w:r>
        <w:rPr>
          <w:sz w:val="17"/>
          <w:szCs w:val="17"/>
        </w:rPr>
        <w:t xml:space="preserve">, 2018. </w:t>
      </w:r>
    </w:p>
    <w:p w:rsidR="00D30C4D" w:rsidRDefault="00D30C4D">
      <w:pPr>
        <w:pStyle w:val="Fotnotetekst"/>
      </w:pPr>
    </w:p>
  </w:footnote>
  <w:footnote w:id="34">
    <w:p w:rsidR="00D30C4D" w:rsidRDefault="00B964E1">
      <w:pPr>
        <w:pStyle w:val="Fotnotetekst"/>
        <w:rPr>
          <w:sz w:val="17"/>
          <w:szCs w:val="17"/>
        </w:rPr>
      </w:pPr>
      <w:r>
        <w:rPr>
          <w:vertAlign w:val="superscript"/>
        </w:rPr>
        <w:footnoteRef/>
      </w:r>
      <w:r>
        <w:rPr>
          <w:sz w:val="17"/>
          <w:szCs w:val="17"/>
        </w:rPr>
        <w:t>Sjå meir om strategien under punkt 6.3.4.</w:t>
      </w:r>
    </w:p>
    <w:p w:rsidR="00D30C4D" w:rsidRDefault="00D30C4D">
      <w:pPr>
        <w:pStyle w:val="Fotnotetekst"/>
      </w:pPr>
    </w:p>
  </w:footnote>
  <w:footnote w:id="35">
    <w:p w:rsidR="00D30C4D" w:rsidRDefault="00B964E1">
      <w:pPr>
        <w:pStyle w:val="Fotnotetekst"/>
        <w:rPr>
          <w:sz w:val="17"/>
          <w:szCs w:val="17"/>
        </w:rPr>
      </w:pPr>
      <w:r>
        <w:rPr>
          <w:vertAlign w:val="superscript"/>
        </w:rPr>
        <w:footnoteRef/>
      </w:r>
      <w:r>
        <w:rPr>
          <w:sz w:val="17"/>
          <w:szCs w:val="17"/>
        </w:rPr>
        <w:t>Jf. personvernforordninga artikkel 12 nr. 3.</w:t>
      </w:r>
    </w:p>
    <w:p w:rsidR="00D30C4D" w:rsidRDefault="00D30C4D">
      <w:pPr>
        <w:pStyle w:val="Fotnotetekst"/>
      </w:pPr>
    </w:p>
  </w:footnote>
  <w:footnote w:id="36">
    <w:p w:rsidR="00D30C4D" w:rsidRDefault="00B964E1">
      <w:pPr>
        <w:pStyle w:val="Fotnotetekst"/>
        <w:rPr>
          <w:sz w:val="17"/>
          <w:szCs w:val="17"/>
        </w:rPr>
      </w:pPr>
      <w:r>
        <w:rPr>
          <w:vertAlign w:val="superscript"/>
        </w:rPr>
        <w:footnoteRef/>
      </w:r>
      <w:r>
        <w:rPr>
          <w:sz w:val="17"/>
          <w:szCs w:val="17"/>
        </w:rPr>
        <w:t>Jf. artikkel 6 nr. 1 bokstav a i personvernforordninga.</w:t>
      </w:r>
    </w:p>
    <w:p w:rsidR="00D30C4D" w:rsidRDefault="00D30C4D">
      <w:pPr>
        <w:pStyle w:val="Fotnotetekst"/>
      </w:pPr>
    </w:p>
  </w:footnote>
  <w:footnote w:id="37">
    <w:p w:rsidR="00D30C4D" w:rsidRDefault="00B964E1">
      <w:pPr>
        <w:pStyle w:val="Fotnotetekst"/>
        <w:rPr>
          <w:sz w:val="17"/>
          <w:szCs w:val="17"/>
        </w:rPr>
      </w:pPr>
      <w:r>
        <w:rPr>
          <w:vertAlign w:val="superscript"/>
        </w:rPr>
        <w:footnoteRef/>
      </w:r>
      <w:r>
        <w:rPr>
          <w:sz w:val="17"/>
          <w:szCs w:val="17"/>
        </w:rPr>
        <w:t>Jf. artikkel 4 nr. 11 i personvernforordninga.</w:t>
      </w:r>
    </w:p>
    <w:p w:rsidR="00D30C4D" w:rsidRDefault="00D30C4D">
      <w:pPr>
        <w:pStyle w:val="Fotnotetekst"/>
      </w:pPr>
    </w:p>
  </w:footnote>
  <w:footnote w:id="38">
    <w:p w:rsidR="00D30C4D" w:rsidRDefault="00B964E1">
      <w:pPr>
        <w:pStyle w:val="Fotnotetekst"/>
        <w:rPr>
          <w:sz w:val="17"/>
          <w:szCs w:val="17"/>
        </w:rPr>
      </w:pPr>
      <w:r>
        <w:rPr>
          <w:vertAlign w:val="superscript"/>
        </w:rPr>
        <w:footnoteRef/>
      </w:r>
      <w:r>
        <w:rPr>
          <w:sz w:val="17"/>
          <w:szCs w:val="17"/>
        </w:rPr>
        <w:t>Fråsegn WP 242 gitt av EU sitt samarbeidsorgan for personverndirektivet (95/46).</w:t>
      </w:r>
    </w:p>
    <w:p w:rsidR="00D30C4D" w:rsidRDefault="00D30C4D">
      <w:pPr>
        <w:pStyle w:val="Fotnotetekst"/>
      </w:pPr>
    </w:p>
  </w:footnote>
  <w:footnote w:id="39">
    <w:p w:rsidR="00D30C4D" w:rsidRDefault="00B964E1">
      <w:pPr>
        <w:pStyle w:val="Fotnotetekst"/>
        <w:rPr>
          <w:sz w:val="17"/>
          <w:szCs w:val="17"/>
        </w:rPr>
      </w:pPr>
      <w:r>
        <w:rPr>
          <w:vertAlign w:val="superscript"/>
        </w:rPr>
        <w:footnoteRef/>
      </w:r>
      <w:r>
        <w:rPr>
          <w:sz w:val="17"/>
          <w:szCs w:val="17"/>
        </w:rPr>
        <w:t xml:space="preserve">SIFO, </w:t>
      </w:r>
      <w:r>
        <w:rPr>
          <w:rStyle w:val="kursiv"/>
          <w:sz w:val="17"/>
          <w:szCs w:val="17"/>
        </w:rPr>
        <w:t>Tillit og sårbarhet på nett – Forbrukernes praksiser og vurderinger etter innføringen av den nye personvernforor</w:t>
      </w:r>
      <w:r>
        <w:rPr>
          <w:rStyle w:val="kursiv"/>
          <w:sz w:val="17"/>
          <w:szCs w:val="17"/>
        </w:rPr>
        <w:t>d</w:t>
      </w:r>
      <w:r>
        <w:rPr>
          <w:rStyle w:val="kursiv"/>
          <w:sz w:val="17"/>
          <w:szCs w:val="17"/>
        </w:rPr>
        <w:t>ningen i Norge</w:t>
      </w:r>
      <w:r>
        <w:rPr>
          <w:sz w:val="17"/>
          <w:szCs w:val="17"/>
        </w:rPr>
        <w:t>, 2018.</w:t>
      </w:r>
    </w:p>
    <w:p w:rsidR="00D30C4D" w:rsidRDefault="00D30C4D">
      <w:pPr>
        <w:pStyle w:val="Fotnotetekst"/>
      </w:pPr>
    </w:p>
  </w:footnote>
  <w:footnote w:id="40">
    <w:p w:rsidR="00D30C4D" w:rsidRDefault="00B964E1">
      <w:pPr>
        <w:pStyle w:val="Fotnotetekst"/>
        <w:rPr>
          <w:sz w:val="17"/>
          <w:szCs w:val="17"/>
        </w:rPr>
      </w:pPr>
      <w:r>
        <w:rPr>
          <w:vertAlign w:val="superscript"/>
        </w:rPr>
        <w:footnoteRef/>
      </w:r>
      <w:r>
        <w:rPr>
          <w:sz w:val="17"/>
          <w:szCs w:val="17"/>
        </w:rPr>
        <w:t xml:space="preserve">OECD, </w:t>
      </w:r>
      <w:r>
        <w:rPr>
          <w:rStyle w:val="kursiv"/>
          <w:sz w:val="17"/>
          <w:szCs w:val="17"/>
        </w:rPr>
        <w:t>The Internet of Things – Seizing the Benefits and Addressing the Challenges</w:t>
      </w:r>
      <w:r>
        <w:rPr>
          <w:sz w:val="17"/>
          <w:szCs w:val="17"/>
        </w:rPr>
        <w:t xml:space="preserve">, 2016. </w:t>
      </w:r>
    </w:p>
    <w:p w:rsidR="00D30C4D" w:rsidRDefault="00D30C4D">
      <w:pPr>
        <w:pStyle w:val="Fotnotetekst"/>
      </w:pPr>
    </w:p>
  </w:footnote>
  <w:footnote w:id="41">
    <w:p w:rsidR="00D30C4D" w:rsidRDefault="00B964E1">
      <w:pPr>
        <w:pStyle w:val="Fotnotetekst"/>
        <w:rPr>
          <w:sz w:val="17"/>
          <w:szCs w:val="17"/>
        </w:rPr>
      </w:pPr>
      <w:r>
        <w:rPr>
          <w:vertAlign w:val="superscript"/>
        </w:rPr>
        <w:footnoteRef/>
      </w:r>
      <w:r>
        <w:rPr>
          <w:sz w:val="17"/>
          <w:szCs w:val="17"/>
        </w:rPr>
        <w:t xml:space="preserve">SIFO, </w:t>
      </w:r>
      <w:r>
        <w:rPr>
          <w:rStyle w:val="kursiv"/>
          <w:sz w:val="17"/>
          <w:szCs w:val="17"/>
        </w:rPr>
        <w:t>Barn og internettkoblede leker og teknologier</w:t>
      </w:r>
      <w:r>
        <w:rPr>
          <w:sz w:val="17"/>
          <w:szCs w:val="17"/>
        </w:rPr>
        <w:t>, 2017.</w:t>
      </w:r>
    </w:p>
    <w:p w:rsidR="00D30C4D" w:rsidRDefault="00D30C4D">
      <w:pPr>
        <w:pStyle w:val="Fotnotetekst"/>
      </w:pPr>
    </w:p>
  </w:footnote>
  <w:footnote w:id="42">
    <w:p w:rsidR="00D30C4D" w:rsidRDefault="00B964E1">
      <w:pPr>
        <w:pStyle w:val="Fotnotetekst"/>
        <w:rPr>
          <w:sz w:val="17"/>
          <w:szCs w:val="17"/>
        </w:rPr>
      </w:pPr>
      <w:r>
        <w:rPr>
          <w:vertAlign w:val="superscript"/>
        </w:rPr>
        <w:footnoteRef/>
      </w:r>
      <w:r>
        <w:rPr>
          <w:sz w:val="17"/>
          <w:szCs w:val="17"/>
        </w:rPr>
        <w:t xml:space="preserve">BEUC og ANEC, </w:t>
      </w:r>
      <w:r>
        <w:rPr>
          <w:rStyle w:val="kursiv"/>
          <w:sz w:val="17"/>
          <w:szCs w:val="17"/>
        </w:rPr>
        <w:t>Cybersecurity for Connected Products – Position Paper</w:t>
      </w:r>
      <w:r>
        <w:rPr>
          <w:sz w:val="17"/>
          <w:szCs w:val="17"/>
        </w:rPr>
        <w:t xml:space="preserve">, 2018. </w:t>
      </w:r>
    </w:p>
    <w:p w:rsidR="00D30C4D" w:rsidRDefault="00D30C4D">
      <w:pPr>
        <w:pStyle w:val="Fotnotetekst"/>
      </w:pPr>
    </w:p>
  </w:footnote>
  <w:footnote w:id="43">
    <w:p w:rsidR="00D30C4D" w:rsidRDefault="00B964E1">
      <w:pPr>
        <w:pStyle w:val="Fotnotetekst"/>
        <w:rPr>
          <w:sz w:val="17"/>
          <w:szCs w:val="17"/>
        </w:rPr>
      </w:pPr>
      <w:r>
        <w:rPr>
          <w:vertAlign w:val="superscript"/>
        </w:rPr>
        <w:footnoteRef/>
      </w:r>
      <w:r>
        <w:rPr>
          <w:sz w:val="17"/>
          <w:szCs w:val="17"/>
        </w:rPr>
        <w:t xml:space="preserve">Forbrukarrådet, </w:t>
      </w:r>
      <w:r>
        <w:rPr>
          <w:rStyle w:val="kursiv"/>
          <w:sz w:val="17"/>
          <w:szCs w:val="17"/>
        </w:rPr>
        <w:t>#WatchOut – Analysis of smartwatches for children</w:t>
      </w:r>
      <w:r>
        <w:rPr>
          <w:sz w:val="17"/>
          <w:szCs w:val="17"/>
        </w:rPr>
        <w:t xml:space="preserve">, 2018. </w:t>
      </w:r>
    </w:p>
    <w:p w:rsidR="00D30C4D" w:rsidRDefault="00D30C4D">
      <w:pPr>
        <w:pStyle w:val="Fotnotetekst"/>
      </w:pPr>
    </w:p>
  </w:footnote>
  <w:footnote w:id="44">
    <w:p w:rsidR="00D30C4D" w:rsidRDefault="00B964E1">
      <w:pPr>
        <w:pStyle w:val="Fotnotetekst"/>
        <w:rPr>
          <w:sz w:val="17"/>
          <w:szCs w:val="17"/>
        </w:rPr>
      </w:pPr>
      <w:r>
        <w:rPr>
          <w:vertAlign w:val="superscript"/>
        </w:rPr>
        <w:footnoteRef/>
      </w:r>
      <w:r>
        <w:rPr>
          <w:sz w:val="17"/>
          <w:szCs w:val="17"/>
        </w:rPr>
        <w:t xml:space="preserve">Consumers International, </w:t>
      </w:r>
      <w:r>
        <w:rPr>
          <w:rStyle w:val="kursiv"/>
          <w:sz w:val="17"/>
          <w:szCs w:val="17"/>
        </w:rPr>
        <w:t>Testing Our Trust: Consumers and the Internet of Things</w:t>
      </w:r>
      <w:r>
        <w:rPr>
          <w:sz w:val="17"/>
          <w:szCs w:val="17"/>
        </w:rPr>
        <w:t>, 2017.</w:t>
      </w:r>
    </w:p>
    <w:p w:rsidR="00D30C4D" w:rsidRDefault="00D30C4D">
      <w:pPr>
        <w:pStyle w:val="Fotnotetekst"/>
      </w:pPr>
    </w:p>
  </w:footnote>
  <w:footnote w:id="45">
    <w:p w:rsidR="00D30C4D" w:rsidRDefault="00B964E1">
      <w:pPr>
        <w:pStyle w:val="Fotnotetekst"/>
        <w:rPr>
          <w:sz w:val="17"/>
          <w:szCs w:val="17"/>
        </w:rPr>
      </w:pPr>
      <w:r>
        <w:rPr>
          <w:vertAlign w:val="superscript"/>
        </w:rPr>
        <w:footnoteRef/>
      </w:r>
      <w:r>
        <w:rPr>
          <w:sz w:val="17"/>
          <w:szCs w:val="17"/>
        </w:rPr>
        <w:t xml:space="preserve">NOU 2018: 14 </w:t>
      </w:r>
      <w:r>
        <w:rPr>
          <w:rStyle w:val="kursiv"/>
          <w:sz w:val="17"/>
          <w:szCs w:val="17"/>
        </w:rPr>
        <w:t>IKT-sikkerhet i alle ledd – organisering og regulering av nasjonal IKT-sikkerhet</w:t>
      </w:r>
      <w:r>
        <w:rPr>
          <w:sz w:val="17"/>
          <w:szCs w:val="17"/>
        </w:rPr>
        <w:t>.</w:t>
      </w:r>
    </w:p>
    <w:p w:rsidR="00D30C4D" w:rsidRDefault="00D30C4D">
      <w:pPr>
        <w:pStyle w:val="Fotnotetekst"/>
      </w:pPr>
    </w:p>
  </w:footnote>
  <w:footnote w:id="46">
    <w:p w:rsidR="00D30C4D" w:rsidRDefault="00B964E1">
      <w:pPr>
        <w:pStyle w:val="Fotnotetekst"/>
        <w:rPr>
          <w:sz w:val="17"/>
          <w:szCs w:val="17"/>
        </w:rPr>
      </w:pPr>
      <w:r>
        <w:rPr>
          <w:vertAlign w:val="superscript"/>
        </w:rPr>
        <w:footnoteRef/>
      </w:r>
      <w:r>
        <w:rPr>
          <w:sz w:val="17"/>
          <w:szCs w:val="17"/>
        </w:rPr>
        <w:t xml:space="preserve">BEUC og ANEC, </w:t>
      </w:r>
      <w:r>
        <w:rPr>
          <w:rStyle w:val="kursiv"/>
          <w:sz w:val="17"/>
          <w:szCs w:val="17"/>
        </w:rPr>
        <w:t>Cybersecurity for Connected Products – Position Paper</w:t>
      </w:r>
      <w:r>
        <w:rPr>
          <w:sz w:val="17"/>
          <w:szCs w:val="17"/>
        </w:rPr>
        <w:t>, 2018.</w:t>
      </w:r>
    </w:p>
    <w:p w:rsidR="00D30C4D" w:rsidRDefault="00D30C4D">
      <w:pPr>
        <w:pStyle w:val="Fotnotetekst"/>
      </w:pPr>
    </w:p>
  </w:footnote>
  <w:footnote w:id="47">
    <w:p w:rsidR="00D30C4D" w:rsidRDefault="00B964E1">
      <w:pPr>
        <w:pStyle w:val="Fotnotetekst"/>
        <w:rPr>
          <w:sz w:val="17"/>
          <w:szCs w:val="17"/>
        </w:rPr>
      </w:pPr>
      <w:r>
        <w:rPr>
          <w:vertAlign w:val="superscript"/>
        </w:rPr>
        <w:footnoteRef/>
      </w:r>
      <w:r>
        <w:rPr>
          <w:sz w:val="17"/>
          <w:szCs w:val="17"/>
        </w:rPr>
        <w:t xml:space="preserve">WTO, </w:t>
      </w:r>
      <w:r>
        <w:rPr>
          <w:rStyle w:val="kursiv"/>
          <w:sz w:val="17"/>
          <w:szCs w:val="17"/>
        </w:rPr>
        <w:t>World Trade Report 2018 – The future of digital trade: how digital technologies are transforming global commerce</w:t>
      </w:r>
      <w:r>
        <w:rPr>
          <w:sz w:val="17"/>
          <w:szCs w:val="17"/>
        </w:rPr>
        <w:t>, 2018.</w:t>
      </w:r>
    </w:p>
    <w:p w:rsidR="00D30C4D" w:rsidRDefault="00D30C4D">
      <w:pPr>
        <w:pStyle w:val="Fotnotetekst"/>
      </w:pPr>
    </w:p>
  </w:footnote>
  <w:footnote w:id="48">
    <w:p w:rsidR="00D30C4D" w:rsidRDefault="00B964E1">
      <w:pPr>
        <w:pStyle w:val="Fotnotetekst"/>
        <w:rPr>
          <w:sz w:val="17"/>
          <w:szCs w:val="17"/>
        </w:rPr>
      </w:pPr>
      <w:r>
        <w:rPr>
          <w:vertAlign w:val="superscript"/>
        </w:rPr>
        <w:footnoteRef/>
      </w:r>
      <w:r>
        <w:rPr>
          <w:sz w:val="17"/>
          <w:szCs w:val="17"/>
        </w:rPr>
        <w:t xml:space="preserve">OECD, </w:t>
      </w:r>
      <w:r>
        <w:rPr>
          <w:rStyle w:val="kursiv"/>
          <w:sz w:val="17"/>
          <w:szCs w:val="17"/>
        </w:rPr>
        <w:t>Algorithms and Collusion: Competition Policy in the Digital Age</w:t>
      </w:r>
      <w:r>
        <w:rPr>
          <w:sz w:val="17"/>
          <w:szCs w:val="17"/>
        </w:rPr>
        <w:t>, 2017.</w:t>
      </w:r>
    </w:p>
    <w:p w:rsidR="00D30C4D" w:rsidRDefault="00D30C4D">
      <w:pPr>
        <w:pStyle w:val="Fotnotetekst"/>
      </w:pPr>
    </w:p>
  </w:footnote>
  <w:footnote w:id="49">
    <w:p w:rsidR="00D30C4D" w:rsidRDefault="00B964E1">
      <w:pPr>
        <w:pStyle w:val="Fotnotetekst"/>
        <w:rPr>
          <w:sz w:val="17"/>
          <w:szCs w:val="17"/>
        </w:rPr>
      </w:pPr>
      <w:r>
        <w:rPr>
          <w:vertAlign w:val="superscript"/>
        </w:rPr>
        <w:footnoteRef/>
      </w:r>
      <w:r>
        <w:rPr>
          <w:sz w:val="17"/>
          <w:szCs w:val="17"/>
        </w:rPr>
        <w:t xml:space="preserve">Datatilsynet, </w:t>
      </w:r>
      <w:r>
        <w:rPr>
          <w:rStyle w:val="kursiv"/>
          <w:sz w:val="17"/>
          <w:szCs w:val="17"/>
        </w:rPr>
        <w:t>Det store datakappløpet – rapport om hvordan kommersiell bruk av personopplysninger utfordrer personvernet</w:t>
      </w:r>
      <w:r>
        <w:rPr>
          <w:sz w:val="17"/>
          <w:szCs w:val="17"/>
        </w:rPr>
        <w:t>, 2015.</w:t>
      </w:r>
    </w:p>
    <w:p w:rsidR="00D30C4D" w:rsidRDefault="00D30C4D">
      <w:pPr>
        <w:pStyle w:val="Fotnotetekst"/>
      </w:pPr>
    </w:p>
  </w:footnote>
  <w:footnote w:id="50">
    <w:p w:rsidR="00D30C4D" w:rsidRDefault="00B964E1">
      <w:pPr>
        <w:pStyle w:val="Fotnotetekst"/>
        <w:rPr>
          <w:sz w:val="17"/>
          <w:szCs w:val="17"/>
        </w:rPr>
      </w:pPr>
      <w:r>
        <w:rPr>
          <w:vertAlign w:val="superscript"/>
        </w:rPr>
        <w:footnoteRef/>
      </w:r>
      <w:r>
        <w:rPr>
          <w:sz w:val="17"/>
          <w:szCs w:val="17"/>
        </w:rPr>
        <w:t>Ei tilsvarande problemstilling var oppe til diskusjon i 2006, i den såkalla iTunes-saka. På dette tidspunktet var det ikkje mogleg for forbrukaren å ta med seg songar ein kjøpte iTunes, til andre musikktenester enn iTunes. Innlåsinga skjedde ved hjelp av såkalla DRM-teknologi. Forbrukarombodet (no Forbrukartilsynet) blei i 2008 einige med iTunes om meir forbrukarvennlege avtalevilkår.</w:t>
      </w:r>
    </w:p>
    <w:p w:rsidR="00D30C4D" w:rsidRDefault="00D30C4D">
      <w:pPr>
        <w:pStyle w:val="Fotnotetekst"/>
      </w:pPr>
    </w:p>
  </w:footnote>
  <w:footnote w:id="51">
    <w:p w:rsidR="00D30C4D" w:rsidRDefault="00B964E1">
      <w:pPr>
        <w:pStyle w:val="Fotnotetekst"/>
        <w:rPr>
          <w:sz w:val="17"/>
          <w:szCs w:val="17"/>
        </w:rPr>
      </w:pPr>
      <w:r>
        <w:rPr>
          <w:vertAlign w:val="superscript"/>
        </w:rPr>
        <w:footnoteRef/>
      </w:r>
      <w:r>
        <w:rPr>
          <w:sz w:val="17"/>
          <w:szCs w:val="17"/>
        </w:rPr>
        <w:t xml:space="preserve">SIFO, </w:t>
      </w:r>
      <w:r>
        <w:rPr>
          <w:rStyle w:val="kursiv"/>
          <w:sz w:val="17"/>
          <w:szCs w:val="17"/>
        </w:rPr>
        <w:t xml:space="preserve">Forbrukersårbarhet – hvordan mestrer </w:t>
      </w:r>
      <w:proofErr w:type="gramStart"/>
      <w:r>
        <w:rPr>
          <w:rStyle w:val="kursiv"/>
          <w:sz w:val="17"/>
          <w:szCs w:val="17"/>
        </w:rPr>
        <w:t>de</w:t>
      </w:r>
      <w:proofErr w:type="gramEnd"/>
      <w:r>
        <w:rPr>
          <w:rStyle w:val="kursiv"/>
          <w:sz w:val="17"/>
          <w:szCs w:val="17"/>
        </w:rPr>
        <w:t xml:space="preserve"> eldre </w:t>
      </w:r>
      <w:proofErr w:type="gramStart"/>
      <w:r>
        <w:rPr>
          <w:rStyle w:val="kursiv"/>
          <w:sz w:val="17"/>
          <w:szCs w:val="17"/>
        </w:rPr>
        <w:t>forbrukerrollen</w:t>
      </w:r>
      <w:proofErr w:type="gramEnd"/>
      <w:r>
        <w:rPr>
          <w:rStyle w:val="kursiv"/>
          <w:sz w:val="17"/>
          <w:szCs w:val="17"/>
        </w:rPr>
        <w:t>?</w:t>
      </w:r>
      <w:r>
        <w:rPr>
          <w:sz w:val="17"/>
          <w:szCs w:val="17"/>
        </w:rPr>
        <w:t>, 2014.</w:t>
      </w:r>
    </w:p>
    <w:p w:rsidR="00D30C4D" w:rsidRDefault="00D30C4D">
      <w:pPr>
        <w:pStyle w:val="Fotnotetekst"/>
      </w:pPr>
    </w:p>
  </w:footnote>
  <w:footnote w:id="52">
    <w:p w:rsidR="00D30C4D" w:rsidRDefault="00B964E1">
      <w:pPr>
        <w:pStyle w:val="Fotnotetekst"/>
        <w:rPr>
          <w:sz w:val="17"/>
          <w:szCs w:val="17"/>
        </w:rPr>
      </w:pPr>
      <w:r>
        <w:rPr>
          <w:vertAlign w:val="superscript"/>
        </w:rPr>
        <w:footnoteRef/>
      </w:r>
      <w:r>
        <w:rPr>
          <w:sz w:val="17"/>
          <w:szCs w:val="17"/>
        </w:rPr>
        <w:t xml:space="preserve">SIFO, </w:t>
      </w:r>
      <w:r>
        <w:rPr>
          <w:rStyle w:val="kursiv"/>
          <w:sz w:val="17"/>
          <w:szCs w:val="17"/>
        </w:rPr>
        <w:t>Markedsføring og personvern i sosiale medier</w:t>
      </w:r>
      <w:r>
        <w:rPr>
          <w:sz w:val="17"/>
          <w:szCs w:val="17"/>
        </w:rPr>
        <w:t>, 2018.</w:t>
      </w:r>
    </w:p>
    <w:p w:rsidR="00D30C4D" w:rsidRDefault="00D30C4D">
      <w:pPr>
        <w:pStyle w:val="Fotnotetekst"/>
      </w:pPr>
    </w:p>
  </w:footnote>
  <w:footnote w:id="53">
    <w:p w:rsidR="00D30C4D" w:rsidRDefault="00B964E1">
      <w:pPr>
        <w:pStyle w:val="Fotnotetekst"/>
        <w:rPr>
          <w:sz w:val="17"/>
          <w:szCs w:val="17"/>
        </w:rPr>
      </w:pPr>
      <w:r>
        <w:rPr>
          <w:vertAlign w:val="superscript"/>
        </w:rPr>
        <w:footnoteRef/>
      </w:r>
      <w:r>
        <w:rPr>
          <w:sz w:val="17"/>
          <w:szCs w:val="17"/>
        </w:rPr>
        <w:t xml:space="preserve">SIFO, </w:t>
      </w:r>
      <w:r>
        <w:rPr>
          <w:rStyle w:val="kursiv"/>
          <w:sz w:val="17"/>
          <w:szCs w:val="17"/>
        </w:rPr>
        <w:t>Forbrukernes digitale hverdag – utvidet versjon</w:t>
      </w:r>
      <w:r>
        <w:rPr>
          <w:sz w:val="17"/>
          <w:szCs w:val="17"/>
        </w:rPr>
        <w:t>, 2018.</w:t>
      </w:r>
    </w:p>
    <w:p w:rsidR="00D30C4D" w:rsidRDefault="00D30C4D">
      <w:pPr>
        <w:pStyle w:val="Fotnotetekst"/>
      </w:pPr>
    </w:p>
  </w:footnote>
  <w:footnote w:id="54">
    <w:p w:rsidR="00D30C4D" w:rsidRDefault="00B964E1">
      <w:pPr>
        <w:pStyle w:val="Fotnotetekst"/>
        <w:rPr>
          <w:sz w:val="17"/>
          <w:szCs w:val="17"/>
        </w:rPr>
      </w:pPr>
      <w:r>
        <w:rPr>
          <w:vertAlign w:val="superscript"/>
        </w:rPr>
        <w:footnoteRef/>
      </w:r>
      <w:r>
        <w:rPr>
          <w:sz w:val="17"/>
          <w:szCs w:val="17"/>
        </w:rPr>
        <w:t xml:space="preserve">SIFO, </w:t>
      </w:r>
      <w:r>
        <w:rPr>
          <w:rStyle w:val="kursiv"/>
          <w:sz w:val="17"/>
          <w:szCs w:val="17"/>
        </w:rPr>
        <w:t>Markedsføring og personvern i sosiale medier</w:t>
      </w:r>
      <w:r>
        <w:rPr>
          <w:sz w:val="17"/>
          <w:szCs w:val="17"/>
        </w:rPr>
        <w:t>, 2018.</w:t>
      </w:r>
    </w:p>
    <w:p w:rsidR="00D30C4D" w:rsidRDefault="00D30C4D">
      <w:pPr>
        <w:pStyle w:val="Fotnotetekst"/>
      </w:pPr>
    </w:p>
  </w:footnote>
  <w:footnote w:id="55">
    <w:p w:rsidR="00D30C4D" w:rsidRDefault="00B964E1">
      <w:pPr>
        <w:pStyle w:val="Fotnotetekst"/>
        <w:rPr>
          <w:sz w:val="17"/>
          <w:szCs w:val="17"/>
        </w:rPr>
      </w:pPr>
      <w:r>
        <w:rPr>
          <w:vertAlign w:val="superscript"/>
        </w:rPr>
        <w:footnoteRef/>
      </w:r>
      <w:r>
        <w:rPr>
          <w:sz w:val="17"/>
          <w:szCs w:val="17"/>
        </w:rPr>
        <w:t xml:space="preserve">Medietilsynet, </w:t>
      </w:r>
      <w:r>
        <w:rPr>
          <w:rStyle w:val="kursiv"/>
          <w:sz w:val="17"/>
          <w:szCs w:val="17"/>
        </w:rPr>
        <w:t>Barn og medier 2016</w:t>
      </w:r>
      <w:r>
        <w:rPr>
          <w:sz w:val="17"/>
          <w:szCs w:val="17"/>
        </w:rPr>
        <w:t>, 2016.</w:t>
      </w:r>
    </w:p>
    <w:p w:rsidR="00D30C4D" w:rsidRDefault="00D30C4D">
      <w:pPr>
        <w:pStyle w:val="Fotnotetekst"/>
      </w:pPr>
    </w:p>
  </w:footnote>
  <w:footnote w:id="56">
    <w:p w:rsidR="00D30C4D" w:rsidRDefault="00B964E1">
      <w:pPr>
        <w:pStyle w:val="Fotnotetekst"/>
        <w:rPr>
          <w:sz w:val="17"/>
          <w:szCs w:val="17"/>
        </w:rPr>
      </w:pPr>
      <w:r>
        <w:rPr>
          <w:vertAlign w:val="superscript"/>
        </w:rPr>
        <w:footnoteRef/>
      </w:r>
      <w:r>
        <w:rPr>
          <w:sz w:val="17"/>
          <w:szCs w:val="17"/>
        </w:rPr>
        <w:t xml:space="preserve">SIFO, </w:t>
      </w:r>
      <w:r>
        <w:rPr>
          <w:rStyle w:val="kursiv"/>
          <w:sz w:val="17"/>
          <w:szCs w:val="17"/>
        </w:rPr>
        <w:t>Markedsføring og personvern i sosiale medier</w:t>
      </w:r>
      <w:r>
        <w:rPr>
          <w:sz w:val="17"/>
          <w:szCs w:val="17"/>
        </w:rPr>
        <w:t>, 2018.</w:t>
      </w:r>
    </w:p>
    <w:p w:rsidR="00D30C4D" w:rsidRDefault="00D30C4D">
      <w:pPr>
        <w:pStyle w:val="Fotnotetekst"/>
      </w:pPr>
    </w:p>
  </w:footnote>
  <w:footnote w:id="57">
    <w:p w:rsidR="00D30C4D" w:rsidRDefault="00B964E1">
      <w:pPr>
        <w:pStyle w:val="Fotnotetekst"/>
        <w:rPr>
          <w:sz w:val="17"/>
          <w:szCs w:val="17"/>
        </w:rPr>
      </w:pPr>
      <w:r>
        <w:rPr>
          <w:vertAlign w:val="superscript"/>
        </w:rPr>
        <w:footnoteRef/>
      </w:r>
      <w:r>
        <w:rPr>
          <w:sz w:val="17"/>
          <w:szCs w:val="17"/>
        </w:rPr>
        <w:t xml:space="preserve">SIFO, </w:t>
      </w:r>
      <w:r>
        <w:rPr>
          <w:rStyle w:val="kursiv"/>
          <w:sz w:val="17"/>
          <w:szCs w:val="17"/>
        </w:rPr>
        <w:t>Markedsføring og personvern i sosiale medier</w:t>
      </w:r>
      <w:r>
        <w:rPr>
          <w:sz w:val="17"/>
          <w:szCs w:val="17"/>
        </w:rPr>
        <w:t>, 2018.</w:t>
      </w:r>
    </w:p>
    <w:p w:rsidR="00D30C4D" w:rsidRDefault="00D30C4D">
      <w:pPr>
        <w:pStyle w:val="Fotnotetekst"/>
      </w:pPr>
    </w:p>
  </w:footnote>
  <w:footnote w:id="58">
    <w:p w:rsidR="00D30C4D" w:rsidRDefault="00B964E1">
      <w:pPr>
        <w:pStyle w:val="Fotnotetekst"/>
        <w:rPr>
          <w:sz w:val="17"/>
          <w:szCs w:val="17"/>
        </w:rPr>
      </w:pPr>
      <w:r>
        <w:rPr>
          <w:vertAlign w:val="superscript"/>
        </w:rPr>
        <w:footnoteRef/>
      </w:r>
      <w:r>
        <w:rPr>
          <w:sz w:val="17"/>
          <w:szCs w:val="17"/>
        </w:rPr>
        <w:t xml:space="preserve">Eriksen, I.M. Sletten, M.A., Bakken, A., og von Soest, T., </w:t>
      </w:r>
      <w:r>
        <w:rPr>
          <w:rStyle w:val="kursiv"/>
          <w:sz w:val="17"/>
          <w:szCs w:val="17"/>
        </w:rPr>
        <w:t>Stress og press blant ungdom – Erfaringer, årsaker og utbredelsen av psykiske helseplager</w:t>
      </w:r>
      <w:r>
        <w:rPr>
          <w:sz w:val="17"/>
          <w:szCs w:val="17"/>
        </w:rPr>
        <w:t>, 2017.</w:t>
      </w:r>
    </w:p>
    <w:p w:rsidR="00D30C4D" w:rsidRDefault="00D30C4D">
      <w:pPr>
        <w:pStyle w:val="Fotnotetekst"/>
      </w:pPr>
    </w:p>
  </w:footnote>
  <w:footnote w:id="59">
    <w:p w:rsidR="00D30C4D" w:rsidRDefault="00B964E1">
      <w:pPr>
        <w:pStyle w:val="Fotnotetekst"/>
        <w:rPr>
          <w:sz w:val="17"/>
          <w:szCs w:val="17"/>
        </w:rPr>
      </w:pPr>
      <w:r>
        <w:rPr>
          <w:vertAlign w:val="superscript"/>
        </w:rPr>
        <w:footnoteRef/>
      </w:r>
      <w:r>
        <w:rPr>
          <w:sz w:val="17"/>
          <w:szCs w:val="17"/>
        </w:rPr>
        <w:t xml:space="preserve">SSB, </w:t>
      </w:r>
      <w:r>
        <w:rPr>
          <w:rStyle w:val="kursiv"/>
          <w:sz w:val="17"/>
          <w:szCs w:val="17"/>
        </w:rPr>
        <w:t>Norsk mediebarometer</w:t>
      </w:r>
      <w:r>
        <w:rPr>
          <w:sz w:val="17"/>
          <w:szCs w:val="17"/>
        </w:rPr>
        <w:t>, 2017.</w:t>
      </w:r>
    </w:p>
    <w:p w:rsidR="00D30C4D" w:rsidRDefault="00D30C4D">
      <w:pPr>
        <w:pStyle w:val="Fotnotetekst"/>
      </w:pPr>
    </w:p>
  </w:footnote>
  <w:footnote w:id="60">
    <w:p w:rsidR="00D30C4D" w:rsidRDefault="00B964E1">
      <w:pPr>
        <w:pStyle w:val="Fotnotetekst"/>
        <w:rPr>
          <w:sz w:val="17"/>
          <w:szCs w:val="17"/>
        </w:rPr>
      </w:pPr>
      <w:r>
        <w:rPr>
          <w:vertAlign w:val="superscript"/>
        </w:rPr>
        <w:footnoteRef/>
      </w:r>
      <w:r>
        <w:rPr>
          <w:sz w:val="17"/>
          <w:szCs w:val="17"/>
        </w:rPr>
        <w:t xml:space="preserve">Slettemeås, Dag, </w:t>
      </w:r>
      <w:r>
        <w:rPr>
          <w:rStyle w:val="kursiv"/>
          <w:sz w:val="17"/>
          <w:szCs w:val="17"/>
        </w:rPr>
        <w:t>Eldres bruk av digitale verktøy og internett – en landsdekkende undersøkelse av mestring, støttebehov, motivasjon og hindringer</w:t>
      </w:r>
      <w:r>
        <w:rPr>
          <w:sz w:val="17"/>
          <w:szCs w:val="17"/>
        </w:rPr>
        <w:t>, 2014.</w:t>
      </w:r>
    </w:p>
    <w:p w:rsidR="00D30C4D" w:rsidRDefault="00D30C4D">
      <w:pPr>
        <w:pStyle w:val="Fotnotetekst"/>
      </w:pPr>
    </w:p>
  </w:footnote>
  <w:footnote w:id="61">
    <w:p w:rsidR="00D30C4D" w:rsidRDefault="00B964E1">
      <w:pPr>
        <w:pStyle w:val="Fotnotetekst"/>
        <w:rPr>
          <w:sz w:val="17"/>
          <w:szCs w:val="17"/>
        </w:rPr>
      </w:pPr>
      <w:r>
        <w:rPr>
          <w:vertAlign w:val="superscript"/>
        </w:rPr>
        <w:footnoteRef/>
      </w:r>
      <w:r>
        <w:rPr>
          <w:sz w:val="17"/>
          <w:szCs w:val="17"/>
        </w:rPr>
        <w:t xml:space="preserve">Difi, </w:t>
      </w:r>
      <w:r>
        <w:rPr>
          <w:rStyle w:val="kursiv"/>
          <w:sz w:val="17"/>
          <w:szCs w:val="17"/>
        </w:rPr>
        <w:t>Staten må tenke annerledes for å gjøre oss til flinkere brukere – motivasjon og barrierer for digital kommunikasjon med det offentlige</w:t>
      </w:r>
      <w:r>
        <w:rPr>
          <w:sz w:val="17"/>
          <w:szCs w:val="17"/>
        </w:rPr>
        <w:t>, 2014.</w:t>
      </w:r>
    </w:p>
    <w:p w:rsidR="00D30C4D" w:rsidRDefault="00D30C4D">
      <w:pPr>
        <w:pStyle w:val="Fotnotetekst"/>
      </w:pPr>
    </w:p>
  </w:footnote>
  <w:footnote w:id="62">
    <w:p w:rsidR="00D30C4D" w:rsidRDefault="00B964E1">
      <w:pPr>
        <w:pStyle w:val="Fotnotetekst"/>
        <w:rPr>
          <w:sz w:val="17"/>
          <w:szCs w:val="17"/>
        </w:rPr>
      </w:pPr>
      <w:r>
        <w:rPr>
          <w:vertAlign w:val="superscript"/>
        </w:rPr>
        <w:footnoteRef/>
      </w:r>
      <w:r>
        <w:rPr>
          <w:sz w:val="17"/>
          <w:szCs w:val="17"/>
        </w:rPr>
        <w:t xml:space="preserve">EU-kommisjonen, </w:t>
      </w:r>
      <w:r>
        <w:rPr>
          <w:rStyle w:val="kursiv"/>
          <w:sz w:val="17"/>
          <w:szCs w:val="17"/>
        </w:rPr>
        <w:t>The Digital Competence Framework for Consumers</w:t>
      </w:r>
      <w:r>
        <w:rPr>
          <w:sz w:val="17"/>
          <w:szCs w:val="17"/>
        </w:rPr>
        <w:t>, 2016.</w:t>
      </w:r>
    </w:p>
    <w:p w:rsidR="00D30C4D" w:rsidRDefault="00D30C4D">
      <w:pPr>
        <w:pStyle w:val="Fotnotetekst"/>
      </w:pPr>
    </w:p>
  </w:footnote>
  <w:footnote w:id="63">
    <w:p w:rsidR="00D30C4D" w:rsidRDefault="00B964E1">
      <w:pPr>
        <w:pStyle w:val="Fotnotetekst"/>
        <w:rPr>
          <w:sz w:val="17"/>
          <w:szCs w:val="17"/>
        </w:rPr>
      </w:pPr>
      <w:r>
        <w:rPr>
          <w:vertAlign w:val="superscript"/>
        </w:rPr>
        <w:footnoteRef/>
      </w:r>
      <w:r>
        <w:rPr>
          <w:sz w:val="17"/>
          <w:szCs w:val="17"/>
        </w:rPr>
        <w:t xml:space="preserve">SIFO, </w:t>
      </w:r>
      <w:r>
        <w:rPr>
          <w:rStyle w:val="kursiv"/>
          <w:sz w:val="17"/>
          <w:szCs w:val="17"/>
        </w:rPr>
        <w:t>Forbrukernes digitale hverdag – utvidet versjon</w:t>
      </w:r>
      <w:r>
        <w:rPr>
          <w:sz w:val="17"/>
          <w:szCs w:val="17"/>
        </w:rPr>
        <w:t>, 2018.</w:t>
      </w:r>
    </w:p>
    <w:p w:rsidR="00D30C4D" w:rsidRDefault="00D30C4D">
      <w:pPr>
        <w:pStyle w:val="Fotnotetekst"/>
      </w:pPr>
    </w:p>
  </w:footnote>
  <w:footnote w:id="64">
    <w:p w:rsidR="00D30C4D" w:rsidRDefault="00B964E1">
      <w:pPr>
        <w:pStyle w:val="Fotnotetekst"/>
        <w:rPr>
          <w:sz w:val="17"/>
          <w:szCs w:val="17"/>
        </w:rPr>
      </w:pPr>
      <w:r>
        <w:rPr>
          <w:vertAlign w:val="superscript"/>
        </w:rPr>
        <w:footnoteRef/>
      </w:r>
      <w:r>
        <w:rPr>
          <w:sz w:val="17"/>
          <w:szCs w:val="17"/>
        </w:rPr>
        <w:t xml:space="preserve">Difi, </w:t>
      </w:r>
      <w:r>
        <w:rPr>
          <w:rStyle w:val="kursiv"/>
          <w:sz w:val="17"/>
          <w:szCs w:val="17"/>
        </w:rPr>
        <w:t>Digitale barrierar på norske nettstader 2018 – Status for universell utforming</w:t>
      </w:r>
      <w:r>
        <w:rPr>
          <w:sz w:val="17"/>
          <w:szCs w:val="17"/>
        </w:rPr>
        <w:t>, 2019.</w:t>
      </w:r>
    </w:p>
    <w:p w:rsidR="00D30C4D" w:rsidRDefault="00D30C4D">
      <w:pPr>
        <w:pStyle w:val="Fotnotetekst"/>
      </w:pPr>
    </w:p>
  </w:footnote>
  <w:footnote w:id="65">
    <w:p w:rsidR="00D30C4D" w:rsidRDefault="00B964E1">
      <w:pPr>
        <w:pStyle w:val="Fotnotetekst"/>
        <w:rPr>
          <w:sz w:val="17"/>
          <w:szCs w:val="17"/>
        </w:rPr>
      </w:pPr>
      <w:r>
        <w:rPr>
          <w:vertAlign w:val="superscript"/>
        </w:rPr>
        <w:footnoteRef/>
      </w:r>
      <w:r>
        <w:rPr>
          <w:sz w:val="17"/>
          <w:szCs w:val="17"/>
        </w:rPr>
        <w:t xml:space="preserve">Forbrukarrådet, </w:t>
      </w:r>
      <w:r>
        <w:rPr>
          <w:rStyle w:val="kursiv"/>
          <w:sz w:val="17"/>
          <w:szCs w:val="17"/>
        </w:rPr>
        <w:t>Forbrukertrender 2018, del 1 – Digital helsehverdag</w:t>
      </w:r>
      <w:r>
        <w:rPr>
          <w:sz w:val="17"/>
          <w:szCs w:val="17"/>
        </w:rPr>
        <w:t>, 2018.</w:t>
      </w:r>
    </w:p>
    <w:p w:rsidR="00D30C4D" w:rsidRDefault="00D30C4D">
      <w:pPr>
        <w:pStyle w:val="Fotnotetekst"/>
      </w:pPr>
    </w:p>
  </w:footnote>
  <w:footnote w:id="66">
    <w:p w:rsidR="00D30C4D" w:rsidRDefault="00B964E1">
      <w:pPr>
        <w:pStyle w:val="Fotnotetekst"/>
        <w:rPr>
          <w:sz w:val="17"/>
          <w:szCs w:val="17"/>
        </w:rPr>
      </w:pPr>
      <w:r>
        <w:rPr>
          <w:vertAlign w:val="superscript"/>
        </w:rPr>
        <w:footnoteRef/>
      </w:r>
      <w:r>
        <w:rPr>
          <w:sz w:val="17"/>
          <w:szCs w:val="17"/>
        </w:rPr>
        <w:t xml:space="preserve">SIFO, </w:t>
      </w:r>
      <w:r>
        <w:rPr>
          <w:rStyle w:val="kursiv"/>
          <w:sz w:val="17"/>
          <w:szCs w:val="17"/>
        </w:rPr>
        <w:t>Forbrukernes digitale hverdag – utvidet versjon</w:t>
      </w:r>
      <w:r>
        <w:rPr>
          <w:sz w:val="17"/>
          <w:szCs w:val="17"/>
        </w:rPr>
        <w:t>, 2018.</w:t>
      </w:r>
    </w:p>
    <w:p w:rsidR="00D30C4D" w:rsidRDefault="00D30C4D">
      <w:pPr>
        <w:pStyle w:val="Fotnotetekst"/>
      </w:pPr>
    </w:p>
  </w:footnote>
  <w:footnote w:id="67">
    <w:p w:rsidR="00D30C4D" w:rsidRDefault="00B964E1">
      <w:pPr>
        <w:pStyle w:val="Fotnotetekst"/>
        <w:rPr>
          <w:sz w:val="17"/>
          <w:szCs w:val="17"/>
        </w:rPr>
      </w:pPr>
      <w:r>
        <w:rPr>
          <w:vertAlign w:val="superscript"/>
        </w:rPr>
        <w:footnoteRef/>
      </w:r>
      <w:r>
        <w:rPr>
          <w:sz w:val="17"/>
          <w:szCs w:val="17"/>
        </w:rPr>
        <w:t xml:space="preserve">Sjå heimesida til EU-kommisjonen om forbrukarsaker og tilsynsaksjonar («sweeps»). </w:t>
      </w:r>
    </w:p>
    <w:p w:rsidR="00D30C4D" w:rsidRDefault="00D30C4D">
      <w:pPr>
        <w:pStyle w:val="Fotnotetekst"/>
      </w:pPr>
    </w:p>
  </w:footnote>
  <w:footnote w:id="68">
    <w:p w:rsidR="00D30C4D" w:rsidRDefault="00B964E1">
      <w:pPr>
        <w:pStyle w:val="Fotnotetekst"/>
        <w:rPr>
          <w:sz w:val="17"/>
          <w:szCs w:val="17"/>
        </w:rPr>
      </w:pPr>
      <w:r>
        <w:rPr>
          <w:vertAlign w:val="superscript"/>
        </w:rPr>
        <w:footnoteRef/>
      </w:r>
      <w:r>
        <w:rPr>
          <w:sz w:val="17"/>
          <w:szCs w:val="17"/>
        </w:rPr>
        <w:t>Desse rettleiingane og prinsippa er tilgjengelege gjennom det internasjonale nettverket av tilsynsorgan på forbrukarområdet (ICEPEN).</w:t>
      </w:r>
    </w:p>
    <w:p w:rsidR="00D30C4D" w:rsidRDefault="00D30C4D">
      <w:pPr>
        <w:pStyle w:val="Fotnotetekst"/>
      </w:pPr>
    </w:p>
  </w:footnote>
  <w:footnote w:id="69">
    <w:p w:rsidR="00D30C4D" w:rsidRDefault="00B964E1">
      <w:pPr>
        <w:pStyle w:val="Fotnotetekst"/>
        <w:rPr>
          <w:sz w:val="17"/>
          <w:szCs w:val="17"/>
        </w:rPr>
      </w:pPr>
      <w:r>
        <w:rPr>
          <w:vertAlign w:val="superscript"/>
        </w:rPr>
        <w:footnoteRef/>
      </w:r>
      <w:r>
        <w:rPr>
          <w:sz w:val="17"/>
          <w:szCs w:val="17"/>
        </w:rPr>
        <w:t xml:space="preserve">Over-the-top-tenester refererer til video- eller strøymemedium som gir forbrukaren tilgang til filmar eller TV-program ved å sende desse direkte gjennom internett. </w:t>
      </w:r>
    </w:p>
    <w:p w:rsidR="00D30C4D" w:rsidRDefault="00D30C4D">
      <w:pPr>
        <w:pStyle w:val="Fotnotetekst"/>
      </w:pPr>
    </w:p>
  </w:footnote>
  <w:footnote w:id="70">
    <w:p w:rsidR="00D30C4D" w:rsidRDefault="00B964E1">
      <w:pPr>
        <w:pStyle w:val="Fotnotetekst"/>
        <w:rPr>
          <w:sz w:val="17"/>
          <w:szCs w:val="17"/>
        </w:rPr>
      </w:pPr>
      <w:r>
        <w:rPr>
          <w:vertAlign w:val="superscript"/>
        </w:rPr>
        <w:footnoteRef/>
      </w:r>
      <w:r>
        <w:rPr>
          <w:sz w:val="17"/>
          <w:szCs w:val="17"/>
        </w:rPr>
        <w:t xml:space="preserve">Forbrukarrådet, </w:t>
      </w:r>
      <w:r>
        <w:rPr>
          <w:rStyle w:val="kursiv"/>
          <w:sz w:val="17"/>
          <w:szCs w:val="17"/>
        </w:rPr>
        <w:t>Bredbånd – Forbrukerutfordringer i markedet for høyhastighets bredbånd</w:t>
      </w:r>
      <w:r>
        <w:rPr>
          <w:sz w:val="17"/>
          <w:szCs w:val="17"/>
        </w:rPr>
        <w:t>, 2018.</w:t>
      </w:r>
    </w:p>
    <w:p w:rsidR="00D30C4D" w:rsidRDefault="00D30C4D">
      <w:pPr>
        <w:pStyle w:val="Fotnotetekst"/>
      </w:pPr>
    </w:p>
  </w:footnote>
  <w:footnote w:id="71">
    <w:p w:rsidR="00D30C4D" w:rsidRDefault="00B964E1">
      <w:pPr>
        <w:pStyle w:val="Fotnotetekst"/>
        <w:rPr>
          <w:sz w:val="17"/>
          <w:szCs w:val="17"/>
        </w:rPr>
      </w:pPr>
      <w:r>
        <w:rPr>
          <w:vertAlign w:val="superscript"/>
        </w:rPr>
        <w:footnoteRef/>
      </w:r>
      <w:r>
        <w:rPr>
          <w:sz w:val="17"/>
          <w:szCs w:val="17"/>
        </w:rPr>
        <w:t xml:space="preserve">Analysys Mason, </w:t>
      </w:r>
      <w:r>
        <w:rPr>
          <w:rStyle w:val="kursiv"/>
          <w:sz w:val="17"/>
          <w:szCs w:val="17"/>
        </w:rPr>
        <w:t>Dekningsundersøkelsen 2018</w:t>
      </w:r>
      <w:r>
        <w:rPr>
          <w:sz w:val="17"/>
          <w:szCs w:val="17"/>
        </w:rPr>
        <w:t xml:space="preserve">. </w:t>
      </w:r>
    </w:p>
    <w:p w:rsidR="00D30C4D" w:rsidRDefault="00D30C4D">
      <w:pPr>
        <w:pStyle w:val="Fotnotetekst"/>
      </w:pPr>
    </w:p>
  </w:footnote>
  <w:footnote w:id="72">
    <w:p w:rsidR="00D30C4D" w:rsidRDefault="00B964E1">
      <w:pPr>
        <w:pStyle w:val="Fotnotetekst"/>
        <w:rPr>
          <w:sz w:val="17"/>
          <w:szCs w:val="17"/>
        </w:rPr>
      </w:pPr>
      <w:r>
        <w:rPr>
          <w:vertAlign w:val="superscript"/>
        </w:rPr>
        <w:footnoteRef/>
      </w:r>
      <w:r>
        <w:rPr>
          <w:sz w:val="17"/>
          <w:szCs w:val="17"/>
        </w:rPr>
        <w:t>Denne utrekninga for kapasitetskrav på minst 100 Mbit/s nedstraums blei gjort for fyrste gong i 2018, og det finst derfor ikkje informasjon om endringa frå 2017 til 2018.</w:t>
      </w:r>
    </w:p>
    <w:p w:rsidR="00D30C4D" w:rsidRDefault="00D30C4D">
      <w:pPr>
        <w:pStyle w:val="Fotnotetekst"/>
      </w:pPr>
    </w:p>
  </w:footnote>
  <w:footnote w:id="73">
    <w:p w:rsidR="00D30C4D" w:rsidRDefault="00B964E1">
      <w:pPr>
        <w:pStyle w:val="Fotnotetekst"/>
        <w:rPr>
          <w:sz w:val="17"/>
          <w:szCs w:val="17"/>
        </w:rPr>
      </w:pPr>
      <w:r>
        <w:rPr>
          <w:vertAlign w:val="superscript"/>
        </w:rPr>
        <w:footnoteRef/>
      </w:r>
      <w:r>
        <w:rPr>
          <w:sz w:val="17"/>
          <w:szCs w:val="17"/>
        </w:rPr>
        <w:t xml:space="preserve">Meld. St. 27 (2015–2016) </w:t>
      </w:r>
      <w:r>
        <w:rPr>
          <w:rStyle w:val="kursiv"/>
          <w:sz w:val="17"/>
          <w:szCs w:val="17"/>
        </w:rPr>
        <w:t>Digital agenda for Norge</w:t>
      </w:r>
      <w:r>
        <w:rPr>
          <w:sz w:val="17"/>
          <w:szCs w:val="17"/>
        </w:rPr>
        <w:t>.</w:t>
      </w:r>
    </w:p>
    <w:p w:rsidR="00D30C4D" w:rsidRDefault="00D30C4D">
      <w:pPr>
        <w:pStyle w:val="Fotnotetekst"/>
      </w:pPr>
    </w:p>
  </w:footnote>
  <w:footnote w:id="74">
    <w:p w:rsidR="00D30C4D" w:rsidRDefault="00B964E1">
      <w:pPr>
        <w:pStyle w:val="Fotnotetekst"/>
        <w:rPr>
          <w:sz w:val="17"/>
          <w:szCs w:val="17"/>
        </w:rPr>
      </w:pPr>
      <w:r>
        <w:rPr>
          <w:vertAlign w:val="superscript"/>
        </w:rPr>
        <w:footnoteRef/>
      </w:r>
      <w:r>
        <w:rPr>
          <w:sz w:val="17"/>
          <w:szCs w:val="17"/>
        </w:rPr>
        <w:t xml:space="preserve">Forbrukarrådet, </w:t>
      </w:r>
      <w:r>
        <w:rPr>
          <w:rStyle w:val="kursiv"/>
          <w:sz w:val="17"/>
          <w:szCs w:val="17"/>
        </w:rPr>
        <w:t>Bredbånd – Forbrukerutfordringer i markedet for høyhastighets bredbånd</w:t>
      </w:r>
      <w:r>
        <w:rPr>
          <w:sz w:val="17"/>
          <w:szCs w:val="17"/>
        </w:rPr>
        <w:t>, 2018.</w:t>
      </w:r>
    </w:p>
    <w:p w:rsidR="00D30C4D" w:rsidRDefault="00D30C4D">
      <w:pPr>
        <w:pStyle w:val="Fotnotetekst"/>
      </w:pPr>
    </w:p>
  </w:footnote>
  <w:footnote w:id="75">
    <w:p w:rsidR="00D30C4D" w:rsidRDefault="00B964E1">
      <w:pPr>
        <w:pStyle w:val="Fotnotetekst"/>
        <w:rPr>
          <w:sz w:val="17"/>
          <w:szCs w:val="17"/>
        </w:rPr>
      </w:pPr>
      <w:r>
        <w:rPr>
          <w:vertAlign w:val="superscript"/>
        </w:rPr>
        <w:footnoteRef/>
      </w:r>
      <w:r>
        <w:rPr>
          <w:sz w:val="17"/>
          <w:szCs w:val="17"/>
        </w:rPr>
        <w:t xml:space="preserve">Finanstilsynet, </w:t>
      </w:r>
      <w:r>
        <w:rPr>
          <w:rStyle w:val="kursiv"/>
          <w:sz w:val="17"/>
          <w:szCs w:val="17"/>
        </w:rPr>
        <w:t>Finansielt utsyn – desember 2018</w:t>
      </w:r>
      <w:r>
        <w:rPr>
          <w:sz w:val="17"/>
          <w:szCs w:val="17"/>
        </w:rPr>
        <w:t xml:space="preserve">, 2018. </w:t>
      </w:r>
    </w:p>
    <w:p w:rsidR="00D30C4D" w:rsidRDefault="00D30C4D">
      <w:pPr>
        <w:pStyle w:val="Fotnotetekst"/>
      </w:pPr>
    </w:p>
  </w:footnote>
  <w:footnote w:id="76">
    <w:p w:rsidR="00D30C4D" w:rsidRDefault="00B964E1">
      <w:pPr>
        <w:pStyle w:val="Fotnotetekst"/>
        <w:rPr>
          <w:sz w:val="17"/>
          <w:szCs w:val="17"/>
        </w:rPr>
      </w:pPr>
      <w:r>
        <w:rPr>
          <w:vertAlign w:val="superscript"/>
        </w:rPr>
        <w:footnoteRef/>
      </w:r>
      <w:r>
        <w:rPr>
          <w:sz w:val="17"/>
          <w:szCs w:val="17"/>
        </w:rPr>
        <w:t xml:space="preserve">Noregs Bank, </w:t>
      </w:r>
      <w:r>
        <w:rPr>
          <w:rStyle w:val="kursiv"/>
          <w:sz w:val="17"/>
          <w:szCs w:val="17"/>
        </w:rPr>
        <w:t>Aktuell kommentar 1/2017</w:t>
      </w:r>
      <w:r>
        <w:rPr>
          <w:sz w:val="17"/>
          <w:szCs w:val="17"/>
        </w:rPr>
        <w:t>, 2017.</w:t>
      </w:r>
    </w:p>
    <w:p w:rsidR="00D30C4D" w:rsidRDefault="00D30C4D">
      <w:pPr>
        <w:pStyle w:val="Fotnotetekst"/>
      </w:pPr>
    </w:p>
  </w:footnote>
  <w:footnote w:id="77">
    <w:p w:rsidR="00D30C4D" w:rsidRDefault="00B964E1">
      <w:pPr>
        <w:pStyle w:val="Fotnotetekst"/>
        <w:rPr>
          <w:sz w:val="17"/>
          <w:szCs w:val="17"/>
        </w:rPr>
      </w:pPr>
      <w:r>
        <w:rPr>
          <w:vertAlign w:val="superscript"/>
        </w:rPr>
        <w:footnoteRef/>
      </w:r>
      <w:r>
        <w:rPr>
          <w:sz w:val="17"/>
          <w:szCs w:val="17"/>
        </w:rPr>
        <w:t xml:space="preserve">Finanstilsynet, </w:t>
      </w:r>
      <w:r>
        <w:rPr>
          <w:rStyle w:val="kursiv"/>
          <w:sz w:val="17"/>
          <w:szCs w:val="17"/>
        </w:rPr>
        <w:t>Årsmelding 2017</w:t>
      </w:r>
      <w:r>
        <w:rPr>
          <w:sz w:val="17"/>
          <w:szCs w:val="17"/>
        </w:rPr>
        <w:t>, 2017.</w:t>
      </w:r>
    </w:p>
    <w:p w:rsidR="00D30C4D" w:rsidRDefault="00D30C4D">
      <w:pPr>
        <w:pStyle w:val="Fotnotetekst"/>
      </w:pPr>
    </w:p>
  </w:footnote>
  <w:footnote w:id="78">
    <w:p w:rsidR="00D30C4D" w:rsidRDefault="00B964E1">
      <w:pPr>
        <w:pStyle w:val="Fotnotetekst"/>
        <w:rPr>
          <w:sz w:val="17"/>
          <w:szCs w:val="17"/>
        </w:rPr>
      </w:pPr>
      <w:r>
        <w:rPr>
          <w:vertAlign w:val="superscript"/>
        </w:rPr>
        <w:footnoteRef/>
      </w:r>
      <w:r>
        <w:rPr>
          <w:sz w:val="17"/>
          <w:szCs w:val="17"/>
        </w:rPr>
        <w:t xml:space="preserve">Finanstilsynet, </w:t>
      </w:r>
      <w:r>
        <w:rPr>
          <w:rStyle w:val="kursiv"/>
          <w:sz w:val="17"/>
          <w:szCs w:val="17"/>
        </w:rPr>
        <w:t>Finansielt utsyn – juni 2018</w:t>
      </w:r>
      <w:r>
        <w:rPr>
          <w:sz w:val="17"/>
          <w:szCs w:val="17"/>
        </w:rPr>
        <w:t>, 2018.</w:t>
      </w:r>
    </w:p>
    <w:p w:rsidR="00D30C4D" w:rsidRDefault="00D30C4D">
      <w:pPr>
        <w:pStyle w:val="Fotnotetekst"/>
      </w:pPr>
    </w:p>
  </w:footnote>
  <w:footnote w:id="79">
    <w:p w:rsidR="00D30C4D" w:rsidRDefault="00B964E1">
      <w:pPr>
        <w:pStyle w:val="Fotnotetekst"/>
        <w:rPr>
          <w:sz w:val="17"/>
          <w:szCs w:val="17"/>
        </w:rPr>
      </w:pPr>
      <w:r>
        <w:rPr>
          <w:vertAlign w:val="superscript"/>
        </w:rPr>
        <w:footnoteRef/>
      </w:r>
      <w:r>
        <w:rPr>
          <w:sz w:val="17"/>
          <w:szCs w:val="17"/>
        </w:rPr>
        <w:t xml:space="preserve">SIFO, </w:t>
      </w:r>
      <w:r>
        <w:rPr>
          <w:rStyle w:val="kursiv"/>
          <w:sz w:val="17"/>
          <w:szCs w:val="17"/>
        </w:rPr>
        <w:t>Økonomisk utsatthet 2016</w:t>
      </w:r>
      <w:r>
        <w:rPr>
          <w:sz w:val="17"/>
          <w:szCs w:val="17"/>
        </w:rPr>
        <w:t>, 2016.</w:t>
      </w:r>
    </w:p>
    <w:p w:rsidR="00D30C4D" w:rsidRDefault="00D30C4D">
      <w:pPr>
        <w:pStyle w:val="Fotnotetekst"/>
      </w:pPr>
    </w:p>
  </w:footnote>
  <w:footnote w:id="80">
    <w:p w:rsidR="00D30C4D" w:rsidRDefault="00B964E1">
      <w:pPr>
        <w:pStyle w:val="Fotnotetekst"/>
        <w:rPr>
          <w:sz w:val="17"/>
          <w:szCs w:val="17"/>
        </w:rPr>
      </w:pPr>
      <w:r>
        <w:rPr>
          <w:vertAlign w:val="superscript"/>
        </w:rPr>
        <w:footnoteRef/>
      </w:r>
      <w:r>
        <w:rPr>
          <w:sz w:val="17"/>
          <w:szCs w:val="17"/>
        </w:rPr>
        <w:t xml:space="preserve">SIFO, </w:t>
      </w:r>
      <w:r>
        <w:rPr>
          <w:rStyle w:val="kursiv"/>
          <w:sz w:val="17"/>
          <w:szCs w:val="17"/>
        </w:rPr>
        <w:t>Forbrukstrender 2017</w:t>
      </w:r>
      <w:r>
        <w:rPr>
          <w:sz w:val="17"/>
          <w:szCs w:val="17"/>
        </w:rPr>
        <w:t xml:space="preserve">, juni 2017. </w:t>
      </w:r>
    </w:p>
    <w:p w:rsidR="00D30C4D" w:rsidRDefault="00D30C4D">
      <w:pPr>
        <w:pStyle w:val="Fotnotetekst"/>
      </w:pPr>
    </w:p>
  </w:footnote>
  <w:footnote w:id="81">
    <w:p w:rsidR="00D30C4D" w:rsidRDefault="00B964E1">
      <w:pPr>
        <w:pStyle w:val="Fotnotetekst"/>
        <w:rPr>
          <w:sz w:val="17"/>
          <w:szCs w:val="17"/>
        </w:rPr>
      </w:pPr>
      <w:r>
        <w:rPr>
          <w:vertAlign w:val="superscript"/>
        </w:rPr>
        <w:footnoteRef/>
      </w:r>
      <w:r>
        <w:rPr>
          <w:sz w:val="17"/>
          <w:szCs w:val="17"/>
        </w:rPr>
        <w:t xml:space="preserve">SIFO, </w:t>
      </w:r>
      <w:r>
        <w:rPr>
          <w:rStyle w:val="kursiv"/>
          <w:sz w:val="17"/>
          <w:szCs w:val="17"/>
        </w:rPr>
        <w:t>Gjeldsordninger under press</w:t>
      </w:r>
      <w:r>
        <w:rPr>
          <w:sz w:val="17"/>
          <w:szCs w:val="17"/>
        </w:rPr>
        <w:t>, 2018.</w:t>
      </w:r>
    </w:p>
    <w:p w:rsidR="00D30C4D" w:rsidRDefault="00D30C4D">
      <w:pPr>
        <w:pStyle w:val="Fotnotetekst"/>
      </w:pPr>
    </w:p>
  </w:footnote>
  <w:footnote w:id="82">
    <w:p w:rsidR="00D30C4D" w:rsidRDefault="00B964E1">
      <w:pPr>
        <w:pStyle w:val="Fotnotetekst"/>
        <w:rPr>
          <w:sz w:val="17"/>
          <w:szCs w:val="17"/>
        </w:rPr>
      </w:pPr>
      <w:r>
        <w:rPr>
          <w:vertAlign w:val="superscript"/>
        </w:rPr>
        <w:footnoteRef/>
      </w:r>
      <w:r>
        <w:rPr>
          <w:sz w:val="17"/>
          <w:szCs w:val="17"/>
        </w:rPr>
        <w:t>Kvart kredittopplysingsføretak har eigne modellar for utrekning av kredittscore. Som grunnlag for modellane nyttar ein mellom anna informasjon frå Brønnøysundregistra, Folkeregisteret og inkassobyrå.</w:t>
      </w:r>
    </w:p>
    <w:p w:rsidR="00D30C4D" w:rsidRDefault="00D30C4D">
      <w:pPr>
        <w:pStyle w:val="Fotnotetekst"/>
      </w:pPr>
    </w:p>
  </w:footnote>
  <w:footnote w:id="83">
    <w:p w:rsidR="00D30C4D" w:rsidRDefault="00B964E1">
      <w:pPr>
        <w:pStyle w:val="Fotnotetekst"/>
        <w:rPr>
          <w:sz w:val="17"/>
          <w:szCs w:val="17"/>
        </w:rPr>
      </w:pPr>
      <w:r>
        <w:rPr>
          <w:vertAlign w:val="superscript"/>
        </w:rPr>
        <w:footnoteRef/>
      </w:r>
      <w:r>
        <w:rPr>
          <w:sz w:val="17"/>
          <w:szCs w:val="17"/>
        </w:rPr>
        <w:t xml:space="preserve">Finanstilsynet, </w:t>
      </w:r>
      <w:r>
        <w:rPr>
          <w:rStyle w:val="kursiv"/>
          <w:sz w:val="17"/>
          <w:szCs w:val="17"/>
        </w:rPr>
        <w:t>Inkassoloven – behov for lovrevisjon</w:t>
      </w:r>
      <w:r>
        <w:rPr>
          <w:sz w:val="17"/>
          <w:szCs w:val="17"/>
        </w:rPr>
        <w:t>, brev datert 7. september 2017.</w:t>
      </w:r>
    </w:p>
    <w:p w:rsidR="00D30C4D" w:rsidRDefault="00D30C4D">
      <w:pPr>
        <w:pStyle w:val="Fotnotetekst"/>
      </w:pPr>
    </w:p>
  </w:footnote>
  <w:footnote w:id="84">
    <w:p w:rsidR="00D30C4D" w:rsidRDefault="00B964E1">
      <w:pPr>
        <w:pStyle w:val="Fotnotetekst"/>
        <w:rPr>
          <w:sz w:val="17"/>
          <w:szCs w:val="17"/>
        </w:rPr>
      </w:pPr>
      <w:r>
        <w:rPr>
          <w:vertAlign w:val="superscript"/>
        </w:rPr>
        <w:footnoteRef/>
      </w:r>
      <w:r>
        <w:rPr>
          <w:sz w:val="17"/>
          <w:szCs w:val="17"/>
        </w:rPr>
        <w:t xml:space="preserve">AksjeNorge, </w:t>
      </w:r>
      <w:r>
        <w:rPr>
          <w:rStyle w:val="kursiv"/>
          <w:sz w:val="17"/>
          <w:szCs w:val="17"/>
        </w:rPr>
        <w:t>Nasjonal kartlegging av finansiell kompetanse</w:t>
      </w:r>
      <w:r>
        <w:rPr>
          <w:sz w:val="17"/>
          <w:szCs w:val="17"/>
        </w:rPr>
        <w:t>, 2016.</w:t>
      </w:r>
    </w:p>
    <w:p w:rsidR="00D30C4D" w:rsidRDefault="00D30C4D">
      <w:pPr>
        <w:pStyle w:val="Fotnotetekst"/>
      </w:pPr>
    </w:p>
  </w:footnote>
  <w:footnote w:id="85">
    <w:p w:rsidR="00D30C4D" w:rsidRDefault="00B964E1">
      <w:pPr>
        <w:pStyle w:val="Fotnotetekst"/>
        <w:rPr>
          <w:sz w:val="17"/>
          <w:szCs w:val="17"/>
        </w:rPr>
      </w:pPr>
      <w:r>
        <w:rPr>
          <w:vertAlign w:val="superscript"/>
        </w:rPr>
        <w:footnoteRef/>
      </w:r>
      <w:r>
        <w:rPr>
          <w:sz w:val="17"/>
          <w:szCs w:val="17"/>
        </w:rPr>
        <w:t xml:space="preserve">Forbrukartilsynet, </w:t>
      </w:r>
      <w:r>
        <w:rPr>
          <w:rStyle w:val="kursiv"/>
          <w:sz w:val="17"/>
          <w:szCs w:val="17"/>
        </w:rPr>
        <w:t>Det håndgripelige gjort uforståelig</w:t>
      </w:r>
      <w:r>
        <w:rPr>
          <w:sz w:val="17"/>
          <w:szCs w:val="17"/>
        </w:rPr>
        <w:t>, 2011.</w:t>
      </w:r>
    </w:p>
    <w:p w:rsidR="00D30C4D" w:rsidRDefault="00D30C4D">
      <w:pPr>
        <w:pStyle w:val="Fotnotetekst"/>
      </w:pPr>
    </w:p>
  </w:footnote>
  <w:footnote w:id="86">
    <w:p w:rsidR="00D30C4D" w:rsidRDefault="00B964E1">
      <w:pPr>
        <w:pStyle w:val="Fotnotetekst"/>
        <w:rPr>
          <w:sz w:val="17"/>
          <w:szCs w:val="17"/>
        </w:rPr>
      </w:pPr>
      <w:r>
        <w:rPr>
          <w:vertAlign w:val="superscript"/>
        </w:rPr>
        <w:footnoteRef/>
      </w:r>
      <w:r>
        <w:rPr>
          <w:sz w:val="17"/>
          <w:szCs w:val="17"/>
        </w:rPr>
        <w:t>Husbanken, 2018.</w:t>
      </w:r>
    </w:p>
    <w:p w:rsidR="00D30C4D" w:rsidRDefault="00D30C4D">
      <w:pPr>
        <w:pStyle w:val="Fotnotetekst"/>
      </w:pPr>
    </w:p>
  </w:footnote>
  <w:footnote w:id="87">
    <w:p w:rsidR="00D30C4D" w:rsidRDefault="00B964E1">
      <w:pPr>
        <w:pStyle w:val="Fotnotetekst"/>
        <w:rPr>
          <w:sz w:val="17"/>
          <w:szCs w:val="17"/>
        </w:rPr>
      </w:pPr>
      <w:r>
        <w:rPr>
          <w:vertAlign w:val="superscript"/>
        </w:rPr>
        <w:footnoteRef/>
      </w:r>
      <w:r>
        <w:rPr>
          <w:sz w:val="17"/>
          <w:szCs w:val="17"/>
        </w:rPr>
        <w:t>Ei undersøking tyder på at bukostnadene har vore nokså stabile sidan 2010. Korrigert for inntekt har dei gått ned. Sjå rap</w:t>
      </w:r>
      <w:r>
        <w:rPr>
          <w:sz w:val="17"/>
          <w:szCs w:val="17"/>
        </w:rPr>
        <w:t>p</w:t>
      </w:r>
      <w:r>
        <w:rPr>
          <w:sz w:val="17"/>
          <w:szCs w:val="17"/>
        </w:rPr>
        <w:t xml:space="preserve">orten </w:t>
      </w:r>
      <w:r>
        <w:rPr>
          <w:rStyle w:val="kursiv"/>
          <w:sz w:val="17"/>
          <w:szCs w:val="17"/>
        </w:rPr>
        <w:t>Bokostnadsindeksen for norske husholdninger</w:t>
      </w:r>
      <w:r>
        <w:rPr>
          <w:sz w:val="17"/>
          <w:szCs w:val="17"/>
        </w:rPr>
        <w:t xml:space="preserve">, som Samfunnsøkonomisk Analyse AS utførte på oppdrag frå Huseiernes Landsforbund i 2018. </w:t>
      </w:r>
    </w:p>
    <w:p w:rsidR="00D30C4D" w:rsidRDefault="00D30C4D">
      <w:pPr>
        <w:pStyle w:val="Fotnotetekst"/>
      </w:pPr>
    </w:p>
  </w:footnote>
  <w:footnote w:id="88">
    <w:p w:rsidR="00D30C4D" w:rsidRDefault="00B964E1">
      <w:pPr>
        <w:pStyle w:val="Fotnotetekst"/>
        <w:rPr>
          <w:sz w:val="17"/>
          <w:szCs w:val="17"/>
        </w:rPr>
      </w:pPr>
      <w:r>
        <w:rPr>
          <w:vertAlign w:val="superscript"/>
        </w:rPr>
        <w:footnoteRef/>
      </w:r>
      <w:r>
        <w:rPr>
          <w:sz w:val="17"/>
          <w:szCs w:val="17"/>
        </w:rPr>
        <w:t xml:space="preserve">Ifølgje SSB var kvadratmeterprisen på ein einebustad i Nord-Trøndelag i 2016 om lag 15 000, mens prisen i Oslo var om lag 47 000 kroner. </w:t>
      </w:r>
    </w:p>
    <w:p w:rsidR="00D30C4D" w:rsidRDefault="00D30C4D">
      <w:pPr>
        <w:pStyle w:val="Fotnotetekst"/>
      </w:pPr>
    </w:p>
  </w:footnote>
  <w:footnote w:id="89">
    <w:p w:rsidR="00D30C4D" w:rsidRDefault="00B964E1">
      <w:pPr>
        <w:pStyle w:val="Fotnotetekst"/>
        <w:rPr>
          <w:sz w:val="17"/>
          <w:szCs w:val="17"/>
        </w:rPr>
      </w:pPr>
      <w:r>
        <w:rPr>
          <w:vertAlign w:val="superscript"/>
        </w:rPr>
        <w:footnoteRef/>
      </w:r>
      <w:r>
        <w:rPr>
          <w:sz w:val="17"/>
          <w:szCs w:val="17"/>
        </w:rPr>
        <w:t xml:space="preserve">Den globale kommisjonen om økonomi og klima, </w:t>
      </w:r>
      <w:r>
        <w:rPr>
          <w:rStyle w:val="kursiv"/>
          <w:sz w:val="17"/>
          <w:szCs w:val="17"/>
        </w:rPr>
        <w:t>The New Climate Economy Report</w:t>
      </w:r>
      <w:r>
        <w:rPr>
          <w:sz w:val="17"/>
          <w:szCs w:val="17"/>
        </w:rPr>
        <w:t xml:space="preserve">, september 2014. </w:t>
      </w:r>
    </w:p>
    <w:p w:rsidR="00D30C4D" w:rsidRDefault="00D30C4D">
      <w:pPr>
        <w:pStyle w:val="Fotnotetekst"/>
      </w:pPr>
    </w:p>
  </w:footnote>
  <w:footnote w:id="90">
    <w:p w:rsidR="00D30C4D" w:rsidRDefault="00B964E1">
      <w:pPr>
        <w:pStyle w:val="Fotnotetekst"/>
        <w:rPr>
          <w:sz w:val="17"/>
          <w:szCs w:val="17"/>
        </w:rPr>
      </w:pPr>
      <w:r>
        <w:rPr>
          <w:vertAlign w:val="superscript"/>
        </w:rPr>
        <w:footnoteRef/>
      </w:r>
      <w:r>
        <w:rPr>
          <w:sz w:val="17"/>
          <w:szCs w:val="17"/>
        </w:rPr>
        <w:t xml:space="preserve">EEA, </w:t>
      </w:r>
      <w:r>
        <w:rPr>
          <w:rStyle w:val="kursiv"/>
          <w:sz w:val="17"/>
          <w:szCs w:val="17"/>
        </w:rPr>
        <w:t>The European Environment. State and Outlook 2015</w:t>
      </w:r>
      <w:r>
        <w:rPr>
          <w:sz w:val="17"/>
          <w:szCs w:val="17"/>
        </w:rPr>
        <w:t>, 2015.</w:t>
      </w:r>
    </w:p>
    <w:p w:rsidR="00D30C4D" w:rsidRDefault="00D30C4D">
      <w:pPr>
        <w:pStyle w:val="Fotnotetekst"/>
      </w:pPr>
    </w:p>
  </w:footnote>
  <w:footnote w:id="91">
    <w:p w:rsidR="00D30C4D" w:rsidRDefault="00B964E1">
      <w:pPr>
        <w:pStyle w:val="Fotnotetekst"/>
        <w:rPr>
          <w:sz w:val="17"/>
          <w:szCs w:val="17"/>
        </w:rPr>
      </w:pPr>
      <w:r>
        <w:rPr>
          <w:vertAlign w:val="superscript"/>
        </w:rPr>
        <w:footnoteRef/>
      </w:r>
      <w:r>
        <w:rPr>
          <w:sz w:val="17"/>
          <w:szCs w:val="17"/>
        </w:rPr>
        <w:t xml:space="preserve">SIFO, </w:t>
      </w:r>
      <w:r>
        <w:rPr>
          <w:rStyle w:val="kursiv"/>
          <w:sz w:val="17"/>
          <w:szCs w:val="17"/>
        </w:rPr>
        <w:t>Kunnskapsoppsummeringer forbrukerpolitikk 2018 – Forbruk og det grønne skiftet</w:t>
      </w:r>
      <w:r>
        <w:rPr>
          <w:sz w:val="17"/>
          <w:szCs w:val="17"/>
        </w:rPr>
        <w:t>, 2018.</w:t>
      </w:r>
    </w:p>
    <w:p w:rsidR="00D30C4D" w:rsidRDefault="00D30C4D">
      <w:pPr>
        <w:pStyle w:val="Fotnotetekst"/>
      </w:pPr>
    </w:p>
  </w:footnote>
  <w:footnote w:id="92">
    <w:p w:rsidR="00D30C4D" w:rsidRDefault="00B964E1">
      <w:pPr>
        <w:pStyle w:val="Fotnotetekst"/>
        <w:rPr>
          <w:sz w:val="17"/>
          <w:szCs w:val="17"/>
        </w:rPr>
      </w:pPr>
      <w:r>
        <w:rPr>
          <w:vertAlign w:val="superscript"/>
        </w:rPr>
        <w:footnoteRef/>
      </w:r>
      <w:r>
        <w:rPr>
          <w:sz w:val="17"/>
          <w:szCs w:val="17"/>
        </w:rPr>
        <w:t xml:space="preserve">SIFO, </w:t>
      </w:r>
      <w:r>
        <w:rPr>
          <w:rStyle w:val="kursiv"/>
          <w:sz w:val="17"/>
          <w:szCs w:val="17"/>
        </w:rPr>
        <w:t>Kunnskapsoppsummeringer forbrukerpolitikk 2018 – Forbruk og det grønne skiftet</w:t>
      </w:r>
      <w:r>
        <w:rPr>
          <w:sz w:val="17"/>
          <w:szCs w:val="17"/>
        </w:rPr>
        <w:t>, 2018.</w:t>
      </w:r>
    </w:p>
    <w:p w:rsidR="00D30C4D" w:rsidRDefault="00D30C4D">
      <w:pPr>
        <w:pStyle w:val="Fotnotetekst"/>
      </w:pPr>
    </w:p>
  </w:footnote>
  <w:footnote w:id="93">
    <w:p w:rsidR="00D30C4D" w:rsidRDefault="00B964E1">
      <w:pPr>
        <w:pStyle w:val="Fotnotetekst"/>
        <w:rPr>
          <w:sz w:val="17"/>
          <w:szCs w:val="17"/>
        </w:rPr>
      </w:pPr>
      <w:r>
        <w:rPr>
          <w:vertAlign w:val="superscript"/>
        </w:rPr>
        <w:footnoteRef/>
      </w:r>
      <w:r>
        <w:rPr>
          <w:sz w:val="17"/>
          <w:szCs w:val="17"/>
        </w:rPr>
        <w:t xml:space="preserve">SIFO, </w:t>
      </w:r>
      <w:r>
        <w:rPr>
          <w:rStyle w:val="kursiv"/>
          <w:sz w:val="17"/>
          <w:szCs w:val="17"/>
        </w:rPr>
        <w:t>Seleksjon og ignorering – Forbrukerstrategier for å manøvrere i merkemangfoldet</w:t>
      </w:r>
      <w:r>
        <w:rPr>
          <w:sz w:val="17"/>
          <w:szCs w:val="17"/>
        </w:rPr>
        <w:t>, 2011.</w:t>
      </w:r>
    </w:p>
    <w:p w:rsidR="00D30C4D" w:rsidRDefault="00D30C4D">
      <w:pPr>
        <w:pStyle w:val="Fotnotetekst"/>
      </w:pPr>
    </w:p>
  </w:footnote>
  <w:footnote w:id="94">
    <w:p w:rsidR="00D30C4D" w:rsidRDefault="00B964E1">
      <w:pPr>
        <w:pStyle w:val="Fotnotetekst"/>
        <w:rPr>
          <w:sz w:val="17"/>
          <w:szCs w:val="17"/>
        </w:rPr>
      </w:pPr>
      <w:r>
        <w:rPr>
          <w:vertAlign w:val="superscript"/>
        </w:rPr>
        <w:footnoteRef/>
      </w:r>
      <w:r>
        <w:rPr>
          <w:sz w:val="17"/>
          <w:szCs w:val="17"/>
        </w:rPr>
        <w:t>YouGov for Stiftinga Miljømerking, 2018.</w:t>
      </w:r>
    </w:p>
    <w:p w:rsidR="00D30C4D" w:rsidRDefault="00D30C4D">
      <w:pPr>
        <w:pStyle w:val="Fotnotetekst"/>
      </w:pPr>
    </w:p>
  </w:footnote>
  <w:footnote w:id="95">
    <w:p w:rsidR="00D30C4D" w:rsidRDefault="00B964E1">
      <w:pPr>
        <w:pStyle w:val="Fotnotetekst"/>
        <w:rPr>
          <w:sz w:val="17"/>
          <w:szCs w:val="17"/>
        </w:rPr>
      </w:pPr>
      <w:r>
        <w:rPr>
          <w:vertAlign w:val="superscript"/>
        </w:rPr>
        <w:footnoteRef/>
      </w:r>
      <w:r>
        <w:rPr>
          <w:sz w:val="17"/>
          <w:szCs w:val="17"/>
        </w:rPr>
        <w:t xml:space="preserve">Helsedirektoratet, </w:t>
      </w:r>
      <w:r>
        <w:rPr>
          <w:rStyle w:val="kursiv"/>
          <w:sz w:val="17"/>
          <w:szCs w:val="17"/>
        </w:rPr>
        <w:t>Bærekraftig kosthold – vurdering av de norske kostrådene i et bærekraftsperspektiv</w:t>
      </w:r>
      <w:r>
        <w:rPr>
          <w:sz w:val="17"/>
          <w:szCs w:val="17"/>
        </w:rPr>
        <w:t>, 2017.</w:t>
      </w:r>
    </w:p>
    <w:p w:rsidR="00D30C4D" w:rsidRDefault="00D30C4D">
      <w:pPr>
        <w:pStyle w:val="Fotnotetekst"/>
      </w:pPr>
    </w:p>
  </w:footnote>
  <w:footnote w:id="96">
    <w:p w:rsidR="00D30C4D" w:rsidRDefault="00B964E1">
      <w:pPr>
        <w:pStyle w:val="Fotnotetekst"/>
        <w:rPr>
          <w:sz w:val="17"/>
          <w:szCs w:val="17"/>
        </w:rPr>
      </w:pPr>
      <w:r>
        <w:rPr>
          <w:vertAlign w:val="superscript"/>
        </w:rPr>
        <w:footnoteRef/>
      </w:r>
      <w:r>
        <w:rPr>
          <w:sz w:val="17"/>
          <w:szCs w:val="17"/>
        </w:rPr>
        <w:t xml:space="preserve">Meld. St. 11 (2016–2017) </w:t>
      </w:r>
      <w:r>
        <w:rPr>
          <w:rStyle w:val="kursiv"/>
          <w:sz w:val="17"/>
          <w:szCs w:val="17"/>
        </w:rPr>
        <w:t>Endring og utvikling – En fremtidsrettet jordbruksproduksjon.</w:t>
      </w:r>
    </w:p>
    <w:p w:rsidR="00D30C4D" w:rsidRDefault="00D30C4D">
      <w:pPr>
        <w:pStyle w:val="Fotnotetekst"/>
      </w:pPr>
    </w:p>
  </w:footnote>
  <w:footnote w:id="97">
    <w:p w:rsidR="00D30C4D" w:rsidRDefault="00B964E1">
      <w:pPr>
        <w:pStyle w:val="Fotnotetekst"/>
        <w:rPr>
          <w:sz w:val="17"/>
          <w:szCs w:val="17"/>
        </w:rPr>
      </w:pPr>
      <w:r>
        <w:rPr>
          <w:vertAlign w:val="superscript"/>
        </w:rPr>
        <w:footnoteRef/>
      </w:r>
      <w:r>
        <w:rPr>
          <w:sz w:val="17"/>
          <w:szCs w:val="17"/>
        </w:rPr>
        <w:t>Klima- og miljødepartementet, Barne- og familiedepartementet, Helse- og omsorgsdepartementet, Landbruks- og matd</w:t>
      </w:r>
      <w:r>
        <w:rPr>
          <w:sz w:val="17"/>
          <w:szCs w:val="17"/>
        </w:rPr>
        <w:t>e</w:t>
      </w:r>
      <w:r>
        <w:rPr>
          <w:sz w:val="17"/>
          <w:szCs w:val="17"/>
        </w:rPr>
        <w:t>partementet, og Nærings- og fiskeridepartementet.</w:t>
      </w:r>
    </w:p>
    <w:p w:rsidR="00D30C4D" w:rsidRDefault="00D30C4D">
      <w:pPr>
        <w:pStyle w:val="Fotnotetekst"/>
      </w:pPr>
    </w:p>
  </w:footnote>
  <w:footnote w:id="98">
    <w:p w:rsidR="00D30C4D" w:rsidRDefault="00B964E1">
      <w:pPr>
        <w:pStyle w:val="Fotnotetekst"/>
        <w:rPr>
          <w:sz w:val="17"/>
          <w:szCs w:val="17"/>
        </w:rPr>
      </w:pPr>
      <w:r>
        <w:rPr>
          <w:vertAlign w:val="superscript"/>
        </w:rPr>
        <w:footnoteRef/>
      </w:r>
      <w:r>
        <w:rPr>
          <w:sz w:val="17"/>
          <w:szCs w:val="17"/>
        </w:rPr>
        <w:t>Dagligvarehandelens Miljøforum, Dagligvareleverandørenes forening, NHO Mat og Drikke, NHO Reiseliv, NHO Service, Norges Bondelag, Norges Fiskarlag, Norsk Bonde- og Småbrukarlag, Norske Sjømatbedrifters Landsforening, Næringslivets Hovedorganisasjon, Sjømat Norge og Virke.</w:t>
      </w:r>
    </w:p>
    <w:p w:rsidR="00D30C4D" w:rsidRDefault="00D30C4D">
      <w:pPr>
        <w:pStyle w:val="Fotnotetekst"/>
      </w:pPr>
    </w:p>
  </w:footnote>
  <w:footnote w:id="99">
    <w:p w:rsidR="00D30C4D" w:rsidRDefault="00B964E1">
      <w:pPr>
        <w:pStyle w:val="Fotnotetekst"/>
        <w:rPr>
          <w:sz w:val="17"/>
          <w:szCs w:val="17"/>
        </w:rPr>
      </w:pPr>
      <w:r>
        <w:rPr>
          <w:vertAlign w:val="superscript"/>
        </w:rPr>
        <w:footnoteRef/>
      </w:r>
      <w:r>
        <w:rPr>
          <w:sz w:val="17"/>
          <w:szCs w:val="17"/>
        </w:rPr>
        <w:t xml:space="preserve">Regjeringen.no og Østfoldforskning, </w:t>
      </w:r>
      <w:r>
        <w:rPr>
          <w:rStyle w:val="kursiv"/>
          <w:sz w:val="17"/>
          <w:szCs w:val="17"/>
        </w:rPr>
        <w:t>Matsvinn i Norge, rapportering av nøkkeltall 2015–2017</w:t>
      </w:r>
      <w:r>
        <w:rPr>
          <w:sz w:val="17"/>
          <w:szCs w:val="17"/>
        </w:rPr>
        <w:t>, 2018.</w:t>
      </w:r>
    </w:p>
    <w:p w:rsidR="00D30C4D" w:rsidRDefault="00D30C4D">
      <w:pPr>
        <w:pStyle w:val="Fotnotetekst"/>
      </w:pPr>
    </w:p>
  </w:footnote>
  <w:footnote w:id="100">
    <w:p w:rsidR="00D30C4D" w:rsidRDefault="00B964E1">
      <w:pPr>
        <w:pStyle w:val="Fotnotetekst"/>
        <w:rPr>
          <w:sz w:val="17"/>
          <w:szCs w:val="17"/>
        </w:rPr>
      </w:pPr>
      <w:r>
        <w:rPr>
          <w:vertAlign w:val="superscript"/>
        </w:rPr>
        <w:footnoteRef/>
      </w:r>
      <w:r>
        <w:rPr>
          <w:sz w:val="17"/>
          <w:szCs w:val="17"/>
        </w:rPr>
        <w:t>Meld. St. 45 (2016–2017), Innst. 127 S (2017–2018), Vedtak 489.</w:t>
      </w:r>
    </w:p>
    <w:p w:rsidR="00D30C4D" w:rsidRDefault="00D30C4D">
      <w:pPr>
        <w:pStyle w:val="Fotnotetekst"/>
      </w:pPr>
    </w:p>
  </w:footnote>
  <w:footnote w:id="101">
    <w:p w:rsidR="00D30C4D" w:rsidRDefault="00B964E1">
      <w:pPr>
        <w:pStyle w:val="Fotnotetekst"/>
        <w:rPr>
          <w:sz w:val="17"/>
          <w:szCs w:val="17"/>
        </w:rPr>
      </w:pPr>
      <w:r>
        <w:rPr>
          <w:vertAlign w:val="superscript"/>
        </w:rPr>
        <w:footnoteRef/>
      </w:r>
      <w:r>
        <w:rPr>
          <w:sz w:val="17"/>
          <w:szCs w:val="17"/>
        </w:rPr>
        <w:t xml:space="preserve">Sjå samanlikningar for 2016 i Oslo Economics og Oeconomica, </w:t>
      </w:r>
      <w:r>
        <w:rPr>
          <w:rStyle w:val="kursiv"/>
          <w:sz w:val="17"/>
          <w:szCs w:val="17"/>
        </w:rPr>
        <w:t>Etableringshindringer i dagligvaresektoren</w:t>
      </w:r>
      <w:r>
        <w:rPr>
          <w:sz w:val="17"/>
          <w:szCs w:val="17"/>
        </w:rPr>
        <w:t>, 2017.</w:t>
      </w:r>
    </w:p>
    <w:p w:rsidR="00D30C4D" w:rsidRDefault="00D30C4D">
      <w:pPr>
        <w:pStyle w:val="Fotnotetekst"/>
      </w:pPr>
    </w:p>
  </w:footnote>
  <w:footnote w:id="102">
    <w:p w:rsidR="00D30C4D" w:rsidRDefault="00B964E1">
      <w:pPr>
        <w:pStyle w:val="Fotnotetekst"/>
        <w:rPr>
          <w:sz w:val="17"/>
          <w:szCs w:val="17"/>
        </w:rPr>
      </w:pPr>
      <w:r>
        <w:rPr>
          <w:vertAlign w:val="superscript"/>
        </w:rPr>
        <w:footnoteRef/>
      </w:r>
      <w:r>
        <w:rPr>
          <w:sz w:val="17"/>
          <w:szCs w:val="17"/>
        </w:rPr>
        <w:t xml:space="preserve">Meld. St. 9 (2018–2019) </w:t>
      </w:r>
      <w:r>
        <w:rPr>
          <w:rStyle w:val="kursiv"/>
          <w:sz w:val="17"/>
          <w:szCs w:val="17"/>
        </w:rPr>
        <w:t>Handelsnæringen – når kunden alltid har nett.</w:t>
      </w:r>
    </w:p>
    <w:p w:rsidR="00D30C4D" w:rsidRDefault="00D30C4D">
      <w:pPr>
        <w:pStyle w:val="Fotnotetekst"/>
      </w:pPr>
    </w:p>
  </w:footnote>
  <w:footnote w:id="103">
    <w:p w:rsidR="00D30C4D" w:rsidRDefault="00B964E1">
      <w:pPr>
        <w:pStyle w:val="Fotnotetekst"/>
        <w:rPr>
          <w:sz w:val="17"/>
          <w:szCs w:val="17"/>
        </w:rPr>
      </w:pPr>
      <w:r>
        <w:rPr>
          <w:vertAlign w:val="superscript"/>
        </w:rPr>
        <w:footnoteRef/>
      </w:r>
      <w:r>
        <w:rPr>
          <w:sz w:val="17"/>
          <w:szCs w:val="17"/>
        </w:rPr>
        <w:t xml:space="preserve">SIFO, </w:t>
      </w:r>
      <w:r>
        <w:rPr>
          <w:rStyle w:val="kursiv"/>
          <w:sz w:val="17"/>
          <w:szCs w:val="17"/>
        </w:rPr>
        <w:t>Når stordata blir big business</w:t>
      </w:r>
      <w:r>
        <w:rPr>
          <w:sz w:val="17"/>
          <w:szCs w:val="17"/>
        </w:rPr>
        <w:t>, 2017.</w:t>
      </w:r>
    </w:p>
    <w:p w:rsidR="00D30C4D" w:rsidRDefault="00D30C4D">
      <w:pPr>
        <w:pStyle w:val="Fotnotetekst"/>
      </w:pPr>
    </w:p>
  </w:footnote>
  <w:footnote w:id="104">
    <w:p w:rsidR="00D30C4D" w:rsidRDefault="00B964E1">
      <w:pPr>
        <w:pStyle w:val="Fotnotetekst"/>
        <w:rPr>
          <w:sz w:val="17"/>
          <w:szCs w:val="17"/>
        </w:rPr>
      </w:pPr>
      <w:r>
        <w:rPr>
          <w:vertAlign w:val="superscript"/>
        </w:rPr>
        <w:footnoteRef/>
      </w:r>
      <w:r>
        <w:rPr>
          <w:sz w:val="17"/>
          <w:szCs w:val="17"/>
        </w:rPr>
        <w:t xml:space="preserve">Mattryggleik i delingsøkonomien blei omtalt i NOU 2017: 4 </w:t>
      </w:r>
      <w:r>
        <w:rPr>
          <w:rStyle w:val="kursiv"/>
          <w:sz w:val="17"/>
          <w:szCs w:val="17"/>
        </w:rPr>
        <w:t>Delingsøkonomien – muligheter og utfordringer</w:t>
      </w:r>
      <w:r>
        <w:rPr>
          <w:sz w:val="17"/>
          <w:szCs w:val="17"/>
        </w:rPr>
        <w:t>.</w:t>
      </w:r>
    </w:p>
    <w:p w:rsidR="00D30C4D" w:rsidRDefault="00D30C4D">
      <w:pPr>
        <w:pStyle w:val="Fotnotetekst"/>
      </w:pPr>
    </w:p>
  </w:footnote>
  <w:footnote w:id="105">
    <w:p w:rsidR="00D30C4D" w:rsidRDefault="00B964E1">
      <w:pPr>
        <w:pStyle w:val="Fotnotetekst"/>
        <w:rPr>
          <w:sz w:val="17"/>
          <w:szCs w:val="17"/>
        </w:rPr>
      </w:pPr>
      <w:r>
        <w:rPr>
          <w:vertAlign w:val="superscript"/>
        </w:rPr>
        <w:footnoteRef/>
      </w:r>
      <w:r>
        <w:rPr>
          <w:sz w:val="17"/>
          <w:szCs w:val="17"/>
        </w:rPr>
        <w:t>Sjå også kapittel 13 om berekraftig forbruk.</w:t>
      </w:r>
    </w:p>
    <w:p w:rsidR="00D30C4D" w:rsidRDefault="00D30C4D">
      <w:pPr>
        <w:pStyle w:val="Fotnotetekst"/>
      </w:pPr>
    </w:p>
  </w:footnote>
  <w:footnote w:id="106">
    <w:p w:rsidR="00D30C4D" w:rsidRDefault="00B964E1">
      <w:pPr>
        <w:pStyle w:val="Fotnotetekst"/>
        <w:rPr>
          <w:sz w:val="17"/>
          <w:szCs w:val="17"/>
        </w:rPr>
      </w:pPr>
      <w:r>
        <w:rPr>
          <w:vertAlign w:val="superscript"/>
        </w:rPr>
        <w:footnoteRef/>
      </w:r>
      <w:r>
        <w:rPr>
          <w:rStyle w:val="kursiv"/>
          <w:sz w:val="17"/>
          <w:szCs w:val="17"/>
        </w:rPr>
        <w:t>Nasjonal handlingsplan for bedre kosthold (2017–2021)</w:t>
      </w:r>
      <w:r>
        <w:rPr>
          <w:sz w:val="17"/>
          <w:szCs w:val="17"/>
        </w:rPr>
        <w:t xml:space="preserve"> </w:t>
      </w:r>
      <w:r>
        <w:rPr>
          <w:rStyle w:val="kursiv"/>
          <w:sz w:val="17"/>
          <w:szCs w:val="17"/>
        </w:rPr>
        <w:t>Sunt kosthold, måltidsglede og god helse for alle</w:t>
      </w:r>
      <w:r>
        <w:rPr>
          <w:sz w:val="17"/>
          <w:szCs w:val="17"/>
        </w:rPr>
        <w:t>.</w:t>
      </w:r>
    </w:p>
    <w:p w:rsidR="00D30C4D" w:rsidRDefault="00D30C4D">
      <w:pPr>
        <w:pStyle w:val="Fotnotetekst"/>
      </w:pPr>
    </w:p>
  </w:footnote>
  <w:footnote w:id="107">
    <w:p w:rsidR="00D30C4D" w:rsidRDefault="00B964E1">
      <w:pPr>
        <w:pStyle w:val="Fotnotetekst"/>
        <w:rPr>
          <w:sz w:val="17"/>
          <w:szCs w:val="17"/>
        </w:rPr>
      </w:pPr>
      <w:r>
        <w:rPr>
          <w:vertAlign w:val="superscript"/>
        </w:rPr>
        <w:footnoteRef/>
      </w:r>
      <w:r>
        <w:rPr>
          <w:sz w:val="17"/>
          <w:szCs w:val="17"/>
        </w:rPr>
        <w:t xml:space="preserve">Ibid, </w:t>
      </w:r>
      <w:r>
        <w:rPr>
          <w:rStyle w:val="kursiv"/>
          <w:sz w:val="17"/>
          <w:szCs w:val="17"/>
        </w:rPr>
        <w:t>Global burden of disease</w:t>
      </w:r>
      <w:r>
        <w:rPr>
          <w:sz w:val="17"/>
          <w:szCs w:val="17"/>
        </w:rPr>
        <w:t>, 2013</w:t>
      </w:r>
    </w:p>
    <w:p w:rsidR="00D30C4D" w:rsidRDefault="00B964E1">
      <w:pPr>
        <w:pStyle w:val="Fotnotetekst"/>
      </w:pPr>
      <w:r>
        <w:rPr>
          <w:sz w:val="17"/>
          <w:szCs w:val="17"/>
        </w:rPr>
        <w:t>.</w:t>
      </w:r>
    </w:p>
  </w:footnote>
  <w:footnote w:id="108">
    <w:p w:rsidR="00D30C4D" w:rsidRDefault="00B964E1">
      <w:pPr>
        <w:pStyle w:val="Fotnotetekst"/>
        <w:rPr>
          <w:sz w:val="17"/>
          <w:szCs w:val="17"/>
        </w:rPr>
      </w:pPr>
      <w:r>
        <w:rPr>
          <w:vertAlign w:val="superscript"/>
        </w:rPr>
        <w:footnoteRef/>
      </w:r>
      <w:r>
        <w:rPr>
          <w:sz w:val="17"/>
          <w:szCs w:val="17"/>
        </w:rPr>
        <w:t>Næringslivsgruppa omfattar Helse- og omsorgsdepartementet, næringsorganisasjonar, mat- og drikkevareprodusentar og daglegvarehandelen.</w:t>
      </w:r>
    </w:p>
    <w:p w:rsidR="00D30C4D" w:rsidRDefault="00D30C4D">
      <w:pPr>
        <w:pStyle w:val="Fotnotetekst"/>
      </w:pPr>
    </w:p>
  </w:footnote>
  <w:footnote w:id="109">
    <w:p w:rsidR="00D30C4D" w:rsidRDefault="00B964E1">
      <w:pPr>
        <w:pStyle w:val="Fotnotetekst"/>
        <w:rPr>
          <w:sz w:val="17"/>
          <w:szCs w:val="17"/>
        </w:rPr>
      </w:pPr>
      <w:r>
        <w:rPr>
          <w:vertAlign w:val="superscript"/>
        </w:rPr>
        <w:footnoteRef/>
      </w:r>
      <w:r>
        <w:rPr>
          <w:sz w:val="17"/>
          <w:szCs w:val="17"/>
        </w:rPr>
        <w:t xml:space="preserve">SIFO, </w:t>
      </w:r>
      <w:r>
        <w:rPr>
          <w:rStyle w:val="kursiv"/>
          <w:sz w:val="17"/>
          <w:szCs w:val="17"/>
        </w:rPr>
        <w:t>Mat, måltid og moral – hvordan spise rett og riktig</w:t>
      </w:r>
      <w:r>
        <w:rPr>
          <w:sz w:val="17"/>
          <w:szCs w:val="17"/>
        </w:rPr>
        <w:t>, 2015.</w:t>
      </w:r>
    </w:p>
    <w:p w:rsidR="00D30C4D" w:rsidRDefault="00D30C4D">
      <w:pPr>
        <w:pStyle w:val="Fotnotetekst"/>
      </w:pPr>
    </w:p>
  </w:footnote>
  <w:footnote w:id="110">
    <w:p w:rsidR="00D30C4D" w:rsidRDefault="00B964E1">
      <w:pPr>
        <w:pStyle w:val="Fotnotetekst"/>
        <w:rPr>
          <w:sz w:val="17"/>
          <w:szCs w:val="17"/>
        </w:rPr>
      </w:pPr>
      <w:r>
        <w:rPr>
          <w:vertAlign w:val="superscript"/>
        </w:rPr>
        <w:footnoteRef/>
      </w:r>
      <w:r>
        <w:rPr>
          <w:sz w:val="17"/>
          <w:szCs w:val="17"/>
        </w:rPr>
        <w:t>Matvett.no</w:t>
      </w:r>
    </w:p>
    <w:p w:rsidR="00D30C4D" w:rsidRDefault="00D30C4D">
      <w:pPr>
        <w:pStyle w:val="Fotnotetekst"/>
      </w:pPr>
    </w:p>
  </w:footnote>
  <w:footnote w:id="111">
    <w:p w:rsidR="00D30C4D" w:rsidRDefault="00B964E1">
      <w:pPr>
        <w:pStyle w:val="Fotnotetekst"/>
        <w:rPr>
          <w:sz w:val="17"/>
          <w:szCs w:val="17"/>
        </w:rPr>
      </w:pPr>
      <w:r>
        <w:rPr>
          <w:vertAlign w:val="superscript"/>
        </w:rPr>
        <w:footnoteRef/>
      </w:r>
      <w:r>
        <w:rPr>
          <w:sz w:val="17"/>
          <w:szCs w:val="17"/>
        </w:rPr>
        <w:t xml:space="preserve">SIFO, </w:t>
      </w:r>
      <w:r>
        <w:rPr>
          <w:rStyle w:val="kursiv"/>
          <w:sz w:val="17"/>
          <w:szCs w:val="17"/>
        </w:rPr>
        <w:t>Spise eller kaste? Om hvordan forbrukerne gjør vurderinger av matens spiselighet, og betydningen av holdbarhe</w:t>
      </w:r>
      <w:r>
        <w:rPr>
          <w:rStyle w:val="kursiv"/>
          <w:sz w:val="17"/>
          <w:szCs w:val="17"/>
        </w:rPr>
        <w:t>t</w:t>
      </w:r>
      <w:r>
        <w:rPr>
          <w:rStyle w:val="kursiv"/>
          <w:sz w:val="17"/>
          <w:szCs w:val="17"/>
        </w:rPr>
        <w:t>smerking for matsvinnet i norske husholdninger</w:t>
      </w:r>
      <w:r>
        <w:rPr>
          <w:sz w:val="17"/>
          <w:szCs w:val="17"/>
        </w:rPr>
        <w:t>, 2018.</w:t>
      </w:r>
    </w:p>
    <w:p w:rsidR="00D30C4D" w:rsidRDefault="00D30C4D">
      <w:pPr>
        <w:pStyle w:val="Fotnotetekst"/>
      </w:pPr>
    </w:p>
  </w:footnote>
  <w:footnote w:id="112">
    <w:p w:rsidR="00D30C4D" w:rsidRDefault="00B964E1">
      <w:pPr>
        <w:pStyle w:val="Fotnotetekst"/>
        <w:rPr>
          <w:sz w:val="17"/>
          <w:szCs w:val="17"/>
        </w:rPr>
      </w:pPr>
      <w:r>
        <w:rPr>
          <w:vertAlign w:val="superscript"/>
        </w:rPr>
        <w:footnoteRef/>
      </w:r>
      <w:r>
        <w:rPr>
          <w:sz w:val="17"/>
          <w:szCs w:val="17"/>
        </w:rPr>
        <w:t xml:space="preserve">SIFO, </w:t>
      </w:r>
      <w:r>
        <w:rPr>
          <w:rStyle w:val="kursiv"/>
          <w:sz w:val="17"/>
          <w:szCs w:val="17"/>
        </w:rPr>
        <w:t>Seleksjon og ignorering – Forbrukerstrategier for å manøvrere i merkemangfoldet</w:t>
      </w:r>
      <w:r>
        <w:rPr>
          <w:sz w:val="17"/>
          <w:szCs w:val="17"/>
        </w:rPr>
        <w:t>, 2011.</w:t>
      </w:r>
    </w:p>
    <w:p w:rsidR="00D30C4D" w:rsidRDefault="00D30C4D">
      <w:pPr>
        <w:pStyle w:val="Fotnotetekst"/>
      </w:pPr>
    </w:p>
  </w:footnote>
  <w:footnote w:id="113">
    <w:p w:rsidR="00D30C4D" w:rsidRDefault="00B964E1">
      <w:pPr>
        <w:pStyle w:val="Fotnotetekst"/>
        <w:rPr>
          <w:sz w:val="17"/>
          <w:szCs w:val="17"/>
        </w:rPr>
      </w:pPr>
      <w:r>
        <w:rPr>
          <w:vertAlign w:val="superscript"/>
        </w:rPr>
        <w:footnoteRef/>
      </w:r>
      <w:r>
        <w:rPr>
          <w:sz w:val="17"/>
          <w:szCs w:val="17"/>
        </w:rPr>
        <w:t>Marknadsføring overfor barn og unge er omtalt også i kapittel 7.</w:t>
      </w:r>
    </w:p>
    <w:p w:rsidR="00D30C4D" w:rsidRDefault="00D30C4D">
      <w:pPr>
        <w:pStyle w:val="Fotnotetekst"/>
      </w:pPr>
    </w:p>
  </w:footnote>
  <w:footnote w:id="114">
    <w:p w:rsidR="00D30C4D" w:rsidRDefault="00B964E1">
      <w:pPr>
        <w:pStyle w:val="Fotnotetekst"/>
        <w:rPr>
          <w:sz w:val="17"/>
          <w:szCs w:val="17"/>
        </w:rPr>
      </w:pPr>
      <w:r>
        <w:rPr>
          <w:vertAlign w:val="superscript"/>
        </w:rPr>
        <w:footnoteRef/>
      </w:r>
      <w:r>
        <w:rPr>
          <w:sz w:val="17"/>
          <w:szCs w:val="17"/>
        </w:rPr>
        <w:t xml:space="preserve">Samfunnsøkonomisk Analyse AS, </w:t>
      </w:r>
      <w:r>
        <w:rPr>
          <w:rStyle w:val="kursiv"/>
          <w:sz w:val="17"/>
          <w:szCs w:val="17"/>
        </w:rPr>
        <w:t>Rapport 69-2017. Analyse av former, omfang og utvikling av arbeidslivskriminalitet</w:t>
      </w:r>
      <w:r>
        <w:rPr>
          <w:sz w:val="17"/>
          <w:szCs w:val="17"/>
        </w:rPr>
        <w:t>, 2017.</w:t>
      </w:r>
    </w:p>
    <w:p w:rsidR="00D30C4D" w:rsidRDefault="00D30C4D">
      <w:pPr>
        <w:pStyle w:val="Fotnotetekst"/>
      </w:pPr>
    </w:p>
  </w:footnote>
  <w:footnote w:id="115">
    <w:p w:rsidR="00D30C4D" w:rsidRDefault="00B964E1">
      <w:pPr>
        <w:pStyle w:val="Fotnotetekst"/>
        <w:rPr>
          <w:sz w:val="17"/>
          <w:szCs w:val="17"/>
        </w:rPr>
      </w:pPr>
      <w:r>
        <w:rPr>
          <w:vertAlign w:val="superscript"/>
        </w:rPr>
        <w:footnoteRef/>
      </w:r>
      <w:r>
        <w:rPr>
          <w:sz w:val="17"/>
          <w:szCs w:val="17"/>
        </w:rPr>
        <w:t xml:space="preserve">Arbeidsgruppe oppnemnt av Arbeidstilsynet, NAV, Politidirektoratet og Skatteetaten. </w:t>
      </w:r>
      <w:r>
        <w:rPr>
          <w:rStyle w:val="kursiv"/>
          <w:sz w:val="17"/>
          <w:szCs w:val="17"/>
        </w:rPr>
        <w:t>Arbeidslivskriminalitet: Mål- og resultatstyring for det tverretalige a-krimsamarbeidet</w:t>
      </w:r>
      <w:r>
        <w:rPr>
          <w:sz w:val="17"/>
          <w:szCs w:val="17"/>
        </w:rPr>
        <w:t>, 2018.</w:t>
      </w:r>
    </w:p>
    <w:p w:rsidR="00D30C4D" w:rsidRDefault="00D30C4D">
      <w:pPr>
        <w:pStyle w:val="Fotnotetekst"/>
      </w:pPr>
    </w:p>
  </w:footnote>
  <w:footnote w:id="116">
    <w:p w:rsidR="00D30C4D" w:rsidRDefault="00B964E1">
      <w:pPr>
        <w:pStyle w:val="Fotnotetekst"/>
        <w:rPr>
          <w:sz w:val="17"/>
          <w:szCs w:val="17"/>
        </w:rPr>
      </w:pPr>
      <w:r>
        <w:rPr>
          <w:vertAlign w:val="superscript"/>
        </w:rPr>
        <w:footnoteRef/>
      </w:r>
      <w:r>
        <w:rPr>
          <w:sz w:val="17"/>
          <w:szCs w:val="17"/>
        </w:rPr>
        <w:t>https</w:t>
      </w:r>
      <w:proofErr w:type="gramStart"/>
      <w:r>
        <w:rPr>
          <w:sz w:val="17"/>
          <w:szCs w:val="17"/>
        </w:rPr>
        <w:t>://</w:t>
      </w:r>
      <w:proofErr w:type="gramEnd"/>
      <w:r>
        <w:rPr>
          <w:sz w:val="17"/>
          <w:szCs w:val="17"/>
        </w:rPr>
        <w:t>www.regjeringen.no/no/dokumenter/strategi-mot-arbeidslivskriminalitet-2019/id2628152/</w:t>
      </w:r>
    </w:p>
    <w:p w:rsidR="00D30C4D" w:rsidRDefault="00D30C4D">
      <w:pPr>
        <w:pStyle w:val="Fotnotetekst"/>
      </w:pPr>
    </w:p>
  </w:footnote>
  <w:footnote w:id="117">
    <w:p w:rsidR="00D30C4D" w:rsidRDefault="00B964E1">
      <w:pPr>
        <w:pStyle w:val="Fotnotetekst"/>
        <w:rPr>
          <w:sz w:val="17"/>
          <w:szCs w:val="17"/>
        </w:rPr>
      </w:pPr>
      <w:r>
        <w:rPr>
          <w:vertAlign w:val="superscript"/>
        </w:rPr>
        <w:footnoteRef/>
      </w:r>
      <w:r>
        <w:rPr>
          <w:sz w:val="17"/>
          <w:szCs w:val="17"/>
        </w:rPr>
        <w:t xml:space="preserve">Opinion, </w:t>
      </w:r>
      <w:r>
        <w:rPr>
          <w:rStyle w:val="kursiv"/>
          <w:sz w:val="17"/>
          <w:szCs w:val="17"/>
        </w:rPr>
        <w:t>Undersøkelse om svart arbeid</w:t>
      </w:r>
      <w:r>
        <w:rPr>
          <w:sz w:val="17"/>
          <w:szCs w:val="17"/>
        </w:rPr>
        <w:t>, 2018.</w:t>
      </w:r>
    </w:p>
    <w:p w:rsidR="00D30C4D" w:rsidRDefault="00D30C4D">
      <w:pPr>
        <w:pStyle w:val="Fotnotetekst"/>
      </w:pPr>
    </w:p>
  </w:footnote>
  <w:footnote w:id="118">
    <w:p w:rsidR="00D30C4D" w:rsidRDefault="00B964E1">
      <w:pPr>
        <w:pStyle w:val="Fotnotetekst"/>
        <w:rPr>
          <w:sz w:val="17"/>
          <w:szCs w:val="17"/>
        </w:rPr>
      </w:pPr>
      <w:r>
        <w:rPr>
          <w:vertAlign w:val="superscript"/>
        </w:rPr>
        <w:footnoteRef/>
      </w:r>
      <w:r>
        <w:rPr>
          <w:sz w:val="17"/>
          <w:szCs w:val="17"/>
        </w:rPr>
        <w:t xml:space="preserve">Skatteetaten, </w:t>
      </w:r>
      <w:r>
        <w:rPr>
          <w:rStyle w:val="kursiv"/>
          <w:sz w:val="17"/>
          <w:szCs w:val="17"/>
        </w:rPr>
        <w:t>Undersøkelse om etterlevelse, rapportering og oppdagelsesrisiko</w:t>
      </w:r>
      <w:r>
        <w:rPr>
          <w:sz w:val="17"/>
          <w:szCs w:val="17"/>
        </w:rPr>
        <w:t>, 2017.</w:t>
      </w:r>
    </w:p>
    <w:p w:rsidR="00D30C4D" w:rsidRDefault="00D30C4D">
      <w:pPr>
        <w:pStyle w:val="Fotnotetekst"/>
      </w:pPr>
    </w:p>
  </w:footnote>
  <w:footnote w:id="119">
    <w:p w:rsidR="00D30C4D" w:rsidRDefault="00B964E1">
      <w:pPr>
        <w:pStyle w:val="Fotnotetekst"/>
        <w:rPr>
          <w:sz w:val="17"/>
          <w:szCs w:val="17"/>
        </w:rPr>
      </w:pPr>
      <w:r>
        <w:rPr>
          <w:vertAlign w:val="superscript"/>
        </w:rPr>
        <w:footnoteRef/>
      </w:r>
      <w:r>
        <w:rPr>
          <w:sz w:val="17"/>
          <w:szCs w:val="17"/>
        </w:rPr>
        <w:t xml:space="preserve">Opinion, </w:t>
      </w:r>
      <w:r>
        <w:rPr>
          <w:rStyle w:val="kursiv"/>
          <w:sz w:val="17"/>
          <w:szCs w:val="17"/>
        </w:rPr>
        <w:t>Undersøkelse om svart arbeid</w:t>
      </w:r>
      <w:r>
        <w:rPr>
          <w:sz w:val="17"/>
          <w:szCs w:val="17"/>
        </w:rPr>
        <w:t>, 2018.</w:t>
      </w:r>
    </w:p>
    <w:p w:rsidR="00D30C4D" w:rsidRDefault="00D30C4D">
      <w:pPr>
        <w:pStyle w:val="Fotnotetekst"/>
      </w:pPr>
    </w:p>
  </w:footnote>
  <w:footnote w:id="120">
    <w:p w:rsidR="00D30C4D" w:rsidRDefault="00B964E1">
      <w:pPr>
        <w:pStyle w:val="Fotnotetekst"/>
        <w:rPr>
          <w:sz w:val="17"/>
          <w:szCs w:val="17"/>
        </w:rPr>
      </w:pPr>
      <w:r>
        <w:rPr>
          <w:vertAlign w:val="superscript"/>
        </w:rPr>
        <w:footnoteRef/>
      </w:r>
      <w:r>
        <w:rPr>
          <w:sz w:val="17"/>
          <w:szCs w:val="17"/>
        </w:rPr>
        <w:t xml:space="preserve">Fafo, </w:t>
      </w:r>
      <w:r>
        <w:rPr>
          <w:rStyle w:val="kursiv"/>
          <w:sz w:val="17"/>
          <w:szCs w:val="17"/>
        </w:rPr>
        <w:t>Privatmarkedet i byggenæringen</w:t>
      </w:r>
      <w:r>
        <w:rPr>
          <w:sz w:val="17"/>
          <w:szCs w:val="17"/>
        </w:rPr>
        <w:t>, 2014:14.</w:t>
      </w:r>
    </w:p>
    <w:p w:rsidR="00D30C4D" w:rsidRDefault="00D30C4D">
      <w:pPr>
        <w:pStyle w:val="Fotnotetekst"/>
      </w:pPr>
    </w:p>
  </w:footnote>
  <w:footnote w:id="121">
    <w:p w:rsidR="00D30C4D" w:rsidRDefault="00B964E1">
      <w:pPr>
        <w:pStyle w:val="Fotnotetekst"/>
        <w:rPr>
          <w:sz w:val="17"/>
          <w:szCs w:val="17"/>
        </w:rPr>
      </w:pPr>
      <w:r>
        <w:rPr>
          <w:vertAlign w:val="superscript"/>
        </w:rPr>
        <w:footnoteRef/>
      </w:r>
      <w:r>
        <w:rPr>
          <w:sz w:val="17"/>
          <w:szCs w:val="17"/>
        </w:rPr>
        <w:t>Ibid.</w:t>
      </w:r>
    </w:p>
    <w:p w:rsidR="00D30C4D" w:rsidRDefault="00D30C4D">
      <w:pPr>
        <w:pStyle w:val="Fotnotetekst"/>
      </w:pPr>
    </w:p>
  </w:footnote>
  <w:footnote w:id="122">
    <w:p w:rsidR="00D30C4D" w:rsidRDefault="00B964E1">
      <w:pPr>
        <w:pStyle w:val="Fotnotetekst"/>
        <w:rPr>
          <w:sz w:val="17"/>
          <w:szCs w:val="17"/>
        </w:rPr>
      </w:pPr>
      <w:r>
        <w:rPr>
          <w:vertAlign w:val="superscript"/>
        </w:rPr>
        <w:footnoteRef/>
      </w:r>
      <w:r>
        <w:rPr>
          <w:sz w:val="17"/>
          <w:szCs w:val="17"/>
        </w:rPr>
        <w:t xml:space="preserve">Fafo, </w:t>
      </w:r>
      <w:r>
        <w:rPr>
          <w:rStyle w:val="kursiv"/>
          <w:sz w:val="17"/>
          <w:szCs w:val="17"/>
        </w:rPr>
        <w:t>Vi må ha is i magen og la tiltakene få virke. Evaluering av godkjenningsordningen i renhold</w:t>
      </w:r>
      <w:r>
        <w:rPr>
          <w:sz w:val="17"/>
          <w:szCs w:val="17"/>
        </w:rPr>
        <w:t xml:space="preserve">, 2016:8. </w:t>
      </w:r>
    </w:p>
    <w:p w:rsidR="00D30C4D" w:rsidRDefault="00D30C4D">
      <w:pPr>
        <w:pStyle w:val="Fotnotetekst"/>
      </w:pPr>
    </w:p>
  </w:footnote>
  <w:footnote w:id="123">
    <w:p w:rsidR="00D30C4D" w:rsidRDefault="00B964E1">
      <w:pPr>
        <w:pStyle w:val="Fotnotetekst"/>
        <w:rPr>
          <w:sz w:val="17"/>
          <w:szCs w:val="17"/>
        </w:rPr>
      </w:pPr>
      <w:r>
        <w:rPr>
          <w:vertAlign w:val="superscript"/>
        </w:rPr>
        <w:footnoteRef/>
      </w:r>
      <w:r>
        <w:rPr>
          <w:sz w:val="17"/>
          <w:szCs w:val="17"/>
        </w:rPr>
        <w:t xml:space="preserve">SINTEF Teknologi og samfunn, </w:t>
      </w:r>
      <w:r>
        <w:rPr>
          <w:rStyle w:val="kursiv"/>
          <w:sz w:val="17"/>
          <w:szCs w:val="17"/>
        </w:rPr>
        <w:t>Status og tiltak for bedre forhold i forbrukermarkedet for renhold</w:t>
      </w:r>
      <w:r>
        <w:rPr>
          <w:sz w:val="17"/>
          <w:szCs w:val="17"/>
        </w:rPr>
        <w:t>, 2017.</w:t>
      </w:r>
    </w:p>
    <w:p w:rsidR="00D30C4D" w:rsidRDefault="00D30C4D">
      <w:pPr>
        <w:pStyle w:val="Fotnotetekst"/>
      </w:pPr>
    </w:p>
  </w:footnote>
  <w:footnote w:id="124">
    <w:p w:rsidR="00D30C4D" w:rsidRDefault="00B964E1">
      <w:pPr>
        <w:pStyle w:val="Fotnotetekst"/>
        <w:rPr>
          <w:sz w:val="17"/>
          <w:szCs w:val="17"/>
        </w:rPr>
      </w:pPr>
      <w:r>
        <w:rPr>
          <w:vertAlign w:val="superscript"/>
        </w:rPr>
        <w:footnoteRef/>
      </w:r>
      <w:r>
        <w:rPr>
          <w:sz w:val="17"/>
          <w:szCs w:val="17"/>
        </w:rPr>
        <w:t xml:space="preserve">Arbeidstilsynet, NAV, Politiet og Skatteetaten, </w:t>
      </w:r>
      <w:r>
        <w:rPr>
          <w:rStyle w:val="kursiv"/>
          <w:sz w:val="17"/>
          <w:szCs w:val="17"/>
        </w:rPr>
        <w:t>Sammen mot kriminalitet i arbeidslivet. Felles årsrapport for styrket innsats mot arbeidslivskriminalitet</w:t>
      </w:r>
      <w:r>
        <w:rPr>
          <w:sz w:val="17"/>
          <w:szCs w:val="17"/>
        </w:rPr>
        <w:t>, 2017.</w:t>
      </w:r>
    </w:p>
    <w:p w:rsidR="00D30C4D" w:rsidRDefault="00D30C4D">
      <w:pPr>
        <w:pStyle w:val="Fotnote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05E56EE"/>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55B2B6A"/>
    <w:multiLevelType w:val="singleLevel"/>
    <w:tmpl w:val="36C6BC30"/>
    <w:lvl w:ilvl="0">
      <w:start w:val="1"/>
      <w:numFmt w:val="bullet"/>
      <w:pStyle w:val="Punktmerketliste5"/>
      <w:lvlText w:val=""/>
      <w:lvlJc w:val="left"/>
      <w:pPr>
        <w:tabs>
          <w:tab w:val="num" w:pos="1800"/>
        </w:tabs>
        <w:ind w:left="1746" w:hanging="306"/>
      </w:pPr>
      <w:rPr>
        <w:rFonts w:ascii="Symbol" w:hAnsi="Symbol" w:hint="default"/>
      </w:rPr>
    </w:lvl>
  </w:abstractNum>
  <w:abstractNum w:abstractNumId="4">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nsid w:val="188F628A"/>
    <w:multiLevelType w:val="singleLevel"/>
    <w:tmpl w:val="3B5230DE"/>
    <w:lvl w:ilvl="0">
      <w:start w:val="1"/>
      <w:numFmt w:val="bullet"/>
      <w:pStyle w:val="Punktmerketliste3"/>
      <w:lvlText w:val=""/>
      <w:lvlJc w:val="left"/>
      <w:pPr>
        <w:tabs>
          <w:tab w:val="num" w:pos="1080"/>
        </w:tabs>
        <w:ind w:left="1077" w:hanging="357"/>
      </w:pPr>
      <w:rPr>
        <w:rFonts w:ascii="Symbol" w:hAnsi="Symbol" w:hint="default"/>
      </w:rPr>
    </w:lvl>
  </w:abstractNum>
  <w:abstractNum w:abstractNumId="7">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8">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9A0207B"/>
    <w:multiLevelType w:val="singleLevel"/>
    <w:tmpl w:val="7B107872"/>
    <w:lvl w:ilvl="0">
      <w:start w:val="1"/>
      <w:numFmt w:val="bullet"/>
      <w:pStyle w:val="Punktmerketliste4"/>
      <w:lvlText w:val=""/>
      <w:lvlJc w:val="left"/>
      <w:pPr>
        <w:tabs>
          <w:tab w:val="num" w:pos="1440"/>
        </w:tabs>
        <w:ind w:left="1440" w:hanging="363"/>
      </w:pPr>
      <w:rPr>
        <w:rFonts w:ascii="Symbol" w:hAnsi="Symbol" w:hint="default"/>
      </w:rPr>
    </w:lvl>
  </w:abstractNum>
  <w:abstractNum w:abstractNumId="11">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3">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5">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6">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7">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9">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2">
    <w:nsid w:val="5FCC5E24"/>
    <w:multiLevelType w:val="singleLevel"/>
    <w:tmpl w:val="47A853AA"/>
    <w:lvl w:ilvl="0">
      <w:start w:val="1"/>
      <w:numFmt w:val="bullet"/>
      <w:pStyle w:val="Punktmerketliste"/>
      <w:lvlText w:val=""/>
      <w:lvlJc w:val="left"/>
      <w:pPr>
        <w:tabs>
          <w:tab w:val="num" w:pos="360"/>
        </w:tabs>
        <w:ind w:left="360" w:hanging="360"/>
      </w:pPr>
      <w:rPr>
        <w:rFonts w:ascii="Symbol" w:hAnsi="Symbol" w:hint="default"/>
      </w:rPr>
    </w:lvl>
  </w:abstractNum>
  <w:abstractNum w:abstractNumId="23">
    <w:nsid w:val="61E66E64"/>
    <w:multiLevelType w:val="multilevel"/>
    <w:tmpl w:val="CD340002"/>
    <w:numStyleLink w:val="OverskrifterListeStil"/>
  </w:abstractNum>
  <w:abstractNum w:abstractNumId="24">
    <w:nsid w:val="62A6542F"/>
    <w:multiLevelType w:val="multilevel"/>
    <w:tmpl w:val="EF66E114"/>
    <w:numStyleLink w:val="RomListeStil"/>
  </w:abstractNum>
  <w:abstractNum w:abstractNumId="25">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nsid w:val="714C4AD6"/>
    <w:multiLevelType w:val="singleLevel"/>
    <w:tmpl w:val="02EA33DC"/>
    <w:lvl w:ilvl="0">
      <w:start w:val="1"/>
      <w:numFmt w:val="bullet"/>
      <w:pStyle w:val="Punktmerketliste2"/>
      <w:lvlText w:val=""/>
      <w:lvlJc w:val="left"/>
      <w:pPr>
        <w:tabs>
          <w:tab w:val="num" w:pos="720"/>
        </w:tabs>
        <w:ind w:left="720" w:hanging="363"/>
      </w:pPr>
      <w:rPr>
        <w:rFonts w:ascii="Symbol" w:hAnsi="Symbol" w:hint="default"/>
      </w:rPr>
    </w:lvl>
  </w:abstractNum>
  <w:abstractNum w:abstractNumId="27">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 • "/>
        <w:legacy w:legacy="1" w:legacySpace="0" w:legacyIndent="0"/>
        <w:lvlJc w:val="left"/>
        <w:pPr>
          <w:ind w:left="0" w:firstLine="0"/>
        </w:pPr>
        <w:rPr>
          <w:rFonts w:ascii="UniMyriad Bold" w:hAnsi="UniMyriad Bold" w:hint="default"/>
          <w:b w:val="0"/>
          <w:i w:val="0"/>
          <w:strike w:val="0"/>
          <w:u w:val="none"/>
        </w:rPr>
      </w:lvl>
    </w:lvlOverride>
  </w:num>
  <w:num w:numId="2">
    <w:abstractNumId w:val="27"/>
  </w:num>
  <w:num w:numId="3">
    <w:abstractNumId w:val="22"/>
  </w:num>
  <w:num w:numId="4">
    <w:abstractNumId w:val="26"/>
  </w:num>
  <w:num w:numId="5">
    <w:abstractNumId w:val="6"/>
  </w:num>
  <w:num w:numId="6">
    <w:abstractNumId w:val="10"/>
  </w:num>
  <w:num w:numId="7">
    <w:abstractNumId w:val="3"/>
  </w:num>
  <w:num w:numId="8">
    <w:abstractNumId w:val="1"/>
  </w:num>
  <w:num w:numId="9">
    <w:abstractNumId w:val="14"/>
  </w:num>
  <w:num w:numId="10">
    <w:abstractNumId w:val="17"/>
  </w:num>
  <w:num w:numId="11">
    <w:abstractNumId w:val="16"/>
  </w:num>
  <w:num w:numId="12">
    <w:abstractNumId w:val="2"/>
  </w:num>
  <w:num w:numId="13">
    <w:abstractNumId w:val="11"/>
  </w:num>
  <w:num w:numId="14">
    <w:abstractNumId w:val="4"/>
  </w:num>
  <w:num w:numId="15">
    <w:abstractNumId w:val="5"/>
  </w:num>
  <w:num w:numId="16">
    <w:abstractNumId w:val="15"/>
  </w:num>
  <w:num w:numId="17">
    <w:abstractNumId w:val="20"/>
  </w:num>
  <w:num w:numId="18">
    <w:abstractNumId w:val="24"/>
  </w:num>
  <w:num w:numId="19">
    <w:abstractNumId w:val="8"/>
  </w:num>
  <w:num w:numId="20">
    <w:abstractNumId w:val="18"/>
  </w:num>
  <w:num w:numId="21">
    <w:abstractNumId w:val="25"/>
  </w:num>
  <w:num w:numId="22">
    <w:abstractNumId w:val="12"/>
  </w:num>
  <w:num w:numId="23">
    <w:abstractNumId w:val="13"/>
  </w:num>
  <w:num w:numId="24">
    <w:abstractNumId w:val="23"/>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19"/>
  </w:num>
  <w:num w:numId="44">
    <w:abstractNumId w:val="7"/>
  </w:num>
  <w:num w:numId="45">
    <w:abstractNumId w:val="2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964E1"/>
    <w:rsid w:val="00020FC3"/>
    <w:rsid w:val="00277725"/>
    <w:rsid w:val="004A2F4C"/>
    <w:rsid w:val="00741EEC"/>
    <w:rsid w:val="009B1CC9"/>
    <w:rsid w:val="00AB170A"/>
    <w:rsid w:val="00B16877"/>
    <w:rsid w:val="00B55F3D"/>
    <w:rsid w:val="00B964E1"/>
    <w:rsid w:val="00BC317E"/>
    <w:rsid w:val="00D30C4D"/>
    <w:rsid w:val="00DE6D31"/>
    <w:rsid w:val="00E05FE4"/>
    <w:rsid w:val="00E228F8"/>
    <w:rsid w:val="00FF128B"/>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qFormat="1"/>
    <w:lsdException w:name="footnote reference" w:uiPriority="0"/>
    <w:lsdException w:name="annotation reference" w:uiPriority="0"/>
    <w:lsdException w:name="line number" w:unhideWhenUsed="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Subtitle" w:semiHidden="0" w:uiPriority="0" w:qFormat="1"/>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B55F3D"/>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B55F3D"/>
    <w:pPr>
      <w:keepNext/>
      <w:keepLines/>
      <w:numPr>
        <w:numId w:val="24"/>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B55F3D"/>
    <w:pPr>
      <w:keepNext/>
      <w:keepLines/>
      <w:numPr>
        <w:ilvl w:val="1"/>
        <w:numId w:val="24"/>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B55F3D"/>
    <w:pPr>
      <w:keepNext/>
      <w:keepLines/>
      <w:numPr>
        <w:ilvl w:val="2"/>
        <w:numId w:val="24"/>
      </w:numPr>
      <w:spacing w:before="360" w:after="80"/>
      <w:outlineLvl w:val="2"/>
    </w:pPr>
    <w:rPr>
      <w:rFonts w:ascii="Arial" w:hAnsi="Arial"/>
      <w:b/>
    </w:rPr>
  </w:style>
  <w:style w:type="paragraph" w:styleId="Overskrift4">
    <w:name w:val="heading 4"/>
    <w:basedOn w:val="Normal"/>
    <w:next w:val="Normal"/>
    <w:link w:val="Overskrift4Tegn"/>
    <w:qFormat/>
    <w:rsid w:val="00B55F3D"/>
    <w:pPr>
      <w:keepNext/>
      <w:keepLines/>
      <w:numPr>
        <w:ilvl w:val="3"/>
        <w:numId w:val="24"/>
      </w:numPr>
      <w:spacing w:before="120" w:after="0"/>
      <w:outlineLvl w:val="3"/>
    </w:pPr>
    <w:rPr>
      <w:rFonts w:ascii="Arial" w:hAnsi="Arial"/>
      <w:i/>
      <w:spacing w:val="4"/>
    </w:rPr>
  </w:style>
  <w:style w:type="paragraph" w:styleId="Overskrift5">
    <w:name w:val="heading 5"/>
    <w:basedOn w:val="Normal"/>
    <w:next w:val="Normal"/>
    <w:link w:val="Overskrift5Tegn"/>
    <w:qFormat/>
    <w:rsid w:val="00B55F3D"/>
    <w:pPr>
      <w:keepNext/>
      <w:numPr>
        <w:ilvl w:val="4"/>
        <w:numId w:val="24"/>
      </w:numPr>
      <w:spacing w:before="120" w:after="0"/>
      <w:outlineLvl w:val="4"/>
    </w:pPr>
    <w:rPr>
      <w:rFonts w:ascii="Arial" w:hAnsi="Arial"/>
      <w:i/>
    </w:rPr>
  </w:style>
  <w:style w:type="paragraph" w:styleId="Overskrift6">
    <w:name w:val="heading 6"/>
    <w:basedOn w:val="Normal"/>
    <w:next w:val="Normal"/>
    <w:link w:val="Overskrift6Tegn"/>
    <w:qFormat/>
    <w:rsid w:val="00B55F3D"/>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B55F3D"/>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B55F3D"/>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B55F3D"/>
    <w:pPr>
      <w:numPr>
        <w:ilvl w:val="8"/>
        <w:numId w:val="2"/>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B55F3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55F3D"/>
  </w:style>
  <w:style w:type="paragraph" w:customStyle="1" w:styleId="Kilde">
    <w:name w:val="Kilde"/>
    <w:basedOn w:val="Normal"/>
    <w:next w:val="Normal"/>
    <w:rsid w:val="00B55F3D"/>
    <w:pPr>
      <w:spacing w:after="240"/>
    </w:pPr>
    <w:rPr>
      <w:spacing w:val="4"/>
      <w:sz w:val="20"/>
    </w:rPr>
  </w:style>
  <w:style w:type="character" w:customStyle="1" w:styleId="Overskrift1Tegn">
    <w:name w:val="Overskrift 1 Tegn"/>
    <w:basedOn w:val="Standardskriftforavsnitt"/>
    <w:link w:val="Overskrift1"/>
    <w:rsid w:val="00B55F3D"/>
    <w:rPr>
      <w:rFonts w:ascii="Arial" w:eastAsia="Times New Roman" w:hAnsi="Arial"/>
      <w:b/>
      <w:kern w:val="28"/>
      <w:sz w:val="32"/>
    </w:rPr>
  </w:style>
  <w:style w:type="character" w:customStyle="1" w:styleId="Overskrift2Tegn">
    <w:name w:val="Overskrift 2 Tegn"/>
    <w:basedOn w:val="Standardskriftforavsnitt"/>
    <w:link w:val="Overskrift2"/>
    <w:rsid w:val="00B55F3D"/>
    <w:rPr>
      <w:rFonts w:ascii="Arial" w:eastAsia="Times New Roman" w:hAnsi="Arial"/>
      <w:b/>
      <w:spacing w:val="4"/>
      <w:sz w:val="28"/>
    </w:rPr>
  </w:style>
  <w:style w:type="character" w:customStyle="1" w:styleId="Overskrift3Tegn">
    <w:name w:val="Overskrift 3 Tegn"/>
    <w:basedOn w:val="Standardskriftforavsnitt"/>
    <w:link w:val="Overskrift3"/>
    <w:rsid w:val="00B55F3D"/>
    <w:rPr>
      <w:rFonts w:ascii="Arial" w:eastAsia="Times New Roman" w:hAnsi="Arial"/>
      <w:b/>
      <w:sz w:val="24"/>
    </w:rPr>
  </w:style>
  <w:style w:type="character" w:customStyle="1" w:styleId="Overskrift4Tegn">
    <w:name w:val="Overskrift 4 Tegn"/>
    <w:basedOn w:val="Standardskriftforavsnitt"/>
    <w:link w:val="Overskrift4"/>
    <w:rsid w:val="00B55F3D"/>
    <w:rPr>
      <w:rFonts w:ascii="Arial" w:eastAsia="Times New Roman" w:hAnsi="Arial"/>
      <w:i/>
      <w:spacing w:val="4"/>
      <w:sz w:val="24"/>
    </w:rPr>
  </w:style>
  <w:style w:type="character" w:customStyle="1" w:styleId="Overskrift5Tegn">
    <w:name w:val="Overskrift 5 Tegn"/>
    <w:basedOn w:val="Standardskriftforavsnitt"/>
    <w:link w:val="Overskrift5"/>
    <w:rsid w:val="00B55F3D"/>
    <w:rPr>
      <w:rFonts w:ascii="Arial" w:eastAsia="Times New Roman" w:hAnsi="Arial"/>
      <w:i/>
      <w:sz w:val="24"/>
    </w:rPr>
  </w:style>
  <w:style w:type="character" w:customStyle="1" w:styleId="Overskrift6Tegn">
    <w:name w:val="Overskrift 6 Tegn"/>
    <w:basedOn w:val="Standardskriftforavsnitt"/>
    <w:link w:val="Overskrift6"/>
    <w:rsid w:val="00B55F3D"/>
    <w:rPr>
      <w:rFonts w:ascii="Arial" w:eastAsia="Times New Roman" w:hAnsi="Arial"/>
      <w:i/>
    </w:rPr>
  </w:style>
  <w:style w:type="character" w:customStyle="1" w:styleId="Overskrift7Tegn">
    <w:name w:val="Overskrift 7 Tegn"/>
    <w:basedOn w:val="Standardskriftforavsnitt"/>
    <w:link w:val="Overskrift7"/>
    <w:rsid w:val="00B55F3D"/>
    <w:rPr>
      <w:rFonts w:ascii="Arial" w:eastAsia="Times New Roman" w:hAnsi="Arial"/>
      <w:sz w:val="24"/>
    </w:rPr>
  </w:style>
  <w:style w:type="character" w:customStyle="1" w:styleId="Overskrift8Tegn">
    <w:name w:val="Overskrift 8 Tegn"/>
    <w:basedOn w:val="Standardskriftforavsnitt"/>
    <w:link w:val="Overskrift8"/>
    <w:rsid w:val="00B55F3D"/>
    <w:rPr>
      <w:rFonts w:ascii="Arial" w:eastAsia="Times New Roman" w:hAnsi="Arial"/>
      <w:i/>
      <w:sz w:val="24"/>
    </w:rPr>
  </w:style>
  <w:style w:type="character" w:customStyle="1" w:styleId="Overskrift9Tegn">
    <w:name w:val="Overskrift 9 Tegn"/>
    <w:basedOn w:val="Standardskriftforavsnitt"/>
    <w:link w:val="Overskrift9"/>
    <w:rsid w:val="00B55F3D"/>
    <w:rPr>
      <w:rFonts w:ascii="Arial" w:eastAsia="Times New Roman" w:hAnsi="Arial"/>
      <w:b/>
      <w:i/>
      <w:sz w:val="18"/>
    </w:rPr>
  </w:style>
  <w:style w:type="paragraph" w:styleId="NormalWeb">
    <w:name w:val="Normal (Web)"/>
    <w:basedOn w:val="Normal"/>
    <w:uiPriority w:val="99"/>
    <w:unhideWhenUsed/>
    <w:rsid w:val="00B55F3D"/>
    <w:rPr>
      <w:szCs w:val="24"/>
    </w:rPr>
  </w:style>
  <w:style w:type="paragraph" w:styleId="Liste">
    <w:name w:val="List"/>
    <w:basedOn w:val="Normal"/>
    <w:rsid w:val="00B55F3D"/>
    <w:pPr>
      <w:numPr>
        <w:numId w:val="17"/>
      </w:numPr>
      <w:spacing w:line="240" w:lineRule="auto"/>
      <w:contextualSpacing/>
    </w:pPr>
    <w:rPr>
      <w:spacing w:val="4"/>
    </w:rPr>
  </w:style>
  <w:style w:type="paragraph" w:styleId="Liste2">
    <w:name w:val="List 2"/>
    <w:basedOn w:val="Normal"/>
    <w:rsid w:val="00B55F3D"/>
    <w:pPr>
      <w:numPr>
        <w:ilvl w:val="1"/>
        <w:numId w:val="17"/>
      </w:numPr>
      <w:spacing w:after="0"/>
    </w:pPr>
    <w:rPr>
      <w:spacing w:val="4"/>
    </w:rPr>
  </w:style>
  <w:style w:type="paragraph" w:styleId="Liste3">
    <w:name w:val="List 3"/>
    <w:basedOn w:val="Normal"/>
    <w:rsid w:val="00B55F3D"/>
    <w:pPr>
      <w:numPr>
        <w:ilvl w:val="2"/>
        <w:numId w:val="17"/>
      </w:numPr>
      <w:spacing w:after="0"/>
    </w:pPr>
  </w:style>
  <w:style w:type="paragraph" w:styleId="Liste4">
    <w:name w:val="List 4"/>
    <w:basedOn w:val="Normal"/>
    <w:rsid w:val="00B55F3D"/>
    <w:pPr>
      <w:numPr>
        <w:ilvl w:val="3"/>
        <w:numId w:val="17"/>
      </w:numPr>
      <w:spacing w:after="0"/>
    </w:pPr>
  </w:style>
  <w:style w:type="paragraph" w:styleId="Liste5">
    <w:name w:val="List 5"/>
    <w:basedOn w:val="Normal"/>
    <w:rsid w:val="00B55F3D"/>
    <w:pPr>
      <w:numPr>
        <w:ilvl w:val="4"/>
        <w:numId w:val="17"/>
      </w:numPr>
      <w:spacing w:after="0"/>
    </w:pPr>
  </w:style>
  <w:style w:type="paragraph" w:styleId="Bildetekst">
    <w:name w:val="caption"/>
    <w:basedOn w:val="Normal"/>
    <w:next w:val="Normal"/>
    <w:uiPriority w:val="35"/>
    <w:unhideWhenUsed/>
    <w:qFormat/>
    <w:rsid w:val="00B55F3D"/>
    <w:pPr>
      <w:spacing w:after="200" w:line="240" w:lineRule="auto"/>
    </w:pPr>
    <w:rPr>
      <w:b/>
      <w:bCs/>
      <w:color w:val="4F81BD" w:themeColor="accent1"/>
      <w:sz w:val="18"/>
      <w:szCs w:val="18"/>
    </w:rPr>
  </w:style>
  <w:style w:type="paragraph" w:styleId="Tittel">
    <w:name w:val="Title"/>
    <w:basedOn w:val="Normal"/>
    <w:next w:val="Normal"/>
    <w:link w:val="TittelTegn"/>
    <w:uiPriority w:val="10"/>
    <w:qFormat/>
    <w:rsid w:val="00B55F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B55F3D"/>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qFormat/>
    <w:rsid w:val="00B55F3D"/>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B55F3D"/>
    <w:rPr>
      <w:rFonts w:ascii="Arial" w:eastAsia="Times New Roman" w:hAnsi="Arial"/>
      <w:b/>
      <w:spacing w:val="4"/>
      <w:sz w:val="28"/>
    </w:rPr>
  </w:style>
  <w:style w:type="paragraph" w:styleId="Ingenmellomrom">
    <w:name w:val="No Spacing"/>
    <w:uiPriority w:val="1"/>
    <w:qFormat/>
    <w:rsid w:val="00B55F3D"/>
    <w:pPr>
      <w:spacing w:after="0" w:line="240" w:lineRule="auto"/>
    </w:pPr>
    <w:rPr>
      <w:rFonts w:ascii="Calibri" w:eastAsia="Times New Roman" w:hAnsi="Calibri"/>
      <w:sz w:val="24"/>
    </w:rPr>
  </w:style>
  <w:style w:type="paragraph" w:styleId="Listeavsnitt">
    <w:name w:val="List Paragraph"/>
    <w:basedOn w:val="Normal"/>
    <w:uiPriority w:val="34"/>
    <w:qFormat/>
    <w:rsid w:val="00B55F3D"/>
    <w:pPr>
      <w:spacing w:before="60" w:after="0"/>
      <w:ind w:left="397"/>
    </w:p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B55F3D"/>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B55F3D"/>
    <w:rPr>
      <w:rFonts w:ascii="Times New Roman" w:eastAsia="Times New Roman" w:hAnsi="Times New Roman"/>
      <w:b/>
      <w:bCs/>
      <w:i/>
      <w:iCs/>
      <w:color w:val="4F81BD" w:themeColor="accent1"/>
      <w:sz w:val="24"/>
    </w:rPr>
  </w:style>
  <w:style w:type="paragraph" w:styleId="Overskriftforinnholdsfortegnelse">
    <w:name w:val="TOC Heading"/>
    <w:basedOn w:val="Overskrift1"/>
    <w:next w:val="Normal"/>
    <w:uiPriority w:val="39"/>
    <w:unhideWhenUsed/>
    <w:qFormat/>
    <w:rsid w:val="00B55F3D"/>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styleId="Bobletekst">
    <w:name w:val="Balloon Text"/>
    <w:basedOn w:val="Normal"/>
    <w:link w:val="BobletekstTegn"/>
    <w:uiPriority w:val="99"/>
    <w:unhideWhenUsed/>
    <w:rsid w:val="00B55F3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B55F3D"/>
    <w:rPr>
      <w:rFonts w:ascii="Tahoma" w:eastAsia="Times New Roman" w:hAnsi="Tahoma" w:cs="Tahoma"/>
      <w:sz w:val="16"/>
      <w:szCs w:val="16"/>
    </w:rPr>
  </w:style>
  <w:style w:type="paragraph" w:styleId="Topptekst">
    <w:name w:val="header"/>
    <w:basedOn w:val="Normal"/>
    <w:link w:val="TopptekstTegn"/>
    <w:rsid w:val="00B55F3D"/>
    <w:pPr>
      <w:tabs>
        <w:tab w:val="center" w:pos="4536"/>
        <w:tab w:val="right" w:pos="9072"/>
      </w:tabs>
    </w:pPr>
  </w:style>
  <w:style w:type="character" w:customStyle="1" w:styleId="TopptekstTegn">
    <w:name w:val="Topptekst Tegn"/>
    <w:basedOn w:val="Standardskriftforavsnitt"/>
    <w:link w:val="Topptekst"/>
    <w:rsid w:val="00B55F3D"/>
    <w:rPr>
      <w:rFonts w:ascii="Times New Roman" w:eastAsia="Times New Roman" w:hAnsi="Times New Roman"/>
      <w:sz w:val="24"/>
    </w:rPr>
  </w:style>
  <w:style w:type="paragraph" w:styleId="Bunntekst">
    <w:name w:val="footer"/>
    <w:basedOn w:val="Normal"/>
    <w:link w:val="BunntekstTegn"/>
    <w:uiPriority w:val="99"/>
    <w:rsid w:val="00B55F3D"/>
    <w:pPr>
      <w:tabs>
        <w:tab w:val="center" w:pos="4153"/>
        <w:tab w:val="right" w:pos="8306"/>
      </w:tabs>
    </w:pPr>
    <w:rPr>
      <w:spacing w:val="4"/>
    </w:rPr>
  </w:style>
  <w:style w:type="character" w:customStyle="1" w:styleId="BunntekstTegn">
    <w:name w:val="Bunntekst Tegn"/>
    <w:basedOn w:val="Standardskriftforavsnitt"/>
    <w:link w:val="Bunntekst"/>
    <w:uiPriority w:val="99"/>
    <w:rsid w:val="00B55F3D"/>
    <w:rPr>
      <w:rFonts w:ascii="Times New Roman" w:eastAsia="Times New Roman" w:hAnsi="Times New Roman"/>
      <w:spacing w:val="4"/>
      <w:sz w:val="24"/>
    </w:rPr>
  </w:style>
  <w:style w:type="paragraph" w:styleId="Merknadstekst">
    <w:name w:val="annotation text"/>
    <w:basedOn w:val="Normal"/>
    <w:link w:val="MerknadstekstTegn"/>
    <w:rsid w:val="00B55F3D"/>
  </w:style>
  <w:style w:type="character" w:customStyle="1" w:styleId="MerknadstekstTegn">
    <w:name w:val="Merknadstekst Tegn"/>
    <w:basedOn w:val="Standardskriftforavsnitt"/>
    <w:link w:val="Merknadstekst"/>
    <w:rsid w:val="00B55F3D"/>
    <w:rPr>
      <w:rFonts w:ascii="Times New Roman" w:eastAsia="Times New Roman" w:hAnsi="Times New Roman"/>
      <w:sz w:val="24"/>
    </w:rPr>
  </w:style>
  <w:style w:type="paragraph" w:styleId="Kommentaremne">
    <w:name w:val="annotation subject"/>
    <w:basedOn w:val="Merknadstekst"/>
    <w:next w:val="Merknadstekst"/>
    <w:link w:val="KommentaremneTegn"/>
    <w:uiPriority w:val="99"/>
    <w:unhideWhenUsed/>
    <w:rsid w:val="00B55F3D"/>
    <w:pPr>
      <w:spacing w:line="240" w:lineRule="auto"/>
    </w:pPr>
    <w:rPr>
      <w:b/>
      <w:bCs/>
      <w:sz w:val="20"/>
      <w:szCs w:val="20"/>
    </w:rPr>
  </w:style>
  <w:style w:type="character" w:customStyle="1" w:styleId="KommentaremneTegn">
    <w:name w:val="Kommentaremne Tegn"/>
    <w:basedOn w:val="MerknadstekstTegn"/>
    <w:link w:val="Kommentaremne"/>
    <w:uiPriority w:val="99"/>
    <w:rsid w:val="00B55F3D"/>
    <w:rPr>
      <w:rFonts w:ascii="Times New Roman" w:eastAsia="Times New Roman" w:hAnsi="Times New Roman"/>
      <w:b/>
      <w:bCs/>
      <w:sz w:val="20"/>
      <w:szCs w:val="20"/>
    </w:rPr>
  </w:style>
  <w:style w:type="paragraph" w:styleId="Fotnotetekst">
    <w:name w:val="footnote text"/>
    <w:basedOn w:val="Normal"/>
    <w:link w:val="FotnotetekstTegn"/>
    <w:rsid w:val="00B55F3D"/>
    <w:rPr>
      <w:spacing w:val="4"/>
    </w:rPr>
  </w:style>
  <w:style w:type="character" w:customStyle="1" w:styleId="FotnotetekstTegn">
    <w:name w:val="Fotnotetekst Tegn"/>
    <w:basedOn w:val="Standardskriftforavsnitt"/>
    <w:link w:val="Fotnotetekst"/>
    <w:rsid w:val="00B55F3D"/>
    <w:rPr>
      <w:rFonts w:ascii="Times New Roman" w:eastAsia="Times New Roman" w:hAnsi="Times New Roman"/>
      <w:spacing w:val="4"/>
      <w:sz w:val="24"/>
    </w:rPr>
  </w:style>
  <w:style w:type="paragraph" w:styleId="INNH1">
    <w:name w:val="toc 1"/>
    <w:basedOn w:val="Normal"/>
    <w:next w:val="Normal"/>
    <w:rsid w:val="00B55F3D"/>
    <w:pPr>
      <w:tabs>
        <w:tab w:val="right" w:leader="dot" w:pos="8306"/>
      </w:tabs>
    </w:pPr>
  </w:style>
  <w:style w:type="paragraph" w:styleId="INNH2">
    <w:name w:val="toc 2"/>
    <w:basedOn w:val="Normal"/>
    <w:next w:val="Normal"/>
    <w:rsid w:val="00B55F3D"/>
    <w:pPr>
      <w:tabs>
        <w:tab w:val="right" w:leader="dot" w:pos="8306"/>
      </w:tabs>
      <w:ind w:left="200"/>
    </w:pPr>
  </w:style>
  <w:style w:type="paragraph" w:styleId="INNH3">
    <w:name w:val="toc 3"/>
    <w:basedOn w:val="Normal"/>
    <w:next w:val="Normal"/>
    <w:rsid w:val="00B55F3D"/>
    <w:pPr>
      <w:tabs>
        <w:tab w:val="right" w:leader="dot" w:pos="8306"/>
      </w:tabs>
      <w:ind w:left="400"/>
    </w:pPr>
  </w:style>
  <w:style w:type="paragraph" w:styleId="INNH4">
    <w:name w:val="toc 4"/>
    <w:basedOn w:val="Normal"/>
    <w:next w:val="Normal"/>
    <w:rsid w:val="00B55F3D"/>
    <w:pPr>
      <w:tabs>
        <w:tab w:val="right" w:leader="dot" w:pos="8306"/>
      </w:tabs>
      <w:ind w:left="600"/>
    </w:pPr>
  </w:style>
  <w:style w:type="paragraph" w:styleId="INNH5">
    <w:name w:val="toc 5"/>
    <w:basedOn w:val="Normal"/>
    <w:next w:val="Normal"/>
    <w:rsid w:val="00B55F3D"/>
    <w:pPr>
      <w:tabs>
        <w:tab w:val="right" w:leader="dot" w:pos="8306"/>
      </w:tabs>
      <w:ind w:left="800"/>
    </w:pPr>
  </w:style>
  <w:style w:type="paragraph" w:styleId="Nummerertliste">
    <w:name w:val="List Number"/>
    <w:basedOn w:val="Normal"/>
    <w:rsid w:val="00B55F3D"/>
    <w:pPr>
      <w:numPr>
        <w:numId w:val="13"/>
      </w:numPr>
      <w:spacing w:after="0"/>
    </w:pPr>
    <w:rPr>
      <w:rFonts w:ascii="Times" w:eastAsia="Batang" w:hAnsi="Times"/>
      <w:szCs w:val="20"/>
    </w:rPr>
  </w:style>
  <w:style w:type="paragraph" w:styleId="Nummerertliste2">
    <w:name w:val="List Number 2"/>
    <w:basedOn w:val="Normal"/>
    <w:rsid w:val="00B55F3D"/>
    <w:pPr>
      <w:numPr>
        <w:ilvl w:val="1"/>
        <w:numId w:val="13"/>
      </w:numPr>
      <w:spacing w:after="0" w:line="240" w:lineRule="auto"/>
    </w:pPr>
    <w:rPr>
      <w:rFonts w:ascii="Times" w:eastAsia="Batang" w:hAnsi="Times"/>
      <w:szCs w:val="20"/>
    </w:rPr>
  </w:style>
  <w:style w:type="paragraph" w:styleId="Nummerertliste3">
    <w:name w:val="List Number 3"/>
    <w:basedOn w:val="Normal"/>
    <w:rsid w:val="00B55F3D"/>
    <w:pPr>
      <w:numPr>
        <w:ilvl w:val="2"/>
        <w:numId w:val="13"/>
      </w:numPr>
      <w:spacing w:after="0" w:line="240" w:lineRule="auto"/>
    </w:pPr>
    <w:rPr>
      <w:rFonts w:ascii="Times" w:eastAsia="Batang" w:hAnsi="Times"/>
      <w:szCs w:val="20"/>
    </w:rPr>
  </w:style>
  <w:style w:type="paragraph" w:styleId="Nummerertliste4">
    <w:name w:val="List Number 4"/>
    <w:basedOn w:val="Normal"/>
    <w:rsid w:val="00B55F3D"/>
    <w:pPr>
      <w:numPr>
        <w:ilvl w:val="3"/>
        <w:numId w:val="13"/>
      </w:numPr>
      <w:spacing w:after="0" w:line="240" w:lineRule="auto"/>
    </w:pPr>
    <w:rPr>
      <w:rFonts w:ascii="Times" w:eastAsia="Batang" w:hAnsi="Times"/>
      <w:szCs w:val="20"/>
    </w:rPr>
  </w:style>
  <w:style w:type="paragraph" w:styleId="Nummerertliste5">
    <w:name w:val="List Number 5"/>
    <w:basedOn w:val="Normal"/>
    <w:rsid w:val="00B55F3D"/>
    <w:pPr>
      <w:numPr>
        <w:ilvl w:val="4"/>
        <w:numId w:val="13"/>
      </w:numPr>
      <w:spacing w:after="0" w:line="240" w:lineRule="auto"/>
    </w:pPr>
    <w:rPr>
      <w:rFonts w:ascii="Times" w:eastAsia="Batang" w:hAnsi="Times"/>
      <w:szCs w:val="20"/>
    </w:rPr>
  </w:style>
  <w:style w:type="paragraph" w:styleId="Punktmerketliste">
    <w:name w:val="List Bullet"/>
    <w:basedOn w:val="Normal"/>
    <w:rsid w:val="00B55F3D"/>
    <w:pPr>
      <w:numPr>
        <w:numId w:val="3"/>
      </w:numPr>
      <w:spacing w:after="0"/>
    </w:pPr>
    <w:rPr>
      <w:spacing w:val="4"/>
    </w:rPr>
  </w:style>
  <w:style w:type="paragraph" w:styleId="Punktmerketliste2">
    <w:name w:val="List Bullet 2"/>
    <w:basedOn w:val="Normal"/>
    <w:rsid w:val="00B55F3D"/>
    <w:pPr>
      <w:numPr>
        <w:numId w:val="4"/>
      </w:numPr>
      <w:spacing w:after="0"/>
    </w:pPr>
    <w:rPr>
      <w:spacing w:val="4"/>
    </w:rPr>
  </w:style>
  <w:style w:type="paragraph" w:styleId="Punktmerketliste3">
    <w:name w:val="List Bullet 3"/>
    <w:basedOn w:val="Normal"/>
    <w:rsid w:val="00B55F3D"/>
    <w:pPr>
      <w:numPr>
        <w:numId w:val="5"/>
      </w:numPr>
      <w:spacing w:after="0"/>
    </w:pPr>
    <w:rPr>
      <w:spacing w:val="4"/>
    </w:rPr>
  </w:style>
  <w:style w:type="paragraph" w:styleId="Punktmerketliste4">
    <w:name w:val="List Bullet 4"/>
    <w:basedOn w:val="Normal"/>
    <w:rsid w:val="00B55F3D"/>
    <w:pPr>
      <w:numPr>
        <w:numId w:val="6"/>
      </w:numPr>
      <w:spacing w:after="0"/>
    </w:pPr>
  </w:style>
  <w:style w:type="paragraph" w:styleId="Punktmerketliste5">
    <w:name w:val="List Bullet 5"/>
    <w:basedOn w:val="Normal"/>
    <w:rsid w:val="00B55F3D"/>
    <w:pPr>
      <w:numPr>
        <w:numId w:val="7"/>
      </w:numPr>
      <w:spacing w:after="0"/>
    </w:pPr>
  </w:style>
  <w:style w:type="paragraph" w:styleId="Indeks1">
    <w:name w:val="index 1"/>
    <w:basedOn w:val="Normal"/>
    <w:next w:val="Normal"/>
    <w:autoRedefine/>
    <w:uiPriority w:val="99"/>
    <w:unhideWhenUsed/>
    <w:rsid w:val="00B55F3D"/>
    <w:pPr>
      <w:spacing w:after="0" w:line="240" w:lineRule="auto"/>
      <w:ind w:left="240" w:hanging="240"/>
    </w:pPr>
  </w:style>
  <w:style w:type="paragraph" w:styleId="Indeks2">
    <w:name w:val="index 2"/>
    <w:basedOn w:val="Normal"/>
    <w:next w:val="Normal"/>
    <w:autoRedefine/>
    <w:uiPriority w:val="99"/>
    <w:unhideWhenUsed/>
    <w:rsid w:val="00B55F3D"/>
    <w:pPr>
      <w:spacing w:after="0" w:line="240" w:lineRule="auto"/>
      <w:ind w:left="480" w:hanging="240"/>
    </w:pPr>
  </w:style>
  <w:style w:type="paragraph" w:styleId="Indeks3">
    <w:name w:val="index 3"/>
    <w:basedOn w:val="Normal"/>
    <w:next w:val="Normal"/>
    <w:autoRedefine/>
    <w:uiPriority w:val="99"/>
    <w:unhideWhenUsed/>
    <w:rsid w:val="00B55F3D"/>
    <w:pPr>
      <w:spacing w:after="0" w:line="240" w:lineRule="auto"/>
      <w:ind w:left="720" w:hanging="240"/>
    </w:pPr>
  </w:style>
  <w:style w:type="paragraph" w:styleId="Indeks4">
    <w:name w:val="index 4"/>
    <w:basedOn w:val="Normal"/>
    <w:next w:val="Normal"/>
    <w:autoRedefine/>
    <w:uiPriority w:val="99"/>
    <w:unhideWhenUsed/>
    <w:rsid w:val="00B55F3D"/>
    <w:pPr>
      <w:spacing w:after="0" w:line="240" w:lineRule="auto"/>
      <w:ind w:left="960" w:hanging="240"/>
    </w:pPr>
  </w:style>
  <w:style w:type="paragraph" w:styleId="Indeks5">
    <w:name w:val="index 5"/>
    <w:basedOn w:val="Normal"/>
    <w:next w:val="Normal"/>
    <w:autoRedefine/>
    <w:uiPriority w:val="99"/>
    <w:unhideWhenUsed/>
    <w:rsid w:val="00B55F3D"/>
    <w:pPr>
      <w:spacing w:after="0" w:line="240" w:lineRule="auto"/>
      <w:ind w:left="1200" w:hanging="240"/>
    </w:pPr>
  </w:style>
  <w:style w:type="paragraph" w:styleId="Indeks6">
    <w:name w:val="index 6"/>
    <w:basedOn w:val="Normal"/>
    <w:next w:val="Normal"/>
    <w:autoRedefine/>
    <w:uiPriority w:val="99"/>
    <w:unhideWhenUsed/>
    <w:rsid w:val="00B55F3D"/>
    <w:pPr>
      <w:spacing w:after="0" w:line="240" w:lineRule="auto"/>
      <w:ind w:left="1440" w:hanging="240"/>
    </w:pPr>
  </w:style>
  <w:style w:type="paragraph" w:styleId="Indeks7">
    <w:name w:val="index 7"/>
    <w:basedOn w:val="Normal"/>
    <w:next w:val="Normal"/>
    <w:autoRedefine/>
    <w:uiPriority w:val="99"/>
    <w:unhideWhenUsed/>
    <w:rsid w:val="00B55F3D"/>
    <w:pPr>
      <w:spacing w:after="0" w:line="240" w:lineRule="auto"/>
      <w:ind w:left="1680" w:hanging="240"/>
    </w:pPr>
  </w:style>
  <w:style w:type="paragraph" w:styleId="Indeks8">
    <w:name w:val="index 8"/>
    <w:basedOn w:val="Normal"/>
    <w:next w:val="Normal"/>
    <w:autoRedefine/>
    <w:uiPriority w:val="99"/>
    <w:unhideWhenUsed/>
    <w:rsid w:val="00B55F3D"/>
    <w:pPr>
      <w:spacing w:after="0" w:line="240" w:lineRule="auto"/>
      <w:ind w:left="1920" w:hanging="240"/>
    </w:pPr>
  </w:style>
  <w:style w:type="paragraph" w:styleId="Indeks9">
    <w:name w:val="index 9"/>
    <w:basedOn w:val="Normal"/>
    <w:next w:val="Normal"/>
    <w:autoRedefine/>
    <w:uiPriority w:val="99"/>
    <w:unhideWhenUsed/>
    <w:rsid w:val="00B55F3D"/>
    <w:pPr>
      <w:spacing w:after="0" w:line="240" w:lineRule="auto"/>
      <w:ind w:left="2160" w:hanging="240"/>
    </w:pPr>
  </w:style>
  <w:style w:type="paragraph" w:styleId="INNH6">
    <w:name w:val="toc 6"/>
    <w:basedOn w:val="Normal"/>
    <w:next w:val="Normal"/>
    <w:autoRedefine/>
    <w:uiPriority w:val="39"/>
    <w:unhideWhenUsed/>
    <w:rsid w:val="00B55F3D"/>
    <w:pPr>
      <w:spacing w:after="100"/>
      <w:ind w:left="1200"/>
    </w:pPr>
  </w:style>
  <w:style w:type="paragraph" w:styleId="INNH7">
    <w:name w:val="toc 7"/>
    <w:basedOn w:val="Normal"/>
    <w:next w:val="Normal"/>
    <w:autoRedefine/>
    <w:uiPriority w:val="39"/>
    <w:unhideWhenUsed/>
    <w:rsid w:val="00B55F3D"/>
    <w:pPr>
      <w:spacing w:after="100"/>
      <w:ind w:left="1440"/>
    </w:pPr>
  </w:style>
  <w:style w:type="paragraph" w:styleId="INNH8">
    <w:name w:val="toc 8"/>
    <w:basedOn w:val="Normal"/>
    <w:next w:val="Normal"/>
    <w:autoRedefine/>
    <w:uiPriority w:val="39"/>
    <w:unhideWhenUsed/>
    <w:rsid w:val="00B55F3D"/>
    <w:pPr>
      <w:spacing w:after="100"/>
      <w:ind w:left="1680"/>
    </w:pPr>
  </w:style>
  <w:style w:type="paragraph" w:styleId="INNH9">
    <w:name w:val="toc 9"/>
    <w:basedOn w:val="Normal"/>
    <w:next w:val="Normal"/>
    <w:autoRedefine/>
    <w:uiPriority w:val="39"/>
    <w:unhideWhenUsed/>
    <w:rsid w:val="00B55F3D"/>
    <w:pPr>
      <w:spacing w:after="100"/>
      <w:ind w:left="1920"/>
    </w:pPr>
  </w:style>
  <w:style w:type="paragraph" w:styleId="Vanliginnrykk">
    <w:name w:val="Normal Indent"/>
    <w:basedOn w:val="Normal"/>
    <w:uiPriority w:val="99"/>
    <w:unhideWhenUsed/>
    <w:rsid w:val="00B55F3D"/>
    <w:pPr>
      <w:ind w:left="708"/>
    </w:pPr>
  </w:style>
  <w:style w:type="paragraph" w:styleId="Stikkordregisteroverskrift">
    <w:name w:val="index heading"/>
    <w:basedOn w:val="Normal"/>
    <w:next w:val="Indeks1"/>
    <w:uiPriority w:val="99"/>
    <w:unhideWhenUsed/>
    <w:rsid w:val="00B55F3D"/>
    <w:rPr>
      <w:rFonts w:asciiTheme="majorHAnsi" w:eastAsiaTheme="majorEastAsia" w:hAnsiTheme="majorHAnsi" w:cstheme="majorBidi"/>
      <w:b/>
      <w:bCs/>
    </w:rPr>
  </w:style>
  <w:style w:type="paragraph" w:styleId="Figurliste">
    <w:name w:val="table of figures"/>
    <w:basedOn w:val="Normal"/>
    <w:next w:val="Normal"/>
    <w:uiPriority w:val="99"/>
    <w:unhideWhenUsed/>
    <w:rsid w:val="00B55F3D"/>
    <w:pPr>
      <w:spacing w:after="0"/>
    </w:pPr>
  </w:style>
  <w:style w:type="paragraph" w:styleId="Konvoluttadresse">
    <w:name w:val="envelope address"/>
    <w:basedOn w:val="Normal"/>
    <w:uiPriority w:val="99"/>
    <w:unhideWhenUsed/>
    <w:rsid w:val="00B55F3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B55F3D"/>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B55F3D"/>
    <w:pPr>
      <w:spacing w:after="0" w:line="240" w:lineRule="auto"/>
    </w:pPr>
    <w:rPr>
      <w:sz w:val="20"/>
      <w:szCs w:val="20"/>
    </w:rPr>
  </w:style>
  <w:style w:type="character" w:customStyle="1" w:styleId="SluttnotetekstTegn">
    <w:name w:val="Sluttnotetekst Tegn"/>
    <w:basedOn w:val="Standardskriftforavsnitt"/>
    <w:link w:val="Sluttnotetekst"/>
    <w:uiPriority w:val="99"/>
    <w:rsid w:val="00B55F3D"/>
    <w:rPr>
      <w:rFonts w:ascii="Times New Roman" w:eastAsia="Times New Roman" w:hAnsi="Times New Roman"/>
      <w:sz w:val="20"/>
      <w:szCs w:val="20"/>
    </w:rPr>
  </w:style>
  <w:style w:type="paragraph" w:styleId="Kildeliste">
    <w:name w:val="table of authorities"/>
    <w:basedOn w:val="Normal"/>
    <w:next w:val="Normal"/>
    <w:uiPriority w:val="99"/>
    <w:unhideWhenUsed/>
    <w:rsid w:val="00B55F3D"/>
    <w:pPr>
      <w:spacing w:after="0"/>
      <w:ind w:left="240" w:hanging="240"/>
    </w:pPr>
  </w:style>
  <w:style w:type="paragraph" w:styleId="Makrotekst">
    <w:name w:val="macro"/>
    <w:link w:val="MakrotekstTegn"/>
    <w:uiPriority w:val="99"/>
    <w:unhideWhenUsed/>
    <w:rsid w:val="00B55F3D"/>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B55F3D"/>
    <w:rPr>
      <w:rFonts w:ascii="Consolas" w:eastAsia="Times New Roman" w:hAnsi="Consolas"/>
      <w:sz w:val="20"/>
      <w:szCs w:val="20"/>
    </w:rPr>
  </w:style>
  <w:style w:type="paragraph" w:styleId="Kildelisteoverskrift">
    <w:name w:val="toa heading"/>
    <w:basedOn w:val="Normal"/>
    <w:next w:val="Normal"/>
    <w:uiPriority w:val="99"/>
    <w:unhideWhenUsed/>
    <w:rsid w:val="00B55F3D"/>
    <w:pPr>
      <w:spacing w:before="120"/>
    </w:pPr>
    <w:rPr>
      <w:rFonts w:asciiTheme="majorHAnsi" w:eastAsiaTheme="majorEastAsia" w:hAnsiTheme="majorHAnsi" w:cstheme="majorBidi"/>
      <w:b/>
      <w:bCs/>
      <w:szCs w:val="24"/>
    </w:rPr>
  </w:style>
  <w:style w:type="paragraph" w:styleId="Hilsen">
    <w:name w:val="Closing"/>
    <w:basedOn w:val="Normal"/>
    <w:link w:val="HilsenTegn"/>
    <w:uiPriority w:val="99"/>
    <w:unhideWhenUsed/>
    <w:rsid w:val="00B55F3D"/>
    <w:pPr>
      <w:spacing w:after="0" w:line="240" w:lineRule="auto"/>
      <w:ind w:left="4252"/>
    </w:pPr>
  </w:style>
  <w:style w:type="character" w:customStyle="1" w:styleId="HilsenTegn">
    <w:name w:val="Hilsen Tegn"/>
    <w:basedOn w:val="Standardskriftforavsnitt"/>
    <w:link w:val="Hilsen"/>
    <w:uiPriority w:val="99"/>
    <w:rsid w:val="00B55F3D"/>
    <w:rPr>
      <w:rFonts w:ascii="Times New Roman" w:eastAsia="Times New Roman" w:hAnsi="Times New Roman"/>
      <w:sz w:val="24"/>
    </w:rPr>
  </w:style>
  <w:style w:type="paragraph" w:styleId="Underskrift">
    <w:name w:val="Signature"/>
    <w:basedOn w:val="Normal"/>
    <w:link w:val="UnderskriftTegn"/>
    <w:uiPriority w:val="99"/>
    <w:unhideWhenUsed/>
    <w:rsid w:val="00B55F3D"/>
    <w:pPr>
      <w:spacing w:after="0" w:line="240" w:lineRule="auto"/>
      <w:ind w:left="4252"/>
    </w:pPr>
  </w:style>
  <w:style w:type="character" w:customStyle="1" w:styleId="UnderskriftTegn">
    <w:name w:val="Underskrift Tegn"/>
    <w:basedOn w:val="Standardskriftforavsnitt"/>
    <w:link w:val="Underskrift"/>
    <w:uiPriority w:val="99"/>
    <w:rsid w:val="00B55F3D"/>
    <w:rPr>
      <w:rFonts w:ascii="Times New Roman" w:eastAsia="Times New Roman" w:hAnsi="Times New Roman"/>
      <w:sz w:val="24"/>
    </w:rPr>
  </w:style>
  <w:style w:type="paragraph" w:styleId="Brdtekst">
    <w:name w:val="Body Text"/>
    <w:basedOn w:val="Normal"/>
    <w:link w:val="BrdtekstTegn"/>
    <w:uiPriority w:val="99"/>
    <w:unhideWhenUsed/>
    <w:rsid w:val="00B55F3D"/>
  </w:style>
  <w:style w:type="character" w:customStyle="1" w:styleId="BrdtekstTegn">
    <w:name w:val="Brødtekst Tegn"/>
    <w:basedOn w:val="Standardskriftforavsnitt"/>
    <w:link w:val="Brdtekst"/>
    <w:uiPriority w:val="99"/>
    <w:rsid w:val="00B55F3D"/>
    <w:rPr>
      <w:rFonts w:ascii="Times New Roman" w:eastAsia="Times New Roman" w:hAnsi="Times New Roman"/>
      <w:sz w:val="24"/>
    </w:rPr>
  </w:style>
  <w:style w:type="paragraph" w:styleId="Brdtekstinnrykk">
    <w:name w:val="Body Text Indent"/>
    <w:basedOn w:val="Normal"/>
    <w:link w:val="BrdtekstinnrykkTegn"/>
    <w:uiPriority w:val="99"/>
    <w:unhideWhenUsed/>
    <w:rsid w:val="00B55F3D"/>
    <w:pPr>
      <w:ind w:left="283"/>
    </w:pPr>
  </w:style>
  <w:style w:type="character" w:customStyle="1" w:styleId="BrdtekstinnrykkTegn">
    <w:name w:val="Brødtekstinnrykk Tegn"/>
    <w:basedOn w:val="Standardskriftforavsnitt"/>
    <w:link w:val="Brdtekstinnrykk"/>
    <w:uiPriority w:val="99"/>
    <w:rsid w:val="00B55F3D"/>
    <w:rPr>
      <w:rFonts w:ascii="Times New Roman" w:eastAsia="Times New Roman" w:hAnsi="Times New Roman"/>
      <w:sz w:val="24"/>
    </w:rPr>
  </w:style>
  <w:style w:type="paragraph" w:styleId="Meldingshode">
    <w:name w:val="Message Header"/>
    <w:basedOn w:val="Normal"/>
    <w:link w:val="MeldingshodeTegn"/>
    <w:uiPriority w:val="99"/>
    <w:unhideWhenUsed/>
    <w:rsid w:val="00B55F3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B55F3D"/>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B55F3D"/>
  </w:style>
  <w:style w:type="character" w:customStyle="1" w:styleId="InnledendehilsenTegn">
    <w:name w:val="Innledende hilsen Tegn"/>
    <w:basedOn w:val="Standardskriftforavsnitt"/>
    <w:link w:val="Innledendehilsen"/>
    <w:uiPriority w:val="99"/>
    <w:rsid w:val="00B55F3D"/>
    <w:rPr>
      <w:rFonts w:ascii="Times New Roman" w:eastAsia="Times New Roman" w:hAnsi="Times New Roman"/>
      <w:sz w:val="24"/>
    </w:rPr>
  </w:style>
  <w:style w:type="paragraph" w:styleId="Dato">
    <w:name w:val="Date"/>
    <w:basedOn w:val="Normal"/>
    <w:next w:val="Normal"/>
    <w:link w:val="DatoTegn"/>
    <w:uiPriority w:val="99"/>
    <w:unhideWhenUsed/>
    <w:rsid w:val="00B55F3D"/>
  </w:style>
  <w:style w:type="character" w:customStyle="1" w:styleId="DatoTegn">
    <w:name w:val="Dato Tegn"/>
    <w:basedOn w:val="Standardskriftforavsnitt"/>
    <w:link w:val="Dato"/>
    <w:uiPriority w:val="99"/>
    <w:rsid w:val="00B55F3D"/>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B55F3D"/>
    <w:pPr>
      <w:spacing w:after="0" w:line="240" w:lineRule="auto"/>
    </w:pPr>
  </w:style>
  <w:style w:type="character" w:customStyle="1" w:styleId="NotatoverskriftTegn">
    <w:name w:val="Notatoverskrift Tegn"/>
    <w:basedOn w:val="Standardskriftforavsnitt"/>
    <w:link w:val="Notatoverskrift"/>
    <w:uiPriority w:val="99"/>
    <w:rsid w:val="00B55F3D"/>
    <w:rPr>
      <w:rFonts w:ascii="Times New Roman" w:eastAsia="Times New Roman" w:hAnsi="Times New Roman"/>
      <w:sz w:val="24"/>
    </w:rPr>
  </w:style>
  <w:style w:type="paragraph" w:styleId="Brdtekst2">
    <w:name w:val="Body Text 2"/>
    <w:basedOn w:val="Normal"/>
    <w:link w:val="Brdtekst2Tegn"/>
    <w:uiPriority w:val="99"/>
    <w:unhideWhenUsed/>
    <w:rsid w:val="00B55F3D"/>
    <w:pPr>
      <w:spacing w:line="480" w:lineRule="auto"/>
    </w:pPr>
  </w:style>
  <w:style w:type="character" w:customStyle="1" w:styleId="Brdtekst2Tegn">
    <w:name w:val="Brødtekst 2 Tegn"/>
    <w:basedOn w:val="Standardskriftforavsnitt"/>
    <w:link w:val="Brdtekst2"/>
    <w:uiPriority w:val="99"/>
    <w:rsid w:val="00B55F3D"/>
    <w:rPr>
      <w:rFonts w:ascii="Times New Roman" w:eastAsia="Times New Roman" w:hAnsi="Times New Roman"/>
      <w:sz w:val="24"/>
    </w:rPr>
  </w:style>
  <w:style w:type="paragraph" w:styleId="Brdtekst3">
    <w:name w:val="Body Text 3"/>
    <w:basedOn w:val="Normal"/>
    <w:link w:val="Brdtekst3Tegn"/>
    <w:uiPriority w:val="99"/>
    <w:unhideWhenUsed/>
    <w:rsid w:val="00B55F3D"/>
    <w:rPr>
      <w:sz w:val="16"/>
      <w:szCs w:val="16"/>
    </w:rPr>
  </w:style>
  <w:style w:type="character" w:customStyle="1" w:styleId="Brdtekst3Tegn">
    <w:name w:val="Brødtekst 3 Tegn"/>
    <w:basedOn w:val="Standardskriftforavsnitt"/>
    <w:link w:val="Brdtekst3"/>
    <w:uiPriority w:val="99"/>
    <w:rsid w:val="00B55F3D"/>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B55F3D"/>
    <w:pPr>
      <w:spacing w:line="480" w:lineRule="auto"/>
      <w:ind w:left="283"/>
    </w:pPr>
  </w:style>
  <w:style w:type="character" w:customStyle="1" w:styleId="Brdtekstinnrykk2Tegn">
    <w:name w:val="Brødtekstinnrykk 2 Tegn"/>
    <w:basedOn w:val="Standardskriftforavsnitt"/>
    <w:link w:val="Brdtekstinnrykk2"/>
    <w:uiPriority w:val="99"/>
    <w:rsid w:val="00B55F3D"/>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B55F3D"/>
    <w:pPr>
      <w:ind w:left="283"/>
    </w:pPr>
    <w:rPr>
      <w:sz w:val="16"/>
      <w:szCs w:val="16"/>
    </w:rPr>
  </w:style>
  <w:style w:type="character" w:customStyle="1" w:styleId="Brdtekstinnrykk3Tegn">
    <w:name w:val="Brødtekstinnrykk 3 Tegn"/>
    <w:basedOn w:val="Standardskriftforavsnitt"/>
    <w:link w:val="Brdtekstinnrykk3"/>
    <w:uiPriority w:val="99"/>
    <w:rsid w:val="00B55F3D"/>
    <w:rPr>
      <w:rFonts w:ascii="Times New Roman" w:eastAsia="Times New Roman" w:hAnsi="Times New Roman"/>
      <w:sz w:val="16"/>
      <w:szCs w:val="16"/>
    </w:rPr>
  </w:style>
  <w:style w:type="paragraph" w:styleId="Blokktekst">
    <w:name w:val="Block Text"/>
    <w:basedOn w:val="Normal"/>
    <w:uiPriority w:val="99"/>
    <w:unhideWhenUsed/>
    <w:rsid w:val="00B55F3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B55F3D"/>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B55F3D"/>
    <w:rPr>
      <w:rFonts w:ascii="Tahoma" w:eastAsia="Times New Roman" w:hAnsi="Tahoma" w:cs="Tahoma"/>
      <w:sz w:val="16"/>
      <w:szCs w:val="16"/>
    </w:rPr>
  </w:style>
  <w:style w:type="paragraph" w:styleId="Rentekst">
    <w:name w:val="Plain Text"/>
    <w:basedOn w:val="Normal"/>
    <w:link w:val="RentekstTegn"/>
    <w:uiPriority w:val="99"/>
    <w:unhideWhenUsed/>
    <w:rsid w:val="00B55F3D"/>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B55F3D"/>
    <w:rPr>
      <w:rFonts w:ascii="Consolas" w:eastAsia="Times New Roman" w:hAnsi="Consolas"/>
      <w:sz w:val="21"/>
      <w:szCs w:val="21"/>
    </w:rPr>
  </w:style>
  <w:style w:type="paragraph" w:styleId="E-postsignatur">
    <w:name w:val="E-mail Signature"/>
    <w:basedOn w:val="Normal"/>
    <w:link w:val="E-postsignaturTegn"/>
    <w:uiPriority w:val="99"/>
    <w:unhideWhenUsed/>
    <w:rsid w:val="00B55F3D"/>
    <w:pPr>
      <w:spacing w:after="0" w:line="240" w:lineRule="auto"/>
    </w:pPr>
  </w:style>
  <w:style w:type="character" w:customStyle="1" w:styleId="E-postsignaturTegn">
    <w:name w:val="E-postsignatur Tegn"/>
    <w:basedOn w:val="Standardskriftforavsnitt"/>
    <w:link w:val="E-postsignatur"/>
    <w:uiPriority w:val="99"/>
    <w:rsid w:val="00B55F3D"/>
    <w:rPr>
      <w:rFonts w:ascii="Times New Roman" w:eastAsia="Times New Roman" w:hAnsi="Times New Roman"/>
      <w:sz w:val="24"/>
    </w:rPr>
  </w:style>
  <w:style w:type="paragraph" w:styleId="HTML-adresse">
    <w:name w:val="HTML Address"/>
    <w:basedOn w:val="Normal"/>
    <w:link w:val="HTML-adresseTegn"/>
    <w:uiPriority w:val="99"/>
    <w:unhideWhenUsed/>
    <w:rsid w:val="00B55F3D"/>
    <w:pPr>
      <w:spacing w:after="0" w:line="240" w:lineRule="auto"/>
    </w:pPr>
    <w:rPr>
      <w:i/>
      <w:iCs/>
    </w:rPr>
  </w:style>
  <w:style w:type="character" w:customStyle="1" w:styleId="HTML-adresseTegn">
    <w:name w:val="HTML-adresse Tegn"/>
    <w:basedOn w:val="Standardskriftforavsnitt"/>
    <w:link w:val="HTML-adresse"/>
    <w:uiPriority w:val="99"/>
    <w:rsid w:val="00B55F3D"/>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B55F3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B55F3D"/>
    <w:rPr>
      <w:rFonts w:ascii="Consolas" w:eastAsia="Times New Roman" w:hAnsi="Consolas"/>
      <w:sz w:val="20"/>
      <w:szCs w:val="20"/>
    </w:rPr>
  </w:style>
  <w:style w:type="paragraph" w:styleId="Bibliografi">
    <w:name w:val="Bibliography"/>
    <w:basedOn w:val="Normal"/>
    <w:next w:val="Normal"/>
    <w:uiPriority w:val="37"/>
    <w:unhideWhenUsed/>
    <w:rsid w:val="00B55F3D"/>
  </w:style>
  <w:style w:type="paragraph" w:customStyle="1" w:styleId="Figur">
    <w:name w:val="Figur"/>
    <w:basedOn w:val="Normal"/>
    <w:rsid w:val="00B55F3D"/>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B55F3D"/>
    <w:pPr>
      <w:ind w:firstLine="360"/>
    </w:pPr>
  </w:style>
  <w:style w:type="character" w:customStyle="1" w:styleId="Brdtekst-frsteinnrykkTegn">
    <w:name w:val="Brødtekst - første innrykk Tegn"/>
    <w:basedOn w:val="BrdtekstTegn"/>
    <w:link w:val="Brdtekst-frsteinnrykk"/>
    <w:uiPriority w:val="99"/>
    <w:rsid w:val="00B55F3D"/>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B55F3D"/>
    <w:pPr>
      <w:ind w:left="360" w:firstLine="360"/>
    </w:pPr>
  </w:style>
  <w:style w:type="character" w:customStyle="1" w:styleId="Brdtekst-frsteinnrykk2Tegn">
    <w:name w:val="Brødtekst - første innrykk 2 Tegn"/>
    <w:basedOn w:val="BrdtekstinnrykkTegn"/>
    <w:link w:val="Brdtekst-frsteinnrykk2"/>
    <w:uiPriority w:val="99"/>
    <w:rsid w:val="00B55F3D"/>
    <w:rPr>
      <w:rFonts w:ascii="Times New Roman" w:eastAsia="Times New Roman" w:hAnsi="Times New Roman"/>
      <w:sz w:val="24"/>
    </w:rPr>
  </w:style>
  <w:style w:type="paragraph" w:styleId="Liste-forts">
    <w:name w:val="List Continue"/>
    <w:basedOn w:val="Normal"/>
    <w:uiPriority w:val="99"/>
    <w:unhideWhenUsed/>
    <w:rsid w:val="00B55F3D"/>
    <w:pPr>
      <w:ind w:left="283"/>
      <w:contextualSpacing/>
    </w:pPr>
  </w:style>
  <w:style w:type="paragraph" w:styleId="Liste-forts2">
    <w:name w:val="List Continue 2"/>
    <w:basedOn w:val="Normal"/>
    <w:uiPriority w:val="99"/>
    <w:unhideWhenUsed/>
    <w:rsid w:val="00B55F3D"/>
    <w:pPr>
      <w:ind w:left="566"/>
      <w:contextualSpacing/>
    </w:pPr>
  </w:style>
  <w:style w:type="paragraph" w:styleId="Liste-forts3">
    <w:name w:val="List Continue 3"/>
    <w:basedOn w:val="Normal"/>
    <w:uiPriority w:val="99"/>
    <w:unhideWhenUsed/>
    <w:rsid w:val="00B55F3D"/>
    <w:pPr>
      <w:ind w:left="849"/>
      <w:contextualSpacing/>
    </w:pPr>
  </w:style>
  <w:style w:type="paragraph" w:styleId="Liste-forts4">
    <w:name w:val="List Continue 4"/>
    <w:basedOn w:val="Normal"/>
    <w:uiPriority w:val="99"/>
    <w:unhideWhenUsed/>
    <w:rsid w:val="00B55F3D"/>
    <w:pPr>
      <w:ind w:left="1132"/>
      <w:contextualSpacing/>
    </w:pPr>
  </w:style>
  <w:style w:type="paragraph" w:styleId="Liste-forts5">
    <w:name w:val="List Continue 5"/>
    <w:basedOn w:val="Normal"/>
    <w:uiPriority w:val="99"/>
    <w:unhideWhenUsed/>
    <w:rsid w:val="00B55F3D"/>
    <w:pPr>
      <w:ind w:left="1415"/>
      <w:contextualSpacing/>
    </w:pPr>
  </w:style>
  <w:style w:type="paragraph" w:customStyle="1" w:styleId="Sammendrag">
    <w:name w:val="Sammendrag"/>
    <w:basedOn w:val="Overskrift1"/>
    <w:qFormat/>
    <w:rsid w:val="00B55F3D"/>
    <w:pPr>
      <w:numPr>
        <w:numId w:val="0"/>
      </w:numPr>
    </w:pPr>
  </w:style>
  <w:style w:type="paragraph" w:customStyle="1" w:styleId="TrykkeriMerknad">
    <w:name w:val="TrykkeriMerknad"/>
    <w:basedOn w:val="Normal"/>
    <w:qFormat/>
    <w:rsid w:val="00B55F3D"/>
    <w:pPr>
      <w:spacing w:before="60"/>
    </w:pPr>
    <w:rPr>
      <w:rFonts w:ascii="Arial" w:hAnsi="Arial"/>
      <w:color w:val="943634" w:themeColor="accent2" w:themeShade="BF"/>
      <w:spacing w:val="4"/>
      <w:sz w:val="26"/>
    </w:rPr>
  </w:style>
  <w:style w:type="paragraph" w:customStyle="1" w:styleId="ForfatterMerknad">
    <w:name w:val="ForfatterMerknad"/>
    <w:basedOn w:val="TrykkeriMerknad"/>
    <w:qFormat/>
    <w:rsid w:val="00B55F3D"/>
    <w:pPr>
      <w:shd w:val="clear" w:color="auto" w:fill="FFFF99"/>
      <w:spacing w:line="240" w:lineRule="auto"/>
    </w:pPr>
    <w:rPr>
      <w:color w:val="632423" w:themeColor="accent2" w:themeShade="80"/>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a-tilraar-dep">
    <w:name w:val="a-tilraar-dep"/>
    <w:basedOn w:val="Normal"/>
    <w:next w:val="Normal"/>
    <w:rsid w:val="00B55F3D"/>
    <w:pPr>
      <w:keepNext/>
      <w:spacing w:before="240" w:after="240"/>
    </w:pPr>
    <w:rPr>
      <w:spacing w:val="4"/>
    </w:rPr>
  </w:style>
  <w:style w:type="paragraph" w:customStyle="1" w:styleId="a-tilraar-tit">
    <w:name w:val="a-tilraar-tit"/>
    <w:basedOn w:val="Normal"/>
    <w:next w:val="Normal"/>
    <w:rsid w:val="00B55F3D"/>
    <w:pPr>
      <w:keepNext/>
      <w:keepLines/>
      <w:spacing w:before="240"/>
      <w:jc w:val="center"/>
    </w:pPr>
    <w:rPr>
      <w:spacing w:val="30"/>
    </w:rPr>
  </w:style>
  <w:style w:type="paragraph" w:customStyle="1" w:styleId="ramme-noter">
    <w:name w:val="ramme-noter"/>
    <w:basedOn w:val="Normal"/>
    <w:next w:val="Normal"/>
    <w:rsid w:val="00B55F3D"/>
    <w:pPr>
      <w:tabs>
        <w:tab w:val="left" w:pos="284"/>
      </w:tabs>
      <w:spacing w:before="120" w:line="240" w:lineRule="auto"/>
      <w:contextualSpacing/>
    </w:pPr>
    <w:rPr>
      <w:rFonts w:ascii="Times" w:eastAsia="Batang" w:hAnsi="Times"/>
      <w:sz w:val="20"/>
      <w:szCs w:val="20"/>
    </w:rPr>
  </w:style>
  <w:style w:type="paragraph" w:customStyle="1" w:styleId="Def">
    <w:name w:val="Def"/>
    <w:basedOn w:val="Normal"/>
    <w:qFormat/>
    <w:rsid w:val="00B55F3D"/>
  </w:style>
  <w:style w:type="paragraph" w:customStyle="1" w:styleId="del-nr">
    <w:name w:val="del-nr"/>
    <w:basedOn w:val="Normal"/>
    <w:qFormat/>
    <w:rsid w:val="00B55F3D"/>
    <w:pPr>
      <w:keepNext/>
      <w:keepLines/>
      <w:spacing w:before="360" w:after="0" w:line="240" w:lineRule="auto"/>
      <w:jc w:val="center"/>
    </w:pPr>
    <w:rPr>
      <w:rFonts w:eastAsia="Batang"/>
      <w:i/>
      <w:sz w:val="48"/>
      <w:szCs w:val="20"/>
    </w:rPr>
  </w:style>
  <w:style w:type="paragraph" w:customStyle="1" w:styleId="del-tittel">
    <w:name w:val="del-tittel"/>
    <w:uiPriority w:val="99"/>
    <w:rsid w:val="00B55F3D"/>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B55F3D"/>
    <w:rPr>
      <w:spacing w:val="4"/>
    </w:rPr>
  </w:style>
  <w:style w:type="paragraph" w:customStyle="1" w:styleId="figur-noter">
    <w:name w:val="figur-noter"/>
    <w:basedOn w:val="Normal"/>
    <w:next w:val="Normal"/>
    <w:rsid w:val="00B55F3D"/>
    <w:pPr>
      <w:tabs>
        <w:tab w:val="left" w:pos="284"/>
      </w:tabs>
      <w:spacing w:before="120" w:line="240" w:lineRule="auto"/>
      <w:contextualSpacing/>
    </w:pPr>
    <w:rPr>
      <w:rFonts w:ascii="Times" w:eastAsia="Batang" w:hAnsi="Times"/>
      <w:sz w:val="20"/>
      <w:szCs w:val="20"/>
    </w:rPr>
  </w:style>
  <w:style w:type="paragraph" w:customStyle="1" w:styleId="forfatter">
    <w:name w:val="forfatter"/>
    <w:basedOn w:val="Normal"/>
    <w:next w:val="Normal"/>
    <w:rsid w:val="00B55F3D"/>
    <w:pPr>
      <w:spacing w:before="240"/>
      <w:jc w:val="center"/>
    </w:pPr>
    <w:rPr>
      <w:spacing w:val="4"/>
    </w:rPr>
  </w:style>
  <w:style w:type="paragraph" w:customStyle="1" w:styleId="hengende-innrykk">
    <w:name w:val="hengende-innrykk"/>
    <w:basedOn w:val="Normal"/>
    <w:next w:val="Normal"/>
    <w:rsid w:val="00B55F3D"/>
    <w:pPr>
      <w:ind w:left="1418" w:hanging="1418"/>
    </w:pPr>
    <w:rPr>
      <w:spacing w:val="4"/>
    </w:rPr>
  </w:style>
  <w:style w:type="paragraph" w:customStyle="1" w:styleId="i-dep">
    <w:name w:val="i-dep"/>
    <w:basedOn w:val="Normal"/>
    <w:next w:val="Normal"/>
    <w:rsid w:val="00B55F3D"/>
    <w:pPr>
      <w:jc w:val="right"/>
    </w:pPr>
    <w:rPr>
      <w:rFonts w:ascii="Times" w:hAnsi="Times"/>
      <w:b/>
      <w:noProof/>
      <w:spacing w:val="4"/>
      <w:u w:val="single"/>
    </w:rPr>
  </w:style>
  <w:style w:type="paragraph" w:customStyle="1" w:styleId="i-undertit">
    <w:name w:val="i-undertit"/>
    <w:basedOn w:val="Normal"/>
    <w:next w:val="Normal"/>
    <w:rsid w:val="00B55F3D"/>
    <w:pPr>
      <w:keepNext/>
      <w:keepLines/>
      <w:spacing w:before="360"/>
      <w:jc w:val="center"/>
    </w:pPr>
    <w:rPr>
      <w:rFonts w:ascii="Times" w:hAnsi="Times"/>
      <w:b/>
      <w:noProof/>
      <w:spacing w:val="4"/>
      <w:sz w:val="28"/>
    </w:rPr>
  </w:style>
  <w:style w:type="paragraph" w:customStyle="1" w:styleId="i-saerskilt-vedl">
    <w:name w:val="i-saerskilt-vedl"/>
    <w:basedOn w:val="Normal"/>
    <w:next w:val="Normal"/>
    <w:rsid w:val="00B55F3D"/>
    <w:pPr>
      <w:ind w:left="1701" w:hanging="1701"/>
    </w:pPr>
  </w:style>
  <w:style w:type="paragraph" w:customStyle="1" w:styleId="i-statsrdato">
    <w:name w:val="i-statsr.dato"/>
    <w:basedOn w:val="Normal"/>
    <w:next w:val="Normal"/>
    <w:rsid w:val="00B55F3D"/>
    <w:pPr>
      <w:jc w:val="center"/>
    </w:pPr>
    <w:rPr>
      <w:rFonts w:ascii="Times" w:hAnsi="Times"/>
      <w:i/>
      <w:noProof/>
      <w:spacing w:val="4"/>
    </w:rPr>
  </w:style>
  <w:style w:type="paragraph" w:customStyle="1" w:styleId="i-tit">
    <w:name w:val="i-tit"/>
    <w:basedOn w:val="Normal"/>
    <w:next w:val="i-statsrdato"/>
    <w:rsid w:val="00B55F3D"/>
    <w:pPr>
      <w:spacing w:before="360" w:after="240"/>
      <w:jc w:val="center"/>
    </w:pPr>
    <w:rPr>
      <w:rFonts w:ascii="Times" w:hAnsi="Times"/>
      <w:b/>
      <w:noProof/>
      <w:spacing w:val="4"/>
      <w:sz w:val="32"/>
    </w:rPr>
  </w:style>
  <w:style w:type="paragraph" w:customStyle="1" w:styleId="is-dep">
    <w:name w:val="is-dep"/>
    <w:basedOn w:val="i-dep"/>
    <w:qFormat/>
    <w:rsid w:val="00B55F3D"/>
    <w:pPr>
      <w:spacing w:line="240" w:lineRule="auto"/>
    </w:pPr>
    <w:rPr>
      <w:szCs w:val="20"/>
    </w:rPr>
  </w:style>
  <w:style w:type="paragraph" w:customStyle="1" w:styleId="l-avsnitt">
    <w:name w:val="l-avsnitt"/>
    <w:basedOn w:val="l-lovkap"/>
    <w:qFormat/>
    <w:rsid w:val="00B55F3D"/>
    <w:rPr>
      <w:lang w:val="nn-NO"/>
    </w:rPr>
  </w:style>
  <w:style w:type="paragraph" w:customStyle="1" w:styleId="l-lovdeltit">
    <w:name w:val="l-lovdeltit"/>
    <w:basedOn w:val="Normal"/>
    <w:next w:val="Normal"/>
    <w:rsid w:val="00B55F3D"/>
    <w:pPr>
      <w:keepNext/>
      <w:spacing w:before="120" w:after="60"/>
    </w:pPr>
    <w:rPr>
      <w:b/>
    </w:rPr>
  </w:style>
  <w:style w:type="paragraph" w:customStyle="1" w:styleId="l-lovkap">
    <w:name w:val="l-lovkap"/>
    <w:basedOn w:val="Normal"/>
    <w:next w:val="Normal"/>
    <w:rsid w:val="00B55F3D"/>
    <w:pPr>
      <w:keepNext/>
      <w:spacing w:before="240" w:after="40"/>
    </w:pPr>
    <w:rPr>
      <w:b/>
      <w:spacing w:val="4"/>
    </w:rPr>
  </w:style>
  <w:style w:type="paragraph" w:customStyle="1" w:styleId="l-lovtit">
    <w:name w:val="l-lovtit"/>
    <w:basedOn w:val="Normal"/>
    <w:next w:val="Normal"/>
    <w:rsid w:val="00B55F3D"/>
    <w:pPr>
      <w:keepNext/>
      <w:spacing w:before="120" w:after="60"/>
    </w:pPr>
    <w:rPr>
      <w:b/>
      <w:spacing w:val="4"/>
    </w:rPr>
  </w:style>
  <w:style w:type="paragraph" w:customStyle="1" w:styleId="l-punktum">
    <w:name w:val="l-punktum"/>
    <w:basedOn w:val="Normal"/>
    <w:qFormat/>
    <w:rsid w:val="00B55F3D"/>
    <w:pPr>
      <w:spacing w:after="0"/>
    </w:pPr>
    <w:rPr>
      <w:spacing w:val="4"/>
    </w:rPr>
  </w:style>
  <w:style w:type="paragraph" w:customStyle="1" w:styleId="l-tit-endr-avsnitt">
    <w:name w:val="l-tit-endr-avsnitt"/>
    <w:basedOn w:val="l-tit-endr-lovkap"/>
    <w:qFormat/>
    <w:rsid w:val="00B55F3D"/>
  </w:style>
  <w:style w:type="paragraph" w:customStyle="1" w:styleId="l-tit-endr-ledd">
    <w:name w:val="l-tit-endr-ledd"/>
    <w:basedOn w:val="Normal"/>
    <w:qFormat/>
    <w:rsid w:val="00B55F3D"/>
    <w:pPr>
      <w:keepNext/>
      <w:spacing w:before="240" w:after="0" w:line="240" w:lineRule="auto"/>
    </w:pPr>
    <w:rPr>
      <w:rFonts w:ascii="Times" w:hAnsi="Times"/>
      <w:noProof/>
      <w:spacing w:val="4"/>
      <w:lang w:val="nn-NO"/>
    </w:rPr>
  </w:style>
  <w:style w:type="paragraph" w:customStyle="1" w:styleId="l-tit-endr-lov">
    <w:name w:val="l-tit-endr-lov"/>
    <w:basedOn w:val="Normal"/>
    <w:qFormat/>
    <w:rsid w:val="00B55F3D"/>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B55F3D"/>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B55F3D"/>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B55F3D"/>
  </w:style>
  <w:style w:type="paragraph" w:customStyle="1" w:styleId="Listeavsnitt2">
    <w:name w:val="Listeavsnitt 2"/>
    <w:basedOn w:val="Normal"/>
    <w:qFormat/>
    <w:rsid w:val="00B55F3D"/>
    <w:pPr>
      <w:spacing w:before="60" w:after="0"/>
      <w:ind w:left="794"/>
    </w:pPr>
  </w:style>
  <w:style w:type="paragraph" w:customStyle="1" w:styleId="Listeavsnitt3">
    <w:name w:val="Listeavsnitt 3"/>
    <w:basedOn w:val="Normal"/>
    <w:qFormat/>
    <w:rsid w:val="00B55F3D"/>
    <w:pPr>
      <w:spacing w:before="60" w:after="0"/>
      <w:ind w:left="1191"/>
    </w:pPr>
  </w:style>
  <w:style w:type="paragraph" w:customStyle="1" w:styleId="Listeavsnitt4">
    <w:name w:val="Listeavsnitt 4"/>
    <w:basedOn w:val="Normal"/>
    <w:qFormat/>
    <w:rsid w:val="00B55F3D"/>
    <w:pPr>
      <w:spacing w:before="60" w:after="0"/>
      <w:ind w:left="1588"/>
    </w:pPr>
  </w:style>
  <w:style w:type="paragraph" w:customStyle="1" w:styleId="Listeavsnitt5">
    <w:name w:val="Listeavsnitt 5"/>
    <w:basedOn w:val="Normal"/>
    <w:qFormat/>
    <w:rsid w:val="00B55F3D"/>
    <w:pPr>
      <w:spacing w:before="60" w:after="0"/>
      <w:ind w:left="1985"/>
    </w:pPr>
  </w:style>
  <w:style w:type="paragraph" w:customStyle="1" w:styleId="Normalref">
    <w:name w:val="Normalref"/>
    <w:basedOn w:val="Normal"/>
    <w:qFormat/>
    <w:rsid w:val="00B55F3D"/>
    <w:pPr>
      <w:ind w:left="357" w:hanging="357"/>
    </w:pPr>
  </w:style>
  <w:style w:type="paragraph" w:customStyle="1" w:styleId="Petit">
    <w:name w:val="Petit"/>
    <w:basedOn w:val="Normal"/>
    <w:next w:val="Normal"/>
    <w:qFormat/>
    <w:rsid w:val="00B55F3D"/>
    <w:rPr>
      <w:spacing w:val="6"/>
      <w:sz w:val="19"/>
    </w:rPr>
  </w:style>
  <w:style w:type="paragraph" w:customStyle="1" w:styleId="Ramme-slutt">
    <w:name w:val="Ramme-slutt"/>
    <w:basedOn w:val="NormalWeb"/>
    <w:qFormat/>
    <w:rsid w:val="00B55F3D"/>
    <w:rPr>
      <w:b/>
      <w:color w:val="C00000"/>
    </w:rPr>
  </w:style>
  <w:style w:type="paragraph" w:customStyle="1" w:styleId="tabell-noter">
    <w:name w:val="tabell-noter"/>
    <w:basedOn w:val="Normal"/>
    <w:next w:val="Normal"/>
    <w:rsid w:val="00B55F3D"/>
    <w:pPr>
      <w:tabs>
        <w:tab w:val="left" w:pos="284"/>
      </w:tabs>
      <w:spacing w:before="120" w:line="240" w:lineRule="auto"/>
      <w:contextualSpacing/>
    </w:pPr>
    <w:rPr>
      <w:rFonts w:ascii="Times" w:eastAsia="Batang" w:hAnsi="Times"/>
      <w:sz w:val="20"/>
      <w:szCs w:val="20"/>
    </w:rPr>
  </w:style>
  <w:style w:type="paragraph" w:customStyle="1" w:styleId="Tabellnavn">
    <w:name w:val="Tabellnavn"/>
    <w:basedOn w:val="NormalWeb"/>
    <w:qFormat/>
    <w:rsid w:val="00B55F3D"/>
    <w:rPr>
      <w:rFonts w:ascii="Times" w:hAnsi="Times"/>
      <w:vanish/>
      <w:color w:val="00B050"/>
    </w:rPr>
  </w:style>
  <w:style w:type="paragraph" w:customStyle="1" w:styleId="Term">
    <w:name w:val="Term"/>
    <w:basedOn w:val="Normal"/>
    <w:qFormat/>
    <w:rsid w:val="00B55F3D"/>
  </w:style>
  <w:style w:type="paragraph" w:customStyle="1" w:styleId="tittel-forord">
    <w:name w:val="tittel-forord"/>
    <w:basedOn w:val="Normal"/>
    <w:next w:val="Normal"/>
    <w:rsid w:val="00B55F3D"/>
    <w:pPr>
      <w:keepNext/>
      <w:keepLines/>
      <w:jc w:val="center"/>
    </w:pPr>
    <w:rPr>
      <w:rFonts w:ascii="Arial" w:hAnsi="Arial"/>
      <w:b/>
      <w:sz w:val="28"/>
    </w:rPr>
  </w:style>
  <w:style w:type="paragraph" w:customStyle="1" w:styleId="tittel-litteraturliste">
    <w:name w:val="tittel-litteraturliste"/>
    <w:basedOn w:val="Normal"/>
    <w:next w:val="Normal"/>
    <w:rsid w:val="00B55F3D"/>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B55F3D"/>
    <w:pPr>
      <w:keepNext/>
      <w:keepLines/>
      <w:spacing w:before="360" w:after="240"/>
      <w:jc w:val="center"/>
    </w:pPr>
    <w:rPr>
      <w:rFonts w:ascii="Arial" w:hAnsi="Arial"/>
      <w:b/>
      <w:spacing w:val="4"/>
      <w:sz w:val="28"/>
    </w:rPr>
  </w:style>
  <w:style w:type="paragraph" w:customStyle="1" w:styleId="undervedl-nr">
    <w:name w:val="undervedl-nr"/>
    <w:basedOn w:val="vedlegg-nr"/>
    <w:next w:val="Normal"/>
    <w:rsid w:val="00B55F3D"/>
    <w:pPr>
      <w:numPr>
        <w:numId w:val="0"/>
      </w:numPr>
    </w:pPr>
    <w:rPr>
      <w:b w:val="0"/>
      <w:i/>
    </w:rPr>
  </w:style>
  <w:style w:type="paragraph" w:customStyle="1" w:styleId="Undervedl-tittel">
    <w:name w:val="Undervedl-tittel"/>
    <w:basedOn w:val="Normal"/>
    <w:next w:val="Normal"/>
    <w:rsid w:val="00B55F3D"/>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B55F3D"/>
    <w:pPr>
      <w:numPr>
        <w:numId w:val="0"/>
      </w:numPr>
      <w:outlineLvl w:val="9"/>
    </w:pPr>
  </w:style>
  <w:style w:type="paragraph" w:customStyle="1" w:styleId="v-Overskrift2">
    <w:name w:val="v-Overskrift 2"/>
    <w:basedOn w:val="Overskrift2"/>
    <w:next w:val="Normal"/>
    <w:rsid w:val="00B55F3D"/>
    <w:pPr>
      <w:numPr>
        <w:ilvl w:val="0"/>
        <w:numId w:val="0"/>
      </w:numPr>
      <w:outlineLvl w:val="9"/>
    </w:pPr>
  </w:style>
  <w:style w:type="paragraph" w:customStyle="1" w:styleId="v-Overskrift3">
    <w:name w:val="v-Overskrift 3"/>
    <w:basedOn w:val="Overskrift3"/>
    <w:next w:val="Normal"/>
    <w:rsid w:val="00B55F3D"/>
    <w:pPr>
      <w:numPr>
        <w:ilvl w:val="0"/>
        <w:numId w:val="0"/>
      </w:numPr>
      <w:outlineLvl w:val="9"/>
    </w:pPr>
  </w:style>
  <w:style w:type="paragraph" w:customStyle="1" w:styleId="vedlegg-nr">
    <w:name w:val="vedlegg-nr"/>
    <w:basedOn w:val="Normal"/>
    <w:next w:val="Normal"/>
    <w:rsid w:val="00B55F3D"/>
    <w:pPr>
      <w:keepNext/>
      <w:keepLines/>
      <w:numPr>
        <w:numId w:val="8"/>
      </w:numPr>
    </w:pPr>
    <w:rPr>
      <w:rFonts w:ascii="Arial" w:hAnsi="Arial"/>
      <w:b/>
      <w:spacing w:val="4"/>
      <w:u w:val="single"/>
    </w:rPr>
  </w:style>
  <w:style w:type="paragraph" w:customStyle="1" w:styleId="vedlegg-tit">
    <w:name w:val="vedlegg-tit"/>
    <w:basedOn w:val="Normal"/>
    <w:next w:val="Normal"/>
    <w:rsid w:val="00B55F3D"/>
    <w:pPr>
      <w:keepNext/>
      <w:keepLines/>
      <w:spacing w:before="360" w:after="80"/>
      <w:jc w:val="center"/>
    </w:pPr>
    <w:rPr>
      <w:rFonts w:ascii="Arial" w:hAnsi="Arial"/>
      <w:b/>
      <w:spacing w:val="4"/>
      <w:sz w:val="28"/>
    </w:rPr>
  </w:style>
  <w:style w:type="paragraph" w:customStyle="1" w:styleId="i-hode-tit">
    <w:name w:val="i-hode-tit"/>
    <w:basedOn w:val="Normal"/>
    <w:autoRedefine/>
    <w:qFormat/>
    <w:rsid w:val="00B55F3D"/>
    <w:pPr>
      <w:keepNext/>
      <w:keepLines/>
      <w:jc w:val="center"/>
    </w:pPr>
    <w:rPr>
      <w:rFonts w:eastAsia="Batang"/>
      <w:b/>
      <w:spacing w:val="4"/>
      <w:sz w:val="28"/>
    </w:rPr>
  </w:style>
  <w:style w:type="paragraph" w:customStyle="1" w:styleId="i-hode">
    <w:name w:val="i-hode"/>
    <w:basedOn w:val="Normal"/>
    <w:next w:val="Normal"/>
    <w:rsid w:val="00B55F3D"/>
    <w:pPr>
      <w:keepNext/>
      <w:keepLines/>
      <w:spacing w:before="720"/>
      <w:jc w:val="center"/>
    </w:pPr>
    <w:rPr>
      <w:rFonts w:ascii="Times" w:hAnsi="Times"/>
      <w:b/>
      <w:noProof/>
      <w:spacing w:val="4"/>
      <w:sz w:val="56"/>
    </w:rPr>
  </w:style>
  <w:style w:type="paragraph" w:customStyle="1" w:styleId="i-sesjon">
    <w:name w:val="i-sesjon"/>
    <w:basedOn w:val="Normal"/>
    <w:next w:val="Normal"/>
    <w:rsid w:val="00B55F3D"/>
    <w:pPr>
      <w:jc w:val="center"/>
    </w:pPr>
    <w:rPr>
      <w:rFonts w:ascii="Times" w:hAnsi="Times"/>
      <w:b/>
      <w:noProof/>
      <w:spacing w:val="4"/>
      <w:sz w:val="28"/>
    </w:rPr>
  </w:style>
  <w:style w:type="paragraph" w:customStyle="1" w:styleId="i-mtit">
    <w:name w:val="i-mtit"/>
    <w:basedOn w:val="Normal"/>
    <w:next w:val="Normal"/>
    <w:rsid w:val="00B55F3D"/>
    <w:pPr>
      <w:keepNext/>
      <w:keepLines/>
      <w:spacing w:before="360"/>
      <w:jc w:val="center"/>
    </w:pPr>
    <w:rPr>
      <w:rFonts w:ascii="Times" w:hAnsi="Times"/>
      <w:b/>
      <w:noProof/>
      <w:spacing w:val="4"/>
    </w:rPr>
  </w:style>
  <w:style w:type="paragraph" w:customStyle="1" w:styleId="figur-tittel">
    <w:name w:val="figur-tittel"/>
    <w:basedOn w:val="Normal"/>
    <w:next w:val="Normal"/>
    <w:rsid w:val="00B55F3D"/>
    <w:pPr>
      <w:numPr>
        <w:ilvl w:val="5"/>
        <w:numId w:val="24"/>
      </w:numPr>
    </w:pPr>
    <w:rPr>
      <w:rFonts w:ascii="Arial" w:hAnsi="Arial"/>
      <w:spacing w:val="4"/>
    </w:rPr>
  </w:style>
  <w:style w:type="paragraph" w:customStyle="1" w:styleId="tabell-tittel">
    <w:name w:val="tabell-tittel"/>
    <w:basedOn w:val="Normal"/>
    <w:next w:val="Normal"/>
    <w:rsid w:val="00B55F3D"/>
    <w:pPr>
      <w:keepNext/>
      <w:keepLines/>
      <w:numPr>
        <w:ilvl w:val="6"/>
        <w:numId w:val="24"/>
      </w:numPr>
      <w:spacing w:before="240"/>
    </w:pPr>
    <w:rPr>
      <w:rFonts w:ascii="Arial" w:hAnsi="Arial"/>
      <w:spacing w:val="4"/>
    </w:rPr>
  </w:style>
  <w:style w:type="paragraph" w:customStyle="1" w:styleId="avsnitt-tittel">
    <w:name w:val="avsnitt-tittel"/>
    <w:basedOn w:val="Normal"/>
    <w:next w:val="Normal"/>
    <w:rsid w:val="00B55F3D"/>
    <w:pPr>
      <w:keepNext/>
      <w:keepLines/>
      <w:spacing w:before="360" w:after="60"/>
    </w:pPr>
    <w:rPr>
      <w:rFonts w:ascii="Arial" w:hAnsi="Arial"/>
      <w:spacing w:val="4"/>
      <w:sz w:val="26"/>
    </w:rPr>
  </w:style>
  <w:style w:type="paragraph" w:customStyle="1" w:styleId="Listebombe">
    <w:name w:val="Liste bombe"/>
    <w:basedOn w:val="Liste"/>
    <w:qFormat/>
    <w:rsid w:val="00B55F3D"/>
    <w:pPr>
      <w:numPr>
        <w:numId w:val="19"/>
      </w:numPr>
    </w:pPr>
  </w:style>
  <w:style w:type="paragraph" w:customStyle="1" w:styleId="Listebombe2">
    <w:name w:val="Liste bombe 2"/>
    <w:basedOn w:val="Liste2"/>
    <w:qFormat/>
    <w:rsid w:val="00B55F3D"/>
    <w:pPr>
      <w:numPr>
        <w:ilvl w:val="0"/>
        <w:numId w:val="20"/>
      </w:numPr>
    </w:pPr>
  </w:style>
  <w:style w:type="paragraph" w:customStyle="1" w:styleId="Listebombe3">
    <w:name w:val="Liste bombe 3"/>
    <w:basedOn w:val="Liste3"/>
    <w:qFormat/>
    <w:rsid w:val="00B55F3D"/>
    <w:pPr>
      <w:numPr>
        <w:ilvl w:val="0"/>
        <w:numId w:val="21"/>
      </w:numPr>
    </w:pPr>
  </w:style>
  <w:style w:type="paragraph" w:customStyle="1" w:styleId="Listebombe4">
    <w:name w:val="Liste bombe 4"/>
    <w:basedOn w:val="Liste4"/>
    <w:qFormat/>
    <w:rsid w:val="00B55F3D"/>
    <w:pPr>
      <w:numPr>
        <w:ilvl w:val="0"/>
        <w:numId w:val="22"/>
      </w:numPr>
    </w:pPr>
  </w:style>
  <w:style w:type="paragraph" w:customStyle="1" w:styleId="Listebombe5">
    <w:name w:val="Liste bombe 5"/>
    <w:basedOn w:val="Liste5"/>
    <w:qFormat/>
    <w:rsid w:val="00B55F3D"/>
    <w:pPr>
      <w:numPr>
        <w:ilvl w:val="0"/>
        <w:numId w:val="23"/>
      </w:numPr>
    </w:pPr>
  </w:style>
  <w:style w:type="paragraph" w:customStyle="1" w:styleId="alfaliste">
    <w:name w:val="alfaliste"/>
    <w:basedOn w:val="Normal"/>
    <w:rsid w:val="00B55F3D"/>
    <w:pPr>
      <w:numPr>
        <w:numId w:val="10"/>
      </w:numPr>
      <w:spacing w:after="0"/>
    </w:pPr>
    <w:rPr>
      <w:spacing w:val="4"/>
    </w:rPr>
  </w:style>
  <w:style w:type="paragraph" w:customStyle="1" w:styleId="alfaliste2">
    <w:name w:val="alfaliste 2"/>
    <w:basedOn w:val="Normal"/>
    <w:rsid w:val="00B55F3D"/>
    <w:pPr>
      <w:numPr>
        <w:ilvl w:val="1"/>
        <w:numId w:val="10"/>
      </w:numPr>
      <w:spacing w:after="0"/>
    </w:pPr>
    <w:rPr>
      <w:spacing w:val="4"/>
    </w:rPr>
  </w:style>
  <w:style w:type="paragraph" w:customStyle="1" w:styleId="alfaliste3">
    <w:name w:val="alfaliste 3"/>
    <w:basedOn w:val="Normal"/>
    <w:rsid w:val="00B55F3D"/>
    <w:pPr>
      <w:numPr>
        <w:ilvl w:val="2"/>
        <w:numId w:val="10"/>
      </w:numPr>
      <w:spacing w:after="0"/>
    </w:pPr>
  </w:style>
  <w:style w:type="paragraph" w:customStyle="1" w:styleId="alfaliste4">
    <w:name w:val="alfaliste 4"/>
    <w:basedOn w:val="Normal"/>
    <w:rsid w:val="00B55F3D"/>
    <w:pPr>
      <w:numPr>
        <w:ilvl w:val="3"/>
        <w:numId w:val="10"/>
      </w:numPr>
      <w:spacing w:after="0"/>
    </w:pPr>
  </w:style>
  <w:style w:type="paragraph" w:customStyle="1" w:styleId="alfaliste5">
    <w:name w:val="alfaliste 5"/>
    <w:basedOn w:val="Normal"/>
    <w:rsid w:val="00B55F3D"/>
    <w:pPr>
      <w:numPr>
        <w:ilvl w:val="4"/>
        <w:numId w:val="10"/>
      </w:numPr>
      <w:spacing w:after="0"/>
    </w:pPr>
  </w:style>
  <w:style w:type="paragraph" w:customStyle="1" w:styleId="romertallliste">
    <w:name w:val="romertall liste"/>
    <w:basedOn w:val="Normal"/>
    <w:rsid w:val="00B55F3D"/>
    <w:pPr>
      <w:numPr>
        <w:numId w:val="18"/>
      </w:numPr>
      <w:spacing w:after="0" w:line="240" w:lineRule="auto"/>
    </w:pPr>
    <w:rPr>
      <w:rFonts w:ascii="Times" w:eastAsia="Batang" w:hAnsi="Times"/>
      <w:szCs w:val="20"/>
    </w:rPr>
  </w:style>
  <w:style w:type="paragraph" w:customStyle="1" w:styleId="romertallliste2">
    <w:name w:val="romertall liste 2"/>
    <w:basedOn w:val="Normal"/>
    <w:rsid w:val="00B55F3D"/>
    <w:pPr>
      <w:numPr>
        <w:ilvl w:val="1"/>
        <w:numId w:val="18"/>
      </w:numPr>
      <w:spacing w:after="0" w:line="240" w:lineRule="auto"/>
    </w:pPr>
    <w:rPr>
      <w:rFonts w:ascii="Times" w:eastAsia="Batang" w:hAnsi="Times"/>
      <w:szCs w:val="20"/>
    </w:rPr>
  </w:style>
  <w:style w:type="paragraph" w:customStyle="1" w:styleId="romertallliste3">
    <w:name w:val="romertall liste 3"/>
    <w:basedOn w:val="Normal"/>
    <w:rsid w:val="00B55F3D"/>
    <w:pPr>
      <w:numPr>
        <w:ilvl w:val="2"/>
        <w:numId w:val="18"/>
      </w:numPr>
      <w:spacing w:after="0" w:line="240" w:lineRule="auto"/>
    </w:pPr>
    <w:rPr>
      <w:rFonts w:ascii="Times" w:eastAsia="Batang" w:hAnsi="Times"/>
      <w:szCs w:val="20"/>
    </w:rPr>
  </w:style>
  <w:style w:type="paragraph" w:customStyle="1" w:styleId="romertallliste4">
    <w:name w:val="romertall liste 4"/>
    <w:basedOn w:val="Normal"/>
    <w:rsid w:val="00B55F3D"/>
    <w:pPr>
      <w:numPr>
        <w:ilvl w:val="3"/>
        <w:numId w:val="18"/>
      </w:numPr>
      <w:spacing w:after="0" w:line="240" w:lineRule="auto"/>
    </w:pPr>
    <w:rPr>
      <w:rFonts w:ascii="Times" w:eastAsia="Batang" w:hAnsi="Times"/>
      <w:szCs w:val="20"/>
    </w:rPr>
  </w:style>
  <w:style w:type="paragraph" w:customStyle="1" w:styleId="romertallliste5">
    <w:name w:val="romertall liste 5"/>
    <w:basedOn w:val="Normal"/>
    <w:qFormat/>
    <w:rsid w:val="00B55F3D"/>
    <w:pPr>
      <w:numPr>
        <w:ilvl w:val="4"/>
        <w:numId w:val="18"/>
      </w:numPr>
      <w:spacing w:after="0"/>
    </w:pPr>
    <w:rPr>
      <w:spacing w:val="4"/>
    </w:rPr>
  </w:style>
  <w:style w:type="paragraph" w:customStyle="1" w:styleId="opplisting">
    <w:name w:val="opplisting"/>
    <w:basedOn w:val="Normal"/>
    <w:rsid w:val="00B55F3D"/>
    <w:pPr>
      <w:spacing w:after="0"/>
    </w:pPr>
    <w:rPr>
      <w:rFonts w:ascii="Times" w:hAnsi="Times" w:cs="Times New Roman"/>
    </w:rPr>
  </w:style>
  <w:style w:type="paragraph" w:customStyle="1" w:styleId="opplisting2">
    <w:name w:val="opplisting 2"/>
    <w:basedOn w:val="Normal"/>
    <w:qFormat/>
    <w:rsid w:val="00B55F3D"/>
    <w:pPr>
      <w:spacing w:after="0"/>
      <w:ind w:left="397"/>
    </w:pPr>
    <w:rPr>
      <w:lang w:val="en-US"/>
    </w:rPr>
  </w:style>
  <w:style w:type="paragraph" w:customStyle="1" w:styleId="opplisting3">
    <w:name w:val="opplisting 3"/>
    <w:basedOn w:val="Normal"/>
    <w:qFormat/>
    <w:rsid w:val="00B55F3D"/>
    <w:pPr>
      <w:spacing w:after="0"/>
      <w:ind w:left="794"/>
    </w:pPr>
  </w:style>
  <w:style w:type="paragraph" w:customStyle="1" w:styleId="opplisting4">
    <w:name w:val="opplisting 4"/>
    <w:basedOn w:val="Normal"/>
    <w:qFormat/>
    <w:rsid w:val="00B55F3D"/>
    <w:pPr>
      <w:spacing w:after="0"/>
      <w:ind w:left="1191"/>
    </w:pPr>
  </w:style>
  <w:style w:type="paragraph" w:customStyle="1" w:styleId="opplisting5">
    <w:name w:val="opplisting 5"/>
    <w:basedOn w:val="Normal"/>
    <w:qFormat/>
    <w:rsid w:val="00B55F3D"/>
    <w:pPr>
      <w:spacing w:after="0"/>
      <w:ind w:left="1588"/>
    </w:pPr>
  </w:style>
  <w:style w:type="paragraph" w:customStyle="1" w:styleId="friliste">
    <w:name w:val="friliste"/>
    <w:basedOn w:val="Normal"/>
    <w:qFormat/>
    <w:rsid w:val="00B55F3D"/>
    <w:pPr>
      <w:tabs>
        <w:tab w:val="left" w:pos="397"/>
      </w:tabs>
      <w:spacing w:after="0"/>
      <w:ind w:left="397" w:hanging="397"/>
    </w:pPr>
  </w:style>
  <w:style w:type="paragraph" w:customStyle="1" w:styleId="friliste2">
    <w:name w:val="friliste 2"/>
    <w:basedOn w:val="Normal"/>
    <w:qFormat/>
    <w:rsid w:val="00B55F3D"/>
    <w:pPr>
      <w:tabs>
        <w:tab w:val="left" w:pos="794"/>
      </w:tabs>
      <w:spacing w:after="0"/>
      <w:ind w:left="794" w:hanging="397"/>
    </w:pPr>
  </w:style>
  <w:style w:type="paragraph" w:customStyle="1" w:styleId="friliste3">
    <w:name w:val="friliste 3"/>
    <w:basedOn w:val="Normal"/>
    <w:qFormat/>
    <w:rsid w:val="00B55F3D"/>
    <w:pPr>
      <w:tabs>
        <w:tab w:val="left" w:pos="1191"/>
      </w:tabs>
      <w:spacing w:after="0"/>
      <w:ind w:left="1191" w:hanging="397"/>
    </w:pPr>
  </w:style>
  <w:style w:type="paragraph" w:customStyle="1" w:styleId="friliste4">
    <w:name w:val="friliste 4"/>
    <w:basedOn w:val="Normal"/>
    <w:qFormat/>
    <w:rsid w:val="00B55F3D"/>
    <w:pPr>
      <w:tabs>
        <w:tab w:val="left" w:pos="1588"/>
      </w:tabs>
      <w:spacing w:after="0"/>
      <w:ind w:left="1588" w:hanging="397"/>
    </w:pPr>
  </w:style>
  <w:style w:type="paragraph" w:customStyle="1" w:styleId="friliste5">
    <w:name w:val="friliste 5"/>
    <w:basedOn w:val="Normal"/>
    <w:qFormat/>
    <w:rsid w:val="00B55F3D"/>
    <w:pPr>
      <w:tabs>
        <w:tab w:val="left" w:pos="1985"/>
      </w:tabs>
      <w:spacing w:after="0"/>
      <w:ind w:left="1985" w:hanging="397"/>
    </w:pPr>
  </w:style>
  <w:style w:type="paragraph" w:customStyle="1" w:styleId="l-alfaliste">
    <w:name w:val="l-alfaliste"/>
    <w:basedOn w:val="alfaliste"/>
    <w:qFormat/>
    <w:rsid w:val="00B55F3D"/>
    <w:pPr>
      <w:numPr>
        <w:numId w:val="11"/>
      </w:numPr>
    </w:pPr>
    <w:rPr>
      <w:rFonts w:eastAsiaTheme="minorEastAsia"/>
    </w:rPr>
  </w:style>
  <w:style w:type="paragraph" w:customStyle="1" w:styleId="l-alfaliste2">
    <w:name w:val="l-alfaliste 2"/>
    <w:basedOn w:val="alfaliste2"/>
    <w:qFormat/>
    <w:rsid w:val="00B55F3D"/>
    <w:pPr>
      <w:numPr>
        <w:numId w:val="11"/>
      </w:numPr>
    </w:pPr>
  </w:style>
  <w:style w:type="paragraph" w:customStyle="1" w:styleId="avsnitt-undertittel">
    <w:name w:val="avsnitt-undertittel"/>
    <w:basedOn w:val="Normal"/>
    <w:next w:val="Normal"/>
    <w:rsid w:val="00B55F3D"/>
    <w:pPr>
      <w:keepNext/>
      <w:keepLines/>
      <w:spacing w:before="360" w:after="60" w:line="240" w:lineRule="auto"/>
    </w:pPr>
    <w:rPr>
      <w:rFonts w:ascii="Arial" w:eastAsia="Batang" w:hAnsi="Arial"/>
      <w:i/>
      <w:szCs w:val="20"/>
    </w:rPr>
  </w:style>
  <w:style w:type="paragraph" w:customStyle="1" w:styleId="l-alfaliste3">
    <w:name w:val="l-alfaliste 3"/>
    <w:basedOn w:val="alfaliste3"/>
    <w:qFormat/>
    <w:rsid w:val="00B55F3D"/>
    <w:pPr>
      <w:numPr>
        <w:numId w:val="11"/>
      </w:numPr>
    </w:pPr>
  </w:style>
  <w:style w:type="paragraph" w:customStyle="1" w:styleId="l-alfaliste4">
    <w:name w:val="l-alfaliste 4"/>
    <w:basedOn w:val="alfaliste4"/>
    <w:qFormat/>
    <w:rsid w:val="00B55F3D"/>
    <w:pPr>
      <w:numPr>
        <w:numId w:val="11"/>
      </w:numPr>
    </w:pPr>
  </w:style>
  <w:style w:type="paragraph" w:customStyle="1" w:styleId="l-alfaliste5">
    <w:name w:val="l-alfaliste 5"/>
    <w:basedOn w:val="alfaliste5"/>
    <w:qFormat/>
    <w:rsid w:val="00B55F3D"/>
    <w:pPr>
      <w:numPr>
        <w:numId w:val="11"/>
      </w:numPr>
    </w:pPr>
  </w:style>
  <w:style w:type="paragraph" w:customStyle="1" w:styleId="avsnitt-under-undertittel">
    <w:name w:val="avsnitt-under-undertittel"/>
    <w:basedOn w:val="Normal"/>
    <w:next w:val="Normal"/>
    <w:rsid w:val="00B55F3D"/>
    <w:pPr>
      <w:keepNext/>
      <w:keepLines/>
      <w:spacing w:before="360" w:line="240" w:lineRule="auto"/>
    </w:pPr>
    <w:rPr>
      <w:rFonts w:eastAsia="Batang"/>
      <w:i/>
      <w:szCs w:val="20"/>
    </w:rPr>
  </w:style>
  <w:style w:type="paragraph" w:customStyle="1" w:styleId="blokksit">
    <w:name w:val="blokksit"/>
    <w:basedOn w:val="Normal"/>
    <w:qFormat/>
    <w:rsid w:val="00B55F3D"/>
    <w:pPr>
      <w:spacing w:line="240" w:lineRule="auto"/>
      <w:ind w:left="397"/>
    </w:pPr>
    <w:rPr>
      <w:rFonts w:ascii="Times" w:hAnsi="Times"/>
      <w:spacing w:val="-2"/>
    </w:rPr>
  </w:style>
  <w:style w:type="paragraph" w:customStyle="1" w:styleId="l-paragraf">
    <w:name w:val="l-paragraf"/>
    <w:basedOn w:val="Normal"/>
    <w:next w:val="Normal"/>
    <w:rsid w:val="00B55F3D"/>
    <w:pPr>
      <w:spacing w:before="180" w:after="0"/>
    </w:pPr>
    <w:rPr>
      <w:rFonts w:ascii="Times" w:hAnsi="Times"/>
      <w:i/>
      <w:spacing w:val="4"/>
    </w:rPr>
  </w:style>
  <w:style w:type="paragraph" w:customStyle="1" w:styleId="l-ledd">
    <w:name w:val="l-ledd"/>
    <w:basedOn w:val="Normal"/>
    <w:qFormat/>
    <w:rsid w:val="00B55F3D"/>
    <w:pPr>
      <w:spacing w:after="0"/>
      <w:ind w:firstLine="397"/>
    </w:pPr>
    <w:rPr>
      <w:rFonts w:ascii="Times" w:hAnsi="Times"/>
      <w:spacing w:val="4"/>
    </w:rPr>
  </w:style>
  <w:style w:type="paragraph" w:customStyle="1" w:styleId="l-tit-endr-paragraf">
    <w:name w:val="l-tit-endr-paragraf"/>
    <w:basedOn w:val="Normal"/>
    <w:qFormat/>
    <w:rsid w:val="00B55F3D"/>
    <w:pPr>
      <w:keepNext/>
      <w:spacing w:before="240" w:after="0" w:line="240" w:lineRule="auto"/>
    </w:pPr>
    <w:rPr>
      <w:rFonts w:ascii="Times" w:hAnsi="Times"/>
      <w:noProof/>
      <w:spacing w:val="4"/>
      <w:lang w:val="nn-NO"/>
    </w:rPr>
  </w:style>
  <w:style w:type="paragraph" w:customStyle="1" w:styleId="tittel-ramme">
    <w:name w:val="tittel-ramme"/>
    <w:basedOn w:val="Normal"/>
    <w:next w:val="Normal"/>
    <w:rsid w:val="00B55F3D"/>
    <w:pPr>
      <w:keepNext/>
      <w:keepLines/>
      <w:numPr>
        <w:ilvl w:val="7"/>
        <w:numId w:val="24"/>
      </w:numPr>
      <w:spacing w:before="360" w:after="80"/>
      <w:jc w:val="center"/>
    </w:pPr>
    <w:rPr>
      <w:rFonts w:ascii="Arial" w:hAnsi="Arial"/>
      <w:b/>
      <w:spacing w:val="4"/>
    </w:rPr>
  </w:style>
  <w:style w:type="character" w:styleId="Utheving">
    <w:name w:val="Emphasis"/>
    <w:basedOn w:val="Standardskriftforavsnitt"/>
    <w:uiPriority w:val="20"/>
    <w:qFormat/>
    <w:rsid w:val="00B55F3D"/>
    <w:rPr>
      <w:i/>
      <w:iCs/>
    </w:rPr>
  </w:style>
  <w:style w:type="character" w:styleId="Svakutheving">
    <w:name w:val="Subtle Emphasis"/>
    <w:basedOn w:val="Standardskriftforavsnitt"/>
    <w:uiPriority w:val="19"/>
    <w:qFormat/>
    <w:rsid w:val="00B55F3D"/>
    <w:rPr>
      <w:i/>
      <w:iCs/>
      <w:color w:val="808080" w:themeColor="text1" w:themeTint="7F"/>
    </w:rPr>
  </w:style>
  <w:style w:type="character" w:styleId="Sterkutheving">
    <w:name w:val="Intense Emphasis"/>
    <w:basedOn w:val="Standardskriftforavsnitt"/>
    <w:uiPriority w:val="21"/>
    <w:qFormat/>
    <w:rsid w:val="00B55F3D"/>
    <w:rPr>
      <w:b/>
      <w:bCs/>
      <w:i/>
      <w:iCs/>
      <w:color w:val="4F81BD" w:themeColor="accent1"/>
    </w:rPr>
  </w:style>
  <w:style w:type="character" w:styleId="Svakreferanse">
    <w:name w:val="Subtle Reference"/>
    <w:basedOn w:val="Standardskriftforavsnitt"/>
    <w:uiPriority w:val="31"/>
    <w:qFormat/>
    <w:rsid w:val="00B55F3D"/>
    <w:rPr>
      <w:smallCaps/>
      <w:color w:val="C0504D" w:themeColor="accent2"/>
      <w:u w:val="single"/>
    </w:rPr>
  </w:style>
  <w:style w:type="character" w:styleId="Sterkreferanse">
    <w:name w:val="Intense Reference"/>
    <w:basedOn w:val="Standardskriftforavsnitt"/>
    <w:uiPriority w:val="32"/>
    <w:qFormat/>
    <w:rsid w:val="00B55F3D"/>
    <w:rPr>
      <w:b/>
      <w:bCs/>
      <w:smallCaps/>
      <w:color w:val="C0504D" w:themeColor="accent2"/>
      <w:spacing w:val="5"/>
      <w:u w:val="single"/>
    </w:rPr>
  </w:style>
  <w:style w:type="character" w:styleId="Boktittel">
    <w:name w:val="Book Title"/>
    <w:basedOn w:val="Standardskriftforavsnitt"/>
    <w:uiPriority w:val="33"/>
    <w:qFormat/>
    <w:rsid w:val="00B55F3D"/>
    <w:rPr>
      <w:b/>
      <w:bCs/>
      <w:smallCaps/>
      <w:spacing w:val="5"/>
    </w:rPr>
  </w:style>
  <w:style w:type="character" w:styleId="Merknadsreferanse">
    <w:name w:val="annotation reference"/>
    <w:basedOn w:val="Standardskriftforavsnitt"/>
    <w:rsid w:val="00B55F3D"/>
    <w:rPr>
      <w:sz w:val="16"/>
    </w:rPr>
  </w:style>
  <w:style w:type="character" w:styleId="Sluttnotereferanse">
    <w:name w:val="endnote reference"/>
    <w:basedOn w:val="Standardskriftforavsnitt"/>
    <w:uiPriority w:val="99"/>
    <w:unhideWhenUsed/>
    <w:rsid w:val="00B55F3D"/>
    <w:rPr>
      <w:vertAlign w:val="superscript"/>
    </w:rPr>
  </w:style>
  <w:style w:type="character" w:styleId="Fulgthyperkobling">
    <w:name w:val="FollowedHyperlink"/>
    <w:basedOn w:val="Standardskriftforavsnitt"/>
    <w:uiPriority w:val="99"/>
    <w:unhideWhenUsed/>
    <w:rsid w:val="00B55F3D"/>
    <w:rPr>
      <w:color w:val="800080" w:themeColor="followedHyperlink"/>
      <w:u w:val="single"/>
    </w:rPr>
  </w:style>
  <w:style w:type="character" w:styleId="HTML-sitat">
    <w:name w:val="HTML Cite"/>
    <w:basedOn w:val="Standardskriftforavsnitt"/>
    <w:uiPriority w:val="99"/>
    <w:unhideWhenUsed/>
    <w:rsid w:val="00B55F3D"/>
    <w:rPr>
      <w:i/>
      <w:iCs/>
    </w:rPr>
  </w:style>
  <w:style w:type="character" w:styleId="HTML-kode">
    <w:name w:val="HTML Code"/>
    <w:basedOn w:val="Standardskriftforavsnitt"/>
    <w:uiPriority w:val="99"/>
    <w:unhideWhenUsed/>
    <w:rsid w:val="00B55F3D"/>
    <w:rPr>
      <w:rFonts w:ascii="Consolas" w:hAnsi="Consolas"/>
      <w:sz w:val="20"/>
      <w:szCs w:val="20"/>
    </w:rPr>
  </w:style>
  <w:style w:type="character" w:styleId="HTML-definisjon">
    <w:name w:val="HTML Definition"/>
    <w:basedOn w:val="Standardskriftforavsnitt"/>
    <w:uiPriority w:val="99"/>
    <w:unhideWhenUsed/>
    <w:rsid w:val="00B55F3D"/>
    <w:rPr>
      <w:i/>
      <w:iCs/>
    </w:rPr>
  </w:style>
  <w:style w:type="character" w:styleId="HTML-tastatur">
    <w:name w:val="HTML Keyboard"/>
    <w:basedOn w:val="Standardskriftforavsnitt"/>
    <w:uiPriority w:val="99"/>
    <w:unhideWhenUsed/>
    <w:rsid w:val="00B55F3D"/>
    <w:rPr>
      <w:rFonts w:ascii="Consolas" w:hAnsi="Consolas"/>
      <w:sz w:val="20"/>
      <w:szCs w:val="20"/>
    </w:rPr>
  </w:style>
  <w:style w:type="character" w:styleId="HTML-eksempel">
    <w:name w:val="HTML Sample"/>
    <w:basedOn w:val="Standardskriftforavsnitt"/>
    <w:uiPriority w:val="99"/>
    <w:unhideWhenUsed/>
    <w:rsid w:val="00B55F3D"/>
    <w:rPr>
      <w:rFonts w:ascii="Consolas" w:hAnsi="Consolas"/>
      <w:sz w:val="24"/>
      <w:szCs w:val="24"/>
    </w:rPr>
  </w:style>
  <w:style w:type="character" w:styleId="HTML-skrivemaskin">
    <w:name w:val="HTML Typewriter"/>
    <w:basedOn w:val="Standardskriftforavsnitt"/>
    <w:uiPriority w:val="99"/>
    <w:unhideWhenUsed/>
    <w:rsid w:val="00B55F3D"/>
    <w:rPr>
      <w:rFonts w:ascii="Consolas" w:hAnsi="Consolas"/>
      <w:sz w:val="20"/>
      <w:szCs w:val="20"/>
    </w:rPr>
  </w:style>
  <w:style w:type="character" w:styleId="HTML-variabel">
    <w:name w:val="HTML Variable"/>
    <w:basedOn w:val="Standardskriftforavsnitt"/>
    <w:uiPriority w:val="99"/>
    <w:unhideWhenUsed/>
    <w:rsid w:val="00B55F3D"/>
    <w:rPr>
      <w:i/>
      <w:iCs/>
    </w:rPr>
  </w:style>
  <w:style w:type="character" w:styleId="Fotnotereferanse">
    <w:name w:val="footnote reference"/>
    <w:basedOn w:val="Standardskriftforavsnitt"/>
    <w:rsid w:val="00B55F3D"/>
    <w:rPr>
      <w:vertAlign w:val="superscript"/>
    </w:rPr>
  </w:style>
  <w:style w:type="character" w:customStyle="1" w:styleId="gjennomstreket">
    <w:name w:val="gjennomstreket"/>
    <w:uiPriority w:val="1"/>
    <w:rsid w:val="00B55F3D"/>
    <w:rPr>
      <w:strike/>
      <w:dstrike w:val="0"/>
    </w:rPr>
  </w:style>
  <w:style w:type="character" w:customStyle="1" w:styleId="halvfet">
    <w:name w:val="halvfet"/>
    <w:basedOn w:val="Standardskriftforavsnitt"/>
    <w:rsid w:val="00B55F3D"/>
    <w:rPr>
      <w:b/>
    </w:rPr>
  </w:style>
  <w:style w:type="character" w:styleId="Hyperkobling">
    <w:name w:val="Hyperlink"/>
    <w:basedOn w:val="Standardskriftforavsnitt"/>
    <w:uiPriority w:val="99"/>
    <w:unhideWhenUsed/>
    <w:rsid w:val="00B55F3D"/>
    <w:rPr>
      <w:color w:val="0000FF" w:themeColor="hyperlink"/>
      <w:u w:val="single"/>
    </w:rPr>
  </w:style>
  <w:style w:type="character" w:customStyle="1" w:styleId="kursiv">
    <w:name w:val="kursiv"/>
    <w:basedOn w:val="Standardskriftforavsnitt"/>
    <w:rsid w:val="00B55F3D"/>
    <w:rPr>
      <w:i/>
    </w:rPr>
  </w:style>
  <w:style w:type="character" w:customStyle="1" w:styleId="l-endring">
    <w:name w:val="l-endring"/>
    <w:basedOn w:val="Standardskriftforavsnitt"/>
    <w:rsid w:val="00B55F3D"/>
    <w:rPr>
      <w:i/>
    </w:rPr>
  </w:style>
  <w:style w:type="character" w:styleId="Sidetall">
    <w:name w:val="page number"/>
    <w:basedOn w:val="Standardskriftforavsnitt"/>
    <w:rsid w:val="00B55F3D"/>
  </w:style>
  <w:style w:type="character" w:styleId="Plassholdertekst">
    <w:name w:val="Placeholder Text"/>
    <w:basedOn w:val="Standardskriftforavsnitt"/>
    <w:uiPriority w:val="99"/>
    <w:rsid w:val="00B55F3D"/>
    <w:rPr>
      <w:color w:val="808080"/>
    </w:rPr>
  </w:style>
  <w:style w:type="character" w:customStyle="1" w:styleId="regular">
    <w:name w:val="regular"/>
    <w:basedOn w:val="Standardskriftforavsnitt"/>
    <w:uiPriority w:val="1"/>
    <w:qFormat/>
    <w:rsid w:val="00B55F3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B55F3D"/>
    <w:rPr>
      <w:sz w:val="20"/>
      <w:vertAlign w:val="superscript"/>
    </w:rPr>
  </w:style>
  <w:style w:type="character" w:customStyle="1" w:styleId="skrift-senket">
    <w:name w:val="skrift-senket"/>
    <w:basedOn w:val="Standardskriftforavsnitt"/>
    <w:rsid w:val="00B55F3D"/>
    <w:rPr>
      <w:sz w:val="20"/>
      <w:vertAlign w:val="subscript"/>
    </w:rPr>
  </w:style>
  <w:style w:type="character" w:customStyle="1" w:styleId="sperret">
    <w:name w:val="sperret"/>
    <w:basedOn w:val="Standardskriftforavsnitt"/>
    <w:rsid w:val="00B55F3D"/>
    <w:rPr>
      <w:spacing w:val="30"/>
    </w:rPr>
  </w:style>
  <w:style w:type="character" w:customStyle="1" w:styleId="Stikkord">
    <w:name w:val="Stikkord"/>
    <w:basedOn w:val="Standardskriftforavsnitt"/>
    <w:rsid w:val="00B55F3D"/>
  </w:style>
  <w:style w:type="character" w:styleId="Sterk">
    <w:name w:val="Strong"/>
    <w:basedOn w:val="Standardskriftforavsnitt"/>
    <w:uiPriority w:val="22"/>
    <w:qFormat/>
    <w:rsid w:val="00B55F3D"/>
    <w:rPr>
      <w:b/>
      <w:bCs/>
    </w:rPr>
  </w:style>
  <w:style w:type="table" w:styleId="Tabelltemaer">
    <w:name w:val="Table Theme"/>
    <w:basedOn w:val="Vanligtabell"/>
    <w:uiPriority w:val="99"/>
    <w:semiHidden/>
    <w:unhideWhenUsed/>
    <w:rsid w:val="00B55F3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B55F3D"/>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B55F3D"/>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B55F3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55F3D"/>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B55F3D"/>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B55F3D"/>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B55F3D"/>
  </w:style>
  <w:style w:type="numbering" w:customStyle="1" w:styleId="l-ListeStilMal">
    <w:name w:val="l-ListeStilMal"/>
    <w:uiPriority w:val="99"/>
    <w:rsid w:val="00B55F3D"/>
    <w:pPr>
      <w:numPr>
        <w:numId w:val="9"/>
      </w:numPr>
    </w:pPr>
  </w:style>
  <w:style w:type="character" w:styleId="HTML-akronym">
    <w:name w:val="HTML Acronym"/>
    <w:basedOn w:val="Standardskriftforavsnitt"/>
    <w:uiPriority w:val="99"/>
    <w:semiHidden/>
    <w:unhideWhenUsed/>
    <w:rsid w:val="00B55F3D"/>
  </w:style>
  <w:style w:type="numbering" w:customStyle="1" w:styleId="AlfaListeStil">
    <w:name w:val="AlfaListeStil"/>
    <w:uiPriority w:val="99"/>
    <w:rsid w:val="00B55F3D"/>
    <w:pPr>
      <w:numPr>
        <w:numId w:val="10"/>
      </w:numPr>
    </w:pPr>
  </w:style>
  <w:style w:type="numbering" w:customStyle="1" w:styleId="l-AlfaListeStil">
    <w:name w:val="l-AlfaListeStil"/>
    <w:uiPriority w:val="99"/>
    <w:rsid w:val="00B55F3D"/>
    <w:pPr>
      <w:numPr>
        <w:numId w:val="11"/>
      </w:numPr>
    </w:pPr>
  </w:style>
  <w:style w:type="numbering" w:customStyle="1" w:styleId="l-NummerertListeStil">
    <w:name w:val="l-NummerertListeStil"/>
    <w:uiPriority w:val="99"/>
    <w:rsid w:val="00B55F3D"/>
    <w:pPr>
      <w:numPr>
        <w:numId w:val="12"/>
      </w:numPr>
    </w:pPr>
  </w:style>
  <w:style w:type="numbering" w:customStyle="1" w:styleId="NrListeStil">
    <w:name w:val="NrListeStil"/>
    <w:uiPriority w:val="99"/>
    <w:rsid w:val="00B55F3D"/>
    <w:pPr>
      <w:numPr>
        <w:numId w:val="13"/>
      </w:numPr>
    </w:pPr>
  </w:style>
  <w:style w:type="numbering" w:customStyle="1" w:styleId="OpplistingListeStil">
    <w:name w:val="OpplistingListeStil"/>
    <w:uiPriority w:val="99"/>
    <w:rsid w:val="00B55F3D"/>
    <w:pPr>
      <w:numPr>
        <w:numId w:val="14"/>
      </w:numPr>
    </w:pPr>
  </w:style>
  <w:style w:type="numbering" w:customStyle="1" w:styleId="OverskrifterListeStil">
    <w:name w:val="OverskrifterListeStil"/>
    <w:uiPriority w:val="99"/>
    <w:rsid w:val="00B55F3D"/>
    <w:pPr>
      <w:numPr>
        <w:numId w:val="15"/>
      </w:numPr>
    </w:pPr>
  </w:style>
  <w:style w:type="numbering" w:customStyle="1" w:styleId="RomListeStil">
    <w:name w:val="RomListeStil"/>
    <w:uiPriority w:val="99"/>
    <w:rsid w:val="00B55F3D"/>
    <w:pPr>
      <w:numPr>
        <w:numId w:val="16"/>
      </w:numPr>
    </w:pPr>
  </w:style>
  <w:style w:type="numbering" w:customStyle="1" w:styleId="StrekListeStil">
    <w:name w:val="StrekListeStil"/>
    <w:uiPriority w:val="99"/>
    <w:rsid w:val="00B55F3D"/>
    <w:pPr>
      <w:numPr>
        <w:numId w:val="17"/>
      </w:numPr>
    </w:pPr>
  </w:style>
  <w:style w:type="table" w:styleId="Tabellrutenett">
    <w:name w:val="Table Grid"/>
    <w:basedOn w:val="Vanligtabell"/>
    <w:uiPriority w:val="59"/>
    <w:rsid w:val="00B55F3D"/>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ellnavn-kode">
    <w:name w:val="Tabellnavn-kode"/>
    <w:basedOn w:val="Tabellnavn"/>
    <w:qFormat/>
    <w:rsid w:val="00B55F3D"/>
    <w:pPr>
      <w:spacing w:line="240" w:lineRule="auto"/>
    </w:pPr>
    <w:rPr>
      <w:rFonts w:eastAsia="Batang"/>
      <w:vanish w:val="0"/>
      <w:color w:val="FF0000"/>
    </w:rPr>
  </w:style>
  <w:style w:type="paragraph" w:customStyle="1" w:styleId="tittel-litteraturlist">
    <w:name w:val="tittel-litteraturlist"/>
    <w:basedOn w:val="Normal"/>
    <w:next w:val="Normal"/>
    <w:rsid w:val="00B55F3D"/>
    <w:pPr>
      <w:spacing w:before="360" w:after="240"/>
      <w:jc w:val="center"/>
    </w:pPr>
    <w:rPr>
      <w:b/>
      <w:spacing w:val="4"/>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qFormat="1"/>
    <w:lsdException w:name="footnote reference" w:uiPriority="0"/>
    <w:lsdException w:name="annotation reference" w:uiPriority="0"/>
    <w:lsdException w:name="line number" w:unhideWhenUsed="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Subtitle" w:semiHidden="0" w:uiPriority="0" w:qFormat="1"/>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B55F3D"/>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B55F3D"/>
    <w:pPr>
      <w:keepNext/>
      <w:keepLines/>
      <w:numPr>
        <w:numId w:val="24"/>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B55F3D"/>
    <w:pPr>
      <w:keepNext/>
      <w:keepLines/>
      <w:numPr>
        <w:ilvl w:val="1"/>
        <w:numId w:val="24"/>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B55F3D"/>
    <w:pPr>
      <w:keepNext/>
      <w:keepLines/>
      <w:numPr>
        <w:ilvl w:val="2"/>
        <w:numId w:val="24"/>
      </w:numPr>
      <w:spacing w:before="360" w:after="80"/>
      <w:outlineLvl w:val="2"/>
    </w:pPr>
    <w:rPr>
      <w:rFonts w:ascii="Arial" w:hAnsi="Arial"/>
      <w:b/>
    </w:rPr>
  </w:style>
  <w:style w:type="paragraph" w:styleId="Overskrift4">
    <w:name w:val="heading 4"/>
    <w:basedOn w:val="Normal"/>
    <w:next w:val="Normal"/>
    <w:link w:val="Overskrift4Tegn"/>
    <w:qFormat/>
    <w:rsid w:val="00B55F3D"/>
    <w:pPr>
      <w:keepNext/>
      <w:keepLines/>
      <w:numPr>
        <w:ilvl w:val="3"/>
        <w:numId w:val="24"/>
      </w:numPr>
      <w:spacing w:before="120" w:after="0"/>
      <w:outlineLvl w:val="3"/>
    </w:pPr>
    <w:rPr>
      <w:rFonts w:ascii="Arial" w:hAnsi="Arial"/>
      <w:i/>
      <w:spacing w:val="4"/>
    </w:rPr>
  </w:style>
  <w:style w:type="paragraph" w:styleId="Overskrift5">
    <w:name w:val="heading 5"/>
    <w:basedOn w:val="Normal"/>
    <w:next w:val="Normal"/>
    <w:link w:val="Overskrift5Tegn"/>
    <w:qFormat/>
    <w:rsid w:val="00B55F3D"/>
    <w:pPr>
      <w:keepNext/>
      <w:numPr>
        <w:ilvl w:val="4"/>
        <w:numId w:val="24"/>
      </w:numPr>
      <w:spacing w:before="120" w:after="0"/>
      <w:outlineLvl w:val="4"/>
    </w:pPr>
    <w:rPr>
      <w:rFonts w:ascii="Arial" w:hAnsi="Arial"/>
      <w:i/>
    </w:rPr>
  </w:style>
  <w:style w:type="paragraph" w:styleId="Overskrift6">
    <w:name w:val="heading 6"/>
    <w:basedOn w:val="Normal"/>
    <w:next w:val="Normal"/>
    <w:link w:val="Overskrift6Tegn"/>
    <w:qFormat/>
    <w:rsid w:val="00B55F3D"/>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B55F3D"/>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B55F3D"/>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B55F3D"/>
    <w:pPr>
      <w:numPr>
        <w:ilvl w:val="8"/>
        <w:numId w:val="2"/>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B55F3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55F3D"/>
  </w:style>
  <w:style w:type="paragraph" w:customStyle="1" w:styleId="Kilde">
    <w:name w:val="Kilde"/>
    <w:basedOn w:val="Normal"/>
    <w:next w:val="Normal"/>
    <w:rsid w:val="00B55F3D"/>
    <w:pPr>
      <w:spacing w:after="240"/>
    </w:pPr>
    <w:rPr>
      <w:spacing w:val="4"/>
      <w:sz w:val="20"/>
    </w:rPr>
  </w:style>
  <w:style w:type="character" w:customStyle="1" w:styleId="Overskrift1Tegn">
    <w:name w:val="Overskrift 1 Tegn"/>
    <w:basedOn w:val="Standardskriftforavsnitt"/>
    <w:link w:val="Overskrift1"/>
    <w:rsid w:val="00B55F3D"/>
    <w:rPr>
      <w:rFonts w:ascii="Arial" w:eastAsia="Times New Roman" w:hAnsi="Arial"/>
      <w:b/>
      <w:kern w:val="28"/>
      <w:sz w:val="32"/>
    </w:rPr>
  </w:style>
  <w:style w:type="character" w:customStyle="1" w:styleId="Overskrift2Tegn">
    <w:name w:val="Overskrift 2 Tegn"/>
    <w:basedOn w:val="Standardskriftforavsnitt"/>
    <w:link w:val="Overskrift2"/>
    <w:rsid w:val="00B55F3D"/>
    <w:rPr>
      <w:rFonts w:ascii="Arial" w:eastAsia="Times New Roman" w:hAnsi="Arial"/>
      <w:b/>
      <w:spacing w:val="4"/>
      <w:sz w:val="28"/>
    </w:rPr>
  </w:style>
  <w:style w:type="character" w:customStyle="1" w:styleId="Overskrift3Tegn">
    <w:name w:val="Overskrift 3 Tegn"/>
    <w:basedOn w:val="Standardskriftforavsnitt"/>
    <w:link w:val="Overskrift3"/>
    <w:rsid w:val="00B55F3D"/>
    <w:rPr>
      <w:rFonts w:ascii="Arial" w:eastAsia="Times New Roman" w:hAnsi="Arial"/>
      <w:b/>
      <w:sz w:val="24"/>
    </w:rPr>
  </w:style>
  <w:style w:type="character" w:customStyle="1" w:styleId="Overskrift4Tegn">
    <w:name w:val="Overskrift 4 Tegn"/>
    <w:basedOn w:val="Standardskriftforavsnitt"/>
    <w:link w:val="Overskrift4"/>
    <w:rsid w:val="00B55F3D"/>
    <w:rPr>
      <w:rFonts w:ascii="Arial" w:eastAsia="Times New Roman" w:hAnsi="Arial"/>
      <w:i/>
      <w:spacing w:val="4"/>
      <w:sz w:val="24"/>
    </w:rPr>
  </w:style>
  <w:style w:type="character" w:customStyle="1" w:styleId="Overskrift5Tegn">
    <w:name w:val="Overskrift 5 Tegn"/>
    <w:basedOn w:val="Standardskriftforavsnitt"/>
    <w:link w:val="Overskrift5"/>
    <w:rsid w:val="00B55F3D"/>
    <w:rPr>
      <w:rFonts w:ascii="Arial" w:eastAsia="Times New Roman" w:hAnsi="Arial"/>
      <w:i/>
      <w:sz w:val="24"/>
    </w:rPr>
  </w:style>
  <w:style w:type="character" w:customStyle="1" w:styleId="Overskrift6Tegn">
    <w:name w:val="Overskrift 6 Tegn"/>
    <w:basedOn w:val="Standardskriftforavsnitt"/>
    <w:link w:val="Overskrift6"/>
    <w:rsid w:val="00B55F3D"/>
    <w:rPr>
      <w:rFonts w:ascii="Arial" w:eastAsia="Times New Roman" w:hAnsi="Arial"/>
      <w:i/>
    </w:rPr>
  </w:style>
  <w:style w:type="character" w:customStyle="1" w:styleId="Overskrift7Tegn">
    <w:name w:val="Overskrift 7 Tegn"/>
    <w:basedOn w:val="Standardskriftforavsnitt"/>
    <w:link w:val="Overskrift7"/>
    <w:rsid w:val="00B55F3D"/>
    <w:rPr>
      <w:rFonts w:ascii="Arial" w:eastAsia="Times New Roman" w:hAnsi="Arial"/>
      <w:sz w:val="24"/>
    </w:rPr>
  </w:style>
  <w:style w:type="character" w:customStyle="1" w:styleId="Overskrift8Tegn">
    <w:name w:val="Overskrift 8 Tegn"/>
    <w:basedOn w:val="Standardskriftforavsnitt"/>
    <w:link w:val="Overskrift8"/>
    <w:rsid w:val="00B55F3D"/>
    <w:rPr>
      <w:rFonts w:ascii="Arial" w:eastAsia="Times New Roman" w:hAnsi="Arial"/>
      <w:i/>
      <w:sz w:val="24"/>
    </w:rPr>
  </w:style>
  <w:style w:type="character" w:customStyle="1" w:styleId="Overskrift9Tegn">
    <w:name w:val="Overskrift 9 Tegn"/>
    <w:basedOn w:val="Standardskriftforavsnitt"/>
    <w:link w:val="Overskrift9"/>
    <w:rsid w:val="00B55F3D"/>
    <w:rPr>
      <w:rFonts w:ascii="Arial" w:eastAsia="Times New Roman" w:hAnsi="Arial"/>
      <w:b/>
      <w:i/>
      <w:sz w:val="18"/>
    </w:rPr>
  </w:style>
  <w:style w:type="paragraph" w:styleId="NormalWeb">
    <w:name w:val="Normal (Web)"/>
    <w:basedOn w:val="Normal"/>
    <w:uiPriority w:val="99"/>
    <w:unhideWhenUsed/>
    <w:rsid w:val="00B55F3D"/>
    <w:rPr>
      <w:szCs w:val="24"/>
    </w:rPr>
  </w:style>
  <w:style w:type="paragraph" w:styleId="Liste">
    <w:name w:val="List"/>
    <w:basedOn w:val="Normal"/>
    <w:rsid w:val="00B55F3D"/>
    <w:pPr>
      <w:numPr>
        <w:numId w:val="17"/>
      </w:numPr>
      <w:spacing w:line="240" w:lineRule="auto"/>
      <w:contextualSpacing/>
    </w:pPr>
    <w:rPr>
      <w:spacing w:val="4"/>
    </w:rPr>
  </w:style>
  <w:style w:type="paragraph" w:styleId="Liste2">
    <w:name w:val="List 2"/>
    <w:basedOn w:val="Normal"/>
    <w:rsid w:val="00B55F3D"/>
    <w:pPr>
      <w:numPr>
        <w:ilvl w:val="1"/>
        <w:numId w:val="17"/>
      </w:numPr>
      <w:spacing w:after="0"/>
    </w:pPr>
    <w:rPr>
      <w:spacing w:val="4"/>
    </w:rPr>
  </w:style>
  <w:style w:type="paragraph" w:styleId="Liste3">
    <w:name w:val="List 3"/>
    <w:basedOn w:val="Normal"/>
    <w:rsid w:val="00B55F3D"/>
    <w:pPr>
      <w:numPr>
        <w:ilvl w:val="2"/>
        <w:numId w:val="17"/>
      </w:numPr>
      <w:spacing w:after="0"/>
    </w:pPr>
  </w:style>
  <w:style w:type="paragraph" w:styleId="Liste4">
    <w:name w:val="List 4"/>
    <w:basedOn w:val="Normal"/>
    <w:rsid w:val="00B55F3D"/>
    <w:pPr>
      <w:numPr>
        <w:ilvl w:val="3"/>
        <w:numId w:val="17"/>
      </w:numPr>
      <w:spacing w:after="0"/>
    </w:pPr>
  </w:style>
  <w:style w:type="paragraph" w:styleId="Liste5">
    <w:name w:val="List 5"/>
    <w:basedOn w:val="Normal"/>
    <w:rsid w:val="00B55F3D"/>
    <w:pPr>
      <w:numPr>
        <w:ilvl w:val="4"/>
        <w:numId w:val="17"/>
      </w:numPr>
      <w:spacing w:after="0"/>
    </w:pPr>
  </w:style>
  <w:style w:type="paragraph" w:styleId="Bildetekst">
    <w:name w:val="caption"/>
    <w:basedOn w:val="Normal"/>
    <w:next w:val="Normal"/>
    <w:uiPriority w:val="35"/>
    <w:unhideWhenUsed/>
    <w:qFormat/>
    <w:rsid w:val="00B55F3D"/>
    <w:pPr>
      <w:spacing w:after="200" w:line="240" w:lineRule="auto"/>
    </w:pPr>
    <w:rPr>
      <w:b/>
      <w:bCs/>
      <w:color w:val="4F81BD" w:themeColor="accent1"/>
      <w:sz w:val="18"/>
      <w:szCs w:val="18"/>
    </w:rPr>
  </w:style>
  <w:style w:type="paragraph" w:styleId="Tittel">
    <w:name w:val="Title"/>
    <w:basedOn w:val="Normal"/>
    <w:next w:val="Normal"/>
    <w:link w:val="TittelTegn"/>
    <w:uiPriority w:val="10"/>
    <w:qFormat/>
    <w:rsid w:val="00B55F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B55F3D"/>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qFormat/>
    <w:rsid w:val="00B55F3D"/>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B55F3D"/>
    <w:rPr>
      <w:rFonts w:ascii="Arial" w:eastAsia="Times New Roman" w:hAnsi="Arial"/>
      <w:b/>
      <w:spacing w:val="4"/>
      <w:sz w:val="28"/>
    </w:rPr>
  </w:style>
  <w:style w:type="paragraph" w:styleId="Ingenmellomrom">
    <w:name w:val="No Spacing"/>
    <w:uiPriority w:val="1"/>
    <w:qFormat/>
    <w:rsid w:val="00B55F3D"/>
    <w:pPr>
      <w:spacing w:after="0" w:line="240" w:lineRule="auto"/>
    </w:pPr>
    <w:rPr>
      <w:rFonts w:ascii="Calibri" w:eastAsia="Times New Roman" w:hAnsi="Calibri"/>
      <w:sz w:val="24"/>
    </w:rPr>
  </w:style>
  <w:style w:type="paragraph" w:styleId="Listeavsnitt">
    <w:name w:val="List Paragraph"/>
    <w:basedOn w:val="Normal"/>
    <w:uiPriority w:val="34"/>
    <w:qFormat/>
    <w:rsid w:val="00B55F3D"/>
    <w:pPr>
      <w:spacing w:before="60" w:after="0"/>
      <w:ind w:left="397"/>
    </w:p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B55F3D"/>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B55F3D"/>
    <w:rPr>
      <w:rFonts w:ascii="Times New Roman" w:eastAsia="Times New Roman" w:hAnsi="Times New Roman"/>
      <w:b/>
      <w:bCs/>
      <w:i/>
      <w:iCs/>
      <w:color w:val="4F81BD" w:themeColor="accent1"/>
      <w:sz w:val="24"/>
    </w:rPr>
  </w:style>
  <w:style w:type="paragraph" w:styleId="Overskriftforinnholdsfortegnelse">
    <w:name w:val="TOC Heading"/>
    <w:basedOn w:val="Overskrift1"/>
    <w:next w:val="Normal"/>
    <w:uiPriority w:val="39"/>
    <w:unhideWhenUsed/>
    <w:qFormat/>
    <w:rsid w:val="00B55F3D"/>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styleId="Bobletekst">
    <w:name w:val="Balloon Text"/>
    <w:basedOn w:val="Normal"/>
    <w:link w:val="BobletekstTegn"/>
    <w:uiPriority w:val="99"/>
    <w:unhideWhenUsed/>
    <w:rsid w:val="00B55F3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B55F3D"/>
    <w:rPr>
      <w:rFonts w:ascii="Tahoma" w:eastAsia="Times New Roman" w:hAnsi="Tahoma" w:cs="Tahoma"/>
      <w:sz w:val="16"/>
      <w:szCs w:val="16"/>
    </w:rPr>
  </w:style>
  <w:style w:type="paragraph" w:styleId="Topptekst">
    <w:name w:val="header"/>
    <w:basedOn w:val="Normal"/>
    <w:link w:val="TopptekstTegn"/>
    <w:rsid w:val="00B55F3D"/>
    <w:pPr>
      <w:tabs>
        <w:tab w:val="center" w:pos="4536"/>
        <w:tab w:val="right" w:pos="9072"/>
      </w:tabs>
    </w:pPr>
  </w:style>
  <w:style w:type="character" w:customStyle="1" w:styleId="TopptekstTegn">
    <w:name w:val="Topptekst Tegn"/>
    <w:basedOn w:val="Standardskriftforavsnitt"/>
    <w:link w:val="Topptekst"/>
    <w:rsid w:val="00B55F3D"/>
    <w:rPr>
      <w:rFonts w:ascii="Times New Roman" w:eastAsia="Times New Roman" w:hAnsi="Times New Roman"/>
      <w:sz w:val="24"/>
    </w:rPr>
  </w:style>
  <w:style w:type="paragraph" w:styleId="Bunntekst">
    <w:name w:val="footer"/>
    <w:basedOn w:val="Normal"/>
    <w:link w:val="BunntekstTegn"/>
    <w:uiPriority w:val="99"/>
    <w:rsid w:val="00B55F3D"/>
    <w:pPr>
      <w:tabs>
        <w:tab w:val="center" w:pos="4153"/>
        <w:tab w:val="right" w:pos="8306"/>
      </w:tabs>
    </w:pPr>
    <w:rPr>
      <w:spacing w:val="4"/>
    </w:rPr>
  </w:style>
  <w:style w:type="character" w:customStyle="1" w:styleId="BunntekstTegn">
    <w:name w:val="Bunntekst Tegn"/>
    <w:basedOn w:val="Standardskriftforavsnitt"/>
    <w:link w:val="Bunntekst"/>
    <w:uiPriority w:val="99"/>
    <w:rsid w:val="00B55F3D"/>
    <w:rPr>
      <w:rFonts w:ascii="Times New Roman" w:eastAsia="Times New Roman" w:hAnsi="Times New Roman"/>
      <w:spacing w:val="4"/>
      <w:sz w:val="24"/>
    </w:rPr>
  </w:style>
  <w:style w:type="paragraph" w:styleId="Merknadstekst">
    <w:name w:val="annotation text"/>
    <w:basedOn w:val="Normal"/>
    <w:link w:val="MerknadstekstTegn"/>
    <w:rsid w:val="00B55F3D"/>
  </w:style>
  <w:style w:type="character" w:customStyle="1" w:styleId="MerknadstekstTegn">
    <w:name w:val="Merknadstekst Tegn"/>
    <w:basedOn w:val="Standardskriftforavsnitt"/>
    <w:link w:val="Merknadstekst"/>
    <w:rsid w:val="00B55F3D"/>
    <w:rPr>
      <w:rFonts w:ascii="Times New Roman" w:eastAsia="Times New Roman" w:hAnsi="Times New Roman"/>
      <w:sz w:val="24"/>
    </w:rPr>
  </w:style>
  <w:style w:type="paragraph" w:styleId="Kommentaremne">
    <w:name w:val="annotation subject"/>
    <w:basedOn w:val="Merknadstekst"/>
    <w:next w:val="Merknadstekst"/>
    <w:link w:val="KommentaremneTegn"/>
    <w:uiPriority w:val="99"/>
    <w:unhideWhenUsed/>
    <w:rsid w:val="00B55F3D"/>
    <w:pPr>
      <w:spacing w:line="240" w:lineRule="auto"/>
    </w:pPr>
    <w:rPr>
      <w:b/>
      <w:bCs/>
      <w:sz w:val="20"/>
      <w:szCs w:val="20"/>
    </w:rPr>
  </w:style>
  <w:style w:type="character" w:customStyle="1" w:styleId="KommentaremneTegn">
    <w:name w:val="Kommentaremne Tegn"/>
    <w:basedOn w:val="MerknadstekstTegn"/>
    <w:link w:val="Kommentaremne"/>
    <w:uiPriority w:val="99"/>
    <w:rsid w:val="00B55F3D"/>
    <w:rPr>
      <w:rFonts w:ascii="Times New Roman" w:eastAsia="Times New Roman" w:hAnsi="Times New Roman"/>
      <w:b/>
      <w:bCs/>
      <w:sz w:val="20"/>
      <w:szCs w:val="20"/>
    </w:rPr>
  </w:style>
  <w:style w:type="paragraph" w:styleId="Fotnotetekst">
    <w:name w:val="footnote text"/>
    <w:basedOn w:val="Normal"/>
    <w:link w:val="FotnotetekstTegn"/>
    <w:rsid w:val="00B55F3D"/>
    <w:rPr>
      <w:spacing w:val="4"/>
    </w:rPr>
  </w:style>
  <w:style w:type="character" w:customStyle="1" w:styleId="FotnotetekstTegn">
    <w:name w:val="Fotnotetekst Tegn"/>
    <w:basedOn w:val="Standardskriftforavsnitt"/>
    <w:link w:val="Fotnotetekst"/>
    <w:rsid w:val="00B55F3D"/>
    <w:rPr>
      <w:rFonts w:ascii="Times New Roman" w:eastAsia="Times New Roman" w:hAnsi="Times New Roman"/>
      <w:spacing w:val="4"/>
      <w:sz w:val="24"/>
    </w:rPr>
  </w:style>
  <w:style w:type="paragraph" w:styleId="INNH1">
    <w:name w:val="toc 1"/>
    <w:basedOn w:val="Normal"/>
    <w:next w:val="Normal"/>
    <w:rsid w:val="00B55F3D"/>
    <w:pPr>
      <w:tabs>
        <w:tab w:val="right" w:leader="dot" w:pos="8306"/>
      </w:tabs>
    </w:pPr>
  </w:style>
  <w:style w:type="paragraph" w:styleId="INNH2">
    <w:name w:val="toc 2"/>
    <w:basedOn w:val="Normal"/>
    <w:next w:val="Normal"/>
    <w:rsid w:val="00B55F3D"/>
    <w:pPr>
      <w:tabs>
        <w:tab w:val="right" w:leader="dot" w:pos="8306"/>
      </w:tabs>
      <w:ind w:left="200"/>
    </w:pPr>
  </w:style>
  <w:style w:type="paragraph" w:styleId="INNH3">
    <w:name w:val="toc 3"/>
    <w:basedOn w:val="Normal"/>
    <w:next w:val="Normal"/>
    <w:rsid w:val="00B55F3D"/>
    <w:pPr>
      <w:tabs>
        <w:tab w:val="right" w:leader="dot" w:pos="8306"/>
      </w:tabs>
      <w:ind w:left="400"/>
    </w:pPr>
  </w:style>
  <w:style w:type="paragraph" w:styleId="INNH4">
    <w:name w:val="toc 4"/>
    <w:basedOn w:val="Normal"/>
    <w:next w:val="Normal"/>
    <w:rsid w:val="00B55F3D"/>
    <w:pPr>
      <w:tabs>
        <w:tab w:val="right" w:leader="dot" w:pos="8306"/>
      </w:tabs>
      <w:ind w:left="600"/>
    </w:pPr>
  </w:style>
  <w:style w:type="paragraph" w:styleId="INNH5">
    <w:name w:val="toc 5"/>
    <w:basedOn w:val="Normal"/>
    <w:next w:val="Normal"/>
    <w:rsid w:val="00B55F3D"/>
    <w:pPr>
      <w:tabs>
        <w:tab w:val="right" w:leader="dot" w:pos="8306"/>
      </w:tabs>
      <w:ind w:left="800"/>
    </w:pPr>
  </w:style>
  <w:style w:type="paragraph" w:styleId="Nummerertliste">
    <w:name w:val="List Number"/>
    <w:basedOn w:val="Normal"/>
    <w:rsid w:val="00B55F3D"/>
    <w:pPr>
      <w:numPr>
        <w:numId w:val="13"/>
      </w:numPr>
      <w:spacing w:after="0"/>
    </w:pPr>
    <w:rPr>
      <w:rFonts w:ascii="Times" w:eastAsia="Batang" w:hAnsi="Times"/>
      <w:szCs w:val="20"/>
    </w:rPr>
  </w:style>
  <w:style w:type="paragraph" w:styleId="Nummerertliste2">
    <w:name w:val="List Number 2"/>
    <w:basedOn w:val="Normal"/>
    <w:rsid w:val="00B55F3D"/>
    <w:pPr>
      <w:numPr>
        <w:ilvl w:val="1"/>
        <w:numId w:val="13"/>
      </w:numPr>
      <w:spacing w:after="0" w:line="240" w:lineRule="auto"/>
    </w:pPr>
    <w:rPr>
      <w:rFonts w:ascii="Times" w:eastAsia="Batang" w:hAnsi="Times"/>
      <w:szCs w:val="20"/>
    </w:rPr>
  </w:style>
  <w:style w:type="paragraph" w:styleId="Nummerertliste3">
    <w:name w:val="List Number 3"/>
    <w:basedOn w:val="Normal"/>
    <w:rsid w:val="00B55F3D"/>
    <w:pPr>
      <w:numPr>
        <w:ilvl w:val="2"/>
        <w:numId w:val="13"/>
      </w:numPr>
      <w:spacing w:after="0" w:line="240" w:lineRule="auto"/>
    </w:pPr>
    <w:rPr>
      <w:rFonts w:ascii="Times" w:eastAsia="Batang" w:hAnsi="Times"/>
      <w:szCs w:val="20"/>
    </w:rPr>
  </w:style>
  <w:style w:type="paragraph" w:styleId="Nummerertliste4">
    <w:name w:val="List Number 4"/>
    <w:basedOn w:val="Normal"/>
    <w:rsid w:val="00B55F3D"/>
    <w:pPr>
      <w:numPr>
        <w:ilvl w:val="3"/>
        <w:numId w:val="13"/>
      </w:numPr>
      <w:spacing w:after="0" w:line="240" w:lineRule="auto"/>
    </w:pPr>
    <w:rPr>
      <w:rFonts w:ascii="Times" w:eastAsia="Batang" w:hAnsi="Times"/>
      <w:szCs w:val="20"/>
    </w:rPr>
  </w:style>
  <w:style w:type="paragraph" w:styleId="Nummerertliste5">
    <w:name w:val="List Number 5"/>
    <w:basedOn w:val="Normal"/>
    <w:rsid w:val="00B55F3D"/>
    <w:pPr>
      <w:numPr>
        <w:ilvl w:val="4"/>
        <w:numId w:val="13"/>
      </w:numPr>
      <w:spacing w:after="0" w:line="240" w:lineRule="auto"/>
    </w:pPr>
    <w:rPr>
      <w:rFonts w:ascii="Times" w:eastAsia="Batang" w:hAnsi="Times"/>
      <w:szCs w:val="20"/>
    </w:rPr>
  </w:style>
  <w:style w:type="paragraph" w:styleId="Punktmerketliste">
    <w:name w:val="List Bullet"/>
    <w:basedOn w:val="Normal"/>
    <w:rsid w:val="00B55F3D"/>
    <w:pPr>
      <w:numPr>
        <w:numId w:val="3"/>
      </w:numPr>
      <w:spacing w:after="0"/>
    </w:pPr>
    <w:rPr>
      <w:spacing w:val="4"/>
    </w:rPr>
  </w:style>
  <w:style w:type="paragraph" w:styleId="Punktmerketliste2">
    <w:name w:val="List Bullet 2"/>
    <w:basedOn w:val="Normal"/>
    <w:rsid w:val="00B55F3D"/>
    <w:pPr>
      <w:numPr>
        <w:numId w:val="4"/>
      </w:numPr>
      <w:spacing w:after="0"/>
    </w:pPr>
    <w:rPr>
      <w:spacing w:val="4"/>
    </w:rPr>
  </w:style>
  <w:style w:type="paragraph" w:styleId="Punktmerketliste3">
    <w:name w:val="List Bullet 3"/>
    <w:basedOn w:val="Normal"/>
    <w:rsid w:val="00B55F3D"/>
    <w:pPr>
      <w:numPr>
        <w:numId w:val="5"/>
      </w:numPr>
      <w:spacing w:after="0"/>
    </w:pPr>
    <w:rPr>
      <w:spacing w:val="4"/>
    </w:rPr>
  </w:style>
  <w:style w:type="paragraph" w:styleId="Punktmerketliste4">
    <w:name w:val="List Bullet 4"/>
    <w:basedOn w:val="Normal"/>
    <w:rsid w:val="00B55F3D"/>
    <w:pPr>
      <w:numPr>
        <w:numId w:val="6"/>
      </w:numPr>
      <w:spacing w:after="0"/>
    </w:pPr>
  </w:style>
  <w:style w:type="paragraph" w:styleId="Punktmerketliste5">
    <w:name w:val="List Bullet 5"/>
    <w:basedOn w:val="Normal"/>
    <w:rsid w:val="00B55F3D"/>
    <w:pPr>
      <w:numPr>
        <w:numId w:val="7"/>
      </w:numPr>
      <w:spacing w:after="0"/>
    </w:pPr>
  </w:style>
  <w:style w:type="paragraph" w:styleId="Indeks1">
    <w:name w:val="index 1"/>
    <w:basedOn w:val="Normal"/>
    <w:next w:val="Normal"/>
    <w:autoRedefine/>
    <w:uiPriority w:val="99"/>
    <w:unhideWhenUsed/>
    <w:rsid w:val="00B55F3D"/>
    <w:pPr>
      <w:spacing w:after="0" w:line="240" w:lineRule="auto"/>
      <w:ind w:left="240" w:hanging="240"/>
    </w:pPr>
  </w:style>
  <w:style w:type="paragraph" w:styleId="Indeks2">
    <w:name w:val="index 2"/>
    <w:basedOn w:val="Normal"/>
    <w:next w:val="Normal"/>
    <w:autoRedefine/>
    <w:uiPriority w:val="99"/>
    <w:unhideWhenUsed/>
    <w:rsid w:val="00B55F3D"/>
    <w:pPr>
      <w:spacing w:after="0" w:line="240" w:lineRule="auto"/>
      <w:ind w:left="480" w:hanging="240"/>
    </w:pPr>
  </w:style>
  <w:style w:type="paragraph" w:styleId="Indeks3">
    <w:name w:val="index 3"/>
    <w:basedOn w:val="Normal"/>
    <w:next w:val="Normal"/>
    <w:autoRedefine/>
    <w:uiPriority w:val="99"/>
    <w:unhideWhenUsed/>
    <w:rsid w:val="00B55F3D"/>
    <w:pPr>
      <w:spacing w:after="0" w:line="240" w:lineRule="auto"/>
      <w:ind w:left="720" w:hanging="240"/>
    </w:pPr>
  </w:style>
  <w:style w:type="paragraph" w:styleId="Indeks4">
    <w:name w:val="index 4"/>
    <w:basedOn w:val="Normal"/>
    <w:next w:val="Normal"/>
    <w:autoRedefine/>
    <w:uiPriority w:val="99"/>
    <w:unhideWhenUsed/>
    <w:rsid w:val="00B55F3D"/>
    <w:pPr>
      <w:spacing w:after="0" w:line="240" w:lineRule="auto"/>
      <w:ind w:left="960" w:hanging="240"/>
    </w:pPr>
  </w:style>
  <w:style w:type="paragraph" w:styleId="Indeks5">
    <w:name w:val="index 5"/>
    <w:basedOn w:val="Normal"/>
    <w:next w:val="Normal"/>
    <w:autoRedefine/>
    <w:uiPriority w:val="99"/>
    <w:unhideWhenUsed/>
    <w:rsid w:val="00B55F3D"/>
    <w:pPr>
      <w:spacing w:after="0" w:line="240" w:lineRule="auto"/>
      <w:ind w:left="1200" w:hanging="240"/>
    </w:pPr>
  </w:style>
  <w:style w:type="paragraph" w:styleId="Indeks6">
    <w:name w:val="index 6"/>
    <w:basedOn w:val="Normal"/>
    <w:next w:val="Normal"/>
    <w:autoRedefine/>
    <w:uiPriority w:val="99"/>
    <w:unhideWhenUsed/>
    <w:rsid w:val="00B55F3D"/>
    <w:pPr>
      <w:spacing w:after="0" w:line="240" w:lineRule="auto"/>
      <w:ind w:left="1440" w:hanging="240"/>
    </w:pPr>
  </w:style>
  <w:style w:type="paragraph" w:styleId="Indeks7">
    <w:name w:val="index 7"/>
    <w:basedOn w:val="Normal"/>
    <w:next w:val="Normal"/>
    <w:autoRedefine/>
    <w:uiPriority w:val="99"/>
    <w:unhideWhenUsed/>
    <w:rsid w:val="00B55F3D"/>
    <w:pPr>
      <w:spacing w:after="0" w:line="240" w:lineRule="auto"/>
      <w:ind w:left="1680" w:hanging="240"/>
    </w:pPr>
  </w:style>
  <w:style w:type="paragraph" w:styleId="Indeks8">
    <w:name w:val="index 8"/>
    <w:basedOn w:val="Normal"/>
    <w:next w:val="Normal"/>
    <w:autoRedefine/>
    <w:uiPriority w:val="99"/>
    <w:unhideWhenUsed/>
    <w:rsid w:val="00B55F3D"/>
    <w:pPr>
      <w:spacing w:after="0" w:line="240" w:lineRule="auto"/>
      <w:ind w:left="1920" w:hanging="240"/>
    </w:pPr>
  </w:style>
  <w:style w:type="paragraph" w:styleId="Indeks9">
    <w:name w:val="index 9"/>
    <w:basedOn w:val="Normal"/>
    <w:next w:val="Normal"/>
    <w:autoRedefine/>
    <w:uiPriority w:val="99"/>
    <w:unhideWhenUsed/>
    <w:rsid w:val="00B55F3D"/>
    <w:pPr>
      <w:spacing w:after="0" w:line="240" w:lineRule="auto"/>
      <w:ind w:left="2160" w:hanging="240"/>
    </w:pPr>
  </w:style>
  <w:style w:type="paragraph" w:styleId="INNH6">
    <w:name w:val="toc 6"/>
    <w:basedOn w:val="Normal"/>
    <w:next w:val="Normal"/>
    <w:autoRedefine/>
    <w:uiPriority w:val="39"/>
    <w:unhideWhenUsed/>
    <w:rsid w:val="00B55F3D"/>
    <w:pPr>
      <w:spacing w:after="100"/>
      <w:ind w:left="1200"/>
    </w:pPr>
  </w:style>
  <w:style w:type="paragraph" w:styleId="INNH7">
    <w:name w:val="toc 7"/>
    <w:basedOn w:val="Normal"/>
    <w:next w:val="Normal"/>
    <w:autoRedefine/>
    <w:uiPriority w:val="39"/>
    <w:unhideWhenUsed/>
    <w:rsid w:val="00B55F3D"/>
    <w:pPr>
      <w:spacing w:after="100"/>
      <w:ind w:left="1440"/>
    </w:pPr>
  </w:style>
  <w:style w:type="paragraph" w:styleId="INNH8">
    <w:name w:val="toc 8"/>
    <w:basedOn w:val="Normal"/>
    <w:next w:val="Normal"/>
    <w:autoRedefine/>
    <w:uiPriority w:val="39"/>
    <w:unhideWhenUsed/>
    <w:rsid w:val="00B55F3D"/>
    <w:pPr>
      <w:spacing w:after="100"/>
      <w:ind w:left="1680"/>
    </w:pPr>
  </w:style>
  <w:style w:type="paragraph" w:styleId="INNH9">
    <w:name w:val="toc 9"/>
    <w:basedOn w:val="Normal"/>
    <w:next w:val="Normal"/>
    <w:autoRedefine/>
    <w:uiPriority w:val="39"/>
    <w:unhideWhenUsed/>
    <w:rsid w:val="00B55F3D"/>
    <w:pPr>
      <w:spacing w:after="100"/>
      <w:ind w:left="1920"/>
    </w:pPr>
  </w:style>
  <w:style w:type="paragraph" w:styleId="Vanliginnrykk">
    <w:name w:val="Normal Indent"/>
    <w:basedOn w:val="Normal"/>
    <w:uiPriority w:val="99"/>
    <w:unhideWhenUsed/>
    <w:rsid w:val="00B55F3D"/>
    <w:pPr>
      <w:ind w:left="708"/>
    </w:pPr>
  </w:style>
  <w:style w:type="paragraph" w:styleId="Stikkordregisteroverskrift">
    <w:name w:val="index heading"/>
    <w:basedOn w:val="Normal"/>
    <w:next w:val="Indeks1"/>
    <w:uiPriority w:val="99"/>
    <w:unhideWhenUsed/>
    <w:rsid w:val="00B55F3D"/>
    <w:rPr>
      <w:rFonts w:asciiTheme="majorHAnsi" w:eastAsiaTheme="majorEastAsia" w:hAnsiTheme="majorHAnsi" w:cstheme="majorBidi"/>
      <w:b/>
      <w:bCs/>
    </w:rPr>
  </w:style>
  <w:style w:type="paragraph" w:styleId="Figurliste">
    <w:name w:val="table of figures"/>
    <w:basedOn w:val="Normal"/>
    <w:next w:val="Normal"/>
    <w:uiPriority w:val="99"/>
    <w:unhideWhenUsed/>
    <w:rsid w:val="00B55F3D"/>
    <w:pPr>
      <w:spacing w:after="0"/>
    </w:pPr>
  </w:style>
  <w:style w:type="paragraph" w:styleId="Konvoluttadresse">
    <w:name w:val="envelope address"/>
    <w:basedOn w:val="Normal"/>
    <w:uiPriority w:val="99"/>
    <w:unhideWhenUsed/>
    <w:rsid w:val="00B55F3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B55F3D"/>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B55F3D"/>
    <w:pPr>
      <w:spacing w:after="0" w:line="240" w:lineRule="auto"/>
    </w:pPr>
    <w:rPr>
      <w:sz w:val="20"/>
      <w:szCs w:val="20"/>
    </w:rPr>
  </w:style>
  <w:style w:type="character" w:customStyle="1" w:styleId="SluttnotetekstTegn">
    <w:name w:val="Sluttnotetekst Tegn"/>
    <w:basedOn w:val="Standardskriftforavsnitt"/>
    <w:link w:val="Sluttnotetekst"/>
    <w:uiPriority w:val="99"/>
    <w:rsid w:val="00B55F3D"/>
    <w:rPr>
      <w:rFonts w:ascii="Times New Roman" w:eastAsia="Times New Roman" w:hAnsi="Times New Roman"/>
      <w:sz w:val="20"/>
      <w:szCs w:val="20"/>
    </w:rPr>
  </w:style>
  <w:style w:type="paragraph" w:styleId="Kildeliste">
    <w:name w:val="table of authorities"/>
    <w:basedOn w:val="Normal"/>
    <w:next w:val="Normal"/>
    <w:uiPriority w:val="99"/>
    <w:unhideWhenUsed/>
    <w:rsid w:val="00B55F3D"/>
    <w:pPr>
      <w:spacing w:after="0"/>
      <w:ind w:left="240" w:hanging="240"/>
    </w:pPr>
  </w:style>
  <w:style w:type="paragraph" w:styleId="Makrotekst">
    <w:name w:val="macro"/>
    <w:link w:val="MakrotekstTegn"/>
    <w:uiPriority w:val="99"/>
    <w:unhideWhenUsed/>
    <w:rsid w:val="00B55F3D"/>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B55F3D"/>
    <w:rPr>
      <w:rFonts w:ascii="Consolas" w:eastAsia="Times New Roman" w:hAnsi="Consolas"/>
      <w:sz w:val="20"/>
      <w:szCs w:val="20"/>
    </w:rPr>
  </w:style>
  <w:style w:type="paragraph" w:styleId="Kildelisteoverskrift">
    <w:name w:val="toa heading"/>
    <w:basedOn w:val="Normal"/>
    <w:next w:val="Normal"/>
    <w:uiPriority w:val="99"/>
    <w:unhideWhenUsed/>
    <w:rsid w:val="00B55F3D"/>
    <w:pPr>
      <w:spacing w:before="120"/>
    </w:pPr>
    <w:rPr>
      <w:rFonts w:asciiTheme="majorHAnsi" w:eastAsiaTheme="majorEastAsia" w:hAnsiTheme="majorHAnsi" w:cstheme="majorBidi"/>
      <w:b/>
      <w:bCs/>
      <w:szCs w:val="24"/>
    </w:rPr>
  </w:style>
  <w:style w:type="paragraph" w:styleId="Hilsen">
    <w:name w:val="Closing"/>
    <w:basedOn w:val="Normal"/>
    <w:link w:val="HilsenTegn"/>
    <w:uiPriority w:val="99"/>
    <w:unhideWhenUsed/>
    <w:rsid w:val="00B55F3D"/>
    <w:pPr>
      <w:spacing w:after="0" w:line="240" w:lineRule="auto"/>
      <w:ind w:left="4252"/>
    </w:pPr>
  </w:style>
  <w:style w:type="character" w:customStyle="1" w:styleId="HilsenTegn">
    <w:name w:val="Hilsen Tegn"/>
    <w:basedOn w:val="Standardskriftforavsnitt"/>
    <w:link w:val="Hilsen"/>
    <w:uiPriority w:val="99"/>
    <w:rsid w:val="00B55F3D"/>
    <w:rPr>
      <w:rFonts w:ascii="Times New Roman" w:eastAsia="Times New Roman" w:hAnsi="Times New Roman"/>
      <w:sz w:val="24"/>
    </w:rPr>
  </w:style>
  <w:style w:type="paragraph" w:styleId="Underskrift">
    <w:name w:val="Signature"/>
    <w:basedOn w:val="Normal"/>
    <w:link w:val="UnderskriftTegn"/>
    <w:uiPriority w:val="99"/>
    <w:unhideWhenUsed/>
    <w:rsid w:val="00B55F3D"/>
    <w:pPr>
      <w:spacing w:after="0" w:line="240" w:lineRule="auto"/>
      <w:ind w:left="4252"/>
    </w:pPr>
  </w:style>
  <w:style w:type="character" w:customStyle="1" w:styleId="UnderskriftTegn">
    <w:name w:val="Underskrift Tegn"/>
    <w:basedOn w:val="Standardskriftforavsnitt"/>
    <w:link w:val="Underskrift"/>
    <w:uiPriority w:val="99"/>
    <w:rsid w:val="00B55F3D"/>
    <w:rPr>
      <w:rFonts w:ascii="Times New Roman" w:eastAsia="Times New Roman" w:hAnsi="Times New Roman"/>
      <w:sz w:val="24"/>
    </w:rPr>
  </w:style>
  <w:style w:type="paragraph" w:styleId="Brdtekst">
    <w:name w:val="Body Text"/>
    <w:basedOn w:val="Normal"/>
    <w:link w:val="BrdtekstTegn"/>
    <w:uiPriority w:val="99"/>
    <w:unhideWhenUsed/>
    <w:rsid w:val="00B55F3D"/>
  </w:style>
  <w:style w:type="character" w:customStyle="1" w:styleId="BrdtekstTegn">
    <w:name w:val="Brødtekst Tegn"/>
    <w:basedOn w:val="Standardskriftforavsnitt"/>
    <w:link w:val="Brdtekst"/>
    <w:uiPriority w:val="99"/>
    <w:rsid w:val="00B55F3D"/>
    <w:rPr>
      <w:rFonts w:ascii="Times New Roman" w:eastAsia="Times New Roman" w:hAnsi="Times New Roman"/>
      <w:sz w:val="24"/>
    </w:rPr>
  </w:style>
  <w:style w:type="paragraph" w:styleId="Brdtekstinnrykk">
    <w:name w:val="Body Text Indent"/>
    <w:basedOn w:val="Normal"/>
    <w:link w:val="BrdtekstinnrykkTegn"/>
    <w:uiPriority w:val="99"/>
    <w:unhideWhenUsed/>
    <w:rsid w:val="00B55F3D"/>
    <w:pPr>
      <w:ind w:left="283"/>
    </w:pPr>
  </w:style>
  <w:style w:type="character" w:customStyle="1" w:styleId="BrdtekstinnrykkTegn">
    <w:name w:val="Brødtekstinnrykk Tegn"/>
    <w:basedOn w:val="Standardskriftforavsnitt"/>
    <w:link w:val="Brdtekstinnrykk"/>
    <w:uiPriority w:val="99"/>
    <w:rsid w:val="00B55F3D"/>
    <w:rPr>
      <w:rFonts w:ascii="Times New Roman" w:eastAsia="Times New Roman" w:hAnsi="Times New Roman"/>
      <w:sz w:val="24"/>
    </w:rPr>
  </w:style>
  <w:style w:type="paragraph" w:styleId="Meldingshode">
    <w:name w:val="Message Header"/>
    <w:basedOn w:val="Normal"/>
    <w:link w:val="MeldingshodeTegn"/>
    <w:uiPriority w:val="99"/>
    <w:unhideWhenUsed/>
    <w:rsid w:val="00B55F3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B55F3D"/>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B55F3D"/>
  </w:style>
  <w:style w:type="character" w:customStyle="1" w:styleId="InnledendehilsenTegn">
    <w:name w:val="Innledende hilsen Tegn"/>
    <w:basedOn w:val="Standardskriftforavsnitt"/>
    <w:link w:val="Innledendehilsen"/>
    <w:uiPriority w:val="99"/>
    <w:rsid w:val="00B55F3D"/>
    <w:rPr>
      <w:rFonts w:ascii="Times New Roman" w:eastAsia="Times New Roman" w:hAnsi="Times New Roman"/>
      <w:sz w:val="24"/>
    </w:rPr>
  </w:style>
  <w:style w:type="paragraph" w:styleId="Dato">
    <w:name w:val="Date"/>
    <w:basedOn w:val="Normal"/>
    <w:next w:val="Normal"/>
    <w:link w:val="DatoTegn"/>
    <w:uiPriority w:val="99"/>
    <w:unhideWhenUsed/>
    <w:rsid w:val="00B55F3D"/>
  </w:style>
  <w:style w:type="character" w:customStyle="1" w:styleId="DatoTegn">
    <w:name w:val="Dato Tegn"/>
    <w:basedOn w:val="Standardskriftforavsnitt"/>
    <w:link w:val="Dato"/>
    <w:uiPriority w:val="99"/>
    <w:rsid w:val="00B55F3D"/>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B55F3D"/>
    <w:pPr>
      <w:spacing w:after="0" w:line="240" w:lineRule="auto"/>
    </w:pPr>
  </w:style>
  <w:style w:type="character" w:customStyle="1" w:styleId="NotatoverskriftTegn">
    <w:name w:val="Notatoverskrift Tegn"/>
    <w:basedOn w:val="Standardskriftforavsnitt"/>
    <w:link w:val="Notatoverskrift"/>
    <w:uiPriority w:val="99"/>
    <w:rsid w:val="00B55F3D"/>
    <w:rPr>
      <w:rFonts w:ascii="Times New Roman" w:eastAsia="Times New Roman" w:hAnsi="Times New Roman"/>
      <w:sz w:val="24"/>
    </w:rPr>
  </w:style>
  <w:style w:type="paragraph" w:styleId="Brdtekst2">
    <w:name w:val="Body Text 2"/>
    <w:basedOn w:val="Normal"/>
    <w:link w:val="Brdtekst2Tegn"/>
    <w:uiPriority w:val="99"/>
    <w:unhideWhenUsed/>
    <w:rsid w:val="00B55F3D"/>
    <w:pPr>
      <w:spacing w:line="480" w:lineRule="auto"/>
    </w:pPr>
  </w:style>
  <w:style w:type="character" w:customStyle="1" w:styleId="Brdtekst2Tegn">
    <w:name w:val="Brødtekst 2 Tegn"/>
    <w:basedOn w:val="Standardskriftforavsnitt"/>
    <w:link w:val="Brdtekst2"/>
    <w:uiPriority w:val="99"/>
    <w:rsid w:val="00B55F3D"/>
    <w:rPr>
      <w:rFonts w:ascii="Times New Roman" w:eastAsia="Times New Roman" w:hAnsi="Times New Roman"/>
      <w:sz w:val="24"/>
    </w:rPr>
  </w:style>
  <w:style w:type="paragraph" w:styleId="Brdtekst3">
    <w:name w:val="Body Text 3"/>
    <w:basedOn w:val="Normal"/>
    <w:link w:val="Brdtekst3Tegn"/>
    <w:uiPriority w:val="99"/>
    <w:unhideWhenUsed/>
    <w:rsid w:val="00B55F3D"/>
    <w:rPr>
      <w:sz w:val="16"/>
      <w:szCs w:val="16"/>
    </w:rPr>
  </w:style>
  <w:style w:type="character" w:customStyle="1" w:styleId="Brdtekst3Tegn">
    <w:name w:val="Brødtekst 3 Tegn"/>
    <w:basedOn w:val="Standardskriftforavsnitt"/>
    <w:link w:val="Brdtekst3"/>
    <w:uiPriority w:val="99"/>
    <w:rsid w:val="00B55F3D"/>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B55F3D"/>
    <w:pPr>
      <w:spacing w:line="480" w:lineRule="auto"/>
      <w:ind w:left="283"/>
    </w:pPr>
  </w:style>
  <w:style w:type="character" w:customStyle="1" w:styleId="Brdtekstinnrykk2Tegn">
    <w:name w:val="Brødtekstinnrykk 2 Tegn"/>
    <w:basedOn w:val="Standardskriftforavsnitt"/>
    <w:link w:val="Brdtekstinnrykk2"/>
    <w:uiPriority w:val="99"/>
    <w:rsid w:val="00B55F3D"/>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B55F3D"/>
    <w:pPr>
      <w:ind w:left="283"/>
    </w:pPr>
    <w:rPr>
      <w:sz w:val="16"/>
      <w:szCs w:val="16"/>
    </w:rPr>
  </w:style>
  <w:style w:type="character" w:customStyle="1" w:styleId="Brdtekstinnrykk3Tegn">
    <w:name w:val="Brødtekstinnrykk 3 Tegn"/>
    <w:basedOn w:val="Standardskriftforavsnitt"/>
    <w:link w:val="Brdtekstinnrykk3"/>
    <w:uiPriority w:val="99"/>
    <w:rsid w:val="00B55F3D"/>
    <w:rPr>
      <w:rFonts w:ascii="Times New Roman" w:eastAsia="Times New Roman" w:hAnsi="Times New Roman"/>
      <w:sz w:val="16"/>
      <w:szCs w:val="16"/>
    </w:rPr>
  </w:style>
  <w:style w:type="paragraph" w:styleId="Blokktekst">
    <w:name w:val="Block Text"/>
    <w:basedOn w:val="Normal"/>
    <w:uiPriority w:val="99"/>
    <w:unhideWhenUsed/>
    <w:rsid w:val="00B55F3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B55F3D"/>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B55F3D"/>
    <w:rPr>
      <w:rFonts w:ascii="Tahoma" w:eastAsia="Times New Roman" w:hAnsi="Tahoma" w:cs="Tahoma"/>
      <w:sz w:val="16"/>
      <w:szCs w:val="16"/>
    </w:rPr>
  </w:style>
  <w:style w:type="paragraph" w:styleId="Rentekst">
    <w:name w:val="Plain Text"/>
    <w:basedOn w:val="Normal"/>
    <w:link w:val="RentekstTegn"/>
    <w:uiPriority w:val="99"/>
    <w:unhideWhenUsed/>
    <w:rsid w:val="00B55F3D"/>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B55F3D"/>
    <w:rPr>
      <w:rFonts w:ascii="Consolas" w:eastAsia="Times New Roman" w:hAnsi="Consolas"/>
      <w:sz w:val="21"/>
      <w:szCs w:val="21"/>
    </w:rPr>
  </w:style>
  <w:style w:type="paragraph" w:styleId="E-postsignatur">
    <w:name w:val="E-mail Signature"/>
    <w:basedOn w:val="Normal"/>
    <w:link w:val="E-postsignaturTegn"/>
    <w:uiPriority w:val="99"/>
    <w:unhideWhenUsed/>
    <w:rsid w:val="00B55F3D"/>
    <w:pPr>
      <w:spacing w:after="0" w:line="240" w:lineRule="auto"/>
    </w:pPr>
  </w:style>
  <w:style w:type="character" w:customStyle="1" w:styleId="E-postsignaturTegn">
    <w:name w:val="E-postsignatur Tegn"/>
    <w:basedOn w:val="Standardskriftforavsnitt"/>
    <w:link w:val="E-postsignatur"/>
    <w:uiPriority w:val="99"/>
    <w:rsid w:val="00B55F3D"/>
    <w:rPr>
      <w:rFonts w:ascii="Times New Roman" w:eastAsia="Times New Roman" w:hAnsi="Times New Roman"/>
      <w:sz w:val="24"/>
    </w:rPr>
  </w:style>
  <w:style w:type="paragraph" w:styleId="HTML-adresse">
    <w:name w:val="HTML Address"/>
    <w:basedOn w:val="Normal"/>
    <w:link w:val="HTML-adresseTegn"/>
    <w:uiPriority w:val="99"/>
    <w:unhideWhenUsed/>
    <w:rsid w:val="00B55F3D"/>
    <w:pPr>
      <w:spacing w:after="0" w:line="240" w:lineRule="auto"/>
    </w:pPr>
    <w:rPr>
      <w:i/>
      <w:iCs/>
    </w:rPr>
  </w:style>
  <w:style w:type="character" w:customStyle="1" w:styleId="HTML-adresseTegn">
    <w:name w:val="HTML-adresse Tegn"/>
    <w:basedOn w:val="Standardskriftforavsnitt"/>
    <w:link w:val="HTML-adresse"/>
    <w:uiPriority w:val="99"/>
    <w:rsid w:val="00B55F3D"/>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B55F3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B55F3D"/>
    <w:rPr>
      <w:rFonts w:ascii="Consolas" w:eastAsia="Times New Roman" w:hAnsi="Consolas"/>
      <w:sz w:val="20"/>
      <w:szCs w:val="20"/>
    </w:rPr>
  </w:style>
  <w:style w:type="paragraph" w:styleId="Bibliografi">
    <w:name w:val="Bibliography"/>
    <w:basedOn w:val="Normal"/>
    <w:next w:val="Normal"/>
    <w:uiPriority w:val="37"/>
    <w:unhideWhenUsed/>
    <w:rsid w:val="00B55F3D"/>
  </w:style>
  <w:style w:type="paragraph" w:customStyle="1" w:styleId="Figur">
    <w:name w:val="Figur"/>
    <w:basedOn w:val="Normal"/>
    <w:rsid w:val="00B55F3D"/>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B55F3D"/>
    <w:pPr>
      <w:ind w:firstLine="360"/>
    </w:pPr>
  </w:style>
  <w:style w:type="character" w:customStyle="1" w:styleId="Brdtekst-frsteinnrykkTegn">
    <w:name w:val="Brødtekst - første innrykk Tegn"/>
    <w:basedOn w:val="BrdtekstTegn"/>
    <w:link w:val="Brdtekst-frsteinnrykk"/>
    <w:uiPriority w:val="99"/>
    <w:rsid w:val="00B55F3D"/>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B55F3D"/>
    <w:pPr>
      <w:ind w:left="360" w:firstLine="360"/>
    </w:pPr>
  </w:style>
  <w:style w:type="character" w:customStyle="1" w:styleId="Brdtekst-frsteinnrykk2Tegn">
    <w:name w:val="Brødtekst - første innrykk 2 Tegn"/>
    <w:basedOn w:val="BrdtekstinnrykkTegn"/>
    <w:link w:val="Brdtekst-frsteinnrykk2"/>
    <w:uiPriority w:val="99"/>
    <w:rsid w:val="00B55F3D"/>
    <w:rPr>
      <w:rFonts w:ascii="Times New Roman" w:eastAsia="Times New Roman" w:hAnsi="Times New Roman"/>
      <w:sz w:val="24"/>
    </w:rPr>
  </w:style>
  <w:style w:type="paragraph" w:styleId="Liste-forts">
    <w:name w:val="List Continue"/>
    <w:basedOn w:val="Normal"/>
    <w:uiPriority w:val="99"/>
    <w:unhideWhenUsed/>
    <w:rsid w:val="00B55F3D"/>
    <w:pPr>
      <w:ind w:left="283"/>
      <w:contextualSpacing/>
    </w:pPr>
  </w:style>
  <w:style w:type="paragraph" w:styleId="Liste-forts2">
    <w:name w:val="List Continue 2"/>
    <w:basedOn w:val="Normal"/>
    <w:uiPriority w:val="99"/>
    <w:unhideWhenUsed/>
    <w:rsid w:val="00B55F3D"/>
    <w:pPr>
      <w:ind w:left="566"/>
      <w:contextualSpacing/>
    </w:pPr>
  </w:style>
  <w:style w:type="paragraph" w:styleId="Liste-forts3">
    <w:name w:val="List Continue 3"/>
    <w:basedOn w:val="Normal"/>
    <w:uiPriority w:val="99"/>
    <w:unhideWhenUsed/>
    <w:rsid w:val="00B55F3D"/>
    <w:pPr>
      <w:ind w:left="849"/>
      <w:contextualSpacing/>
    </w:pPr>
  </w:style>
  <w:style w:type="paragraph" w:styleId="Liste-forts4">
    <w:name w:val="List Continue 4"/>
    <w:basedOn w:val="Normal"/>
    <w:uiPriority w:val="99"/>
    <w:unhideWhenUsed/>
    <w:rsid w:val="00B55F3D"/>
    <w:pPr>
      <w:ind w:left="1132"/>
      <w:contextualSpacing/>
    </w:pPr>
  </w:style>
  <w:style w:type="paragraph" w:styleId="Liste-forts5">
    <w:name w:val="List Continue 5"/>
    <w:basedOn w:val="Normal"/>
    <w:uiPriority w:val="99"/>
    <w:unhideWhenUsed/>
    <w:rsid w:val="00B55F3D"/>
    <w:pPr>
      <w:ind w:left="1415"/>
      <w:contextualSpacing/>
    </w:pPr>
  </w:style>
  <w:style w:type="paragraph" w:customStyle="1" w:styleId="Sammendrag">
    <w:name w:val="Sammendrag"/>
    <w:basedOn w:val="Overskrift1"/>
    <w:qFormat/>
    <w:rsid w:val="00B55F3D"/>
    <w:pPr>
      <w:numPr>
        <w:numId w:val="0"/>
      </w:numPr>
    </w:pPr>
  </w:style>
  <w:style w:type="paragraph" w:customStyle="1" w:styleId="TrykkeriMerknad">
    <w:name w:val="TrykkeriMerknad"/>
    <w:basedOn w:val="Normal"/>
    <w:qFormat/>
    <w:rsid w:val="00B55F3D"/>
    <w:pPr>
      <w:spacing w:before="60"/>
    </w:pPr>
    <w:rPr>
      <w:rFonts w:ascii="Arial" w:hAnsi="Arial"/>
      <w:color w:val="943634" w:themeColor="accent2" w:themeShade="BF"/>
      <w:spacing w:val="4"/>
      <w:sz w:val="26"/>
    </w:rPr>
  </w:style>
  <w:style w:type="paragraph" w:customStyle="1" w:styleId="ForfatterMerknad">
    <w:name w:val="ForfatterMerknad"/>
    <w:basedOn w:val="TrykkeriMerknad"/>
    <w:qFormat/>
    <w:rsid w:val="00B55F3D"/>
    <w:pPr>
      <w:shd w:val="clear" w:color="auto" w:fill="FFFF99"/>
      <w:spacing w:line="240" w:lineRule="auto"/>
    </w:pPr>
    <w:rPr>
      <w:color w:val="632423" w:themeColor="accent2" w:themeShade="80"/>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a-tilraar-dep">
    <w:name w:val="a-tilraar-dep"/>
    <w:basedOn w:val="Normal"/>
    <w:next w:val="Normal"/>
    <w:rsid w:val="00B55F3D"/>
    <w:pPr>
      <w:keepNext/>
      <w:spacing w:before="240" w:after="240"/>
    </w:pPr>
    <w:rPr>
      <w:spacing w:val="4"/>
    </w:rPr>
  </w:style>
  <w:style w:type="paragraph" w:customStyle="1" w:styleId="a-tilraar-tit">
    <w:name w:val="a-tilraar-tit"/>
    <w:basedOn w:val="Normal"/>
    <w:next w:val="Normal"/>
    <w:rsid w:val="00B55F3D"/>
    <w:pPr>
      <w:keepNext/>
      <w:keepLines/>
      <w:spacing w:before="240"/>
      <w:jc w:val="center"/>
    </w:pPr>
    <w:rPr>
      <w:spacing w:val="30"/>
    </w:rPr>
  </w:style>
  <w:style w:type="paragraph" w:customStyle="1" w:styleId="ramme-noter">
    <w:name w:val="ramme-noter"/>
    <w:basedOn w:val="Normal"/>
    <w:next w:val="Normal"/>
    <w:rsid w:val="00B55F3D"/>
    <w:pPr>
      <w:tabs>
        <w:tab w:val="left" w:pos="284"/>
      </w:tabs>
      <w:spacing w:before="120" w:line="240" w:lineRule="auto"/>
      <w:contextualSpacing/>
    </w:pPr>
    <w:rPr>
      <w:rFonts w:ascii="Times" w:eastAsia="Batang" w:hAnsi="Times"/>
      <w:sz w:val="20"/>
      <w:szCs w:val="20"/>
    </w:rPr>
  </w:style>
  <w:style w:type="paragraph" w:customStyle="1" w:styleId="Def">
    <w:name w:val="Def"/>
    <w:basedOn w:val="Normal"/>
    <w:qFormat/>
    <w:rsid w:val="00B55F3D"/>
  </w:style>
  <w:style w:type="paragraph" w:customStyle="1" w:styleId="del-nr">
    <w:name w:val="del-nr"/>
    <w:basedOn w:val="Normal"/>
    <w:qFormat/>
    <w:rsid w:val="00B55F3D"/>
    <w:pPr>
      <w:keepNext/>
      <w:keepLines/>
      <w:spacing w:before="360" w:after="0" w:line="240" w:lineRule="auto"/>
      <w:jc w:val="center"/>
    </w:pPr>
    <w:rPr>
      <w:rFonts w:eastAsia="Batang"/>
      <w:i/>
      <w:sz w:val="48"/>
      <w:szCs w:val="20"/>
    </w:rPr>
  </w:style>
  <w:style w:type="paragraph" w:customStyle="1" w:styleId="del-tittel">
    <w:name w:val="del-tittel"/>
    <w:uiPriority w:val="99"/>
    <w:rsid w:val="00B55F3D"/>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B55F3D"/>
    <w:rPr>
      <w:spacing w:val="4"/>
    </w:rPr>
  </w:style>
  <w:style w:type="paragraph" w:customStyle="1" w:styleId="figur-noter">
    <w:name w:val="figur-noter"/>
    <w:basedOn w:val="Normal"/>
    <w:next w:val="Normal"/>
    <w:rsid w:val="00B55F3D"/>
    <w:pPr>
      <w:tabs>
        <w:tab w:val="left" w:pos="284"/>
      </w:tabs>
      <w:spacing w:before="120" w:line="240" w:lineRule="auto"/>
      <w:contextualSpacing/>
    </w:pPr>
    <w:rPr>
      <w:rFonts w:ascii="Times" w:eastAsia="Batang" w:hAnsi="Times"/>
      <w:sz w:val="20"/>
      <w:szCs w:val="20"/>
    </w:rPr>
  </w:style>
  <w:style w:type="paragraph" w:customStyle="1" w:styleId="forfatter">
    <w:name w:val="forfatter"/>
    <w:basedOn w:val="Normal"/>
    <w:next w:val="Normal"/>
    <w:rsid w:val="00B55F3D"/>
    <w:pPr>
      <w:spacing w:before="240"/>
      <w:jc w:val="center"/>
    </w:pPr>
    <w:rPr>
      <w:spacing w:val="4"/>
    </w:rPr>
  </w:style>
  <w:style w:type="paragraph" w:customStyle="1" w:styleId="hengende-innrykk">
    <w:name w:val="hengende-innrykk"/>
    <w:basedOn w:val="Normal"/>
    <w:next w:val="Normal"/>
    <w:rsid w:val="00B55F3D"/>
    <w:pPr>
      <w:ind w:left="1418" w:hanging="1418"/>
    </w:pPr>
    <w:rPr>
      <w:spacing w:val="4"/>
    </w:rPr>
  </w:style>
  <w:style w:type="paragraph" w:customStyle="1" w:styleId="i-dep">
    <w:name w:val="i-dep"/>
    <w:basedOn w:val="Normal"/>
    <w:next w:val="Normal"/>
    <w:rsid w:val="00B55F3D"/>
    <w:pPr>
      <w:jc w:val="right"/>
    </w:pPr>
    <w:rPr>
      <w:rFonts w:ascii="Times" w:hAnsi="Times"/>
      <w:b/>
      <w:noProof/>
      <w:spacing w:val="4"/>
      <w:u w:val="single"/>
    </w:rPr>
  </w:style>
  <w:style w:type="paragraph" w:customStyle="1" w:styleId="i-undertit">
    <w:name w:val="i-undertit"/>
    <w:basedOn w:val="Normal"/>
    <w:next w:val="Normal"/>
    <w:rsid w:val="00B55F3D"/>
    <w:pPr>
      <w:keepNext/>
      <w:keepLines/>
      <w:spacing w:before="360"/>
      <w:jc w:val="center"/>
    </w:pPr>
    <w:rPr>
      <w:rFonts w:ascii="Times" w:hAnsi="Times"/>
      <w:b/>
      <w:noProof/>
      <w:spacing w:val="4"/>
      <w:sz w:val="28"/>
    </w:rPr>
  </w:style>
  <w:style w:type="paragraph" w:customStyle="1" w:styleId="i-saerskilt-vedl">
    <w:name w:val="i-saerskilt-vedl"/>
    <w:basedOn w:val="Normal"/>
    <w:next w:val="Normal"/>
    <w:rsid w:val="00B55F3D"/>
    <w:pPr>
      <w:ind w:left="1701" w:hanging="1701"/>
    </w:pPr>
  </w:style>
  <w:style w:type="paragraph" w:customStyle="1" w:styleId="i-statsrdato">
    <w:name w:val="i-statsr.dato"/>
    <w:basedOn w:val="Normal"/>
    <w:next w:val="Normal"/>
    <w:rsid w:val="00B55F3D"/>
    <w:pPr>
      <w:jc w:val="center"/>
    </w:pPr>
    <w:rPr>
      <w:rFonts w:ascii="Times" w:hAnsi="Times"/>
      <w:i/>
      <w:noProof/>
      <w:spacing w:val="4"/>
    </w:rPr>
  </w:style>
  <w:style w:type="paragraph" w:customStyle="1" w:styleId="i-tit">
    <w:name w:val="i-tit"/>
    <w:basedOn w:val="Normal"/>
    <w:next w:val="i-statsrdato"/>
    <w:rsid w:val="00B55F3D"/>
    <w:pPr>
      <w:spacing w:before="360" w:after="240"/>
      <w:jc w:val="center"/>
    </w:pPr>
    <w:rPr>
      <w:rFonts w:ascii="Times" w:hAnsi="Times"/>
      <w:b/>
      <w:noProof/>
      <w:spacing w:val="4"/>
      <w:sz w:val="32"/>
    </w:rPr>
  </w:style>
  <w:style w:type="paragraph" w:customStyle="1" w:styleId="is-dep">
    <w:name w:val="is-dep"/>
    <w:basedOn w:val="i-dep"/>
    <w:qFormat/>
    <w:rsid w:val="00B55F3D"/>
    <w:pPr>
      <w:spacing w:line="240" w:lineRule="auto"/>
    </w:pPr>
    <w:rPr>
      <w:szCs w:val="20"/>
    </w:rPr>
  </w:style>
  <w:style w:type="paragraph" w:customStyle="1" w:styleId="l-avsnitt">
    <w:name w:val="l-avsnitt"/>
    <w:basedOn w:val="l-lovkap"/>
    <w:qFormat/>
    <w:rsid w:val="00B55F3D"/>
    <w:rPr>
      <w:lang w:val="nn-NO"/>
    </w:rPr>
  </w:style>
  <w:style w:type="paragraph" w:customStyle="1" w:styleId="l-lovdeltit">
    <w:name w:val="l-lovdeltit"/>
    <w:basedOn w:val="Normal"/>
    <w:next w:val="Normal"/>
    <w:rsid w:val="00B55F3D"/>
    <w:pPr>
      <w:keepNext/>
      <w:spacing w:before="120" w:after="60"/>
    </w:pPr>
    <w:rPr>
      <w:b/>
    </w:rPr>
  </w:style>
  <w:style w:type="paragraph" w:customStyle="1" w:styleId="l-lovkap">
    <w:name w:val="l-lovkap"/>
    <w:basedOn w:val="Normal"/>
    <w:next w:val="Normal"/>
    <w:rsid w:val="00B55F3D"/>
    <w:pPr>
      <w:keepNext/>
      <w:spacing w:before="240" w:after="40"/>
    </w:pPr>
    <w:rPr>
      <w:b/>
      <w:spacing w:val="4"/>
    </w:rPr>
  </w:style>
  <w:style w:type="paragraph" w:customStyle="1" w:styleId="l-lovtit">
    <w:name w:val="l-lovtit"/>
    <w:basedOn w:val="Normal"/>
    <w:next w:val="Normal"/>
    <w:rsid w:val="00B55F3D"/>
    <w:pPr>
      <w:keepNext/>
      <w:spacing w:before="120" w:after="60"/>
    </w:pPr>
    <w:rPr>
      <w:b/>
      <w:spacing w:val="4"/>
    </w:rPr>
  </w:style>
  <w:style w:type="paragraph" w:customStyle="1" w:styleId="l-punktum">
    <w:name w:val="l-punktum"/>
    <w:basedOn w:val="Normal"/>
    <w:qFormat/>
    <w:rsid w:val="00B55F3D"/>
    <w:pPr>
      <w:spacing w:after="0"/>
    </w:pPr>
    <w:rPr>
      <w:spacing w:val="4"/>
    </w:rPr>
  </w:style>
  <w:style w:type="paragraph" w:customStyle="1" w:styleId="l-tit-endr-avsnitt">
    <w:name w:val="l-tit-endr-avsnitt"/>
    <w:basedOn w:val="l-tit-endr-lovkap"/>
    <w:qFormat/>
    <w:rsid w:val="00B55F3D"/>
  </w:style>
  <w:style w:type="paragraph" w:customStyle="1" w:styleId="l-tit-endr-ledd">
    <w:name w:val="l-tit-endr-ledd"/>
    <w:basedOn w:val="Normal"/>
    <w:qFormat/>
    <w:rsid w:val="00B55F3D"/>
    <w:pPr>
      <w:keepNext/>
      <w:spacing w:before="240" w:after="0" w:line="240" w:lineRule="auto"/>
    </w:pPr>
    <w:rPr>
      <w:rFonts w:ascii="Times" w:hAnsi="Times"/>
      <w:noProof/>
      <w:spacing w:val="4"/>
      <w:lang w:val="nn-NO"/>
    </w:rPr>
  </w:style>
  <w:style w:type="paragraph" w:customStyle="1" w:styleId="l-tit-endr-lov">
    <w:name w:val="l-tit-endr-lov"/>
    <w:basedOn w:val="Normal"/>
    <w:qFormat/>
    <w:rsid w:val="00B55F3D"/>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B55F3D"/>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B55F3D"/>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B55F3D"/>
  </w:style>
  <w:style w:type="paragraph" w:customStyle="1" w:styleId="Listeavsnitt2">
    <w:name w:val="Listeavsnitt 2"/>
    <w:basedOn w:val="Normal"/>
    <w:qFormat/>
    <w:rsid w:val="00B55F3D"/>
    <w:pPr>
      <w:spacing w:before="60" w:after="0"/>
      <w:ind w:left="794"/>
    </w:pPr>
  </w:style>
  <w:style w:type="paragraph" w:customStyle="1" w:styleId="Listeavsnitt3">
    <w:name w:val="Listeavsnitt 3"/>
    <w:basedOn w:val="Normal"/>
    <w:qFormat/>
    <w:rsid w:val="00B55F3D"/>
    <w:pPr>
      <w:spacing w:before="60" w:after="0"/>
      <w:ind w:left="1191"/>
    </w:pPr>
  </w:style>
  <w:style w:type="paragraph" w:customStyle="1" w:styleId="Listeavsnitt4">
    <w:name w:val="Listeavsnitt 4"/>
    <w:basedOn w:val="Normal"/>
    <w:qFormat/>
    <w:rsid w:val="00B55F3D"/>
    <w:pPr>
      <w:spacing w:before="60" w:after="0"/>
      <w:ind w:left="1588"/>
    </w:pPr>
  </w:style>
  <w:style w:type="paragraph" w:customStyle="1" w:styleId="Listeavsnitt5">
    <w:name w:val="Listeavsnitt 5"/>
    <w:basedOn w:val="Normal"/>
    <w:qFormat/>
    <w:rsid w:val="00B55F3D"/>
    <w:pPr>
      <w:spacing w:before="60" w:after="0"/>
      <w:ind w:left="1985"/>
    </w:pPr>
  </w:style>
  <w:style w:type="paragraph" w:customStyle="1" w:styleId="Normalref">
    <w:name w:val="Normalref"/>
    <w:basedOn w:val="Normal"/>
    <w:qFormat/>
    <w:rsid w:val="00B55F3D"/>
    <w:pPr>
      <w:ind w:left="357" w:hanging="357"/>
    </w:pPr>
  </w:style>
  <w:style w:type="paragraph" w:customStyle="1" w:styleId="Petit">
    <w:name w:val="Petit"/>
    <w:basedOn w:val="Normal"/>
    <w:next w:val="Normal"/>
    <w:qFormat/>
    <w:rsid w:val="00B55F3D"/>
    <w:rPr>
      <w:spacing w:val="6"/>
      <w:sz w:val="19"/>
    </w:rPr>
  </w:style>
  <w:style w:type="paragraph" w:customStyle="1" w:styleId="Ramme-slutt">
    <w:name w:val="Ramme-slutt"/>
    <w:basedOn w:val="NormalWeb"/>
    <w:qFormat/>
    <w:rsid w:val="00B55F3D"/>
    <w:rPr>
      <w:b/>
      <w:color w:val="C00000"/>
    </w:rPr>
  </w:style>
  <w:style w:type="paragraph" w:customStyle="1" w:styleId="tabell-noter">
    <w:name w:val="tabell-noter"/>
    <w:basedOn w:val="Normal"/>
    <w:next w:val="Normal"/>
    <w:rsid w:val="00B55F3D"/>
    <w:pPr>
      <w:tabs>
        <w:tab w:val="left" w:pos="284"/>
      </w:tabs>
      <w:spacing w:before="120" w:line="240" w:lineRule="auto"/>
      <w:contextualSpacing/>
    </w:pPr>
    <w:rPr>
      <w:rFonts w:ascii="Times" w:eastAsia="Batang" w:hAnsi="Times"/>
      <w:sz w:val="20"/>
      <w:szCs w:val="20"/>
    </w:rPr>
  </w:style>
  <w:style w:type="paragraph" w:customStyle="1" w:styleId="Tabellnavn">
    <w:name w:val="Tabellnavn"/>
    <w:basedOn w:val="NormalWeb"/>
    <w:qFormat/>
    <w:rsid w:val="00B55F3D"/>
    <w:rPr>
      <w:rFonts w:ascii="Times" w:hAnsi="Times"/>
      <w:vanish/>
      <w:color w:val="00B050"/>
    </w:rPr>
  </w:style>
  <w:style w:type="paragraph" w:customStyle="1" w:styleId="Term">
    <w:name w:val="Term"/>
    <w:basedOn w:val="Normal"/>
    <w:qFormat/>
    <w:rsid w:val="00B55F3D"/>
  </w:style>
  <w:style w:type="paragraph" w:customStyle="1" w:styleId="tittel-forord">
    <w:name w:val="tittel-forord"/>
    <w:basedOn w:val="Normal"/>
    <w:next w:val="Normal"/>
    <w:rsid w:val="00B55F3D"/>
    <w:pPr>
      <w:keepNext/>
      <w:keepLines/>
      <w:jc w:val="center"/>
    </w:pPr>
    <w:rPr>
      <w:rFonts w:ascii="Arial" w:hAnsi="Arial"/>
      <w:b/>
      <w:sz w:val="28"/>
    </w:rPr>
  </w:style>
  <w:style w:type="paragraph" w:customStyle="1" w:styleId="tittel-litteraturliste">
    <w:name w:val="tittel-litteraturliste"/>
    <w:basedOn w:val="Normal"/>
    <w:next w:val="Normal"/>
    <w:rsid w:val="00B55F3D"/>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B55F3D"/>
    <w:pPr>
      <w:keepNext/>
      <w:keepLines/>
      <w:spacing w:before="360" w:after="240"/>
      <w:jc w:val="center"/>
    </w:pPr>
    <w:rPr>
      <w:rFonts w:ascii="Arial" w:hAnsi="Arial"/>
      <w:b/>
      <w:spacing w:val="4"/>
      <w:sz w:val="28"/>
    </w:rPr>
  </w:style>
  <w:style w:type="paragraph" w:customStyle="1" w:styleId="undervedl-nr">
    <w:name w:val="undervedl-nr"/>
    <w:basedOn w:val="vedlegg-nr"/>
    <w:next w:val="Normal"/>
    <w:rsid w:val="00B55F3D"/>
    <w:pPr>
      <w:numPr>
        <w:numId w:val="0"/>
      </w:numPr>
    </w:pPr>
    <w:rPr>
      <w:b w:val="0"/>
      <w:i/>
    </w:rPr>
  </w:style>
  <w:style w:type="paragraph" w:customStyle="1" w:styleId="Undervedl-tittel">
    <w:name w:val="Undervedl-tittel"/>
    <w:basedOn w:val="Normal"/>
    <w:next w:val="Normal"/>
    <w:rsid w:val="00B55F3D"/>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B55F3D"/>
    <w:pPr>
      <w:numPr>
        <w:numId w:val="0"/>
      </w:numPr>
      <w:outlineLvl w:val="9"/>
    </w:pPr>
  </w:style>
  <w:style w:type="paragraph" w:customStyle="1" w:styleId="v-Overskrift2">
    <w:name w:val="v-Overskrift 2"/>
    <w:basedOn w:val="Overskrift2"/>
    <w:next w:val="Normal"/>
    <w:rsid w:val="00B55F3D"/>
    <w:pPr>
      <w:numPr>
        <w:ilvl w:val="0"/>
        <w:numId w:val="0"/>
      </w:numPr>
      <w:outlineLvl w:val="9"/>
    </w:pPr>
  </w:style>
  <w:style w:type="paragraph" w:customStyle="1" w:styleId="v-Overskrift3">
    <w:name w:val="v-Overskrift 3"/>
    <w:basedOn w:val="Overskrift3"/>
    <w:next w:val="Normal"/>
    <w:rsid w:val="00B55F3D"/>
    <w:pPr>
      <w:numPr>
        <w:ilvl w:val="0"/>
        <w:numId w:val="0"/>
      </w:numPr>
      <w:outlineLvl w:val="9"/>
    </w:pPr>
  </w:style>
  <w:style w:type="paragraph" w:customStyle="1" w:styleId="vedlegg-nr">
    <w:name w:val="vedlegg-nr"/>
    <w:basedOn w:val="Normal"/>
    <w:next w:val="Normal"/>
    <w:rsid w:val="00B55F3D"/>
    <w:pPr>
      <w:keepNext/>
      <w:keepLines/>
      <w:numPr>
        <w:numId w:val="8"/>
      </w:numPr>
    </w:pPr>
    <w:rPr>
      <w:rFonts w:ascii="Arial" w:hAnsi="Arial"/>
      <w:b/>
      <w:spacing w:val="4"/>
      <w:u w:val="single"/>
    </w:rPr>
  </w:style>
  <w:style w:type="paragraph" w:customStyle="1" w:styleId="vedlegg-tit">
    <w:name w:val="vedlegg-tit"/>
    <w:basedOn w:val="Normal"/>
    <w:next w:val="Normal"/>
    <w:rsid w:val="00B55F3D"/>
    <w:pPr>
      <w:keepNext/>
      <w:keepLines/>
      <w:spacing w:before="360" w:after="80"/>
      <w:jc w:val="center"/>
    </w:pPr>
    <w:rPr>
      <w:rFonts w:ascii="Arial" w:hAnsi="Arial"/>
      <w:b/>
      <w:spacing w:val="4"/>
      <w:sz w:val="28"/>
    </w:rPr>
  </w:style>
  <w:style w:type="paragraph" w:customStyle="1" w:styleId="i-hode-tit">
    <w:name w:val="i-hode-tit"/>
    <w:basedOn w:val="Normal"/>
    <w:autoRedefine/>
    <w:qFormat/>
    <w:rsid w:val="00B55F3D"/>
    <w:pPr>
      <w:keepNext/>
      <w:keepLines/>
      <w:jc w:val="center"/>
    </w:pPr>
    <w:rPr>
      <w:rFonts w:eastAsia="Batang"/>
      <w:b/>
      <w:spacing w:val="4"/>
      <w:sz w:val="28"/>
    </w:rPr>
  </w:style>
  <w:style w:type="paragraph" w:customStyle="1" w:styleId="i-hode">
    <w:name w:val="i-hode"/>
    <w:basedOn w:val="Normal"/>
    <w:next w:val="Normal"/>
    <w:rsid w:val="00B55F3D"/>
    <w:pPr>
      <w:keepNext/>
      <w:keepLines/>
      <w:spacing w:before="720"/>
      <w:jc w:val="center"/>
    </w:pPr>
    <w:rPr>
      <w:rFonts w:ascii="Times" w:hAnsi="Times"/>
      <w:b/>
      <w:noProof/>
      <w:spacing w:val="4"/>
      <w:sz w:val="56"/>
    </w:rPr>
  </w:style>
  <w:style w:type="paragraph" w:customStyle="1" w:styleId="i-sesjon">
    <w:name w:val="i-sesjon"/>
    <w:basedOn w:val="Normal"/>
    <w:next w:val="Normal"/>
    <w:rsid w:val="00B55F3D"/>
    <w:pPr>
      <w:jc w:val="center"/>
    </w:pPr>
    <w:rPr>
      <w:rFonts w:ascii="Times" w:hAnsi="Times"/>
      <w:b/>
      <w:noProof/>
      <w:spacing w:val="4"/>
      <w:sz w:val="28"/>
    </w:rPr>
  </w:style>
  <w:style w:type="paragraph" w:customStyle="1" w:styleId="i-mtit">
    <w:name w:val="i-mtit"/>
    <w:basedOn w:val="Normal"/>
    <w:next w:val="Normal"/>
    <w:rsid w:val="00B55F3D"/>
    <w:pPr>
      <w:keepNext/>
      <w:keepLines/>
      <w:spacing w:before="360"/>
      <w:jc w:val="center"/>
    </w:pPr>
    <w:rPr>
      <w:rFonts w:ascii="Times" w:hAnsi="Times"/>
      <w:b/>
      <w:noProof/>
      <w:spacing w:val="4"/>
    </w:rPr>
  </w:style>
  <w:style w:type="paragraph" w:customStyle="1" w:styleId="figur-tittel">
    <w:name w:val="figur-tittel"/>
    <w:basedOn w:val="Normal"/>
    <w:next w:val="Normal"/>
    <w:rsid w:val="00B55F3D"/>
    <w:pPr>
      <w:numPr>
        <w:ilvl w:val="5"/>
        <w:numId w:val="24"/>
      </w:numPr>
    </w:pPr>
    <w:rPr>
      <w:rFonts w:ascii="Arial" w:hAnsi="Arial"/>
      <w:spacing w:val="4"/>
    </w:rPr>
  </w:style>
  <w:style w:type="paragraph" w:customStyle="1" w:styleId="tabell-tittel">
    <w:name w:val="tabell-tittel"/>
    <w:basedOn w:val="Normal"/>
    <w:next w:val="Normal"/>
    <w:rsid w:val="00B55F3D"/>
    <w:pPr>
      <w:keepNext/>
      <w:keepLines/>
      <w:numPr>
        <w:ilvl w:val="6"/>
        <w:numId w:val="24"/>
      </w:numPr>
      <w:spacing w:before="240"/>
    </w:pPr>
    <w:rPr>
      <w:rFonts w:ascii="Arial" w:hAnsi="Arial"/>
      <w:spacing w:val="4"/>
    </w:rPr>
  </w:style>
  <w:style w:type="paragraph" w:customStyle="1" w:styleId="avsnitt-tittel">
    <w:name w:val="avsnitt-tittel"/>
    <w:basedOn w:val="Normal"/>
    <w:next w:val="Normal"/>
    <w:rsid w:val="00B55F3D"/>
    <w:pPr>
      <w:keepNext/>
      <w:keepLines/>
      <w:spacing w:before="360" w:after="60"/>
    </w:pPr>
    <w:rPr>
      <w:rFonts w:ascii="Arial" w:hAnsi="Arial"/>
      <w:spacing w:val="4"/>
      <w:sz w:val="26"/>
    </w:rPr>
  </w:style>
  <w:style w:type="paragraph" w:customStyle="1" w:styleId="Listebombe">
    <w:name w:val="Liste bombe"/>
    <w:basedOn w:val="Liste"/>
    <w:qFormat/>
    <w:rsid w:val="00B55F3D"/>
    <w:pPr>
      <w:numPr>
        <w:numId w:val="19"/>
      </w:numPr>
    </w:pPr>
  </w:style>
  <w:style w:type="paragraph" w:customStyle="1" w:styleId="Listebombe2">
    <w:name w:val="Liste bombe 2"/>
    <w:basedOn w:val="Liste2"/>
    <w:qFormat/>
    <w:rsid w:val="00B55F3D"/>
    <w:pPr>
      <w:numPr>
        <w:ilvl w:val="0"/>
        <w:numId w:val="20"/>
      </w:numPr>
    </w:pPr>
  </w:style>
  <w:style w:type="paragraph" w:customStyle="1" w:styleId="Listebombe3">
    <w:name w:val="Liste bombe 3"/>
    <w:basedOn w:val="Liste3"/>
    <w:qFormat/>
    <w:rsid w:val="00B55F3D"/>
    <w:pPr>
      <w:numPr>
        <w:ilvl w:val="0"/>
        <w:numId w:val="21"/>
      </w:numPr>
    </w:pPr>
  </w:style>
  <w:style w:type="paragraph" w:customStyle="1" w:styleId="Listebombe4">
    <w:name w:val="Liste bombe 4"/>
    <w:basedOn w:val="Liste4"/>
    <w:qFormat/>
    <w:rsid w:val="00B55F3D"/>
    <w:pPr>
      <w:numPr>
        <w:ilvl w:val="0"/>
        <w:numId w:val="22"/>
      </w:numPr>
    </w:pPr>
  </w:style>
  <w:style w:type="paragraph" w:customStyle="1" w:styleId="Listebombe5">
    <w:name w:val="Liste bombe 5"/>
    <w:basedOn w:val="Liste5"/>
    <w:qFormat/>
    <w:rsid w:val="00B55F3D"/>
    <w:pPr>
      <w:numPr>
        <w:ilvl w:val="0"/>
        <w:numId w:val="23"/>
      </w:numPr>
    </w:pPr>
  </w:style>
  <w:style w:type="paragraph" w:customStyle="1" w:styleId="alfaliste">
    <w:name w:val="alfaliste"/>
    <w:basedOn w:val="Normal"/>
    <w:rsid w:val="00B55F3D"/>
    <w:pPr>
      <w:numPr>
        <w:numId w:val="10"/>
      </w:numPr>
      <w:spacing w:after="0"/>
    </w:pPr>
    <w:rPr>
      <w:spacing w:val="4"/>
    </w:rPr>
  </w:style>
  <w:style w:type="paragraph" w:customStyle="1" w:styleId="alfaliste2">
    <w:name w:val="alfaliste 2"/>
    <w:basedOn w:val="Normal"/>
    <w:rsid w:val="00B55F3D"/>
    <w:pPr>
      <w:numPr>
        <w:ilvl w:val="1"/>
        <w:numId w:val="10"/>
      </w:numPr>
      <w:spacing w:after="0"/>
    </w:pPr>
    <w:rPr>
      <w:spacing w:val="4"/>
    </w:rPr>
  </w:style>
  <w:style w:type="paragraph" w:customStyle="1" w:styleId="alfaliste3">
    <w:name w:val="alfaliste 3"/>
    <w:basedOn w:val="Normal"/>
    <w:rsid w:val="00B55F3D"/>
    <w:pPr>
      <w:numPr>
        <w:ilvl w:val="2"/>
        <w:numId w:val="10"/>
      </w:numPr>
      <w:spacing w:after="0"/>
    </w:pPr>
  </w:style>
  <w:style w:type="paragraph" w:customStyle="1" w:styleId="alfaliste4">
    <w:name w:val="alfaliste 4"/>
    <w:basedOn w:val="Normal"/>
    <w:rsid w:val="00B55F3D"/>
    <w:pPr>
      <w:numPr>
        <w:ilvl w:val="3"/>
        <w:numId w:val="10"/>
      </w:numPr>
      <w:spacing w:after="0"/>
    </w:pPr>
  </w:style>
  <w:style w:type="paragraph" w:customStyle="1" w:styleId="alfaliste5">
    <w:name w:val="alfaliste 5"/>
    <w:basedOn w:val="Normal"/>
    <w:rsid w:val="00B55F3D"/>
    <w:pPr>
      <w:numPr>
        <w:ilvl w:val="4"/>
        <w:numId w:val="10"/>
      </w:numPr>
      <w:spacing w:after="0"/>
    </w:pPr>
  </w:style>
  <w:style w:type="paragraph" w:customStyle="1" w:styleId="romertallliste">
    <w:name w:val="romertall liste"/>
    <w:basedOn w:val="Normal"/>
    <w:rsid w:val="00B55F3D"/>
    <w:pPr>
      <w:numPr>
        <w:numId w:val="18"/>
      </w:numPr>
      <w:spacing w:after="0" w:line="240" w:lineRule="auto"/>
    </w:pPr>
    <w:rPr>
      <w:rFonts w:ascii="Times" w:eastAsia="Batang" w:hAnsi="Times"/>
      <w:szCs w:val="20"/>
    </w:rPr>
  </w:style>
  <w:style w:type="paragraph" w:customStyle="1" w:styleId="romertallliste2">
    <w:name w:val="romertall liste 2"/>
    <w:basedOn w:val="Normal"/>
    <w:rsid w:val="00B55F3D"/>
    <w:pPr>
      <w:numPr>
        <w:ilvl w:val="1"/>
        <w:numId w:val="18"/>
      </w:numPr>
      <w:spacing w:after="0" w:line="240" w:lineRule="auto"/>
    </w:pPr>
    <w:rPr>
      <w:rFonts w:ascii="Times" w:eastAsia="Batang" w:hAnsi="Times"/>
      <w:szCs w:val="20"/>
    </w:rPr>
  </w:style>
  <w:style w:type="paragraph" w:customStyle="1" w:styleId="romertallliste3">
    <w:name w:val="romertall liste 3"/>
    <w:basedOn w:val="Normal"/>
    <w:rsid w:val="00B55F3D"/>
    <w:pPr>
      <w:numPr>
        <w:ilvl w:val="2"/>
        <w:numId w:val="18"/>
      </w:numPr>
      <w:spacing w:after="0" w:line="240" w:lineRule="auto"/>
    </w:pPr>
    <w:rPr>
      <w:rFonts w:ascii="Times" w:eastAsia="Batang" w:hAnsi="Times"/>
      <w:szCs w:val="20"/>
    </w:rPr>
  </w:style>
  <w:style w:type="paragraph" w:customStyle="1" w:styleId="romertallliste4">
    <w:name w:val="romertall liste 4"/>
    <w:basedOn w:val="Normal"/>
    <w:rsid w:val="00B55F3D"/>
    <w:pPr>
      <w:numPr>
        <w:ilvl w:val="3"/>
        <w:numId w:val="18"/>
      </w:numPr>
      <w:spacing w:after="0" w:line="240" w:lineRule="auto"/>
    </w:pPr>
    <w:rPr>
      <w:rFonts w:ascii="Times" w:eastAsia="Batang" w:hAnsi="Times"/>
      <w:szCs w:val="20"/>
    </w:rPr>
  </w:style>
  <w:style w:type="paragraph" w:customStyle="1" w:styleId="romertallliste5">
    <w:name w:val="romertall liste 5"/>
    <w:basedOn w:val="Normal"/>
    <w:qFormat/>
    <w:rsid w:val="00B55F3D"/>
    <w:pPr>
      <w:numPr>
        <w:ilvl w:val="4"/>
        <w:numId w:val="18"/>
      </w:numPr>
      <w:spacing w:after="0"/>
    </w:pPr>
    <w:rPr>
      <w:spacing w:val="4"/>
    </w:rPr>
  </w:style>
  <w:style w:type="paragraph" w:customStyle="1" w:styleId="opplisting">
    <w:name w:val="opplisting"/>
    <w:basedOn w:val="Normal"/>
    <w:rsid w:val="00B55F3D"/>
    <w:pPr>
      <w:spacing w:after="0"/>
    </w:pPr>
    <w:rPr>
      <w:rFonts w:ascii="Times" w:hAnsi="Times" w:cs="Times New Roman"/>
    </w:rPr>
  </w:style>
  <w:style w:type="paragraph" w:customStyle="1" w:styleId="opplisting2">
    <w:name w:val="opplisting 2"/>
    <w:basedOn w:val="Normal"/>
    <w:qFormat/>
    <w:rsid w:val="00B55F3D"/>
    <w:pPr>
      <w:spacing w:after="0"/>
      <w:ind w:left="397"/>
    </w:pPr>
    <w:rPr>
      <w:lang w:val="en-US"/>
    </w:rPr>
  </w:style>
  <w:style w:type="paragraph" w:customStyle="1" w:styleId="opplisting3">
    <w:name w:val="opplisting 3"/>
    <w:basedOn w:val="Normal"/>
    <w:qFormat/>
    <w:rsid w:val="00B55F3D"/>
    <w:pPr>
      <w:spacing w:after="0"/>
      <w:ind w:left="794"/>
    </w:pPr>
  </w:style>
  <w:style w:type="paragraph" w:customStyle="1" w:styleId="opplisting4">
    <w:name w:val="opplisting 4"/>
    <w:basedOn w:val="Normal"/>
    <w:qFormat/>
    <w:rsid w:val="00B55F3D"/>
    <w:pPr>
      <w:spacing w:after="0"/>
      <w:ind w:left="1191"/>
    </w:pPr>
  </w:style>
  <w:style w:type="paragraph" w:customStyle="1" w:styleId="opplisting5">
    <w:name w:val="opplisting 5"/>
    <w:basedOn w:val="Normal"/>
    <w:qFormat/>
    <w:rsid w:val="00B55F3D"/>
    <w:pPr>
      <w:spacing w:after="0"/>
      <w:ind w:left="1588"/>
    </w:pPr>
  </w:style>
  <w:style w:type="paragraph" w:customStyle="1" w:styleId="friliste">
    <w:name w:val="friliste"/>
    <w:basedOn w:val="Normal"/>
    <w:qFormat/>
    <w:rsid w:val="00B55F3D"/>
    <w:pPr>
      <w:tabs>
        <w:tab w:val="left" w:pos="397"/>
      </w:tabs>
      <w:spacing w:after="0"/>
      <w:ind w:left="397" w:hanging="397"/>
    </w:pPr>
  </w:style>
  <w:style w:type="paragraph" w:customStyle="1" w:styleId="friliste2">
    <w:name w:val="friliste 2"/>
    <w:basedOn w:val="Normal"/>
    <w:qFormat/>
    <w:rsid w:val="00B55F3D"/>
    <w:pPr>
      <w:tabs>
        <w:tab w:val="left" w:pos="794"/>
      </w:tabs>
      <w:spacing w:after="0"/>
      <w:ind w:left="794" w:hanging="397"/>
    </w:pPr>
  </w:style>
  <w:style w:type="paragraph" w:customStyle="1" w:styleId="friliste3">
    <w:name w:val="friliste 3"/>
    <w:basedOn w:val="Normal"/>
    <w:qFormat/>
    <w:rsid w:val="00B55F3D"/>
    <w:pPr>
      <w:tabs>
        <w:tab w:val="left" w:pos="1191"/>
      </w:tabs>
      <w:spacing w:after="0"/>
      <w:ind w:left="1191" w:hanging="397"/>
    </w:pPr>
  </w:style>
  <w:style w:type="paragraph" w:customStyle="1" w:styleId="friliste4">
    <w:name w:val="friliste 4"/>
    <w:basedOn w:val="Normal"/>
    <w:qFormat/>
    <w:rsid w:val="00B55F3D"/>
    <w:pPr>
      <w:tabs>
        <w:tab w:val="left" w:pos="1588"/>
      </w:tabs>
      <w:spacing w:after="0"/>
      <w:ind w:left="1588" w:hanging="397"/>
    </w:pPr>
  </w:style>
  <w:style w:type="paragraph" w:customStyle="1" w:styleId="friliste5">
    <w:name w:val="friliste 5"/>
    <w:basedOn w:val="Normal"/>
    <w:qFormat/>
    <w:rsid w:val="00B55F3D"/>
    <w:pPr>
      <w:tabs>
        <w:tab w:val="left" w:pos="1985"/>
      </w:tabs>
      <w:spacing w:after="0"/>
      <w:ind w:left="1985" w:hanging="397"/>
    </w:pPr>
  </w:style>
  <w:style w:type="paragraph" w:customStyle="1" w:styleId="l-alfaliste">
    <w:name w:val="l-alfaliste"/>
    <w:basedOn w:val="alfaliste"/>
    <w:qFormat/>
    <w:rsid w:val="00B55F3D"/>
    <w:pPr>
      <w:numPr>
        <w:numId w:val="11"/>
      </w:numPr>
    </w:pPr>
    <w:rPr>
      <w:rFonts w:eastAsiaTheme="minorEastAsia"/>
    </w:rPr>
  </w:style>
  <w:style w:type="paragraph" w:customStyle="1" w:styleId="l-alfaliste2">
    <w:name w:val="l-alfaliste 2"/>
    <w:basedOn w:val="alfaliste2"/>
    <w:qFormat/>
    <w:rsid w:val="00B55F3D"/>
    <w:pPr>
      <w:numPr>
        <w:numId w:val="11"/>
      </w:numPr>
    </w:pPr>
  </w:style>
  <w:style w:type="paragraph" w:customStyle="1" w:styleId="avsnitt-undertittel">
    <w:name w:val="avsnitt-undertittel"/>
    <w:basedOn w:val="Normal"/>
    <w:next w:val="Normal"/>
    <w:rsid w:val="00B55F3D"/>
    <w:pPr>
      <w:keepNext/>
      <w:keepLines/>
      <w:spacing w:before="360" w:after="60" w:line="240" w:lineRule="auto"/>
    </w:pPr>
    <w:rPr>
      <w:rFonts w:ascii="Arial" w:eastAsia="Batang" w:hAnsi="Arial"/>
      <w:i/>
      <w:szCs w:val="20"/>
    </w:rPr>
  </w:style>
  <w:style w:type="paragraph" w:customStyle="1" w:styleId="l-alfaliste3">
    <w:name w:val="l-alfaliste 3"/>
    <w:basedOn w:val="alfaliste3"/>
    <w:qFormat/>
    <w:rsid w:val="00B55F3D"/>
    <w:pPr>
      <w:numPr>
        <w:numId w:val="11"/>
      </w:numPr>
    </w:pPr>
  </w:style>
  <w:style w:type="paragraph" w:customStyle="1" w:styleId="l-alfaliste4">
    <w:name w:val="l-alfaliste 4"/>
    <w:basedOn w:val="alfaliste4"/>
    <w:qFormat/>
    <w:rsid w:val="00B55F3D"/>
    <w:pPr>
      <w:numPr>
        <w:numId w:val="11"/>
      </w:numPr>
    </w:pPr>
  </w:style>
  <w:style w:type="paragraph" w:customStyle="1" w:styleId="l-alfaliste5">
    <w:name w:val="l-alfaliste 5"/>
    <w:basedOn w:val="alfaliste5"/>
    <w:qFormat/>
    <w:rsid w:val="00B55F3D"/>
    <w:pPr>
      <w:numPr>
        <w:numId w:val="11"/>
      </w:numPr>
    </w:pPr>
  </w:style>
  <w:style w:type="paragraph" w:customStyle="1" w:styleId="avsnitt-under-undertittel">
    <w:name w:val="avsnitt-under-undertittel"/>
    <w:basedOn w:val="Normal"/>
    <w:next w:val="Normal"/>
    <w:rsid w:val="00B55F3D"/>
    <w:pPr>
      <w:keepNext/>
      <w:keepLines/>
      <w:spacing w:before="360" w:line="240" w:lineRule="auto"/>
    </w:pPr>
    <w:rPr>
      <w:rFonts w:eastAsia="Batang"/>
      <w:i/>
      <w:szCs w:val="20"/>
    </w:rPr>
  </w:style>
  <w:style w:type="paragraph" w:customStyle="1" w:styleId="blokksit">
    <w:name w:val="blokksit"/>
    <w:basedOn w:val="Normal"/>
    <w:qFormat/>
    <w:rsid w:val="00B55F3D"/>
    <w:pPr>
      <w:spacing w:line="240" w:lineRule="auto"/>
      <w:ind w:left="397"/>
    </w:pPr>
    <w:rPr>
      <w:rFonts w:ascii="Times" w:hAnsi="Times"/>
      <w:spacing w:val="-2"/>
    </w:rPr>
  </w:style>
  <w:style w:type="paragraph" w:customStyle="1" w:styleId="l-paragraf">
    <w:name w:val="l-paragraf"/>
    <w:basedOn w:val="Normal"/>
    <w:next w:val="Normal"/>
    <w:rsid w:val="00B55F3D"/>
    <w:pPr>
      <w:spacing w:before="180" w:after="0"/>
    </w:pPr>
    <w:rPr>
      <w:rFonts w:ascii="Times" w:hAnsi="Times"/>
      <w:i/>
      <w:spacing w:val="4"/>
    </w:rPr>
  </w:style>
  <w:style w:type="paragraph" w:customStyle="1" w:styleId="l-ledd">
    <w:name w:val="l-ledd"/>
    <w:basedOn w:val="Normal"/>
    <w:qFormat/>
    <w:rsid w:val="00B55F3D"/>
    <w:pPr>
      <w:spacing w:after="0"/>
      <w:ind w:firstLine="397"/>
    </w:pPr>
    <w:rPr>
      <w:rFonts w:ascii="Times" w:hAnsi="Times"/>
      <w:spacing w:val="4"/>
    </w:rPr>
  </w:style>
  <w:style w:type="paragraph" w:customStyle="1" w:styleId="l-tit-endr-paragraf">
    <w:name w:val="l-tit-endr-paragraf"/>
    <w:basedOn w:val="Normal"/>
    <w:qFormat/>
    <w:rsid w:val="00B55F3D"/>
    <w:pPr>
      <w:keepNext/>
      <w:spacing w:before="240" w:after="0" w:line="240" w:lineRule="auto"/>
    </w:pPr>
    <w:rPr>
      <w:rFonts w:ascii="Times" w:hAnsi="Times"/>
      <w:noProof/>
      <w:spacing w:val="4"/>
      <w:lang w:val="nn-NO"/>
    </w:rPr>
  </w:style>
  <w:style w:type="paragraph" w:customStyle="1" w:styleId="tittel-ramme">
    <w:name w:val="tittel-ramme"/>
    <w:basedOn w:val="Normal"/>
    <w:next w:val="Normal"/>
    <w:rsid w:val="00B55F3D"/>
    <w:pPr>
      <w:keepNext/>
      <w:keepLines/>
      <w:numPr>
        <w:ilvl w:val="7"/>
        <w:numId w:val="24"/>
      </w:numPr>
      <w:spacing w:before="360" w:after="80"/>
      <w:jc w:val="center"/>
    </w:pPr>
    <w:rPr>
      <w:rFonts w:ascii="Arial" w:hAnsi="Arial"/>
      <w:b/>
      <w:spacing w:val="4"/>
    </w:rPr>
  </w:style>
  <w:style w:type="character" w:styleId="Utheving">
    <w:name w:val="Emphasis"/>
    <w:basedOn w:val="Standardskriftforavsnitt"/>
    <w:uiPriority w:val="20"/>
    <w:qFormat/>
    <w:rsid w:val="00B55F3D"/>
    <w:rPr>
      <w:i/>
      <w:iCs/>
    </w:rPr>
  </w:style>
  <w:style w:type="character" w:styleId="Svakutheving">
    <w:name w:val="Subtle Emphasis"/>
    <w:basedOn w:val="Standardskriftforavsnitt"/>
    <w:uiPriority w:val="19"/>
    <w:qFormat/>
    <w:rsid w:val="00B55F3D"/>
    <w:rPr>
      <w:i/>
      <w:iCs/>
      <w:color w:val="808080" w:themeColor="text1" w:themeTint="7F"/>
    </w:rPr>
  </w:style>
  <w:style w:type="character" w:styleId="Sterkutheving">
    <w:name w:val="Intense Emphasis"/>
    <w:basedOn w:val="Standardskriftforavsnitt"/>
    <w:uiPriority w:val="21"/>
    <w:qFormat/>
    <w:rsid w:val="00B55F3D"/>
    <w:rPr>
      <w:b/>
      <w:bCs/>
      <w:i/>
      <w:iCs/>
      <w:color w:val="4F81BD" w:themeColor="accent1"/>
    </w:rPr>
  </w:style>
  <w:style w:type="character" w:styleId="Svakreferanse">
    <w:name w:val="Subtle Reference"/>
    <w:basedOn w:val="Standardskriftforavsnitt"/>
    <w:uiPriority w:val="31"/>
    <w:qFormat/>
    <w:rsid w:val="00B55F3D"/>
    <w:rPr>
      <w:smallCaps/>
      <w:color w:val="C0504D" w:themeColor="accent2"/>
      <w:u w:val="single"/>
    </w:rPr>
  </w:style>
  <w:style w:type="character" w:styleId="Sterkreferanse">
    <w:name w:val="Intense Reference"/>
    <w:basedOn w:val="Standardskriftforavsnitt"/>
    <w:uiPriority w:val="32"/>
    <w:qFormat/>
    <w:rsid w:val="00B55F3D"/>
    <w:rPr>
      <w:b/>
      <w:bCs/>
      <w:smallCaps/>
      <w:color w:val="C0504D" w:themeColor="accent2"/>
      <w:spacing w:val="5"/>
      <w:u w:val="single"/>
    </w:rPr>
  </w:style>
  <w:style w:type="character" w:styleId="Boktittel">
    <w:name w:val="Book Title"/>
    <w:basedOn w:val="Standardskriftforavsnitt"/>
    <w:uiPriority w:val="33"/>
    <w:qFormat/>
    <w:rsid w:val="00B55F3D"/>
    <w:rPr>
      <w:b/>
      <w:bCs/>
      <w:smallCaps/>
      <w:spacing w:val="5"/>
    </w:rPr>
  </w:style>
  <w:style w:type="character" w:styleId="Merknadsreferanse">
    <w:name w:val="annotation reference"/>
    <w:basedOn w:val="Standardskriftforavsnitt"/>
    <w:rsid w:val="00B55F3D"/>
    <w:rPr>
      <w:sz w:val="16"/>
    </w:rPr>
  </w:style>
  <w:style w:type="character" w:styleId="Sluttnotereferanse">
    <w:name w:val="endnote reference"/>
    <w:basedOn w:val="Standardskriftforavsnitt"/>
    <w:uiPriority w:val="99"/>
    <w:unhideWhenUsed/>
    <w:rsid w:val="00B55F3D"/>
    <w:rPr>
      <w:vertAlign w:val="superscript"/>
    </w:rPr>
  </w:style>
  <w:style w:type="character" w:styleId="Fulgthyperkobling">
    <w:name w:val="FollowedHyperlink"/>
    <w:basedOn w:val="Standardskriftforavsnitt"/>
    <w:uiPriority w:val="99"/>
    <w:unhideWhenUsed/>
    <w:rsid w:val="00B55F3D"/>
    <w:rPr>
      <w:color w:val="800080" w:themeColor="followedHyperlink"/>
      <w:u w:val="single"/>
    </w:rPr>
  </w:style>
  <w:style w:type="character" w:styleId="HTML-sitat">
    <w:name w:val="HTML Cite"/>
    <w:basedOn w:val="Standardskriftforavsnitt"/>
    <w:uiPriority w:val="99"/>
    <w:unhideWhenUsed/>
    <w:rsid w:val="00B55F3D"/>
    <w:rPr>
      <w:i/>
      <w:iCs/>
    </w:rPr>
  </w:style>
  <w:style w:type="character" w:styleId="HTML-kode">
    <w:name w:val="HTML Code"/>
    <w:basedOn w:val="Standardskriftforavsnitt"/>
    <w:uiPriority w:val="99"/>
    <w:unhideWhenUsed/>
    <w:rsid w:val="00B55F3D"/>
    <w:rPr>
      <w:rFonts w:ascii="Consolas" w:hAnsi="Consolas"/>
      <w:sz w:val="20"/>
      <w:szCs w:val="20"/>
    </w:rPr>
  </w:style>
  <w:style w:type="character" w:styleId="HTML-definisjon">
    <w:name w:val="HTML Definition"/>
    <w:basedOn w:val="Standardskriftforavsnitt"/>
    <w:uiPriority w:val="99"/>
    <w:unhideWhenUsed/>
    <w:rsid w:val="00B55F3D"/>
    <w:rPr>
      <w:i/>
      <w:iCs/>
    </w:rPr>
  </w:style>
  <w:style w:type="character" w:styleId="HTML-tastatur">
    <w:name w:val="HTML Keyboard"/>
    <w:basedOn w:val="Standardskriftforavsnitt"/>
    <w:uiPriority w:val="99"/>
    <w:unhideWhenUsed/>
    <w:rsid w:val="00B55F3D"/>
    <w:rPr>
      <w:rFonts w:ascii="Consolas" w:hAnsi="Consolas"/>
      <w:sz w:val="20"/>
      <w:szCs w:val="20"/>
    </w:rPr>
  </w:style>
  <w:style w:type="character" w:styleId="HTML-eksempel">
    <w:name w:val="HTML Sample"/>
    <w:basedOn w:val="Standardskriftforavsnitt"/>
    <w:uiPriority w:val="99"/>
    <w:unhideWhenUsed/>
    <w:rsid w:val="00B55F3D"/>
    <w:rPr>
      <w:rFonts w:ascii="Consolas" w:hAnsi="Consolas"/>
      <w:sz w:val="24"/>
      <w:szCs w:val="24"/>
    </w:rPr>
  </w:style>
  <w:style w:type="character" w:styleId="HTML-skrivemaskin">
    <w:name w:val="HTML Typewriter"/>
    <w:basedOn w:val="Standardskriftforavsnitt"/>
    <w:uiPriority w:val="99"/>
    <w:unhideWhenUsed/>
    <w:rsid w:val="00B55F3D"/>
    <w:rPr>
      <w:rFonts w:ascii="Consolas" w:hAnsi="Consolas"/>
      <w:sz w:val="20"/>
      <w:szCs w:val="20"/>
    </w:rPr>
  </w:style>
  <w:style w:type="character" w:styleId="HTML-variabel">
    <w:name w:val="HTML Variable"/>
    <w:basedOn w:val="Standardskriftforavsnitt"/>
    <w:uiPriority w:val="99"/>
    <w:unhideWhenUsed/>
    <w:rsid w:val="00B55F3D"/>
    <w:rPr>
      <w:i/>
      <w:iCs/>
    </w:rPr>
  </w:style>
  <w:style w:type="character" w:styleId="Fotnotereferanse">
    <w:name w:val="footnote reference"/>
    <w:basedOn w:val="Standardskriftforavsnitt"/>
    <w:rsid w:val="00B55F3D"/>
    <w:rPr>
      <w:vertAlign w:val="superscript"/>
    </w:rPr>
  </w:style>
  <w:style w:type="character" w:customStyle="1" w:styleId="gjennomstreket">
    <w:name w:val="gjennomstreket"/>
    <w:uiPriority w:val="1"/>
    <w:rsid w:val="00B55F3D"/>
    <w:rPr>
      <w:strike/>
      <w:dstrike w:val="0"/>
    </w:rPr>
  </w:style>
  <w:style w:type="character" w:customStyle="1" w:styleId="halvfet">
    <w:name w:val="halvfet"/>
    <w:basedOn w:val="Standardskriftforavsnitt"/>
    <w:rsid w:val="00B55F3D"/>
    <w:rPr>
      <w:b/>
    </w:rPr>
  </w:style>
  <w:style w:type="character" w:styleId="Hyperkobling">
    <w:name w:val="Hyperlink"/>
    <w:basedOn w:val="Standardskriftforavsnitt"/>
    <w:uiPriority w:val="99"/>
    <w:unhideWhenUsed/>
    <w:rsid w:val="00B55F3D"/>
    <w:rPr>
      <w:color w:val="0000FF" w:themeColor="hyperlink"/>
      <w:u w:val="single"/>
    </w:rPr>
  </w:style>
  <w:style w:type="character" w:customStyle="1" w:styleId="kursiv">
    <w:name w:val="kursiv"/>
    <w:basedOn w:val="Standardskriftforavsnitt"/>
    <w:rsid w:val="00B55F3D"/>
    <w:rPr>
      <w:i/>
    </w:rPr>
  </w:style>
  <w:style w:type="character" w:customStyle="1" w:styleId="l-endring">
    <w:name w:val="l-endring"/>
    <w:basedOn w:val="Standardskriftforavsnitt"/>
    <w:rsid w:val="00B55F3D"/>
    <w:rPr>
      <w:i/>
    </w:rPr>
  </w:style>
  <w:style w:type="character" w:styleId="Sidetall">
    <w:name w:val="page number"/>
    <w:basedOn w:val="Standardskriftforavsnitt"/>
    <w:rsid w:val="00B55F3D"/>
  </w:style>
  <w:style w:type="character" w:styleId="Plassholdertekst">
    <w:name w:val="Placeholder Text"/>
    <w:basedOn w:val="Standardskriftforavsnitt"/>
    <w:uiPriority w:val="99"/>
    <w:rsid w:val="00B55F3D"/>
    <w:rPr>
      <w:color w:val="808080"/>
    </w:rPr>
  </w:style>
  <w:style w:type="character" w:customStyle="1" w:styleId="regular">
    <w:name w:val="regular"/>
    <w:basedOn w:val="Standardskriftforavsnitt"/>
    <w:uiPriority w:val="1"/>
    <w:qFormat/>
    <w:rsid w:val="00B55F3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B55F3D"/>
    <w:rPr>
      <w:sz w:val="20"/>
      <w:vertAlign w:val="superscript"/>
    </w:rPr>
  </w:style>
  <w:style w:type="character" w:customStyle="1" w:styleId="skrift-senket">
    <w:name w:val="skrift-senket"/>
    <w:basedOn w:val="Standardskriftforavsnitt"/>
    <w:rsid w:val="00B55F3D"/>
    <w:rPr>
      <w:sz w:val="20"/>
      <w:vertAlign w:val="subscript"/>
    </w:rPr>
  </w:style>
  <w:style w:type="character" w:customStyle="1" w:styleId="sperret">
    <w:name w:val="sperret"/>
    <w:basedOn w:val="Standardskriftforavsnitt"/>
    <w:rsid w:val="00B55F3D"/>
    <w:rPr>
      <w:spacing w:val="30"/>
    </w:rPr>
  </w:style>
  <w:style w:type="character" w:customStyle="1" w:styleId="Stikkord">
    <w:name w:val="Stikkord"/>
    <w:basedOn w:val="Standardskriftforavsnitt"/>
    <w:rsid w:val="00B55F3D"/>
  </w:style>
  <w:style w:type="character" w:styleId="Sterk">
    <w:name w:val="Strong"/>
    <w:basedOn w:val="Standardskriftforavsnitt"/>
    <w:uiPriority w:val="22"/>
    <w:qFormat/>
    <w:rsid w:val="00B55F3D"/>
    <w:rPr>
      <w:b/>
      <w:bCs/>
    </w:rPr>
  </w:style>
  <w:style w:type="table" w:styleId="Tabelltemaer">
    <w:name w:val="Table Theme"/>
    <w:basedOn w:val="Vanligtabell"/>
    <w:uiPriority w:val="99"/>
    <w:semiHidden/>
    <w:unhideWhenUsed/>
    <w:rsid w:val="00B55F3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B55F3D"/>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B55F3D"/>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B55F3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55F3D"/>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B55F3D"/>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B55F3D"/>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B55F3D"/>
  </w:style>
  <w:style w:type="numbering" w:customStyle="1" w:styleId="l-ListeStilMal">
    <w:name w:val="l-ListeStilMal"/>
    <w:uiPriority w:val="99"/>
    <w:rsid w:val="00B55F3D"/>
    <w:pPr>
      <w:numPr>
        <w:numId w:val="9"/>
      </w:numPr>
    </w:pPr>
  </w:style>
  <w:style w:type="character" w:styleId="HTML-akronym">
    <w:name w:val="HTML Acronym"/>
    <w:basedOn w:val="Standardskriftforavsnitt"/>
    <w:uiPriority w:val="99"/>
    <w:semiHidden/>
    <w:unhideWhenUsed/>
    <w:rsid w:val="00B55F3D"/>
  </w:style>
  <w:style w:type="numbering" w:customStyle="1" w:styleId="AlfaListeStil">
    <w:name w:val="AlfaListeStil"/>
    <w:uiPriority w:val="99"/>
    <w:rsid w:val="00B55F3D"/>
    <w:pPr>
      <w:numPr>
        <w:numId w:val="10"/>
      </w:numPr>
    </w:pPr>
  </w:style>
  <w:style w:type="numbering" w:customStyle="1" w:styleId="l-AlfaListeStil">
    <w:name w:val="l-AlfaListeStil"/>
    <w:uiPriority w:val="99"/>
    <w:rsid w:val="00B55F3D"/>
    <w:pPr>
      <w:numPr>
        <w:numId w:val="11"/>
      </w:numPr>
    </w:pPr>
  </w:style>
  <w:style w:type="numbering" w:customStyle="1" w:styleId="l-NummerertListeStil">
    <w:name w:val="l-NummerertListeStil"/>
    <w:uiPriority w:val="99"/>
    <w:rsid w:val="00B55F3D"/>
    <w:pPr>
      <w:numPr>
        <w:numId w:val="12"/>
      </w:numPr>
    </w:pPr>
  </w:style>
  <w:style w:type="numbering" w:customStyle="1" w:styleId="NrListeStil">
    <w:name w:val="NrListeStil"/>
    <w:uiPriority w:val="99"/>
    <w:rsid w:val="00B55F3D"/>
    <w:pPr>
      <w:numPr>
        <w:numId w:val="13"/>
      </w:numPr>
    </w:pPr>
  </w:style>
  <w:style w:type="numbering" w:customStyle="1" w:styleId="OpplistingListeStil">
    <w:name w:val="OpplistingListeStil"/>
    <w:uiPriority w:val="99"/>
    <w:rsid w:val="00B55F3D"/>
    <w:pPr>
      <w:numPr>
        <w:numId w:val="14"/>
      </w:numPr>
    </w:pPr>
  </w:style>
  <w:style w:type="numbering" w:customStyle="1" w:styleId="OverskrifterListeStil">
    <w:name w:val="OverskrifterListeStil"/>
    <w:uiPriority w:val="99"/>
    <w:rsid w:val="00B55F3D"/>
    <w:pPr>
      <w:numPr>
        <w:numId w:val="15"/>
      </w:numPr>
    </w:pPr>
  </w:style>
  <w:style w:type="numbering" w:customStyle="1" w:styleId="RomListeStil">
    <w:name w:val="RomListeStil"/>
    <w:uiPriority w:val="99"/>
    <w:rsid w:val="00B55F3D"/>
    <w:pPr>
      <w:numPr>
        <w:numId w:val="16"/>
      </w:numPr>
    </w:pPr>
  </w:style>
  <w:style w:type="numbering" w:customStyle="1" w:styleId="StrekListeStil">
    <w:name w:val="StrekListeStil"/>
    <w:uiPriority w:val="99"/>
    <w:rsid w:val="00B55F3D"/>
    <w:pPr>
      <w:numPr>
        <w:numId w:val="17"/>
      </w:numPr>
    </w:pPr>
  </w:style>
  <w:style w:type="table" w:styleId="Tabellrutenett">
    <w:name w:val="Table Grid"/>
    <w:basedOn w:val="Vanligtabell"/>
    <w:uiPriority w:val="59"/>
    <w:rsid w:val="00B55F3D"/>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ellnavn-kode">
    <w:name w:val="Tabellnavn-kode"/>
    <w:basedOn w:val="Tabellnavn"/>
    <w:qFormat/>
    <w:rsid w:val="00B55F3D"/>
    <w:pPr>
      <w:spacing w:line="240" w:lineRule="auto"/>
    </w:pPr>
    <w:rPr>
      <w:rFonts w:eastAsia="Batang"/>
      <w:vanish w:val="0"/>
      <w:color w:val="FF0000"/>
    </w:rPr>
  </w:style>
  <w:style w:type="paragraph" w:customStyle="1" w:styleId="tittel-litteraturlist">
    <w:name w:val="tittel-litteraturlist"/>
    <w:basedOn w:val="Normal"/>
    <w:next w:val="Normal"/>
    <w:rsid w:val="00B55F3D"/>
    <w:pPr>
      <w:spacing w:before="360" w:after="240"/>
      <w:jc w:val="center"/>
    </w:pPr>
    <w:rPr>
      <w:b/>
      <w:spacing w:val="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Meld-St-mal-V11.dotx</Template>
  <TotalTime>21</TotalTime>
  <Pages>139</Pages>
  <Words>58600</Words>
  <Characters>340636</Characters>
  <Application>Microsoft Office Word</Application>
  <DocSecurity>0</DocSecurity>
  <Lines>2838</Lines>
  <Paragraphs>796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15</cp:revision>
  <dcterms:created xsi:type="dcterms:W3CDTF">2019-05-29T08:47:00Z</dcterms:created>
  <dcterms:modified xsi:type="dcterms:W3CDTF">2019-06-05T05:58:00Z</dcterms:modified>
</cp:coreProperties>
</file>