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90E8" w14:textId="77777777" w:rsidR="006E6577" w:rsidRPr="00BB441C" w:rsidRDefault="006E6577" w:rsidP="00BB441C">
      <w:pPr>
        <w:pStyle w:val="PublTittel"/>
        <w:rPr>
          <w:lang w:val="en-GB" w:bidi="en-GB"/>
        </w:rPr>
      </w:pPr>
      <w:r w:rsidRPr="00BB441C">
        <w:rPr>
          <w:lang w:val="en-GB" w:bidi="en-GB"/>
        </w:rPr>
        <w:t>An Open Government</w:t>
      </w:r>
    </w:p>
    <w:p w14:paraId="521F0B0B" w14:textId="77777777" w:rsidR="00291078" w:rsidRPr="00291078" w:rsidRDefault="006E6577" w:rsidP="00291078">
      <w:pPr>
        <w:pStyle w:val="Undertittel"/>
        <w:rPr>
          <w:lang w:val="en-GB"/>
        </w:rPr>
      </w:pPr>
      <w:r w:rsidRPr="00291078">
        <w:rPr>
          <w:lang w:val="en-GB"/>
        </w:rPr>
        <w:t>Fifth Norwegian Action Plan</w:t>
      </w:r>
      <w:r w:rsidR="00291078" w:rsidRPr="00291078">
        <w:rPr>
          <w:lang w:val="en-GB"/>
        </w:rPr>
        <w:t xml:space="preserve"> – </w:t>
      </w:r>
      <w:r w:rsidRPr="00291078">
        <w:rPr>
          <w:lang w:val="en-GB"/>
        </w:rPr>
        <w:t>Open Government Partnership (OGP)</w:t>
      </w:r>
      <w:r w:rsidR="00291078" w:rsidRPr="00291078">
        <w:rPr>
          <w:lang w:val="en-GB"/>
        </w:rPr>
        <w:t xml:space="preserve"> </w:t>
      </w:r>
      <w:r w:rsidRPr="00291078">
        <w:rPr>
          <w:lang w:val="en-GB"/>
        </w:rPr>
        <w:t>2024</w:t>
      </w:r>
      <w:r w:rsidR="00291078">
        <w:rPr>
          <w:lang w:val="en-GB"/>
        </w:rPr>
        <w:t>–</w:t>
      </w:r>
      <w:r w:rsidRPr="00291078">
        <w:rPr>
          <w:lang w:val="en-GB"/>
        </w:rPr>
        <w:t>2027</w:t>
      </w:r>
    </w:p>
    <w:p w14:paraId="0BF77B18" w14:textId="77777777" w:rsidR="00A931A6" w:rsidRDefault="00A931A6" w:rsidP="00291078">
      <w:pPr>
        <w:pStyle w:val="UnOverskrift1"/>
        <w:rPr>
          <w:lang w:val="en-US"/>
        </w:rPr>
      </w:pPr>
      <w:r>
        <w:rPr>
          <w:lang w:val="en-US"/>
        </w:rPr>
        <w:t>Ministerial foreword</w:t>
      </w:r>
    </w:p>
    <w:p w14:paraId="3039EFE2" w14:textId="77777777" w:rsidR="00291078" w:rsidRDefault="001F15AE" w:rsidP="00534E36">
      <w:pPr>
        <w:rPr>
          <w:lang w:val="en-US"/>
        </w:rPr>
      </w:pPr>
      <w:r w:rsidRPr="001F15AE">
        <w:rPr>
          <w:lang w:val="en-US"/>
        </w:rPr>
        <w:t>A</w:t>
      </w:r>
      <w:r>
        <w:rPr>
          <w:lang w:val="en-US"/>
        </w:rPr>
        <w:t>t a time when we are becoming fewer</w:t>
      </w:r>
      <w:r w:rsidRPr="001F15AE">
        <w:rPr>
          <w:lang w:val="en-US"/>
        </w:rPr>
        <w:t xml:space="preserve">, resources </w:t>
      </w:r>
      <w:r>
        <w:rPr>
          <w:lang w:val="en-US"/>
        </w:rPr>
        <w:t xml:space="preserve">are </w:t>
      </w:r>
      <w:r w:rsidRPr="001F15AE">
        <w:rPr>
          <w:lang w:val="en-US"/>
        </w:rPr>
        <w:t>shrink</w:t>
      </w:r>
      <w:r>
        <w:rPr>
          <w:lang w:val="en-US"/>
        </w:rPr>
        <w:t>ing</w:t>
      </w:r>
      <w:r w:rsidRPr="001F15AE">
        <w:rPr>
          <w:lang w:val="en-US"/>
        </w:rPr>
        <w:t xml:space="preserve">, and tasks </w:t>
      </w:r>
      <w:r w:rsidR="00151598">
        <w:rPr>
          <w:lang w:val="en-US"/>
        </w:rPr>
        <w:t xml:space="preserve">are </w:t>
      </w:r>
      <w:r w:rsidRPr="001F15AE">
        <w:rPr>
          <w:lang w:val="en-US"/>
        </w:rPr>
        <w:t>multiply</w:t>
      </w:r>
      <w:r w:rsidR="00151598">
        <w:rPr>
          <w:lang w:val="en-US"/>
        </w:rPr>
        <w:t>ing</w:t>
      </w:r>
      <w:r w:rsidRPr="001F15AE">
        <w:rPr>
          <w:lang w:val="en-US"/>
        </w:rPr>
        <w:t>, the need to rejuvenate and enhance our public administration becomes paramount. The concept of open government is crucial to a thriving and proactive democracy. In Norway, every citizen has the right to access information from the public sector. This information must be documented, verifiable, and open to examination. When citizens have access to information about the workings of the public sector, it reduces the potential for corruption and misuse of power.</w:t>
      </w:r>
    </w:p>
    <w:p w14:paraId="39B4725D" w14:textId="77777777" w:rsidR="00291078" w:rsidRDefault="001F15AE" w:rsidP="001F15AE">
      <w:pPr>
        <w:rPr>
          <w:lang w:val="en-US"/>
        </w:rPr>
      </w:pPr>
      <w:r w:rsidRPr="001F15AE">
        <w:rPr>
          <w:lang w:val="en-US"/>
        </w:rPr>
        <w:t>In the global arena, Norway is recognized for its relatively open administration. Looking ahead, we anticipate that new digital solutions will streamline documentation processes in public administration and create more efficient systems for information access. However, the sheer volume of information will also pose new challenges.</w:t>
      </w:r>
    </w:p>
    <w:p w14:paraId="5A943BA4" w14:textId="77777777" w:rsidR="00291078" w:rsidRDefault="001F15AE" w:rsidP="001F15AE">
      <w:pPr>
        <w:rPr>
          <w:lang w:val="en-US"/>
        </w:rPr>
      </w:pPr>
      <w:r w:rsidRPr="001F15AE">
        <w:rPr>
          <w:lang w:val="en-US"/>
        </w:rPr>
        <w:t>Norway</w:t>
      </w:r>
      <w:r w:rsidR="0064546B">
        <w:rPr>
          <w:lang w:val="en-US"/>
        </w:rPr>
        <w:t>’</w:t>
      </w:r>
      <w:r w:rsidRPr="001F15AE">
        <w:rPr>
          <w:lang w:val="en-US"/>
        </w:rPr>
        <w:t>s involvement in the Open Government Partnership helps keep transparency at the forefront of discussions, both domestically and internationally. The fifth National Action Plan for Open Government identifies key priority areas to enhance governmental transparency in Norway. This plan was developed through a collaborative process involving both the government and civil society representatives. The commitments outlined in the plan are ambitious, reflecting a shared vision for an open administration in Norway.</w:t>
      </w:r>
    </w:p>
    <w:p w14:paraId="03C0E4F7" w14:textId="77777777" w:rsidR="00291078" w:rsidRDefault="001F15AE" w:rsidP="001F15AE">
      <w:pPr>
        <w:rPr>
          <w:lang w:val="en-US"/>
        </w:rPr>
      </w:pPr>
      <w:r w:rsidRPr="001F15AE">
        <w:rPr>
          <w:lang w:val="en-US"/>
        </w:rPr>
        <w:t>This action plan will contribute to the Norwegian government</w:t>
      </w:r>
      <w:r w:rsidR="0064546B">
        <w:rPr>
          <w:lang w:val="en-US"/>
        </w:rPr>
        <w:t>’</w:t>
      </w:r>
      <w:r w:rsidRPr="001F15AE">
        <w:rPr>
          <w:lang w:val="en-US"/>
        </w:rPr>
        <w:t>s efforts towards greater transparency through initiatives aimed at increasing transparency in public procurement, combating corruption, and enhancing the digital literacy of the population. Consequently, this will lead to a more transparent, renewed, and improved administration.</w:t>
      </w:r>
    </w:p>
    <w:p w14:paraId="1A1C77CD" w14:textId="6D16E6B4" w:rsidR="0020022D" w:rsidRDefault="00290C24" w:rsidP="001F15AE">
      <w:pPr>
        <w:rPr>
          <w:lang w:val="en-US"/>
        </w:rPr>
      </w:pPr>
      <w:r>
        <w:rPr>
          <w:noProof/>
        </w:rPr>
        <w:lastRenderedPageBreak/>
        <w:drawing>
          <wp:inline distT="0" distB="0" distL="0" distR="0" wp14:anchorId="21C370FE" wp14:editId="2E2CA3B2">
            <wp:extent cx="5752465" cy="78574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465" cy="7857490"/>
                    </a:xfrm>
                    <a:prstGeom prst="rect">
                      <a:avLst/>
                    </a:prstGeom>
                    <a:noFill/>
                    <a:ln>
                      <a:noFill/>
                    </a:ln>
                  </pic:spPr>
                </pic:pic>
              </a:graphicData>
            </a:graphic>
          </wp:inline>
        </w:drawing>
      </w:r>
    </w:p>
    <w:p w14:paraId="512CC36C" w14:textId="77777777" w:rsidR="0020022D" w:rsidRPr="00BB441C" w:rsidRDefault="00C816E0" w:rsidP="00A931A6">
      <w:pPr>
        <w:rPr>
          <w:rStyle w:val="kursiv"/>
          <w:lang w:val="en-GB"/>
        </w:rPr>
      </w:pPr>
      <w:r w:rsidRPr="00BB441C">
        <w:rPr>
          <w:rStyle w:val="kursiv"/>
          <w:lang w:val="en-GB"/>
        </w:rPr>
        <w:t xml:space="preserve">Karianne </w:t>
      </w:r>
      <w:proofErr w:type="spellStart"/>
      <w:r w:rsidRPr="00BB441C">
        <w:rPr>
          <w:rStyle w:val="kursiv"/>
          <w:lang w:val="en-GB"/>
        </w:rPr>
        <w:t>Oldernes</w:t>
      </w:r>
      <w:proofErr w:type="spellEnd"/>
      <w:r w:rsidRPr="00BB441C">
        <w:rPr>
          <w:rStyle w:val="kursiv"/>
          <w:lang w:val="en-GB"/>
        </w:rPr>
        <w:t xml:space="preserve"> Tung</w:t>
      </w:r>
    </w:p>
    <w:p w14:paraId="3D51D8CE" w14:textId="77777777" w:rsidR="00291078" w:rsidRPr="00BB441C" w:rsidRDefault="00C816E0" w:rsidP="00A931A6">
      <w:pPr>
        <w:rPr>
          <w:rStyle w:val="kursiv"/>
          <w:lang w:val="en-GB"/>
        </w:rPr>
      </w:pPr>
      <w:r w:rsidRPr="00BB441C">
        <w:rPr>
          <w:rStyle w:val="kursiv"/>
          <w:lang w:val="en-GB"/>
        </w:rPr>
        <w:t>Minister of Digitalisation and Public Governance</w:t>
      </w:r>
    </w:p>
    <w:p w14:paraId="07F7371F" w14:textId="77777777" w:rsidR="006A4F6D" w:rsidRDefault="006A4F6D" w:rsidP="00291078">
      <w:pPr>
        <w:pStyle w:val="Overskrift1"/>
        <w:rPr>
          <w:lang w:val="en-US"/>
        </w:rPr>
      </w:pPr>
      <w:r>
        <w:rPr>
          <w:lang w:val="en-US"/>
        </w:rPr>
        <w:lastRenderedPageBreak/>
        <w:t>Introduction</w:t>
      </w:r>
    </w:p>
    <w:p w14:paraId="320A6366" w14:textId="77777777" w:rsidR="00291078" w:rsidRDefault="006A4F6D" w:rsidP="006A4F6D">
      <w:pPr>
        <w:rPr>
          <w:lang w:val="en-US"/>
        </w:rPr>
      </w:pPr>
      <w:r>
        <w:rPr>
          <w:lang w:val="en-US"/>
        </w:rPr>
        <w:t>F</w:t>
      </w:r>
      <w:r w:rsidRPr="006A4F6D">
        <w:rPr>
          <w:lang w:val="en-US"/>
        </w:rPr>
        <w:t>acilitat</w:t>
      </w:r>
      <w:r>
        <w:rPr>
          <w:lang w:val="en-US"/>
        </w:rPr>
        <w:t>ing an</w:t>
      </w:r>
      <w:r w:rsidRPr="006A4F6D">
        <w:rPr>
          <w:lang w:val="en-US"/>
        </w:rPr>
        <w:t xml:space="preserve"> open administration</w:t>
      </w:r>
      <w:r>
        <w:rPr>
          <w:lang w:val="en-US"/>
        </w:rPr>
        <w:t xml:space="preserve"> is a central priority for the Norwegian government</w:t>
      </w:r>
      <w:r w:rsidRPr="006A4F6D">
        <w:rPr>
          <w:lang w:val="en-US"/>
        </w:rPr>
        <w:t xml:space="preserve">. </w:t>
      </w:r>
      <w:r>
        <w:rPr>
          <w:lang w:val="en-US"/>
        </w:rPr>
        <w:t>All citizens</w:t>
      </w:r>
      <w:r w:rsidRPr="006A4F6D">
        <w:rPr>
          <w:lang w:val="en-US"/>
        </w:rPr>
        <w:t xml:space="preserve"> </w:t>
      </w:r>
      <w:r>
        <w:rPr>
          <w:lang w:val="en-US"/>
        </w:rPr>
        <w:t>should be able to access information on how governments</w:t>
      </w:r>
      <w:r w:rsidRPr="006A4F6D">
        <w:rPr>
          <w:lang w:val="en-US"/>
        </w:rPr>
        <w:t xml:space="preserve"> and municipalit</w:t>
      </w:r>
      <w:r>
        <w:rPr>
          <w:lang w:val="en-US"/>
        </w:rPr>
        <w:t>ies</w:t>
      </w:r>
      <w:r w:rsidRPr="006A4F6D">
        <w:rPr>
          <w:lang w:val="en-US"/>
        </w:rPr>
        <w:t xml:space="preserve"> work. </w:t>
      </w:r>
      <w:r>
        <w:rPr>
          <w:lang w:val="en-US"/>
        </w:rPr>
        <w:t>Open government</w:t>
      </w:r>
      <w:r w:rsidRPr="006A4F6D">
        <w:rPr>
          <w:lang w:val="en-US"/>
        </w:rPr>
        <w:t xml:space="preserve"> </w:t>
      </w:r>
      <w:r>
        <w:rPr>
          <w:lang w:val="en-US"/>
        </w:rPr>
        <w:t>holds</w:t>
      </w:r>
      <w:r w:rsidRPr="006A4F6D">
        <w:rPr>
          <w:lang w:val="en-US"/>
        </w:rPr>
        <w:t xml:space="preserve"> decision-makers </w:t>
      </w:r>
      <w:r w:rsidR="00EE66A3" w:rsidRPr="006A4F6D">
        <w:rPr>
          <w:lang w:val="en-US"/>
        </w:rPr>
        <w:t>accountable</w:t>
      </w:r>
      <w:r w:rsidR="009C6E6F">
        <w:rPr>
          <w:lang w:val="en-US"/>
        </w:rPr>
        <w:t>, it</w:t>
      </w:r>
      <w:r w:rsidRPr="006A4F6D">
        <w:rPr>
          <w:lang w:val="en-US"/>
        </w:rPr>
        <w:t xml:space="preserve"> provides opportunities for</w:t>
      </w:r>
      <w:r>
        <w:rPr>
          <w:lang w:val="en-US"/>
        </w:rPr>
        <w:t xml:space="preserve"> </w:t>
      </w:r>
      <w:r w:rsidR="004B3237">
        <w:rPr>
          <w:lang w:val="en-US"/>
        </w:rPr>
        <w:t>engagement,</w:t>
      </w:r>
      <w:r>
        <w:rPr>
          <w:lang w:val="en-US"/>
        </w:rPr>
        <w:t xml:space="preserve"> </w:t>
      </w:r>
      <w:r w:rsidRPr="006A4F6D">
        <w:rPr>
          <w:lang w:val="en-US"/>
        </w:rPr>
        <w:t xml:space="preserve">and </w:t>
      </w:r>
      <w:r w:rsidR="009C6E6F">
        <w:rPr>
          <w:lang w:val="en-US"/>
        </w:rPr>
        <w:t xml:space="preserve">it contributes to </w:t>
      </w:r>
      <w:r w:rsidR="009C6E6F" w:rsidRPr="009C6E6F">
        <w:rPr>
          <w:lang w:val="en-US"/>
        </w:rPr>
        <w:t>deepen</w:t>
      </w:r>
      <w:r w:rsidR="009C6E6F">
        <w:rPr>
          <w:lang w:val="en-US"/>
        </w:rPr>
        <w:t>s</w:t>
      </w:r>
      <w:r w:rsidR="009C6E6F" w:rsidRPr="009C6E6F">
        <w:rPr>
          <w:lang w:val="en-US"/>
        </w:rPr>
        <w:t xml:space="preserve"> trust among citizens and their governments</w:t>
      </w:r>
      <w:r w:rsidRPr="006A4F6D">
        <w:rPr>
          <w:lang w:val="en-US"/>
        </w:rPr>
        <w:t>.</w:t>
      </w:r>
    </w:p>
    <w:p w14:paraId="5394104D" w14:textId="77777777" w:rsidR="00291078" w:rsidRDefault="006A4F6D" w:rsidP="006A4F6D">
      <w:pPr>
        <w:rPr>
          <w:lang w:val="en-US"/>
        </w:rPr>
      </w:pPr>
      <w:r w:rsidRPr="006A4F6D">
        <w:rPr>
          <w:lang w:val="en-US"/>
        </w:rPr>
        <w:t xml:space="preserve">By joining the multilateral mechanism Open Government Partnership (OGP), Norway </w:t>
      </w:r>
      <w:r w:rsidR="00425991">
        <w:rPr>
          <w:lang w:val="en-US"/>
        </w:rPr>
        <w:t>seeks</w:t>
      </w:r>
      <w:r w:rsidRPr="006A4F6D">
        <w:rPr>
          <w:lang w:val="en-US"/>
        </w:rPr>
        <w:t xml:space="preserve"> make public administration more open, </w:t>
      </w:r>
      <w:r w:rsidR="009C6E6F" w:rsidRPr="006A4F6D">
        <w:rPr>
          <w:lang w:val="en-US"/>
        </w:rPr>
        <w:t>inclusive,</w:t>
      </w:r>
      <w:r w:rsidRPr="006A4F6D">
        <w:rPr>
          <w:lang w:val="en-US"/>
        </w:rPr>
        <w:t xml:space="preserve"> and responsible. As part of this commitment, Norway presents multi-year action plans for the Open Government Partnership. The action plans are drawn up as a collaboration between administration and civil society.</w:t>
      </w:r>
    </w:p>
    <w:p w14:paraId="7242486A" w14:textId="77777777" w:rsidR="00425991" w:rsidRPr="004B6326" w:rsidRDefault="00425991" w:rsidP="004B6326">
      <w:pPr>
        <w:rPr>
          <w:lang w:val="en-US"/>
        </w:rPr>
      </w:pPr>
      <w:r w:rsidRPr="00425991">
        <w:rPr>
          <w:lang w:val="en-US"/>
        </w:rPr>
        <w:t>Th</w:t>
      </w:r>
      <w:r>
        <w:rPr>
          <w:lang w:val="en-US"/>
        </w:rPr>
        <w:t>e</w:t>
      </w:r>
      <w:r w:rsidRPr="00425991">
        <w:rPr>
          <w:lang w:val="en-US"/>
        </w:rPr>
        <w:t xml:space="preserve"> </w:t>
      </w:r>
      <w:r>
        <w:rPr>
          <w:lang w:val="en-US"/>
        </w:rPr>
        <w:t>current plan is Norway</w:t>
      </w:r>
      <w:r w:rsidR="0064546B">
        <w:rPr>
          <w:lang w:val="en-US"/>
        </w:rPr>
        <w:t>’</w:t>
      </w:r>
      <w:r>
        <w:rPr>
          <w:lang w:val="en-US"/>
        </w:rPr>
        <w:t xml:space="preserve">s </w:t>
      </w:r>
      <w:r w:rsidRPr="00425991">
        <w:rPr>
          <w:lang w:val="en-US"/>
        </w:rPr>
        <w:t xml:space="preserve">fifth action plan for the Open Government Partnership. The government has </w:t>
      </w:r>
      <w:r>
        <w:rPr>
          <w:lang w:val="en-US"/>
        </w:rPr>
        <w:t>listened</w:t>
      </w:r>
      <w:r w:rsidRPr="00425991">
        <w:rPr>
          <w:lang w:val="en-US"/>
        </w:rPr>
        <w:t xml:space="preserve"> feedback on previous action plans and </w:t>
      </w:r>
      <w:r>
        <w:rPr>
          <w:lang w:val="en-US"/>
        </w:rPr>
        <w:t xml:space="preserve">sought to better describe </w:t>
      </w:r>
      <w:r w:rsidRPr="00425991">
        <w:rPr>
          <w:lang w:val="en-US"/>
        </w:rPr>
        <w:t xml:space="preserve">how different actors have contributed </w:t>
      </w:r>
      <w:r>
        <w:rPr>
          <w:lang w:val="en-US"/>
        </w:rPr>
        <w:t>to the development of the action plan</w:t>
      </w:r>
      <w:r w:rsidRPr="00425991">
        <w:rPr>
          <w:lang w:val="en-US"/>
        </w:rPr>
        <w:t>.</w:t>
      </w:r>
    </w:p>
    <w:p w14:paraId="73E100AB" w14:textId="77777777" w:rsidR="00291078" w:rsidRDefault="00425991" w:rsidP="00291078">
      <w:pPr>
        <w:pStyle w:val="Overskrift1"/>
        <w:rPr>
          <w:lang w:bidi="en-GB"/>
        </w:rPr>
      </w:pPr>
      <w:proofErr w:type="spellStart"/>
      <w:r>
        <w:rPr>
          <w:lang w:bidi="en-GB"/>
        </w:rPr>
        <w:t>Priority</w:t>
      </w:r>
      <w:proofErr w:type="spellEnd"/>
      <w:r>
        <w:rPr>
          <w:lang w:bidi="en-GB"/>
        </w:rPr>
        <w:t xml:space="preserve"> areas</w:t>
      </w:r>
    </w:p>
    <w:p w14:paraId="19E38B32" w14:textId="77777777" w:rsidR="00FA06AB" w:rsidRPr="004B6326" w:rsidRDefault="00BF2C5C" w:rsidP="00FA06AB">
      <w:pPr>
        <w:rPr>
          <w:rFonts w:cs="Arial"/>
          <w:lang w:val="en-US"/>
        </w:rPr>
      </w:pPr>
      <w:r w:rsidRPr="004B6326">
        <w:rPr>
          <w:rFonts w:cs="Arial"/>
          <w:lang w:val="en-US"/>
        </w:rPr>
        <w:t>In developing the action plan</w:t>
      </w:r>
      <w:r w:rsidR="00425991" w:rsidRPr="004B6326">
        <w:rPr>
          <w:rFonts w:cs="Arial"/>
          <w:lang w:val="en-US"/>
        </w:rPr>
        <w:t>, the government has facilitated an open process where all relevant actors have been given the opportunity to provide input on</w:t>
      </w:r>
      <w:r w:rsidRPr="004B6326">
        <w:rPr>
          <w:rFonts w:cs="Arial"/>
          <w:lang w:val="en-US"/>
        </w:rPr>
        <w:t xml:space="preserve"> </w:t>
      </w:r>
      <w:r w:rsidR="00425991" w:rsidRPr="004B6326">
        <w:rPr>
          <w:rFonts w:cs="Arial"/>
          <w:lang w:val="en-US"/>
        </w:rPr>
        <w:t xml:space="preserve">priority areas. The action plan is the result of co-creation between civil society organizations and </w:t>
      </w:r>
      <w:r w:rsidRPr="004B6326">
        <w:rPr>
          <w:rFonts w:cs="Arial"/>
          <w:lang w:val="en-US"/>
        </w:rPr>
        <w:t>relevant</w:t>
      </w:r>
      <w:r w:rsidR="00425991" w:rsidRPr="004B6326">
        <w:rPr>
          <w:rFonts w:cs="Arial"/>
          <w:lang w:val="en-US"/>
        </w:rPr>
        <w:t xml:space="preserve"> ministries.</w:t>
      </w:r>
    </w:p>
    <w:p w14:paraId="495FC65E" w14:textId="77777777" w:rsidR="00291078" w:rsidRDefault="00FA06AB" w:rsidP="00291078">
      <w:pPr>
        <w:pStyle w:val="Overskrift2"/>
        <w:rPr>
          <w:lang w:bidi="en-GB"/>
        </w:rPr>
      </w:pPr>
      <w:r w:rsidRPr="00AC09F2">
        <w:rPr>
          <w:lang w:bidi="en-GB"/>
        </w:rPr>
        <w:t xml:space="preserve">The </w:t>
      </w:r>
      <w:proofErr w:type="spellStart"/>
      <w:r w:rsidRPr="00AC09F2">
        <w:rPr>
          <w:lang w:bidi="en-GB"/>
        </w:rPr>
        <w:t>Government</w:t>
      </w:r>
      <w:r w:rsidR="0064546B">
        <w:rPr>
          <w:lang w:bidi="en-GB"/>
        </w:rPr>
        <w:t>’</w:t>
      </w:r>
      <w:r w:rsidRPr="00AC09F2">
        <w:rPr>
          <w:lang w:bidi="en-GB"/>
        </w:rPr>
        <w:t>s</w:t>
      </w:r>
      <w:proofErr w:type="spellEnd"/>
      <w:r w:rsidRPr="00AC09F2">
        <w:rPr>
          <w:lang w:bidi="en-GB"/>
        </w:rPr>
        <w:t xml:space="preserve"> </w:t>
      </w:r>
      <w:proofErr w:type="spellStart"/>
      <w:r w:rsidR="001D5029">
        <w:rPr>
          <w:lang w:bidi="en-GB"/>
        </w:rPr>
        <w:t>priority</w:t>
      </w:r>
      <w:proofErr w:type="spellEnd"/>
      <w:r w:rsidR="001D5029">
        <w:rPr>
          <w:lang w:bidi="en-GB"/>
        </w:rPr>
        <w:t xml:space="preserve"> areas</w:t>
      </w:r>
    </w:p>
    <w:p w14:paraId="7A49EFBE" w14:textId="77777777" w:rsidR="00291078" w:rsidRPr="00291078" w:rsidRDefault="00FA06AB" w:rsidP="00FA06AB">
      <w:pPr>
        <w:spacing w:line="276" w:lineRule="auto"/>
        <w:rPr>
          <w:rFonts w:cs="Arial"/>
          <w:lang w:val="en-GB" w:bidi="en-GB"/>
        </w:rPr>
      </w:pPr>
      <w:r w:rsidRPr="00291078">
        <w:rPr>
          <w:rFonts w:cs="Arial"/>
          <w:lang w:val="en-GB" w:bidi="en-GB"/>
        </w:rPr>
        <w:t>In spring 2022, the Government addressed the question of which areas it wanted to give priority to in a new Open Government Partnership (OGP) Action Plan.</w:t>
      </w:r>
    </w:p>
    <w:p w14:paraId="017F45F0" w14:textId="77777777" w:rsidR="00291078" w:rsidRPr="00291078" w:rsidRDefault="00FA06AB" w:rsidP="00FA06AB">
      <w:pPr>
        <w:spacing w:line="276" w:lineRule="auto"/>
        <w:rPr>
          <w:rFonts w:cs="Arial"/>
          <w:lang w:val="en-GB" w:bidi="en-GB"/>
        </w:rPr>
      </w:pPr>
      <w:r w:rsidRPr="00291078">
        <w:rPr>
          <w:rFonts w:cs="Arial"/>
          <w:lang w:val="en-GB" w:bidi="en-GB"/>
        </w:rPr>
        <w:t>The Government proposed seven areas:</w:t>
      </w:r>
    </w:p>
    <w:p w14:paraId="0AAAA9AF" w14:textId="77777777" w:rsidR="00291078" w:rsidRDefault="00FA06AB" w:rsidP="00291078">
      <w:pPr>
        <w:pStyle w:val="Liste"/>
        <w:rPr>
          <w:lang w:bidi="en-GB"/>
        </w:rPr>
      </w:pPr>
      <w:r w:rsidRPr="00AC09F2">
        <w:rPr>
          <w:lang w:bidi="en-GB"/>
        </w:rPr>
        <w:t xml:space="preserve">More </w:t>
      </w:r>
      <w:proofErr w:type="spellStart"/>
      <w:r w:rsidRPr="00AC09F2">
        <w:rPr>
          <w:lang w:bidi="en-GB"/>
        </w:rPr>
        <w:t>openness</w:t>
      </w:r>
      <w:proofErr w:type="spellEnd"/>
      <w:r w:rsidRPr="00AC09F2">
        <w:rPr>
          <w:lang w:bidi="en-GB"/>
        </w:rPr>
        <w:t xml:space="preserve"> in </w:t>
      </w:r>
      <w:proofErr w:type="spellStart"/>
      <w:r w:rsidRPr="00AC09F2">
        <w:rPr>
          <w:lang w:bidi="en-GB"/>
        </w:rPr>
        <w:t>public</w:t>
      </w:r>
      <w:proofErr w:type="spellEnd"/>
      <w:r w:rsidRPr="00AC09F2">
        <w:rPr>
          <w:lang w:bidi="en-GB"/>
        </w:rPr>
        <w:t xml:space="preserve"> </w:t>
      </w:r>
      <w:proofErr w:type="spellStart"/>
      <w:r w:rsidRPr="00AC09F2">
        <w:rPr>
          <w:lang w:bidi="en-GB"/>
        </w:rPr>
        <w:t>procurement</w:t>
      </w:r>
      <w:proofErr w:type="spellEnd"/>
    </w:p>
    <w:p w14:paraId="503C5978" w14:textId="77777777" w:rsidR="00291078" w:rsidRDefault="00FA06AB" w:rsidP="00291078">
      <w:pPr>
        <w:pStyle w:val="Liste"/>
        <w:rPr>
          <w:lang w:bidi="en-GB"/>
        </w:rPr>
      </w:pPr>
      <w:r w:rsidRPr="00AC09F2">
        <w:rPr>
          <w:lang w:bidi="en-GB"/>
        </w:rPr>
        <w:t>Anti-</w:t>
      </w:r>
      <w:proofErr w:type="spellStart"/>
      <w:r w:rsidRPr="00AC09F2">
        <w:rPr>
          <w:lang w:bidi="en-GB"/>
        </w:rPr>
        <w:t>corruption</w:t>
      </w:r>
      <w:proofErr w:type="spellEnd"/>
    </w:p>
    <w:p w14:paraId="36412D18" w14:textId="77777777" w:rsidR="00291078" w:rsidRDefault="00FA06AB" w:rsidP="00291078">
      <w:pPr>
        <w:pStyle w:val="Liste"/>
        <w:rPr>
          <w:lang w:bidi="en-GB"/>
        </w:rPr>
      </w:pPr>
      <w:r w:rsidRPr="00AC09F2">
        <w:rPr>
          <w:lang w:bidi="en-GB"/>
        </w:rPr>
        <w:t xml:space="preserve">Active </w:t>
      </w:r>
      <w:proofErr w:type="spellStart"/>
      <w:r w:rsidRPr="00AC09F2">
        <w:rPr>
          <w:lang w:bidi="en-GB"/>
        </w:rPr>
        <w:t>access</w:t>
      </w:r>
      <w:proofErr w:type="spellEnd"/>
      <w:r w:rsidRPr="00AC09F2">
        <w:rPr>
          <w:lang w:bidi="en-GB"/>
        </w:rPr>
        <w:t xml:space="preserve"> to </w:t>
      </w:r>
      <w:proofErr w:type="spellStart"/>
      <w:r w:rsidRPr="00AC09F2">
        <w:rPr>
          <w:lang w:bidi="en-GB"/>
        </w:rPr>
        <w:t>information</w:t>
      </w:r>
      <w:proofErr w:type="spellEnd"/>
    </w:p>
    <w:p w14:paraId="7D6BC170" w14:textId="77777777" w:rsidR="00FA06AB" w:rsidRPr="00AC09F2" w:rsidRDefault="00FA06AB" w:rsidP="00291078">
      <w:pPr>
        <w:pStyle w:val="Liste"/>
        <w:rPr>
          <w:lang w:val="nn-NO"/>
        </w:rPr>
      </w:pPr>
      <w:r w:rsidRPr="00AC09F2">
        <w:rPr>
          <w:lang w:bidi="en-GB"/>
        </w:rPr>
        <w:t xml:space="preserve">Trust in </w:t>
      </w:r>
      <w:proofErr w:type="spellStart"/>
      <w:r w:rsidRPr="00AC09F2">
        <w:rPr>
          <w:lang w:bidi="en-GB"/>
        </w:rPr>
        <w:t>public</w:t>
      </w:r>
      <w:proofErr w:type="spellEnd"/>
      <w:r w:rsidRPr="00AC09F2">
        <w:rPr>
          <w:lang w:bidi="en-GB"/>
        </w:rPr>
        <w:t xml:space="preserve"> </w:t>
      </w:r>
      <w:proofErr w:type="spellStart"/>
      <w:r w:rsidRPr="00AC09F2">
        <w:rPr>
          <w:lang w:bidi="en-GB"/>
        </w:rPr>
        <w:t>administration</w:t>
      </w:r>
      <w:proofErr w:type="spellEnd"/>
    </w:p>
    <w:p w14:paraId="29E8F015" w14:textId="77777777" w:rsidR="00291078" w:rsidRPr="00291078" w:rsidRDefault="00FA06AB" w:rsidP="00291078">
      <w:pPr>
        <w:pStyle w:val="Liste"/>
        <w:rPr>
          <w:lang w:val="en-GB" w:bidi="en-GB"/>
        </w:rPr>
      </w:pPr>
      <w:r w:rsidRPr="00291078">
        <w:rPr>
          <w:lang w:val="en-GB" w:bidi="en-GB"/>
        </w:rPr>
        <w:t>Integrity and openness in public administration</w:t>
      </w:r>
    </w:p>
    <w:p w14:paraId="684F1BFC" w14:textId="77777777" w:rsidR="00291078" w:rsidRDefault="00FA06AB" w:rsidP="00291078">
      <w:pPr>
        <w:pStyle w:val="Liste"/>
        <w:rPr>
          <w:lang w:bidi="en-GB"/>
        </w:rPr>
      </w:pPr>
      <w:proofErr w:type="spellStart"/>
      <w:r w:rsidRPr="00AC09F2">
        <w:rPr>
          <w:lang w:bidi="en-GB"/>
        </w:rPr>
        <w:t>Climate</w:t>
      </w:r>
      <w:proofErr w:type="spellEnd"/>
      <w:r w:rsidRPr="00AC09F2">
        <w:rPr>
          <w:lang w:bidi="en-GB"/>
        </w:rPr>
        <w:t xml:space="preserve"> and </w:t>
      </w:r>
      <w:proofErr w:type="spellStart"/>
      <w:r w:rsidRPr="00AC09F2">
        <w:rPr>
          <w:lang w:bidi="en-GB"/>
        </w:rPr>
        <w:t>environment</w:t>
      </w:r>
      <w:proofErr w:type="spellEnd"/>
    </w:p>
    <w:p w14:paraId="3DF181E4" w14:textId="77777777" w:rsidR="00291078" w:rsidRDefault="00251AC7" w:rsidP="00291078">
      <w:pPr>
        <w:pStyle w:val="Liste"/>
        <w:rPr>
          <w:lang w:val="nn-NO"/>
        </w:rPr>
      </w:pPr>
      <w:proofErr w:type="spellStart"/>
      <w:r w:rsidRPr="00AC09F2">
        <w:rPr>
          <w:lang w:bidi="en-GB"/>
        </w:rPr>
        <w:t>Reuse</w:t>
      </w:r>
      <w:proofErr w:type="spellEnd"/>
      <w:r w:rsidRPr="00AC09F2">
        <w:rPr>
          <w:lang w:bidi="en-GB"/>
        </w:rPr>
        <w:t xml:space="preserve"> </w:t>
      </w:r>
      <w:proofErr w:type="spellStart"/>
      <w:r w:rsidRPr="00AC09F2">
        <w:rPr>
          <w:lang w:bidi="en-GB"/>
        </w:rPr>
        <w:t>of</w:t>
      </w:r>
      <w:proofErr w:type="spellEnd"/>
      <w:r w:rsidRPr="00AC09F2">
        <w:rPr>
          <w:lang w:bidi="en-GB"/>
        </w:rPr>
        <w:t xml:space="preserve"> </w:t>
      </w:r>
      <w:proofErr w:type="spellStart"/>
      <w:r w:rsidRPr="00AC09F2">
        <w:rPr>
          <w:lang w:bidi="en-GB"/>
        </w:rPr>
        <w:t>public</w:t>
      </w:r>
      <w:proofErr w:type="spellEnd"/>
      <w:r w:rsidRPr="00AC09F2">
        <w:rPr>
          <w:lang w:bidi="en-GB"/>
        </w:rPr>
        <w:t xml:space="preserve"> data</w:t>
      </w:r>
    </w:p>
    <w:p w14:paraId="7510DE84" w14:textId="77777777" w:rsidR="00291078" w:rsidRPr="00291078" w:rsidRDefault="00FA06AB" w:rsidP="00FA06AB">
      <w:pPr>
        <w:spacing w:line="276" w:lineRule="auto"/>
        <w:rPr>
          <w:rFonts w:cs="Arial"/>
          <w:lang w:val="en-GB" w:bidi="en-GB"/>
        </w:rPr>
      </w:pPr>
      <w:r w:rsidRPr="00291078">
        <w:rPr>
          <w:rFonts w:cs="Arial"/>
          <w:lang w:val="en-GB" w:bidi="en-GB"/>
        </w:rPr>
        <w:lastRenderedPageBreak/>
        <w:t xml:space="preserve">The Government emphasised the importance of preparing an action plan that can create real changes for citizens. The plan is therefore based on topics where Norway has potential for </w:t>
      </w:r>
      <w:r w:rsidR="001D5029" w:rsidRPr="00291078">
        <w:rPr>
          <w:rFonts w:cs="Arial"/>
          <w:lang w:val="en-GB" w:bidi="en-GB"/>
        </w:rPr>
        <w:t>improvement,</w:t>
      </w:r>
      <w:r w:rsidRPr="00291078">
        <w:rPr>
          <w:rFonts w:cs="Arial"/>
          <w:lang w:val="en-GB" w:bidi="en-GB"/>
        </w:rPr>
        <w:t xml:space="preserve"> and which are also politically prioritised.</w:t>
      </w:r>
    </w:p>
    <w:p w14:paraId="2335743A" w14:textId="77777777" w:rsidR="00291078" w:rsidRPr="00291078" w:rsidRDefault="001D5029" w:rsidP="001D5029">
      <w:pPr>
        <w:spacing w:line="276" w:lineRule="auto"/>
        <w:rPr>
          <w:rFonts w:cs="Arial"/>
          <w:lang w:val="en-GB" w:bidi="en-GB"/>
        </w:rPr>
      </w:pPr>
      <w:r w:rsidRPr="00291078">
        <w:rPr>
          <w:rFonts w:cs="Arial"/>
          <w:lang w:val="en-GB" w:bidi="en-GB"/>
        </w:rPr>
        <w:t>The Government has based its choice of topics in the plan on reports from the OECD, Transparency International (TI) and the OGP</w:t>
      </w:r>
      <w:r w:rsidR="0064546B">
        <w:rPr>
          <w:rFonts w:cs="Arial"/>
          <w:lang w:val="en-GB" w:bidi="en-GB"/>
        </w:rPr>
        <w:t>’</w:t>
      </w:r>
      <w:r w:rsidRPr="00291078">
        <w:rPr>
          <w:rFonts w:cs="Arial"/>
          <w:lang w:val="en-GB" w:bidi="en-GB"/>
        </w:rPr>
        <w:t>s own auditing body, IRM</w:t>
      </w:r>
      <w:r w:rsidR="0064546B" w:rsidRPr="0064546B">
        <w:rPr>
          <w:rStyle w:val="Fotnotereferanse"/>
        </w:rPr>
        <w:footnoteReference w:id="1"/>
      </w:r>
      <w:r w:rsidRPr="00291078">
        <w:rPr>
          <w:rFonts w:cs="Arial"/>
          <w:lang w:val="en-GB" w:bidi="en-GB"/>
        </w:rPr>
        <w:t xml:space="preserve"> and the OGP Council, all of which have pointed out various areas in which Norway could do better.</w:t>
      </w:r>
    </w:p>
    <w:p w14:paraId="54B89BBA" w14:textId="77777777" w:rsidR="00291078" w:rsidRDefault="001D5029" w:rsidP="00FA06AB">
      <w:pPr>
        <w:spacing w:line="276" w:lineRule="auto"/>
        <w:rPr>
          <w:rFonts w:cs="Arial"/>
          <w:lang w:val="en-US"/>
        </w:rPr>
      </w:pPr>
      <w:r w:rsidRPr="00291078">
        <w:rPr>
          <w:rFonts w:cs="Arial"/>
          <w:lang w:val="en-GB" w:bidi="en-GB"/>
        </w:rPr>
        <w:t>In the past, the government has published plans that cover a two-year period for the Open Government Partnership. The government believes it is appropriate to develop a plan for the four-year period 2023 – 2027, as several of the proposed measures may require time to develop and implement.</w:t>
      </w:r>
    </w:p>
    <w:p w14:paraId="493B136C" w14:textId="77777777" w:rsidR="00291078" w:rsidRPr="00291078" w:rsidRDefault="00FA06AB" w:rsidP="00291078">
      <w:pPr>
        <w:pStyle w:val="Overskrift2"/>
        <w:rPr>
          <w:lang w:val="en-GB" w:bidi="en-GB"/>
        </w:rPr>
      </w:pPr>
      <w:r w:rsidRPr="00291078">
        <w:rPr>
          <w:lang w:val="en-GB" w:bidi="en-GB"/>
        </w:rPr>
        <w:t>Input from public administration and civil society – co-creation</w:t>
      </w:r>
    </w:p>
    <w:p w14:paraId="7A6502CD" w14:textId="77777777" w:rsidR="00291078" w:rsidRPr="00291078" w:rsidRDefault="00053CBB" w:rsidP="00053CBB">
      <w:pPr>
        <w:rPr>
          <w:rFonts w:cs="Arial"/>
          <w:lang w:val="en-GB" w:bidi="en-GB"/>
        </w:rPr>
      </w:pPr>
      <w:r w:rsidRPr="00291078">
        <w:rPr>
          <w:rFonts w:cs="Arial"/>
          <w:lang w:val="en-GB" w:bidi="en-GB"/>
        </w:rPr>
        <w:t>The government</w:t>
      </w:r>
      <w:r w:rsidR="0064546B">
        <w:rPr>
          <w:rFonts w:cs="Arial"/>
          <w:lang w:val="en-GB" w:bidi="en-GB"/>
        </w:rPr>
        <w:t>’</w:t>
      </w:r>
      <w:r w:rsidRPr="00291078">
        <w:rPr>
          <w:rFonts w:cs="Arial"/>
          <w:lang w:val="en-GB" w:bidi="en-GB"/>
        </w:rPr>
        <w:t>s proposed priority areas were shared with the stakeholder forum for the OGP work in Norway in June 2022. The stakeholder forum consists of participants from civil society, the OGP council</w:t>
      </w:r>
      <w:r w:rsidR="0064546B" w:rsidRPr="0064546B">
        <w:rPr>
          <w:rStyle w:val="Fotnotereferanse"/>
        </w:rPr>
        <w:footnoteReference w:id="2"/>
      </w:r>
      <w:r w:rsidRPr="00291078">
        <w:rPr>
          <w:rFonts w:cs="Arial"/>
          <w:lang w:val="en-GB" w:bidi="en-GB"/>
        </w:rPr>
        <w:t xml:space="preserve"> and relevant ministries. </w:t>
      </w:r>
      <w:r w:rsidR="00541373" w:rsidRPr="00291078">
        <w:rPr>
          <w:rFonts w:cs="Arial"/>
          <w:lang w:val="en-GB" w:bidi="en-GB"/>
        </w:rPr>
        <w:t xml:space="preserve">Already before the meeting, both </w:t>
      </w:r>
      <w:r w:rsidR="00FA06AB" w:rsidRPr="00291078">
        <w:rPr>
          <w:rFonts w:cs="Arial"/>
          <w:lang w:val="en-GB" w:bidi="en-GB"/>
        </w:rPr>
        <w:t xml:space="preserve">public administration and civil society </w:t>
      </w:r>
      <w:r w:rsidR="00541373" w:rsidRPr="00291078">
        <w:rPr>
          <w:rFonts w:cs="Arial"/>
          <w:lang w:val="en-GB" w:bidi="en-GB"/>
        </w:rPr>
        <w:t>actors submitted proposals and suggest</w:t>
      </w:r>
      <w:r w:rsidR="00F91CB9" w:rsidRPr="00291078">
        <w:rPr>
          <w:rFonts w:cs="Arial"/>
          <w:lang w:val="en-GB" w:bidi="en-GB"/>
        </w:rPr>
        <w:t>ed commitments</w:t>
      </w:r>
      <w:r w:rsidR="00541373" w:rsidRPr="00291078">
        <w:rPr>
          <w:rFonts w:cs="Arial"/>
          <w:lang w:val="en-GB" w:bidi="en-GB"/>
        </w:rPr>
        <w:t>.</w:t>
      </w:r>
    </w:p>
    <w:p w14:paraId="10297A3F" w14:textId="77777777" w:rsidR="00291078" w:rsidRDefault="00541373" w:rsidP="00053CBB">
      <w:pPr>
        <w:rPr>
          <w:rFonts w:cs="Arial"/>
          <w:lang w:val="en-US" w:bidi="en-GB"/>
        </w:rPr>
      </w:pPr>
      <w:r w:rsidRPr="00291078">
        <w:rPr>
          <w:rFonts w:cs="Arial"/>
          <w:lang w:val="en-GB" w:bidi="en-GB"/>
        </w:rPr>
        <w:t xml:space="preserve">The </w:t>
      </w:r>
      <w:r w:rsidR="00520C56" w:rsidRPr="00291078">
        <w:rPr>
          <w:rFonts w:cs="Arial"/>
          <w:lang w:val="en-GB" w:bidi="en-GB"/>
        </w:rPr>
        <w:t>agreed priorities</w:t>
      </w:r>
      <w:r w:rsidRPr="00291078">
        <w:rPr>
          <w:rFonts w:cs="Arial"/>
          <w:lang w:val="en-GB" w:bidi="en-GB"/>
        </w:rPr>
        <w:t xml:space="preserve"> were thereafter</w:t>
      </w:r>
      <w:r w:rsidRPr="00541373">
        <w:rPr>
          <w:rFonts w:cs="Arial"/>
          <w:lang w:val="en-US" w:bidi="en-GB"/>
        </w:rPr>
        <w:t xml:space="preserve"> </w:t>
      </w:r>
      <w:r w:rsidR="00F91CB9">
        <w:rPr>
          <w:rFonts w:cs="Arial"/>
          <w:lang w:val="en-US" w:bidi="en-GB"/>
        </w:rPr>
        <w:t>presented for consultation</w:t>
      </w:r>
      <w:r w:rsidRPr="00541373">
        <w:rPr>
          <w:rFonts w:cs="Arial"/>
          <w:lang w:val="en-US" w:bidi="en-GB"/>
        </w:rPr>
        <w:t xml:space="preserve">, </w:t>
      </w:r>
      <w:r w:rsidR="00F91CB9">
        <w:rPr>
          <w:rFonts w:cs="Arial"/>
          <w:lang w:val="en-US" w:bidi="en-GB"/>
        </w:rPr>
        <w:t>to</w:t>
      </w:r>
      <w:r w:rsidR="00F91CB9" w:rsidRPr="00F91CB9">
        <w:rPr>
          <w:rFonts w:cs="Arial"/>
          <w:lang w:val="en-US" w:bidi="en-GB"/>
        </w:rPr>
        <w:t xml:space="preserve"> allow the public</w:t>
      </w:r>
      <w:r w:rsidR="00F91CB9">
        <w:rPr>
          <w:rFonts w:cs="Arial"/>
          <w:lang w:val="en-US" w:bidi="en-GB"/>
        </w:rPr>
        <w:t xml:space="preserve"> </w:t>
      </w:r>
      <w:r w:rsidR="00F91CB9" w:rsidRPr="00F91CB9">
        <w:rPr>
          <w:rFonts w:cs="Arial"/>
          <w:lang w:val="en-US" w:bidi="en-GB"/>
        </w:rPr>
        <w:t>to state their opinion</w:t>
      </w:r>
      <w:r w:rsidRPr="00541373">
        <w:rPr>
          <w:rFonts w:cs="Arial"/>
          <w:lang w:val="en-US" w:bidi="en-GB"/>
        </w:rPr>
        <w:t xml:space="preserve">. </w:t>
      </w:r>
      <w:r w:rsidR="00F91CB9">
        <w:rPr>
          <w:rFonts w:cs="Arial"/>
          <w:lang w:val="en-US" w:bidi="en-GB"/>
        </w:rPr>
        <w:t xml:space="preserve">In addition to responses to the </w:t>
      </w:r>
      <w:r w:rsidRPr="00541373">
        <w:rPr>
          <w:rFonts w:cs="Arial"/>
          <w:lang w:val="en-US" w:bidi="en-GB"/>
        </w:rPr>
        <w:t>consultation</w:t>
      </w:r>
      <w:r w:rsidR="00F91CB9">
        <w:rPr>
          <w:rFonts w:cs="Arial"/>
          <w:lang w:val="en-US" w:bidi="en-GB"/>
        </w:rPr>
        <w:t>, additional suggestions were made during</w:t>
      </w:r>
      <w:r w:rsidRPr="00541373">
        <w:rPr>
          <w:rFonts w:cs="Arial"/>
          <w:lang w:val="en-US" w:bidi="en-GB"/>
        </w:rPr>
        <w:t xml:space="preserve"> the next meeting of the stakeholder forum, in September 2022.</w:t>
      </w:r>
    </w:p>
    <w:p w14:paraId="22437B76" w14:textId="77777777" w:rsidR="00291078" w:rsidRPr="00291078" w:rsidRDefault="00F91CB9" w:rsidP="00FA06AB">
      <w:pPr>
        <w:rPr>
          <w:rFonts w:cs="Arial"/>
          <w:lang w:val="en-GB" w:bidi="en-GB"/>
        </w:rPr>
      </w:pPr>
      <w:r w:rsidRPr="00291078">
        <w:rPr>
          <w:rFonts w:cs="Arial"/>
          <w:lang w:val="en-GB" w:bidi="en-GB"/>
        </w:rPr>
        <w:t>Priority areas and commitments</w:t>
      </w:r>
      <w:r w:rsidR="00FA06AB" w:rsidRPr="00291078">
        <w:rPr>
          <w:rFonts w:cs="Arial"/>
          <w:lang w:val="en-GB" w:bidi="en-GB"/>
        </w:rPr>
        <w:t xml:space="preserve"> have </w:t>
      </w:r>
      <w:r w:rsidRPr="00291078">
        <w:rPr>
          <w:rFonts w:cs="Arial"/>
          <w:lang w:val="en-GB" w:bidi="en-GB"/>
        </w:rPr>
        <w:t>thereby been developed through a co-creation process, in close collaboration between government and representatives of civil society.</w:t>
      </w:r>
      <w:r w:rsidRPr="00291078" w:rsidDel="00F91CB9">
        <w:rPr>
          <w:rFonts w:cs="Arial"/>
          <w:lang w:val="en-GB" w:bidi="en-GB"/>
        </w:rPr>
        <w:t xml:space="preserve"> </w:t>
      </w:r>
      <w:r w:rsidR="00FA06AB" w:rsidRPr="00291078">
        <w:rPr>
          <w:rFonts w:cs="Arial"/>
          <w:lang w:val="en-GB" w:bidi="en-GB"/>
        </w:rPr>
        <w:t xml:space="preserve">In some </w:t>
      </w:r>
      <w:r w:rsidR="00B256AD" w:rsidRPr="00291078">
        <w:rPr>
          <w:rFonts w:cs="Arial"/>
          <w:lang w:val="en-GB" w:bidi="en-GB"/>
        </w:rPr>
        <w:t xml:space="preserve">cases, </w:t>
      </w:r>
      <w:r w:rsidR="00FA06AB" w:rsidRPr="00291078">
        <w:rPr>
          <w:rFonts w:cs="Arial"/>
          <w:lang w:val="en-GB" w:bidi="en-GB"/>
        </w:rPr>
        <w:t>proposals have not been followed up, such as when it comes to beneficial ownership. Some proposals have been put forward by the public administration without input from civil society, such as the enforcement of privacy statements on public websites and enforcement of the regulations for universal design of ICT solutions.</w:t>
      </w:r>
    </w:p>
    <w:p w14:paraId="11E416AA" w14:textId="77777777" w:rsidR="00FA06AB" w:rsidRPr="004B6326" w:rsidRDefault="00FA06AB" w:rsidP="00291078">
      <w:pPr>
        <w:pStyle w:val="Overskrift2"/>
        <w:rPr>
          <w:lang w:val="en-US"/>
        </w:rPr>
      </w:pPr>
      <w:proofErr w:type="spellStart"/>
      <w:r w:rsidRPr="00AC09F2">
        <w:rPr>
          <w:lang w:bidi="en-GB"/>
        </w:rPr>
        <w:lastRenderedPageBreak/>
        <w:t>Priorit</w:t>
      </w:r>
      <w:r w:rsidR="00B256AD">
        <w:rPr>
          <w:lang w:bidi="en-GB"/>
        </w:rPr>
        <w:t>ies</w:t>
      </w:r>
      <w:proofErr w:type="spellEnd"/>
      <w:r w:rsidR="00B256AD">
        <w:rPr>
          <w:lang w:bidi="en-GB"/>
        </w:rPr>
        <w:t xml:space="preserve"> for </w:t>
      </w:r>
      <w:proofErr w:type="spellStart"/>
      <w:r w:rsidR="00B256AD">
        <w:rPr>
          <w:lang w:bidi="en-GB"/>
        </w:rPr>
        <w:t>the</w:t>
      </w:r>
      <w:proofErr w:type="spellEnd"/>
      <w:r w:rsidR="00B256AD">
        <w:rPr>
          <w:lang w:bidi="en-GB"/>
        </w:rPr>
        <w:t xml:space="preserve"> </w:t>
      </w:r>
      <w:proofErr w:type="spellStart"/>
      <w:r w:rsidR="00B256AD">
        <w:rPr>
          <w:lang w:bidi="en-GB"/>
        </w:rPr>
        <w:t>period</w:t>
      </w:r>
      <w:proofErr w:type="spellEnd"/>
      <w:r w:rsidR="00B256AD">
        <w:rPr>
          <w:lang w:bidi="en-GB"/>
        </w:rPr>
        <w:t xml:space="preserve"> 2024</w:t>
      </w:r>
      <w:r w:rsidR="00E733AB">
        <w:rPr>
          <w:lang w:bidi="en-GB"/>
        </w:rPr>
        <w:t>–</w:t>
      </w:r>
      <w:r w:rsidR="00B256AD">
        <w:rPr>
          <w:lang w:bidi="en-GB"/>
        </w:rPr>
        <w:t>2027</w:t>
      </w:r>
    </w:p>
    <w:p w14:paraId="76464575" w14:textId="77777777" w:rsidR="00291078" w:rsidRDefault="00FA06AB" w:rsidP="00FA06AB">
      <w:pPr>
        <w:rPr>
          <w:lang w:val="en-US"/>
        </w:rPr>
      </w:pPr>
      <w:r w:rsidRPr="00291078">
        <w:rPr>
          <w:rFonts w:cs="Arial"/>
          <w:lang w:val="en-GB" w:bidi="en-GB"/>
        </w:rPr>
        <w:t xml:space="preserve">Based on the 25 or so proposals for commitments, the Ministry of Local Government and Regional Development (KDD) drew up a list of topics that seemed particularly relevant for continued work. </w:t>
      </w:r>
      <w:r w:rsidR="00514938" w:rsidRPr="00291078">
        <w:rPr>
          <w:rFonts w:cs="Arial"/>
          <w:lang w:val="en-GB" w:bidi="en-GB"/>
        </w:rPr>
        <w:t>Emphasis was placed on areas where points for improvement have been identified, for example where Norway does less well in international rankings, or where the government is not satisfied with status. Emphasis was also placed on following up recommendations from the report from OGP</w:t>
      </w:r>
      <w:r w:rsidR="0064546B">
        <w:rPr>
          <w:rFonts w:cs="Arial"/>
          <w:lang w:val="en-GB" w:bidi="en-GB"/>
        </w:rPr>
        <w:t>’</w:t>
      </w:r>
      <w:r w:rsidR="00514938" w:rsidRPr="00291078">
        <w:rPr>
          <w:rFonts w:cs="Arial"/>
          <w:lang w:val="en-GB" w:bidi="en-GB"/>
        </w:rPr>
        <w:t>s audit body, IRM (Independent Reporting Mechanism).</w:t>
      </w:r>
    </w:p>
    <w:p w14:paraId="00E38135" w14:textId="77777777" w:rsidR="00FA06AB" w:rsidRPr="00A931A6" w:rsidRDefault="00FA06AB" w:rsidP="00FA06AB">
      <w:pPr>
        <w:rPr>
          <w:rFonts w:cs="Arial"/>
          <w:lang w:val="en-US"/>
        </w:rPr>
      </w:pPr>
      <w:r w:rsidRPr="00291078">
        <w:rPr>
          <w:rFonts w:cs="Arial"/>
          <w:lang w:val="en-GB" w:bidi="en-GB"/>
        </w:rPr>
        <w:t>The Fifth Action Plan therefore includes the following areas that meet both the Government</w:t>
      </w:r>
      <w:r w:rsidR="0064546B">
        <w:rPr>
          <w:rFonts w:cs="Arial"/>
          <w:lang w:val="en-GB" w:bidi="en-GB"/>
        </w:rPr>
        <w:t>’</w:t>
      </w:r>
      <w:r w:rsidRPr="00291078">
        <w:rPr>
          <w:rFonts w:cs="Arial"/>
          <w:lang w:val="en-GB" w:bidi="en-GB"/>
        </w:rPr>
        <w:t>s and civil society</w:t>
      </w:r>
      <w:r w:rsidR="0064546B">
        <w:rPr>
          <w:rFonts w:cs="Arial"/>
          <w:lang w:val="en-GB" w:bidi="en-GB"/>
        </w:rPr>
        <w:t>’</w:t>
      </w:r>
      <w:r w:rsidRPr="00291078">
        <w:rPr>
          <w:rFonts w:cs="Arial"/>
          <w:lang w:val="en-GB" w:bidi="en-GB"/>
        </w:rPr>
        <w:t>s priorities:</w:t>
      </w:r>
    </w:p>
    <w:p w14:paraId="32E090B7" w14:textId="77777777" w:rsidR="00FA06AB" w:rsidRPr="00AC09F2" w:rsidRDefault="00DF53E3" w:rsidP="00291078">
      <w:pPr>
        <w:pStyle w:val="Liste"/>
        <w:rPr>
          <w:lang w:val="nn-NO"/>
        </w:rPr>
      </w:pPr>
      <w:r w:rsidRPr="00AC09F2">
        <w:rPr>
          <w:lang w:bidi="en-GB"/>
        </w:rPr>
        <w:t xml:space="preserve">Public </w:t>
      </w:r>
      <w:proofErr w:type="spellStart"/>
      <w:r w:rsidRPr="00AC09F2">
        <w:rPr>
          <w:lang w:bidi="en-GB"/>
        </w:rPr>
        <w:t>procurement</w:t>
      </w:r>
      <w:proofErr w:type="spellEnd"/>
    </w:p>
    <w:p w14:paraId="6C1C9ABD" w14:textId="77777777" w:rsidR="00FA06AB" w:rsidRPr="00AC09F2" w:rsidRDefault="00FA06AB" w:rsidP="00291078">
      <w:pPr>
        <w:pStyle w:val="Liste"/>
        <w:rPr>
          <w:lang w:val="nn-NO"/>
        </w:rPr>
      </w:pPr>
      <w:r w:rsidRPr="00AC09F2">
        <w:rPr>
          <w:lang w:bidi="en-GB"/>
        </w:rPr>
        <w:t xml:space="preserve">Universal design and digital </w:t>
      </w:r>
      <w:proofErr w:type="spellStart"/>
      <w:r w:rsidRPr="00AC09F2">
        <w:rPr>
          <w:lang w:bidi="en-GB"/>
        </w:rPr>
        <w:t>inclusion</w:t>
      </w:r>
      <w:proofErr w:type="spellEnd"/>
    </w:p>
    <w:p w14:paraId="20693D56" w14:textId="77777777" w:rsidR="00291078" w:rsidRPr="00291078" w:rsidRDefault="00DF53E3" w:rsidP="00291078">
      <w:pPr>
        <w:pStyle w:val="Liste"/>
        <w:rPr>
          <w:lang w:val="en-GB" w:bidi="en-GB"/>
        </w:rPr>
      </w:pPr>
      <w:r w:rsidRPr="00291078">
        <w:rPr>
          <w:lang w:val="en-GB" w:bidi="en-GB"/>
        </w:rPr>
        <w:t>Openness in public administration – archives/journalling, e-access</w:t>
      </w:r>
    </w:p>
    <w:p w14:paraId="0062C112" w14:textId="77777777" w:rsidR="00291078" w:rsidRDefault="00FA06AB" w:rsidP="00291078">
      <w:pPr>
        <w:pStyle w:val="Liste"/>
        <w:rPr>
          <w:lang w:bidi="en-GB"/>
        </w:rPr>
      </w:pPr>
      <w:r w:rsidRPr="00AC09F2">
        <w:rPr>
          <w:lang w:bidi="en-GB"/>
        </w:rPr>
        <w:t>Anti-</w:t>
      </w:r>
      <w:proofErr w:type="spellStart"/>
      <w:r w:rsidRPr="00AC09F2">
        <w:rPr>
          <w:lang w:bidi="en-GB"/>
        </w:rPr>
        <w:t>corruption</w:t>
      </w:r>
      <w:proofErr w:type="spellEnd"/>
    </w:p>
    <w:p w14:paraId="67958530" w14:textId="77777777" w:rsidR="00291078" w:rsidRPr="00291078" w:rsidRDefault="00FA06AB" w:rsidP="00291078">
      <w:pPr>
        <w:pStyle w:val="Liste"/>
        <w:rPr>
          <w:lang w:val="en-GB" w:bidi="en-GB"/>
        </w:rPr>
      </w:pPr>
      <w:r w:rsidRPr="00291078">
        <w:rPr>
          <w:lang w:val="en-GB" w:bidi="en-GB"/>
        </w:rPr>
        <w:t>Better access to criminal case documents</w:t>
      </w:r>
    </w:p>
    <w:p w14:paraId="6E235E60" w14:textId="77777777" w:rsidR="00291078" w:rsidRPr="00291078" w:rsidRDefault="00FA06AB" w:rsidP="00FA06AB">
      <w:pPr>
        <w:rPr>
          <w:rFonts w:cs="Arial"/>
          <w:lang w:val="en-GB" w:bidi="en-GB"/>
        </w:rPr>
      </w:pPr>
      <w:r w:rsidRPr="00291078">
        <w:rPr>
          <w:rFonts w:cs="Arial"/>
          <w:lang w:val="en-GB" w:bidi="en-GB"/>
        </w:rPr>
        <w:t xml:space="preserve">In June 2023, the plan was sent to the </w:t>
      </w:r>
      <w:r w:rsidR="00514938" w:rsidRPr="00291078">
        <w:rPr>
          <w:rFonts w:cs="Arial"/>
          <w:lang w:val="en-GB" w:bidi="en-GB"/>
        </w:rPr>
        <w:t>s</w:t>
      </w:r>
      <w:r w:rsidRPr="00291078">
        <w:rPr>
          <w:rFonts w:cs="Arial"/>
          <w:lang w:val="en-GB" w:bidi="en-GB"/>
        </w:rPr>
        <w:t>takeholders</w:t>
      </w:r>
      <w:r w:rsidR="0064546B">
        <w:rPr>
          <w:rFonts w:cs="Arial"/>
          <w:lang w:val="en-GB" w:bidi="en-GB"/>
        </w:rPr>
        <w:t>’</w:t>
      </w:r>
      <w:r w:rsidRPr="00291078">
        <w:rPr>
          <w:rFonts w:cs="Arial"/>
          <w:lang w:val="en-GB" w:bidi="en-GB"/>
        </w:rPr>
        <w:t xml:space="preserve"> </w:t>
      </w:r>
      <w:r w:rsidR="00514938" w:rsidRPr="00291078">
        <w:rPr>
          <w:rFonts w:cs="Arial"/>
          <w:lang w:val="en-GB" w:bidi="en-GB"/>
        </w:rPr>
        <w:t>f</w:t>
      </w:r>
      <w:r w:rsidRPr="00291078">
        <w:rPr>
          <w:rFonts w:cs="Arial"/>
          <w:lang w:val="en-GB" w:bidi="en-GB"/>
        </w:rPr>
        <w:t>orum and the OGP Council and posted on the OGP website for comment.</w:t>
      </w:r>
    </w:p>
    <w:p w14:paraId="5DE86C3A" w14:textId="77777777" w:rsidR="00291078" w:rsidRPr="00291078" w:rsidRDefault="00FA06AB" w:rsidP="00291078">
      <w:pPr>
        <w:pStyle w:val="Overskrift1"/>
        <w:rPr>
          <w:lang w:val="en-GB" w:bidi="en-GB"/>
        </w:rPr>
      </w:pPr>
      <w:r w:rsidRPr="00291078">
        <w:rPr>
          <w:lang w:val="en-GB" w:bidi="en-GB"/>
        </w:rPr>
        <w:t>Norway and the Open Government Partnership (OGP)</w:t>
      </w:r>
    </w:p>
    <w:p w14:paraId="388CE7E1" w14:textId="77777777" w:rsidR="00FA06AB" w:rsidRPr="00AC09F2" w:rsidRDefault="00FA06AB" w:rsidP="00291078">
      <w:pPr>
        <w:pStyle w:val="Overskrift2"/>
        <w:rPr>
          <w:lang w:val="nn-NO"/>
        </w:rPr>
      </w:pPr>
      <w:proofErr w:type="spellStart"/>
      <w:r w:rsidRPr="00AC09F2">
        <w:rPr>
          <w:lang w:bidi="en-GB"/>
        </w:rPr>
        <w:t>Organisation</w:t>
      </w:r>
      <w:proofErr w:type="spellEnd"/>
      <w:r w:rsidRPr="00AC09F2">
        <w:rPr>
          <w:lang w:bidi="en-GB"/>
        </w:rPr>
        <w:t xml:space="preserve"> and </w:t>
      </w:r>
      <w:proofErr w:type="spellStart"/>
      <w:r w:rsidRPr="00AC09F2">
        <w:rPr>
          <w:lang w:bidi="en-GB"/>
        </w:rPr>
        <w:t>funding</w:t>
      </w:r>
      <w:proofErr w:type="spellEnd"/>
    </w:p>
    <w:p w14:paraId="10A8716B" w14:textId="77777777" w:rsidR="00291078" w:rsidRPr="00291078" w:rsidRDefault="00FA06AB" w:rsidP="00FA06AB">
      <w:pPr>
        <w:rPr>
          <w:rFonts w:cs="Arial"/>
          <w:lang w:val="en-GB" w:bidi="en-GB"/>
        </w:rPr>
      </w:pPr>
      <w:r w:rsidRPr="00291078">
        <w:rPr>
          <w:rFonts w:cs="Arial"/>
          <w:lang w:val="en-GB" w:bidi="en-GB"/>
        </w:rPr>
        <w:t xml:space="preserve">Norway became part of the OGP cooperation in 2010 as one of the very first </w:t>
      </w:r>
      <w:r w:rsidR="00514938" w:rsidRPr="00291078">
        <w:rPr>
          <w:rFonts w:cs="Arial"/>
          <w:lang w:val="en-GB" w:bidi="en-GB"/>
        </w:rPr>
        <w:t>countries and</w:t>
      </w:r>
      <w:r w:rsidRPr="00291078">
        <w:rPr>
          <w:rFonts w:cs="Arial"/>
          <w:lang w:val="en-GB" w:bidi="en-GB"/>
        </w:rPr>
        <w:t xml:space="preserve"> has also served on OGP</w:t>
      </w:r>
      <w:r w:rsidR="0064546B">
        <w:rPr>
          <w:rFonts w:cs="Arial"/>
          <w:lang w:val="en-GB" w:bidi="en-GB"/>
        </w:rPr>
        <w:t>’</w:t>
      </w:r>
      <w:r w:rsidRPr="00291078">
        <w:rPr>
          <w:rFonts w:cs="Arial"/>
          <w:lang w:val="en-GB" w:bidi="en-GB"/>
        </w:rPr>
        <w:t>s Steering Committee.</w:t>
      </w:r>
      <w:r w:rsidR="0020022D">
        <w:rPr>
          <w:rFonts w:cs="Arial"/>
          <w:lang w:val="en-GB" w:bidi="en-GB"/>
        </w:rPr>
        <w:t xml:space="preserve"> </w:t>
      </w:r>
      <w:r w:rsidRPr="00291078">
        <w:rPr>
          <w:rFonts w:cs="Arial"/>
          <w:lang w:val="en-GB" w:bidi="en-GB"/>
        </w:rPr>
        <w:t>The Ministry of Digitisation and Public Governance (DFD) coordinates the OGP work in Norway.</w:t>
      </w:r>
      <w:r w:rsidR="0020022D">
        <w:rPr>
          <w:rFonts w:cs="Arial"/>
          <w:lang w:val="en-GB" w:bidi="en-GB"/>
        </w:rPr>
        <w:t xml:space="preserve"> </w:t>
      </w:r>
      <w:r w:rsidRPr="00291078">
        <w:rPr>
          <w:rFonts w:cs="Arial"/>
          <w:lang w:val="en-GB" w:bidi="en-GB"/>
        </w:rPr>
        <w:t>Norway supports OGPs financially by annually authorising an amount equivalent to USD 200,000.</w:t>
      </w:r>
    </w:p>
    <w:p w14:paraId="2913BEB5" w14:textId="77777777" w:rsidR="00291078" w:rsidRPr="00291078" w:rsidRDefault="00CD51CF" w:rsidP="00FA06AB">
      <w:pPr>
        <w:spacing w:line="276" w:lineRule="auto"/>
        <w:rPr>
          <w:lang w:val="en-GB" w:bidi="en-GB"/>
        </w:rPr>
      </w:pPr>
      <w:r w:rsidRPr="00291078">
        <w:rPr>
          <w:lang w:val="en-GB" w:bidi="en-GB"/>
        </w:rPr>
        <w:t>Norway has established a stakeholders</w:t>
      </w:r>
      <w:r w:rsidR="0064546B">
        <w:rPr>
          <w:lang w:val="en-GB" w:bidi="en-GB"/>
        </w:rPr>
        <w:t>’</w:t>
      </w:r>
      <w:r w:rsidRPr="00291078">
        <w:rPr>
          <w:lang w:val="en-GB" w:bidi="en-GB"/>
        </w:rPr>
        <w:t xml:space="preserve"> forum and, on its own initiative, has appointed an OGP Council. The members of the Stakeholders</w:t>
      </w:r>
      <w:r w:rsidR="0064546B">
        <w:rPr>
          <w:lang w:val="en-GB" w:bidi="en-GB"/>
        </w:rPr>
        <w:t>’</w:t>
      </w:r>
      <w:r w:rsidRPr="00291078">
        <w:rPr>
          <w:lang w:val="en-GB" w:bidi="en-GB"/>
        </w:rPr>
        <w:t xml:space="preserve"> Forum consist of </w:t>
      </w:r>
      <w:proofErr w:type="gramStart"/>
      <w:r w:rsidRPr="00291078">
        <w:rPr>
          <w:lang w:val="en-GB" w:bidi="en-GB"/>
        </w:rPr>
        <w:t>a number of</w:t>
      </w:r>
      <w:proofErr w:type="gramEnd"/>
      <w:r w:rsidRPr="00291078">
        <w:rPr>
          <w:lang w:val="en-GB" w:bidi="en-GB"/>
        </w:rPr>
        <w:t xml:space="preserve"> civil society organisations together with the ministries. All organisations are free to participate in the work. The OGP Council is appointed by the Ministry (see sections 3.1 and 3.2).</w:t>
      </w:r>
    </w:p>
    <w:p w14:paraId="7587FF5D" w14:textId="77777777" w:rsidR="00FA06AB" w:rsidRPr="00AC09F2" w:rsidRDefault="00FA06AB" w:rsidP="00291078">
      <w:pPr>
        <w:pStyle w:val="Overskrift2"/>
        <w:rPr>
          <w:lang w:val="nn-NO"/>
        </w:rPr>
      </w:pPr>
      <w:r w:rsidRPr="00AC09F2">
        <w:rPr>
          <w:lang w:bidi="en-GB"/>
        </w:rPr>
        <w:t>The action plans</w:t>
      </w:r>
    </w:p>
    <w:p w14:paraId="7D5C9C46" w14:textId="77777777" w:rsidR="00291078" w:rsidRDefault="00FA06AB" w:rsidP="00FA06AB">
      <w:pPr>
        <w:rPr>
          <w:rFonts w:cs="Arial"/>
          <w:lang w:val="en-US"/>
        </w:rPr>
      </w:pPr>
      <w:r w:rsidRPr="00291078">
        <w:rPr>
          <w:rFonts w:cs="Arial"/>
          <w:lang w:val="en-GB" w:bidi="en-GB"/>
        </w:rPr>
        <w:t xml:space="preserve">Norway has submitted four action plans along with an extension of the fourth plan (Action Plan 4 B). </w:t>
      </w:r>
      <w:r w:rsidR="00B3779A" w:rsidRPr="00291078">
        <w:rPr>
          <w:lang w:val="en-GB" w:bidi="en-GB"/>
        </w:rPr>
        <w:t xml:space="preserve">Due to the coronavirus pandemic, it was not possible to start work on a </w:t>
      </w:r>
      <w:r w:rsidR="00B3779A" w:rsidRPr="00291078">
        <w:rPr>
          <w:lang w:val="en-GB" w:bidi="en-GB"/>
        </w:rPr>
        <w:lastRenderedPageBreak/>
        <w:t>new action plan, and the fourth was therefore expanded with more initiatives. This was done in agreement with the OGP</w:t>
      </w:r>
      <w:r w:rsidRPr="00291078">
        <w:rPr>
          <w:rFonts w:cs="Arial"/>
          <w:lang w:val="en-GB" w:bidi="en-GB"/>
        </w:rPr>
        <w:t>.</w:t>
      </w:r>
    </w:p>
    <w:p w14:paraId="64E4359E" w14:textId="77777777" w:rsidR="00291078" w:rsidRPr="00291078" w:rsidRDefault="00FA06AB" w:rsidP="00FA06AB">
      <w:pPr>
        <w:rPr>
          <w:rFonts w:cs="Arial"/>
          <w:lang w:val="en-GB" w:bidi="en-GB"/>
        </w:rPr>
      </w:pPr>
      <w:r w:rsidRPr="00291078">
        <w:rPr>
          <w:rFonts w:cs="Arial"/>
          <w:lang w:val="en-GB" w:bidi="en-GB"/>
        </w:rPr>
        <w:t>The individual ministries and agencies are responsible for their respective commitments</w:t>
      </w:r>
      <w:r w:rsidR="00E7766F" w:rsidRPr="00291078">
        <w:rPr>
          <w:rFonts w:cs="Arial"/>
          <w:lang w:val="en-GB" w:bidi="en-GB"/>
        </w:rPr>
        <w:t xml:space="preserve"> in the action plans</w:t>
      </w:r>
      <w:r w:rsidRPr="00291078">
        <w:rPr>
          <w:rFonts w:cs="Arial"/>
          <w:lang w:val="en-GB" w:bidi="en-GB"/>
        </w:rPr>
        <w:t>.</w:t>
      </w:r>
    </w:p>
    <w:p w14:paraId="21E9E8E9" w14:textId="77777777" w:rsidR="00291078" w:rsidRPr="00291078" w:rsidRDefault="00FA06AB" w:rsidP="00FA06AB">
      <w:pPr>
        <w:rPr>
          <w:rFonts w:cs="Arial"/>
          <w:lang w:val="en-GB" w:bidi="en-GB"/>
        </w:rPr>
      </w:pPr>
      <w:r w:rsidRPr="00291078">
        <w:rPr>
          <w:rFonts w:cs="Arial"/>
          <w:lang w:val="en-GB" w:bidi="en-GB"/>
        </w:rPr>
        <w:t>Norway</w:t>
      </w:r>
      <w:r w:rsidR="0064546B">
        <w:rPr>
          <w:rFonts w:cs="Arial"/>
          <w:lang w:val="en-GB" w:bidi="en-GB"/>
        </w:rPr>
        <w:t>’</w:t>
      </w:r>
      <w:r w:rsidRPr="00291078">
        <w:rPr>
          <w:rFonts w:cs="Arial"/>
          <w:lang w:val="en-GB" w:bidi="en-GB"/>
        </w:rPr>
        <w:t>s action plans have been assessed by the OGP</w:t>
      </w:r>
      <w:r w:rsidR="0064546B">
        <w:rPr>
          <w:rFonts w:cs="Arial"/>
          <w:lang w:val="en-GB" w:bidi="en-GB"/>
        </w:rPr>
        <w:t>’</w:t>
      </w:r>
      <w:r w:rsidRPr="00291078">
        <w:rPr>
          <w:rFonts w:cs="Arial"/>
          <w:lang w:val="en-GB" w:bidi="en-GB"/>
        </w:rPr>
        <w:t>s own auditing body, the Independent Reporting Mechanism (IRM). The plans have been criticised on several occasions for not being ambitious enough, for containing commitments that would be implemented in any case, and for not involving civil society enough.</w:t>
      </w:r>
    </w:p>
    <w:p w14:paraId="2598E573" w14:textId="77777777" w:rsidR="00291078" w:rsidRPr="00291078" w:rsidRDefault="00FA06AB" w:rsidP="00FA06AB">
      <w:pPr>
        <w:rPr>
          <w:rFonts w:cs="Arial"/>
          <w:lang w:val="en-GB" w:bidi="en-GB"/>
        </w:rPr>
      </w:pPr>
      <w:r w:rsidRPr="00291078">
        <w:rPr>
          <w:rFonts w:cs="Arial"/>
          <w:lang w:val="en-GB" w:bidi="en-GB"/>
        </w:rPr>
        <w:t xml:space="preserve">However, Norway has also received praise for commitments on gender equality, beneficial </w:t>
      </w:r>
      <w:proofErr w:type="gramStart"/>
      <w:r w:rsidRPr="00291078">
        <w:rPr>
          <w:rFonts w:cs="Arial"/>
          <w:lang w:val="en-GB" w:bidi="en-GB"/>
        </w:rPr>
        <w:t>ownership</w:t>
      </w:r>
      <w:proofErr w:type="gramEnd"/>
      <w:r w:rsidRPr="00291078">
        <w:rPr>
          <w:rFonts w:cs="Arial"/>
          <w:lang w:val="en-GB" w:bidi="en-GB"/>
        </w:rPr>
        <w:t xml:space="preserve"> and the disclosure of financial data.</w:t>
      </w:r>
    </w:p>
    <w:p w14:paraId="75A72618" w14:textId="77777777" w:rsidR="00291078" w:rsidRDefault="00FA06AB" w:rsidP="00291078">
      <w:pPr>
        <w:pStyle w:val="Overskrift1"/>
        <w:rPr>
          <w:lang w:val="en-US"/>
        </w:rPr>
      </w:pPr>
      <w:r w:rsidRPr="00291078">
        <w:rPr>
          <w:lang w:val="en-GB" w:bidi="en-GB"/>
        </w:rPr>
        <w:t xml:space="preserve">Cooperation within the framework of the </w:t>
      </w:r>
      <w:r w:rsidR="00E7766F" w:rsidRPr="00291078">
        <w:rPr>
          <w:lang w:val="en-GB" w:bidi="en-GB"/>
        </w:rPr>
        <w:t>Open Government Partnership</w:t>
      </w:r>
    </w:p>
    <w:p w14:paraId="286D6533" w14:textId="77777777" w:rsidR="00FA06AB" w:rsidRPr="00AC09F2" w:rsidRDefault="00FA06AB" w:rsidP="00291078">
      <w:pPr>
        <w:pStyle w:val="Overskrift2"/>
        <w:rPr>
          <w:lang w:val="nn-NO"/>
        </w:rPr>
      </w:pPr>
      <w:r w:rsidRPr="00AC09F2">
        <w:rPr>
          <w:lang w:bidi="en-GB"/>
        </w:rPr>
        <w:t>OGP Council</w:t>
      </w:r>
    </w:p>
    <w:p w14:paraId="07D02062" w14:textId="77777777" w:rsidR="0064546B" w:rsidRDefault="00FA06AB" w:rsidP="00FA06AB">
      <w:pPr>
        <w:rPr>
          <w:rFonts w:cs="Arial"/>
          <w:lang w:val="en-GB" w:bidi="en-GB"/>
        </w:rPr>
      </w:pPr>
      <w:r w:rsidRPr="00291078">
        <w:rPr>
          <w:rFonts w:cs="Arial"/>
          <w:lang w:val="en-GB" w:bidi="en-GB"/>
        </w:rPr>
        <w:t xml:space="preserve">Norway has had its own OGP Council ever since work on the Third Action Plan started. It has consisted of six persons from various organisations and entities. In particular, the Council has helped the Ministry to develop the action plans by providing input on topics, as well as monitoring the work of creating, </w:t>
      </w:r>
      <w:proofErr w:type="gramStart"/>
      <w:r w:rsidRPr="00291078">
        <w:rPr>
          <w:rFonts w:cs="Arial"/>
          <w:lang w:val="en-GB" w:bidi="en-GB"/>
        </w:rPr>
        <w:t>implementing</w:t>
      </w:r>
      <w:proofErr w:type="gramEnd"/>
      <w:r w:rsidRPr="00291078">
        <w:rPr>
          <w:rFonts w:cs="Arial"/>
          <w:lang w:val="en-GB" w:bidi="en-GB"/>
        </w:rPr>
        <w:t xml:space="preserve"> and following up the plans.</w:t>
      </w:r>
    </w:p>
    <w:p w14:paraId="567714AF" w14:textId="77777777" w:rsidR="00291078" w:rsidRDefault="00FA06AB" w:rsidP="00FA06AB">
      <w:pPr>
        <w:rPr>
          <w:rFonts w:cs="Arial"/>
          <w:lang w:val="en-US"/>
        </w:rPr>
      </w:pPr>
      <w:r w:rsidRPr="00291078">
        <w:rPr>
          <w:rFonts w:cs="Arial"/>
          <w:lang w:val="en-GB" w:bidi="en-GB"/>
        </w:rPr>
        <w:t xml:space="preserve">In addition, the Council has, on its own initiative, participated in the public debate on openness issues, including making small video films posted on </w:t>
      </w:r>
      <w:r w:rsidR="008B0011" w:rsidRPr="00291078">
        <w:rPr>
          <w:lang w:val="en-GB"/>
        </w:rPr>
        <w:t>YouTube</w:t>
      </w:r>
      <w:r w:rsidRPr="00291078">
        <w:rPr>
          <w:rFonts w:cs="Arial"/>
          <w:lang w:val="en-GB" w:bidi="en-GB"/>
        </w:rPr>
        <w:t>, which in 2020/21 particularly focused on openness during the pandemic. In 2022, three videos were made that focused on openness in general and the OGP in particular.</w:t>
      </w:r>
    </w:p>
    <w:p w14:paraId="3161698C" w14:textId="77777777" w:rsidR="00291078" w:rsidRPr="00291078" w:rsidRDefault="00FA06AB" w:rsidP="00FA06AB">
      <w:pPr>
        <w:rPr>
          <w:rFonts w:cs="Arial"/>
          <w:lang w:val="en-GB" w:bidi="en-GB"/>
        </w:rPr>
      </w:pPr>
      <w:r w:rsidRPr="00291078">
        <w:rPr>
          <w:rFonts w:cs="Arial"/>
          <w:lang w:val="en-GB" w:bidi="en-GB"/>
        </w:rPr>
        <w:t>Members of the Council have also participated in meetings with the Ministry in various contexts, most recently during the OGP Europe Regional Meeting in Rome in 2022 and at the OGP Global Summit in Tallinn in 2023.</w:t>
      </w:r>
    </w:p>
    <w:p w14:paraId="011AEFE3" w14:textId="77777777" w:rsidR="00FA06AB" w:rsidRPr="00AC09F2" w:rsidRDefault="00FA06AB" w:rsidP="00291078">
      <w:pPr>
        <w:pStyle w:val="Overskrift2"/>
        <w:rPr>
          <w:lang w:val="nn-NO"/>
        </w:rPr>
      </w:pPr>
      <w:r w:rsidRPr="00AC09F2">
        <w:rPr>
          <w:lang w:bidi="en-GB"/>
        </w:rPr>
        <w:t>The Stakeholders</w:t>
      </w:r>
      <w:r w:rsidR="0064546B">
        <w:rPr>
          <w:lang w:bidi="en-GB"/>
        </w:rPr>
        <w:t>’</w:t>
      </w:r>
      <w:r w:rsidRPr="00AC09F2">
        <w:rPr>
          <w:lang w:bidi="en-GB"/>
        </w:rPr>
        <w:t xml:space="preserve"> Forum</w:t>
      </w:r>
    </w:p>
    <w:p w14:paraId="01718AA5" w14:textId="77777777" w:rsidR="00291078" w:rsidRPr="00291078" w:rsidRDefault="00FA06AB" w:rsidP="00FA06AB">
      <w:pPr>
        <w:rPr>
          <w:rFonts w:cs="Arial"/>
          <w:lang w:val="en-GB" w:bidi="en-GB"/>
        </w:rPr>
      </w:pPr>
      <w:r w:rsidRPr="00291078">
        <w:rPr>
          <w:rFonts w:cs="Arial"/>
          <w:lang w:val="en-GB" w:bidi="en-GB"/>
        </w:rPr>
        <w:t>An important element of the OGP is the Stakeholders</w:t>
      </w:r>
      <w:r w:rsidR="0064546B">
        <w:rPr>
          <w:rFonts w:cs="Arial"/>
          <w:lang w:val="en-GB" w:bidi="en-GB"/>
        </w:rPr>
        <w:t>’</w:t>
      </w:r>
      <w:r w:rsidRPr="00291078">
        <w:rPr>
          <w:rFonts w:cs="Arial"/>
          <w:lang w:val="en-GB" w:bidi="en-GB"/>
        </w:rPr>
        <w:t xml:space="preserve"> Forum, which shall consist of the public administration and civil society and meets regularly to follow the OGP work in each country. It will therefore play an active role in the preparation of the action plans, but also in their implementation and follow-up.</w:t>
      </w:r>
    </w:p>
    <w:p w14:paraId="7BE091BD" w14:textId="77777777" w:rsidR="0064546B" w:rsidRDefault="00FA06AB" w:rsidP="00FA06AB">
      <w:pPr>
        <w:rPr>
          <w:rFonts w:cs="Arial"/>
          <w:lang w:val="en-GB" w:bidi="en-GB"/>
        </w:rPr>
      </w:pPr>
      <w:r w:rsidRPr="00291078">
        <w:rPr>
          <w:rFonts w:cs="Arial"/>
          <w:lang w:val="en-GB" w:bidi="en-GB"/>
        </w:rPr>
        <w:t xml:space="preserve">In Norway, the members of this forum have not been permanent. A mailing list has been drawn up of </w:t>
      </w:r>
      <w:proofErr w:type="gramStart"/>
      <w:r w:rsidRPr="00291078">
        <w:rPr>
          <w:rFonts w:cs="Arial"/>
          <w:lang w:val="en-GB" w:bidi="en-GB"/>
        </w:rPr>
        <w:t>a number of</w:t>
      </w:r>
      <w:proofErr w:type="gramEnd"/>
      <w:r w:rsidRPr="00291078">
        <w:rPr>
          <w:rFonts w:cs="Arial"/>
          <w:lang w:val="en-GB" w:bidi="en-GB"/>
        </w:rPr>
        <w:t xml:space="preserve"> civil society organisations that receive invitations to meetings </w:t>
      </w:r>
      <w:r w:rsidRPr="00291078">
        <w:rPr>
          <w:rFonts w:cs="Arial"/>
          <w:lang w:val="en-GB" w:bidi="en-GB"/>
        </w:rPr>
        <w:lastRenderedPageBreak/>
        <w:t>and other briefings. These are civil society organisations that have been assumed to be interested in the work.</w:t>
      </w:r>
    </w:p>
    <w:p w14:paraId="7143F508" w14:textId="77777777" w:rsidR="00291078" w:rsidRPr="00291078" w:rsidRDefault="00FA06AB" w:rsidP="00FA06AB">
      <w:pPr>
        <w:rPr>
          <w:rFonts w:cs="Arial"/>
          <w:lang w:val="en-GB" w:bidi="en-GB"/>
        </w:rPr>
      </w:pPr>
      <w:r w:rsidRPr="00291078">
        <w:rPr>
          <w:rFonts w:cs="Arial"/>
          <w:lang w:val="en-GB" w:bidi="en-GB"/>
        </w:rPr>
        <w:t>Recipients of the invitations have been encouraged to forward the meeting invitations to other organisations that may be relevant. Letters to the Stakeholders</w:t>
      </w:r>
      <w:r w:rsidR="0064546B">
        <w:rPr>
          <w:rFonts w:cs="Arial"/>
          <w:lang w:val="en-GB" w:bidi="en-GB"/>
        </w:rPr>
        <w:t>’</w:t>
      </w:r>
      <w:r w:rsidRPr="00291078">
        <w:rPr>
          <w:rFonts w:cs="Arial"/>
          <w:lang w:val="en-GB" w:bidi="en-GB"/>
        </w:rPr>
        <w:t xml:space="preserve"> Forum have often included requests for input to action plans, information about OGP meetings, etc.</w:t>
      </w:r>
    </w:p>
    <w:p w14:paraId="571C1EAE" w14:textId="77777777" w:rsidR="00291078" w:rsidRPr="00291078" w:rsidRDefault="00FA06AB" w:rsidP="00FA06AB">
      <w:pPr>
        <w:rPr>
          <w:rFonts w:cs="Arial"/>
          <w:lang w:val="en-GB" w:bidi="en-GB"/>
        </w:rPr>
      </w:pPr>
      <w:r w:rsidRPr="00291078">
        <w:rPr>
          <w:rFonts w:cs="Arial"/>
          <w:lang w:val="en-GB" w:bidi="en-GB"/>
        </w:rPr>
        <w:t>Attendance at the meetings often reflects the topics that are up for debate. Nevertheless, relatively few organisations have attended the meetings. Most of the organisations that choose to attend work with openness in general and with transparency around cash flows. In addition, organisations from the media industry have also attended.</w:t>
      </w:r>
    </w:p>
    <w:p w14:paraId="6CD1CCE7" w14:textId="77777777" w:rsidR="00291078" w:rsidRPr="00291078" w:rsidRDefault="00FA06AB" w:rsidP="00FA06AB">
      <w:pPr>
        <w:rPr>
          <w:rFonts w:cs="Arial"/>
          <w:lang w:val="en-GB" w:bidi="en-GB"/>
        </w:rPr>
      </w:pPr>
      <w:r w:rsidRPr="00291078">
        <w:rPr>
          <w:rFonts w:cs="Arial"/>
          <w:lang w:val="en-GB" w:bidi="en-GB"/>
        </w:rPr>
        <w:t>There have been several meetings of the forum during the preparation of the Fifth Action Plan. The first meeting took place on 23 June and marked the start of work on the action plan. This was followed up by another meeting on 20 September. All the organisations were invited to these meetings. In addition, two thematic meetings were held on topics where the stakeholders had submitted proposals for commitments (on 13 and 16 January 2023, respectively).</w:t>
      </w:r>
    </w:p>
    <w:p w14:paraId="47AEB600" w14:textId="77777777" w:rsidR="00FA06AB" w:rsidRPr="00AC09F2" w:rsidRDefault="00FA06AB" w:rsidP="00291078">
      <w:pPr>
        <w:pStyle w:val="Overskrift2"/>
        <w:rPr>
          <w:lang w:val="nn-NO"/>
        </w:rPr>
      </w:pPr>
      <w:r w:rsidRPr="00AC09F2">
        <w:rPr>
          <w:lang w:bidi="en-GB"/>
        </w:rPr>
        <w:t>Website</w:t>
      </w:r>
    </w:p>
    <w:p w14:paraId="1488F00D" w14:textId="77777777" w:rsidR="00291078" w:rsidRPr="00291078" w:rsidRDefault="00414B3A" w:rsidP="00FA06AB">
      <w:pPr>
        <w:rPr>
          <w:rFonts w:cs="Arial"/>
          <w:lang w:val="en-GB" w:bidi="en-GB"/>
        </w:rPr>
      </w:pPr>
      <w:r w:rsidRPr="00291078">
        <w:rPr>
          <w:rFonts w:cs="Arial"/>
          <w:lang w:val="en-GB" w:bidi="en-GB"/>
        </w:rPr>
        <w:t>A special website has been set up on Regjeringen.no that deals with OGP work (</w:t>
      </w:r>
      <w:r w:rsidR="008B0011" w:rsidRPr="00291078">
        <w:rPr>
          <w:lang w:val="en-GB"/>
        </w:rPr>
        <w:t>https://open.regjeringa.no/</w:t>
      </w:r>
      <w:r w:rsidRPr="00291078">
        <w:rPr>
          <w:rFonts w:cs="Arial"/>
          <w:lang w:val="en-GB" w:bidi="en-GB"/>
        </w:rPr>
        <w:t>. The website has provided information on a running basis about the work on the action plan and other relevant information about Norway</w:t>
      </w:r>
      <w:r w:rsidR="0064546B">
        <w:rPr>
          <w:rFonts w:cs="Arial"/>
          <w:lang w:val="en-GB" w:bidi="en-GB"/>
        </w:rPr>
        <w:t>’</w:t>
      </w:r>
      <w:r w:rsidRPr="00291078">
        <w:rPr>
          <w:rFonts w:cs="Arial"/>
          <w:lang w:val="en-GB" w:bidi="en-GB"/>
        </w:rPr>
        <w:t>s OGP work.</w:t>
      </w:r>
    </w:p>
    <w:p w14:paraId="646DD23A" w14:textId="77777777" w:rsidR="00FA06AB" w:rsidRPr="00AC09F2" w:rsidRDefault="00FA06AB" w:rsidP="00291078">
      <w:pPr>
        <w:pStyle w:val="Overskrift2"/>
        <w:rPr>
          <w:lang w:val="nn-NO"/>
        </w:rPr>
      </w:pPr>
      <w:r w:rsidRPr="00AC09F2">
        <w:rPr>
          <w:lang w:bidi="en-GB"/>
        </w:rPr>
        <w:t>Nordic+</w:t>
      </w:r>
    </w:p>
    <w:p w14:paraId="6426DB0D" w14:textId="77777777" w:rsidR="00291078" w:rsidRPr="00291078" w:rsidRDefault="00FA06AB" w:rsidP="00FA06AB">
      <w:pPr>
        <w:rPr>
          <w:rFonts w:cs="Arial"/>
          <w:lang w:val="en-GB" w:bidi="en-GB"/>
        </w:rPr>
      </w:pPr>
      <w:r w:rsidRPr="00291078">
        <w:rPr>
          <w:rFonts w:cs="Arial"/>
          <w:lang w:val="en-GB" w:bidi="en-GB"/>
        </w:rPr>
        <w:t xml:space="preserve">Norway has played an active role for several years within the framework of the OGP. A cooperation that originally consisted of Denmark, Finland, </w:t>
      </w:r>
      <w:proofErr w:type="gramStart"/>
      <w:r w:rsidRPr="00291078">
        <w:rPr>
          <w:rFonts w:cs="Arial"/>
          <w:lang w:val="en-GB" w:bidi="en-GB"/>
        </w:rPr>
        <w:t>Sweden</w:t>
      </w:r>
      <w:proofErr w:type="gramEnd"/>
      <w:r w:rsidRPr="00291078">
        <w:rPr>
          <w:rFonts w:cs="Arial"/>
          <w:lang w:val="en-GB" w:bidi="en-GB"/>
        </w:rPr>
        <w:t xml:space="preserve"> and Norway has been expanded to include the Baltic countries, Germany, the Netherlands and Scotland. The cooperation is often referred to as </w:t>
      </w:r>
      <w:r w:rsidR="00642710">
        <w:rPr>
          <w:rFonts w:cs="Arial"/>
          <w:lang w:val="en-GB" w:bidi="en-GB"/>
        </w:rPr>
        <w:t>“</w:t>
      </w:r>
      <w:r w:rsidRPr="00291078">
        <w:rPr>
          <w:rFonts w:cs="Arial"/>
          <w:lang w:val="en-GB" w:bidi="en-GB"/>
        </w:rPr>
        <w:t>Nordic+</w:t>
      </w:r>
      <w:r w:rsidR="00642710">
        <w:rPr>
          <w:rFonts w:cs="Arial"/>
          <w:lang w:val="en-GB" w:bidi="en-GB"/>
        </w:rPr>
        <w:t>”</w:t>
      </w:r>
      <w:r w:rsidRPr="00291078">
        <w:rPr>
          <w:rFonts w:cs="Arial"/>
          <w:lang w:val="en-GB" w:bidi="en-GB"/>
        </w:rPr>
        <w:t xml:space="preserve"> and was initiated in its current form at the Global Summit in Ottawa in 2019.</w:t>
      </w:r>
    </w:p>
    <w:p w14:paraId="41AE75B6" w14:textId="77777777" w:rsidR="00291078" w:rsidRPr="00291078" w:rsidRDefault="006F3915" w:rsidP="00FA06AB">
      <w:pPr>
        <w:rPr>
          <w:rFonts w:cs="Arial"/>
          <w:lang w:val="en-GB" w:bidi="en-GB"/>
        </w:rPr>
      </w:pPr>
      <w:r w:rsidRPr="00291078">
        <w:rPr>
          <w:rFonts w:cs="Arial"/>
          <w:lang w:val="en-GB" w:bidi="en-GB"/>
        </w:rPr>
        <w:t xml:space="preserve">The contact persons in the countries meet </w:t>
      </w:r>
      <w:proofErr w:type="gramStart"/>
      <w:r w:rsidRPr="00291078">
        <w:rPr>
          <w:rFonts w:cs="Arial"/>
          <w:lang w:val="en-GB" w:bidi="en-GB"/>
        </w:rPr>
        <w:t>more or less regularly</w:t>
      </w:r>
      <w:proofErr w:type="gramEnd"/>
      <w:r w:rsidRPr="00291078">
        <w:rPr>
          <w:rFonts w:cs="Arial"/>
          <w:lang w:val="en-GB" w:bidi="en-GB"/>
        </w:rPr>
        <w:t>, either in person or online, often together with the OGP</w:t>
      </w:r>
      <w:r w:rsidR="0064546B">
        <w:rPr>
          <w:rFonts w:cs="Arial"/>
          <w:lang w:val="en-GB" w:bidi="en-GB"/>
        </w:rPr>
        <w:t>’</w:t>
      </w:r>
      <w:r w:rsidRPr="00291078">
        <w:rPr>
          <w:rFonts w:cs="Arial"/>
          <w:lang w:val="en-GB" w:bidi="en-GB"/>
        </w:rPr>
        <w:t>s administration. The meetings have specialised content partly related to openness issues, partly related to processes such as work on action plans and how the public administration works towards civil society.</w:t>
      </w:r>
    </w:p>
    <w:p w14:paraId="5CE6A7D9" w14:textId="77777777" w:rsidR="00291078" w:rsidRPr="00291078" w:rsidRDefault="00FA06AB" w:rsidP="00FA06AB">
      <w:pPr>
        <w:rPr>
          <w:rFonts w:cs="Arial"/>
          <w:lang w:val="en-GB" w:bidi="en-GB"/>
        </w:rPr>
      </w:pPr>
      <w:r w:rsidRPr="00291078">
        <w:rPr>
          <w:rFonts w:cs="Arial"/>
          <w:lang w:val="en-GB" w:bidi="en-GB"/>
        </w:rPr>
        <w:t>In addition to meetings in which all or most countries participate, bilateral meetings also take place.</w:t>
      </w:r>
    </w:p>
    <w:p w14:paraId="17C21CC8" w14:textId="77777777" w:rsidR="00291078" w:rsidRDefault="00FA06AB" w:rsidP="00FA06AB">
      <w:pPr>
        <w:rPr>
          <w:rFonts w:cs="Arial"/>
          <w:lang w:val="en-US"/>
        </w:rPr>
      </w:pPr>
      <w:r w:rsidRPr="00291078">
        <w:rPr>
          <w:rFonts w:cs="Arial"/>
          <w:lang w:val="en-GB" w:bidi="en-GB"/>
        </w:rPr>
        <w:lastRenderedPageBreak/>
        <w:t>The responsible contact person(s) for the OGP from Norway participate, often together with members of the OGP Council.</w:t>
      </w:r>
    </w:p>
    <w:p w14:paraId="0CD6DC2E" w14:textId="77777777" w:rsidR="00291078" w:rsidRDefault="00C356FF" w:rsidP="00291078">
      <w:pPr>
        <w:pStyle w:val="Overskrift1"/>
        <w:rPr>
          <w:lang w:val="en-US"/>
        </w:rPr>
      </w:pPr>
      <w:r w:rsidRPr="00291078">
        <w:rPr>
          <w:lang w:val="en-GB" w:bidi="en-GB"/>
        </w:rPr>
        <w:t xml:space="preserve">Work on </w:t>
      </w:r>
      <w:proofErr w:type="spellStart"/>
      <w:r w:rsidRPr="00291078">
        <w:rPr>
          <w:lang w:val="en-GB" w:bidi="en-GB"/>
        </w:rPr>
        <w:t>oppenness</w:t>
      </w:r>
      <w:proofErr w:type="spellEnd"/>
      <w:r w:rsidR="002D1BC2" w:rsidRPr="00291078">
        <w:rPr>
          <w:lang w:val="en-GB" w:bidi="en-GB"/>
        </w:rPr>
        <w:t xml:space="preserve"> in Norway outside the </w:t>
      </w:r>
      <w:r w:rsidR="008B0011" w:rsidRPr="00291078">
        <w:rPr>
          <w:lang w:val="en-GB" w:bidi="en-GB"/>
        </w:rPr>
        <w:t>Open Government Partnership</w:t>
      </w:r>
    </w:p>
    <w:p w14:paraId="29C99B0B" w14:textId="77777777" w:rsidR="00291078" w:rsidRPr="00291078" w:rsidRDefault="002D1BC2" w:rsidP="00FA06AB">
      <w:pPr>
        <w:rPr>
          <w:rFonts w:cs="Arial"/>
          <w:lang w:val="en-GB" w:bidi="en-GB"/>
        </w:rPr>
      </w:pPr>
      <w:r w:rsidRPr="00291078">
        <w:rPr>
          <w:rFonts w:cs="Arial"/>
          <w:lang w:val="en-GB" w:bidi="en-GB"/>
        </w:rPr>
        <w:t xml:space="preserve">Norway is recognised as one of the most open societies in the world. The country often scores well on various comparative statistics for security, trust, health, political </w:t>
      </w:r>
      <w:proofErr w:type="gramStart"/>
      <w:r w:rsidRPr="00291078">
        <w:rPr>
          <w:rFonts w:cs="Arial"/>
          <w:lang w:val="en-GB" w:bidi="en-GB"/>
        </w:rPr>
        <w:t>participation</w:t>
      </w:r>
      <w:proofErr w:type="gramEnd"/>
      <w:r w:rsidRPr="00291078">
        <w:rPr>
          <w:rFonts w:cs="Arial"/>
          <w:lang w:val="en-GB" w:bidi="en-GB"/>
        </w:rPr>
        <w:t xml:space="preserve"> and anti-corruption, among other things. In 2021, the OECD conducted a </w:t>
      </w:r>
      <w:r w:rsidR="008B0011" w:rsidRPr="00291078">
        <w:rPr>
          <w:lang w:val="en-GB"/>
        </w:rPr>
        <w:t>survey of the population</w:t>
      </w:r>
      <w:r w:rsidR="0064546B">
        <w:rPr>
          <w:lang w:val="en-GB"/>
        </w:rPr>
        <w:t>’</w:t>
      </w:r>
      <w:r w:rsidR="008B0011" w:rsidRPr="00291078">
        <w:rPr>
          <w:lang w:val="en-GB"/>
        </w:rPr>
        <w:t>s trust in public administration</w:t>
      </w:r>
      <w:r w:rsidRPr="00291078">
        <w:rPr>
          <w:rFonts w:cs="Arial"/>
          <w:lang w:val="en-GB" w:bidi="en-GB"/>
        </w:rPr>
        <w:t xml:space="preserve"> in Norway (similar surveys were conducted in all OECD countries).</w:t>
      </w:r>
      <w:r w:rsidR="0064546B" w:rsidRPr="0064546B">
        <w:rPr>
          <w:rStyle w:val="Fotnotereferanse"/>
        </w:rPr>
        <w:footnoteReference w:id="3"/>
      </w:r>
      <w:r w:rsidRPr="00291078">
        <w:rPr>
          <w:rFonts w:cs="Arial"/>
          <w:lang w:val="en-GB" w:bidi="en-GB"/>
        </w:rPr>
        <w:t xml:space="preserve"> Norway did well here, but was advised, among other things, to improve the opportunities marginalised groups </w:t>
      </w:r>
      <w:proofErr w:type="gramStart"/>
      <w:r w:rsidRPr="00291078">
        <w:rPr>
          <w:rFonts w:cs="Arial"/>
          <w:lang w:val="en-GB" w:bidi="en-GB"/>
        </w:rPr>
        <w:t>have to</w:t>
      </w:r>
      <w:proofErr w:type="gramEnd"/>
      <w:r w:rsidRPr="00291078">
        <w:rPr>
          <w:rFonts w:cs="Arial"/>
          <w:lang w:val="en-GB" w:bidi="en-GB"/>
        </w:rPr>
        <w:t xml:space="preserve"> exert influence.</w:t>
      </w:r>
    </w:p>
    <w:p w14:paraId="364DAFAA" w14:textId="77777777" w:rsidR="00291078" w:rsidRPr="00291078" w:rsidRDefault="00FA06AB" w:rsidP="00FA06AB">
      <w:pPr>
        <w:rPr>
          <w:rFonts w:cs="Arial"/>
          <w:lang w:val="en-GB" w:bidi="en-GB"/>
        </w:rPr>
      </w:pPr>
      <w:r w:rsidRPr="00291078">
        <w:rPr>
          <w:rFonts w:cs="Arial"/>
          <w:lang w:val="en-GB" w:bidi="en-GB"/>
        </w:rPr>
        <w:t xml:space="preserve">Not all openness work in Norway is encompassed by the OGP. The public administration and civil society cooperate in </w:t>
      </w:r>
      <w:proofErr w:type="gramStart"/>
      <w:r w:rsidRPr="00291078">
        <w:rPr>
          <w:rFonts w:cs="Arial"/>
          <w:lang w:val="en-GB" w:bidi="en-GB"/>
        </w:rPr>
        <w:t>a number of</w:t>
      </w:r>
      <w:proofErr w:type="gramEnd"/>
      <w:r w:rsidRPr="00291078">
        <w:rPr>
          <w:rFonts w:cs="Arial"/>
          <w:lang w:val="en-GB" w:bidi="en-GB"/>
        </w:rPr>
        <w:t xml:space="preserve"> areas:</w:t>
      </w:r>
    </w:p>
    <w:p w14:paraId="5D58EF36" w14:textId="77777777" w:rsidR="00291078" w:rsidRDefault="00FA06AB" w:rsidP="00291078">
      <w:pPr>
        <w:pStyle w:val="Overskrift2"/>
        <w:rPr>
          <w:lang w:bidi="en-GB"/>
        </w:rPr>
      </w:pPr>
      <w:r w:rsidRPr="00AC09F2">
        <w:rPr>
          <w:lang w:bidi="en-GB"/>
        </w:rPr>
        <w:t xml:space="preserve">The </w:t>
      </w:r>
      <w:proofErr w:type="spellStart"/>
      <w:r w:rsidRPr="00AC09F2">
        <w:rPr>
          <w:lang w:bidi="en-GB"/>
        </w:rPr>
        <w:t>role</w:t>
      </w:r>
      <w:proofErr w:type="spellEnd"/>
      <w:r w:rsidRPr="00AC09F2">
        <w:rPr>
          <w:lang w:bidi="en-GB"/>
        </w:rPr>
        <w:t xml:space="preserve"> </w:t>
      </w:r>
      <w:proofErr w:type="spellStart"/>
      <w:r w:rsidRPr="00AC09F2">
        <w:rPr>
          <w:lang w:bidi="en-GB"/>
        </w:rPr>
        <w:t>of</w:t>
      </w:r>
      <w:proofErr w:type="spellEnd"/>
      <w:r w:rsidRPr="00AC09F2">
        <w:rPr>
          <w:lang w:bidi="en-GB"/>
        </w:rPr>
        <w:t xml:space="preserve"> </w:t>
      </w:r>
      <w:proofErr w:type="spellStart"/>
      <w:r w:rsidRPr="00AC09F2">
        <w:rPr>
          <w:lang w:bidi="en-GB"/>
        </w:rPr>
        <w:t>civil</w:t>
      </w:r>
      <w:proofErr w:type="spellEnd"/>
      <w:r w:rsidRPr="00AC09F2">
        <w:rPr>
          <w:lang w:bidi="en-GB"/>
        </w:rPr>
        <w:t xml:space="preserve"> </w:t>
      </w:r>
      <w:proofErr w:type="spellStart"/>
      <w:r w:rsidRPr="00AC09F2">
        <w:rPr>
          <w:lang w:bidi="en-GB"/>
        </w:rPr>
        <w:t>society</w:t>
      </w:r>
      <w:proofErr w:type="spellEnd"/>
    </w:p>
    <w:p w14:paraId="37DDDE62" w14:textId="77777777" w:rsidR="00291078" w:rsidRDefault="00FA06AB" w:rsidP="00FA06AB">
      <w:pPr>
        <w:rPr>
          <w:rFonts w:cs="Arial"/>
          <w:lang w:val="en-US"/>
        </w:rPr>
      </w:pPr>
      <w:r w:rsidRPr="00291078">
        <w:rPr>
          <w:rFonts w:cs="Arial"/>
          <w:lang w:val="en-GB" w:bidi="en-GB"/>
        </w:rPr>
        <w:t xml:space="preserve">Civil society plays an important role in Norwegian </w:t>
      </w:r>
      <w:r w:rsidR="00C356FF" w:rsidRPr="00291078">
        <w:rPr>
          <w:rFonts w:cs="Arial"/>
          <w:lang w:val="en-GB" w:bidi="en-GB"/>
        </w:rPr>
        <w:t>society and</w:t>
      </w:r>
      <w:r w:rsidRPr="00291078">
        <w:rPr>
          <w:rFonts w:cs="Arial"/>
          <w:lang w:val="en-GB" w:bidi="en-GB"/>
        </w:rPr>
        <w:t xml:space="preserve"> has done so for two hundred years.</w:t>
      </w:r>
    </w:p>
    <w:p w14:paraId="55A9216E" w14:textId="77777777" w:rsidR="00291078" w:rsidRPr="00291078" w:rsidRDefault="00FA06AB" w:rsidP="00FA06AB">
      <w:pPr>
        <w:rPr>
          <w:rFonts w:cs="Arial"/>
          <w:lang w:val="en-GB" w:bidi="en-GB"/>
        </w:rPr>
      </w:pPr>
      <w:r w:rsidRPr="00291078">
        <w:rPr>
          <w:rFonts w:cs="Arial"/>
          <w:lang w:val="en-GB" w:bidi="en-GB"/>
        </w:rPr>
        <w:t>Figures from the Institute for Social Research (</w:t>
      </w:r>
      <w:r w:rsidR="00C356FF" w:rsidRPr="00291078">
        <w:rPr>
          <w:lang w:val="en-GB"/>
        </w:rPr>
        <w:t>ISF</w:t>
      </w:r>
      <w:r w:rsidRPr="00291078">
        <w:rPr>
          <w:rFonts w:cs="Arial"/>
          <w:lang w:val="en-GB" w:bidi="en-GB"/>
        </w:rPr>
        <w:t xml:space="preserve">) and </w:t>
      </w:r>
      <w:r w:rsidR="00642710">
        <w:rPr>
          <w:rFonts w:cs="Arial"/>
          <w:lang w:val="en-GB" w:bidi="en-GB"/>
        </w:rPr>
        <w:t>“</w:t>
      </w:r>
      <w:proofErr w:type="spellStart"/>
      <w:r w:rsidRPr="00291078">
        <w:rPr>
          <w:rFonts w:cs="Arial"/>
          <w:lang w:val="en-GB" w:bidi="en-GB"/>
        </w:rPr>
        <w:t>Frivillighet</w:t>
      </w:r>
      <w:proofErr w:type="spellEnd"/>
      <w:r w:rsidRPr="00291078">
        <w:rPr>
          <w:rFonts w:cs="Arial"/>
          <w:lang w:val="en-GB" w:bidi="en-GB"/>
        </w:rPr>
        <w:t xml:space="preserve"> Norge</w:t>
      </w:r>
      <w:r w:rsidR="00642710">
        <w:rPr>
          <w:rFonts w:cs="Arial"/>
          <w:lang w:val="en-GB" w:bidi="en-GB"/>
        </w:rPr>
        <w:t>”</w:t>
      </w:r>
      <w:r w:rsidRPr="00291078">
        <w:rPr>
          <w:rFonts w:cs="Arial"/>
          <w:lang w:val="en-GB" w:bidi="en-GB"/>
        </w:rPr>
        <w:t xml:space="preserve"> (Association of NGOs in Norway) on </w:t>
      </w:r>
      <w:r w:rsidR="00C356FF" w:rsidRPr="00291078">
        <w:rPr>
          <w:lang w:val="en-GB"/>
        </w:rPr>
        <w:t>voluntary work</w:t>
      </w:r>
      <w:r w:rsidRPr="00291078">
        <w:rPr>
          <w:rFonts w:cs="Arial"/>
          <w:lang w:val="en-GB" w:bidi="en-GB"/>
        </w:rPr>
        <w:t xml:space="preserve"> – indicate a high degree of participation in organisations in the population. ISF has found that</w:t>
      </w:r>
      <w:r w:rsidRPr="00291078">
        <w:rPr>
          <w:rFonts w:cs="Arial"/>
          <w:color w:val="222222"/>
          <w:shd w:val="clear" w:color="auto" w:fill="FFFFFF"/>
          <w:lang w:val="en-GB" w:bidi="en-GB"/>
        </w:rPr>
        <w:t xml:space="preserve"> </w:t>
      </w:r>
      <w:proofErr w:type="gramStart"/>
      <w:r w:rsidRPr="00291078">
        <w:rPr>
          <w:rFonts w:cs="Arial"/>
          <w:color w:val="222222"/>
          <w:shd w:val="clear" w:color="auto" w:fill="FFFFFF"/>
          <w:lang w:val="en-GB" w:bidi="en-GB"/>
        </w:rPr>
        <w:t>a majority of</w:t>
      </w:r>
      <w:proofErr w:type="gramEnd"/>
      <w:r w:rsidRPr="00291078">
        <w:rPr>
          <w:rFonts w:cs="Arial"/>
          <w:color w:val="222222"/>
          <w:shd w:val="clear" w:color="auto" w:fill="FFFFFF"/>
          <w:lang w:val="en-GB" w:bidi="en-GB"/>
        </w:rPr>
        <w:t xml:space="preserve"> the adult population performs voluntary work every year.</w:t>
      </w:r>
      <w:r w:rsidRPr="00291078">
        <w:rPr>
          <w:rFonts w:cs="Arial"/>
          <w:lang w:val="en-GB" w:bidi="en-GB"/>
        </w:rPr>
        <w:t xml:space="preserve"> It is estimated that the annual production of services from the efforts of the voluntary sector totals NOK 50 billion. Several civil society organisations work to promote good governance and good public administration, often through campaigns for increased openness about government revenues and the fight against corruption. They also monitor the achievement of goals and the quality of public policy and contribute to the dissemination of information and knowledge about public policy.</w:t>
      </w:r>
    </w:p>
    <w:p w14:paraId="54744BE8" w14:textId="77777777" w:rsidR="00291078" w:rsidRPr="00291078" w:rsidRDefault="00FA06AB" w:rsidP="00FA06AB">
      <w:pPr>
        <w:rPr>
          <w:rFonts w:cs="Arial"/>
          <w:lang w:val="en-GB" w:bidi="en-GB"/>
        </w:rPr>
      </w:pPr>
      <w:r w:rsidRPr="00291078">
        <w:rPr>
          <w:rFonts w:cs="Arial"/>
          <w:lang w:val="en-GB" w:bidi="en-GB"/>
        </w:rPr>
        <w:t xml:space="preserve">Civil society organisations have contact with the public sector in various ways: This can take place through, e.g., the </w:t>
      </w:r>
      <w:proofErr w:type="spellStart"/>
      <w:r w:rsidRPr="00291078">
        <w:rPr>
          <w:rFonts w:cs="Arial"/>
          <w:lang w:val="en-GB" w:bidi="en-GB"/>
        </w:rPr>
        <w:t>Storting</w:t>
      </w:r>
      <w:r w:rsidR="0064546B">
        <w:rPr>
          <w:rFonts w:cs="Arial"/>
          <w:lang w:val="en-GB" w:bidi="en-GB"/>
        </w:rPr>
        <w:t>’</w:t>
      </w:r>
      <w:r w:rsidRPr="00291078">
        <w:rPr>
          <w:rFonts w:cs="Arial"/>
          <w:lang w:val="en-GB" w:bidi="en-GB"/>
        </w:rPr>
        <w:t>s</w:t>
      </w:r>
      <w:proofErr w:type="spellEnd"/>
      <w:r w:rsidRPr="00291078">
        <w:rPr>
          <w:rFonts w:cs="Arial"/>
          <w:lang w:val="en-GB" w:bidi="en-GB"/>
        </w:rPr>
        <w:t xml:space="preserve"> committees, through contact with ministries (political leadership or civil service), or through directorates.</w:t>
      </w:r>
      <w:r w:rsidR="00291078" w:rsidRPr="00291078">
        <w:rPr>
          <w:rFonts w:cs="Arial"/>
          <w:lang w:val="en-GB" w:bidi="en-GB"/>
        </w:rPr>
        <w:t xml:space="preserve"> </w:t>
      </w:r>
      <w:r w:rsidRPr="00291078">
        <w:rPr>
          <w:rFonts w:cs="Arial"/>
          <w:lang w:val="en-GB" w:bidi="en-GB"/>
        </w:rPr>
        <w:t xml:space="preserve">Similarly, there is extensive </w:t>
      </w:r>
      <w:r w:rsidRPr="00291078">
        <w:rPr>
          <w:rFonts w:cs="Arial"/>
          <w:lang w:val="en-GB" w:bidi="en-GB"/>
        </w:rPr>
        <w:lastRenderedPageBreak/>
        <w:t>contact with local government. In addition, they often participate actively in consultations and other input. Civil society organisations can also participate in councils and committees where they help to lay the foundations for later action in elected bodies.</w:t>
      </w:r>
      <w:r w:rsidR="0064546B" w:rsidRPr="0064546B">
        <w:rPr>
          <w:rStyle w:val="Fotnotereferanse"/>
        </w:rPr>
        <w:footnoteReference w:id="4"/>
      </w:r>
    </w:p>
    <w:p w14:paraId="0C90E00C" w14:textId="77777777" w:rsidR="00FA06AB" w:rsidRPr="00AC09F2" w:rsidRDefault="00FA06AB" w:rsidP="00291078">
      <w:pPr>
        <w:pStyle w:val="Overskrift2"/>
        <w:rPr>
          <w:bCs/>
          <w:lang w:val="nn-NO"/>
        </w:rPr>
      </w:pPr>
      <w:proofErr w:type="spellStart"/>
      <w:r w:rsidRPr="00AC09F2">
        <w:rPr>
          <w:lang w:bidi="en-GB"/>
        </w:rPr>
        <w:t>Tripartite</w:t>
      </w:r>
      <w:proofErr w:type="spellEnd"/>
      <w:r w:rsidRPr="00AC09F2">
        <w:rPr>
          <w:lang w:bidi="en-GB"/>
        </w:rPr>
        <w:t xml:space="preserve"> </w:t>
      </w:r>
      <w:proofErr w:type="spellStart"/>
      <w:r w:rsidRPr="00AC09F2">
        <w:rPr>
          <w:lang w:bidi="en-GB"/>
        </w:rPr>
        <w:t>cooperation</w:t>
      </w:r>
      <w:proofErr w:type="spellEnd"/>
    </w:p>
    <w:p w14:paraId="2CEFDAE4" w14:textId="77777777" w:rsidR="00FA06AB" w:rsidRPr="0064546B" w:rsidRDefault="00FA06AB" w:rsidP="00FA06AB">
      <w:pPr>
        <w:rPr>
          <w:rFonts w:cs="Arial"/>
          <w:lang w:val="en-GB" w:bidi="en-GB"/>
        </w:rPr>
      </w:pPr>
      <w:r w:rsidRPr="00291078">
        <w:rPr>
          <w:rFonts w:cs="Arial"/>
          <w:lang w:val="en-GB" w:bidi="en-GB"/>
        </w:rPr>
        <w:t xml:space="preserve">Norwegian society is based more on consensus than on conflict. </w:t>
      </w:r>
      <w:r w:rsidR="00C356FF" w:rsidRPr="00291078">
        <w:rPr>
          <w:lang w:val="en-GB"/>
        </w:rPr>
        <w:t>Tripartite cooperation</w:t>
      </w:r>
      <w:r w:rsidRPr="00291078">
        <w:rPr>
          <w:rFonts w:cs="Arial"/>
          <w:lang w:val="en-GB" w:bidi="en-GB"/>
        </w:rPr>
        <w:t xml:space="preserve"> between the government, trade unions and employers</w:t>
      </w:r>
      <w:r w:rsidR="0064546B">
        <w:rPr>
          <w:rFonts w:cs="Arial"/>
          <w:lang w:val="en-GB" w:bidi="en-GB"/>
        </w:rPr>
        <w:t xml:space="preserve"> </w:t>
      </w:r>
      <w:proofErr w:type="gramStart"/>
      <w:r w:rsidRPr="00291078">
        <w:rPr>
          <w:rFonts w:cs="Arial"/>
          <w:lang w:val="en-GB" w:bidi="en-GB"/>
        </w:rPr>
        <w:t>is</w:t>
      </w:r>
      <w:proofErr w:type="gramEnd"/>
      <w:r w:rsidRPr="00291078">
        <w:rPr>
          <w:rFonts w:cs="Arial"/>
          <w:lang w:val="en-GB" w:bidi="en-GB"/>
        </w:rPr>
        <w:t xml:space="preserve"> therefore an important tool. One important issue on which the three parties cooperate is income policy. </w:t>
      </w:r>
      <w:r w:rsidRPr="00291078">
        <w:rPr>
          <w:rFonts w:cs="Arial"/>
          <w:color w:val="333333"/>
          <w:shd w:val="clear" w:color="auto" w:fill="FFFFFF"/>
          <w:lang w:val="en-GB" w:bidi="en-GB"/>
        </w:rPr>
        <w:t>The main objective of the income policy cooperation between the government and the social partners is to coordinate wage formation. In this way, income policy will contribute to moderate price and wage growth. This in turn will strengthen the basis for sustained high employment and low unemployment.</w:t>
      </w:r>
      <w:r w:rsidR="00291078" w:rsidRPr="00291078">
        <w:rPr>
          <w:rFonts w:cs="Arial"/>
          <w:color w:val="333333"/>
          <w:shd w:val="clear" w:color="auto" w:fill="FFFFFF"/>
          <w:lang w:val="en-GB" w:bidi="en-GB"/>
        </w:rPr>
        <w:t xml:space="preserve"> </w:t>
      </w:r>
      <w:r w:rsidRPr="00291078">
        <w:rPr>
          <w:rFonts w:cs="Arial"/>
          <w:color w:val="333333"/>
          <w:shd w:val="clear" w:color="auto" w:fill="FFFFFF"/>
          <w:lang w:val="en-GB" w:bidi="en-GB"/>
        </w:rPr>
        <w:t>The parties are responsible for collective bargaining.</w:t>
      </w:r>
      <w:r w:rsidRPr="00291078">
        <w:rPr>
          <w:rFonts w:cs="Arial"/>
          <w:lang w:val="en-GB" w:bidi="en-GB"/>
        </w:rPr>
        <w:t xml:space="preserve"> </w:t>
      </w:r>
      <w:r w:rsidRPr="00291078">
        <w:rPr>
          <w:rFonts w:cs="Arial"/>
          <w:color w:val="333333"/>
          <w:shd w:val="clear" w:color="auto" w:fill="FFFFFF"/>
          <w:lang w:val="en-GB" w:bidi="en-GB"/>
        </w:rPr>
        <w:t>Income policy cooperation between the government and the social partners is anchored in the Government</w:t>
      </w:r>
      <w:r w:rsidR="0064546B">
        <w:rPr>
          <w:rFonts w:cs="Arial"/>
          <w:color w:val="333333"/>
          <w:shd w:val="clear" w:color="auto" w:fill="FFFFFF"/>
          <w:lang w:val="en-GB" w:bidi="en-GB"/>
        </w:rPr>
        <w:t>’</w:t>
      </w:r>
      <w:r w:rsidRPr="00291078">
        <w:rPr>
          <w:rFonts w:cs="Arial"/>
          <w:color w:val="333333"/>
          <w:shd w:val="clear" w:color="auto" w:fill="FFFFFF"/>
          <w:lang w:val="en-GB" w:bidi="en-GB"/>
        </w:rPr>
        <w:t>s Contact Committee, which was established in 1962 and is chaired by the prime minister. This cooperation has contributed to Norway having lower unemployment and a lower level of conflict in the labour market than most other countries.</w:t>
      </w:r>
    </w:p>
    <w:p w14:paraId="08AD2EF4" w14:textId="77777777" w:rsidR="00FA06AB" w:rsidRPr="00AC09F2" w:rsidRDefault="00FA06AB" w:rsidP="00291078">
      <w:pPr>
        <w:pStyle w:val="Overskrift2"/>
        <w:rPr>
          <w:shd w:val="clear" w:color="auto" w:fill="FFFFFF"/>
          <w:lang w:val="nn-NO"/>
        </w:rPr>
      </w:pPr>
      <w:r w:rsidRPr="00AC09F2">
        <w:rPr>
          <w:shd w:val="clear" w:color="auto" w:fill="FFFFFF"/>
          <w:lang w:bidi="en-GB"/>
        </w:rPr>
        <w:t>The trust reform</w:t>
      </w:r>
    </w:p>
    <w:p w14:paraId="76EEFD1C" w14:textId="77777777" w:rsidR="00FA06AB" w:rsidRPr="00BB441C" w:rsidRDefault="00695630" w:rsidP="00291078">
      <w:pPr>
        <w:rPr>
          <w:rStyle w:val="halvfet"/>
          <w:lang w:val="en-GB"/>
        </w:rPr>
      </w:pPr>
      <w:r w:rsidRPr="00291078">
        <w:rPr>
          <w:lang w:val="en-GB"/>
        </w:rPr>
        <w:t>The trust reform</w:t>
      </w:r>
      <w:r w:rsidR="00FA06AB" w:rsidRPr="00291078">
        <w:rPr>
          <w:rFonts w:eastAsia="Arial"/>
          <w:lang w:val="en-GB" w:bidi="en-GB"/>
        </w:rPr>
        <w:t xml:space="preserve"> is one of the Government</w:t>
      </w:r>
      <w:r w:rsidR="0064546B" w:rsidRPr="0064546B">
        <w:rPr>
          <w:rStyle w:val="halvfet"/>
          <w:rFonts w:eastAsia="Arial"/>
          <w:lang w:val="en-GB"/>
        </w:rPr>
        <w:t>’</w:t>
      </w:r>
      <w:r w:rsidR="00FA06AB" w:rsidRPr="00291078">
        <w:rPr>
          <w:rFonts w:eastAsia="Arial"/>
          <w:lang w:val="en-GB" w:bidi="en-GB"/>
        </w:rPr>
        <w:t xml:space="preserve">s most important projects, and a key part of the work to modernise and develop the public sector. This is not a traditional reform where the Government determines the structure and design and then instructs the public administration how to implement it. The content of the reform is created in close collaboration with user organisations, elected </w:t>
      </w:r>
      <w:proofErr w:type="gramStart"/>
      <w:r w:rsidR="00FA06AB" w:rsidRPr="00291078">
        <w:rPr>
          <w:rFonts w:eastAsia="Arial"/>
          <w:lang w:val="en-GB" w:bidi="en-GB"/>
        </w:rPr>
        <w:t>representatives</w:t>
      </w:r>
      <w:proofErr w:type="gramEnd"/>
      <w:r w:rsidR="00FA06AB" w:rsidRPr="00291078">
        <w:rPr>
          <w:rFonts w:eastAsia="Arial"/>
          <w:lang w:val="en-GB" w:bidi="en-GB"/>
        </w:rPr>
        <w:t xml:space="preserve"> and management in all major public agencies. The work on the trust reform is therefore a crucial part of the renewal efforts in the public sector. The goal of the reform is greater welfare and better services for citizens throughout the country. We will achieve this by increasing trust in the public sector. The reform must be concrete, and the ministries are now working, among other things, to provide more professional freedom to the first line and to reduce unnecessary reporting and documentation requirements.</w:t>
      </w:r>
    </w:p>
    <w:p w14:paraId="49711D66" w14:textId="77777777" w:rsidR="00FA06AB" w:rsidRPr="00BB441C" w:rsidRDefault="00026768" w:rsidP="00291078">
      <w:pPr>
        <w:rPr>
          <w:rStyle w:val="halvfet"/>
          <w:lang w:val="en-GB"/>
        </w:rPr>
      </w:pPr>
      <w:r w:rsidRPr="00291078">
        <w:rPr>
          <w:rFonts w:eastAsia="Arial"/>
          <w:lang w:val="en-GB" w:bidi="en-GB"/>
        </w:rPr>
        <w:t xml:space="preserve">If employees are given more time and latitude to use their expertise on what they are primarily responsible for, resources will be better </w:t>
      </w:r>
      <w:r w:rsidR="00695630" w:rsidRPr="00291078">
        <w:rPr>
          <w:rFonts w:eastAsia="Arial"/>
          <w:lang w:val="en-GB" w:bidi="en-GB"/>
        </w:rPr>
        <w:t>utilised,</w:t>
      </w:r>
      <w:r w:rsidRPr="00291078">
        <w:rPr>
          <w:rFonts w:eastAsia="Arial"/>
          <w:lang w:val="en-GB" w:bidi="en-GB"/>
        </w:rPr>
        <w:t xml:space="preserve"> and users can receive better </w:t>
      </w:r>
      <w:r w:rsidRPr="00291078">
        <w:rPr>
          <w:rFonts w:eastAsia="Arial"/>
          <w:lang w:val="en-GB" w:bidi="en-GB"/>
        </w:rPr>
        <w:lastRenderedPageBreak/>
        <w:t>services. The knowledge and expertise of employees is the public sector</w:t>
      </w:r>
      <w:r w:rsidR="0064546B" w:rsidRPr="0064546B">
        <w:rPr>
          <w:rStyle w:val="halvfet"/>
          <w:rFonts w:eastAsia="Arial"/>
          <w:lang w:val="en-GB"/>
        </w:rPr>
        <w:t>’</w:t>
      </w:r>
      <w:r w:rsidRPr="00291078">
        <w:rPr>
          <w:rFonts w:eastAsia="Arial"/>
          <w:lang w:val="en-GB" w:bidi="en-GB"/>
        </w:rPr>
        <w:t>s most important resource. It must be safeguarded and utilised as best as possible.</w:t>
      </w:r>
    </w:p>
    <w:p w14:paraId="1381A035" w14:textId="77777777" w:rsidR="00FA06AB" w:rsidRPr="00A931A6" w:rsidRDefault="00FA06AB" w:rsidP="00291078">
      <w:pPr>
        <w:pStyle w:val="Overskrift2"/>
        <w:rPr>
          <w:lang w:val="en-US"/>
        </w:rPr>
      </w:pPr>
      <w:r w:rsidRPr="00291078">
        <w:rPr>
          <w:lang w:val="en-GB" w:bidi="en-GB"/>
        </w:rPr>
        <w:t>Instructions for Official Studies and Reports</w:t>
      </w:r>
    </w:p>
    <w:p w14:paraId="6EEBD609" w14:textId="77777777" w:rsidR="00FA06AB" w:rsidRPr="00BB441C" w:rsidRDefault="00FA06AB" w:rsidP="00FA06AB">
      <w:pPr>
        <w:rPr>
          <w:rStyle w:val="halvfet"/>
          <w:lang w:val="en-GB"/>
        </w:rPr>
      </w:pPr>
      <w:r w:rsidRPr="00291078">
        <w:rPr>
          <w:rFonts w:cs="Arial"/>
          <w:lang w:val="en-GB" w:bidi="en-GB"/>
        </w:rPr>
        <w:t xml:space="preserve">The purpose of </w:t>
      </w:r>
      <w:r w:rsidR="00E04807" w:rsidRPr="00BB441C">
        <w:rPr>
          <w:rStyle w:val="kursiv"/>
          <w:lang w:val="en-GB"/>
        </w:rPr>
        <w:t>Instructions for Official Studies and Reports</w:t>
      </w:r>
      <w:r w:rsidRPr="00291078">
        <w:rPr>
          <w:rFonts w:cs="Arial"/>
          <w:lang w:val="en-GB" w:bidi="en-GB"/>
        </w:rPr>
        <w:t xml:space="preserve"> is to provide a sound, independent professional basis for decisions on central government measures, such as reforms, regulatory </w:t>
      </w:r>
      <w:proofErr w:type="gramStart"/>
      <w:r w:rsidRPr="00291078">
        <w:rPr>
          <w:rFonts w:cs="Arial"/>
          <w:lang w:val="en-GB" w:bidi="en-GB"/>
        </w:rPr>
        <w:t>changes</w:t>
      </w:r>
      <w:proofErr w:type="gramEnd"/>
      <w:r w:rsidRPr="00291078">
        <w:rPr>
          <w:rFonts w:cs="Arial"/>
          <w:lang w:val="en-GB" w:bidi="en-GB"/>
        </w:rPr>
        <w:t xml:space="preserve"> and investments, not least for political decisions. It is important that central government decisions are well founded and thoroughly thought through. Incomplete or insufficient investigation increases the risk of decisions being made that cannot be implemented, that have unfavourable effects or that entail a waste of society</w:t>
      </w:r>
      <w:r w:rsidR="0064546B">
        <w:rPr>
          <w:rFonts w:cs="Arial"/>
          <w:lang w:val="en-GB" w:bidi="en-GB"/>
        </w:rPr>
        <w:t>’</w:t>
      </w:r>
      <w:r w:rsidRPr="00291078">
        <w:rPr>
          <w:rFonts w:cs="Arial"/>
          <w:lang w:val="en-GB" w:bidi="en-GB"/>
        </w:rPr>
        <w:t>s resources.</w:t>
      </w:r>
      <w:r w:rsidRPr="00291078">
        <w:rPr>
          <w:rFonts w:cs="Arial"/>
          <w:shd w:val="clear" w:color="auto" w:fill="FFFFFF"/>
          <w:lang w:val="en-GB" w:bidi="en-GB"/>
        </w:rPr>
        <w:t xml:space="preserve"> One of the requirements in the instructions is that the public administration must involve those affected by the measure at an early stage in the assessment proces</w:t>
      </w:r>
      <w:r w:rsidR="00D72616" w:rsidRPr="00291078">
        <w:rPr>
          <w:rFonts w:cs="Arial"/>
          <w:shd w:val="clear" w:color="auto" w:fill="FFFFFF"/>
          <w:lang w:val="en-GB" w:bidi="en-GB"/>
        </w:rPr>
        <w:t>s.</w:t>
      </w:r>
    </w:p>
    <w:p w14:paraId="687F0DBB" w14:textId="77777777" w:rsidR="00291078" w:rsidRDefault="00695630" w:rsidP="00291078">
      <w:pPr>
        <w:pStyle w:val="Overskrift2"/>
        <w:rPr>
          <w:lang w:bidi="en-GB"/>
        </w:rPr>
      </w:pPr>
      <w:r>
        <w:rPr>
          <w:lang w:bidi="en-GB"/>
        </w:rPr>
        <w:t xml:space="preserve">Public </w:t>
      </w:r>
      <w:proofErr w:type="spellStart"/>
      <w:r>
        <w:rPr>
          <w:lang w:bidi="en-GB"/>
        </w:rPr>
        <w:t>committees</w:t>
      </w:r>
      <w:proofErr w:type="spellEnd"/>
    </w:p>
    <w:p w14:paraId="6D3E9F84" w14:textId="77777777" w:rsidR="00291078" w:rsidRDefault="00FA06AB" w:rsidP="00FA06AB">
      <w:pPr>
        <w:rPr>
          <w:rFonts w:cs="Arial"/>
          <w:lang w:val="en-US"/>
        </w:rPr>
      </w:pPr>
      <w:r w:rsidRPr="00291078">
        <w:rPr>
          <w:rFonts w:cs="Arial"/>
          <w:lang w:val="en-GB" w:bidi="en-GB"/>
        </w:rPr>
        <w:t>Public committees have long played a central role in the Norwegian system of governance. Different parts of society, such as interest organisations and academia, participate in public committees. The aim of setting up public committees is to develop the knowledge base for policy and propose concrete measures, such as new laws. The committees must submit a public report (sometimes several), which formally constitutes advice to the ministry that has appointed the committee. Public committees also help to ensure openness about who advises the government or ministers on the development and implementation of public policy, and what kind of advice they give. The reports are often published in the established system known as NOU (Official Norwegian Reports), but they can also be published in other ways.</w:t>
      </w:r>
    </w:p>
    <w:p w14:paraId="167A69F7" w14:textId="77777777" w:rsidR="00291078" w:rsidRPr="00291078" w:rsidRDefault="00FA06AB" w:rsidP="00FA06AB">
      <w:pPr>
        <w:rPr>
          <w:rFonts w:cs="Arial"/>
          <w:lang w:val="en-GB" w:bidi="en-GB"/>
        </w:rPr>
      </w:pPr>
      <w:r w:rsidRPr="00291078">
        <w:rPr>
          <w:rFonts w:cs="Arial"/>
          <w:lang w:val="en-GB" w:bidi="en-GB"/>
        </w:rPr>
        <w:t xml:space="preserve">NOUs </w:t>
      </w:r>
      <w:proofErr w:type="gramStart"/>
      <w:r w:rsidRPr="00291078">
        <w:rPr>
          <w:rFonts w:cs="Arial"/>
          <w:lang w:val="en-GB" w:bidi="en-GB"/>
        </w:rPr>
        <w:t>are</w:t>
      </w:r>
      <w:proofErr w:type="gramEnd"/>
      <w:r w:rsidRPr="00291078">
        <w:rPr>
          <w:rFonts w:cs="Arial"/>
          <w:lang w:val="en-GB" w:bidi="en-GB"/>
        </w:rPr>
        <w:t xml:space="preserve"> usually circulated for public consultation and are therefore often part of the professional basis for reports and propositions that the Government submits to Norway</w:t>
      </w:r>
      <w:r w:rsidR="0064546B">
        <w:rPr>
          <w:rFonts w:cs="Arial"/>
          <w:lang w:val="en-GB" w:bidi="en-GB"/>
        </w:rPr>
        <w:t>’</w:t>
      </w:r>
      <w:r w:rsidRPr="00291078">
        <w:rPr>
          <w:rFonts w:cs="Arial"/>
          <w:lang w:val="en-GB" w:bidi="en-GB"/>
        </w:rPr>
        <w:t xml:space="preserve">s parliament, the </w:t>
      </w:r>
      <w:proofErr w:type="spellStart"/>
      <w:r w:rsidRPr="00291078">
        <w:rPr>
          <w:rFonts w:cs="Arial"/>
          <w:lang w:val="en-GB" w:bidi="en-GB"/>
        </w:rPr>
        <w:t>Storting</w:t>
      </w:r>
      <w:proofErr w:type="spellEnd"/>
      <w:r w:rsidRPr="00291078">
        <w:rPr>
          <w:rFonts w:cs="Arial"/>
          <w:lang w:val="en-GB" w:bidi="en-GB"/>
        </w:rPr>
        <w:t>.</w:t>
      </w:r>
      <w:r w:rsidR="0064546B">
        <w:rPr>
          <w:rFonts w:cs="Arial"/>
          <w:lang w:val="en-GB" w:bidi="en-GB"/>
        </w:rPr>
        <w:t xml:space="preserve"> </w:t>
      </w:r>
      <w:r w:rsidRPr="00291078">
        <w:rPr>
          <w:rFonts w:cs="Arial"/>
          <w:lang w:val="en-GB" w:bidi="en-GB"/>
        </w:rPr>
        <w:t>The public committees are governmental and appointed by the Government or a ministry. The committees have external representation and are time-limited, for example to one year. The external members may be party representatives or independent experts. The committees can also have members from public authorities.</w:t>
      </w:r>
    </w:p>
    <w:p w14:paraId="713FE87E" w14:textId="77777777" w:rsidR="00291078" w:rsidRPr="00291078" w:rsidRDefault="0074441D" w:rsidP="00FA06AB">
      <w:pPr>
        <w:rPr>
          <w:rFonts w:cs="Arial"/>
          <w:lang w:val="en-GB" w:bidi="en-GB"/>
        </w:rPr>
      </w:pPr>
      <w:r w:rsidRPr="00291078">
        <w:rPr>
          <w:rFonts w:cs="Arial"/>
          <w:lang w:val="en-GB" w:bidi="en-GB"/>
        </w:rPr>
        <w:t>Committees appointed to perform official studies shall have flexibility in their work where the participants are equal, and that they are authorised to find the best solutions. This means that they can have dialogues and discussions with whomever they wish limited, if applicable, by the mandate.</w:t>
      </w:r>
    </w:p>
    <w:p w14:paraId="3BC719B8" w14:textId="77777777" w:rsidR="0064546B" w:rsidRDefault="00FA06AB" w:rsidP="00FA06AB">
      <w:pPr>
        <w:rPr>
          <w:lang w:val="en-GB" w:bidi="en-GB"/>
        </w:rPr>
      </w:pPr>
      <w:r w:rsidRPr="00291078">
        <w:rPr>
          <w:lang w:val="en-GB" w:bidi="en-GB"/>
        </w:rPr>
        <w:lastRenderedPageBreak/>
        <w:t>A total of approximately 1,650 NOU committee reports have been published since the series began in 1972.</w:t>
      </w:r>
    </w:p>
    <w:p w14:paraId="603269B4" w14:textId="77777777" w:rsidR="00291078" w:rsidRDefault="00FA06AB" w:rsidP="00291078">
      <w:pPr>
        <w:pStyle w:val="Overskrift2"/>
        <w:rPr>
          <w:lang w:bidi="en-GB"/>
        </w:rPr>
      </w:pPr>
      <w:proofErr w:type="spellStart"/>
      <w:r w:rsidRPr="00AC09F2">
        <w:rPr>
          <w:lang w:bidi="en-GB"/>
        </w:rPr>
        <w:t>Consultations</w:t>
      </w:r>
      <w:proofErr w:type="spellEnd"/>
    </w:p>
    <w:p w14:paraId="090E11A2" w14:textId="77777777" w:rsidR="00291078" w:rsidRPr="00291078" w:rsidRDefault="00D72616" w:rsidP="00FA06AB">
      <w:pPr>
        <w:rPr>
          <w:rFonts w:cs="Arial"/>
          <w:lang w:val="en-GB" w:bidi="en-GB"/>
        </w:rPr>
      </w:pPr>
      <w:r w:rsidRPr="00291078">
        <w:rPr>
          <w:lang w:val="en-GB"/>
        </w:rPr>
        <w:t>Consultations</w:t>
      </w:r>
      <w:r w:rsidR="00311610" w:rsidRPr="00291078">
        <w:rPr>
          <w:rFonts w:cs="Arial"/>
          <w:lang w:val="en-GB" w:bidi="en-GB"/>
        </w:rPr>
        <w:t xml:space="preserve"> are used to allow citizens, </w:t>
      </w:r>
      <w:proofErr w:type="gramStart"/>
      <w:r w:rsidR="00311610" w:rsidRPr="00291078">
        <w:rPr>
          <w:rFonts w:cs="Arial"/>
          <w:lang w:val="en-GB" w:bidi="en-GB"/>
        </w:rPr>
        <w:t>organisations</w:t>
      </w:r>
      <w:proofErr w:type="gramEnd"/>
      <w:r w:rsidR="00311610" w:rsidRPr="00291078">
        <w:rPr>
          <w:rFonts w:cs="Arial"/>
          <w:lang w:val="en-GB" w:bidi="en-GB"/>
        </w:rPr>
        <w:t xml:space="preserve"> and businesses to express their opinions and control what the public administration does and how it carries out its tasks. The consultation period is normally three months.</w:t>
      </w:r>
    </w:p>
    <w:p w14:paraId="7BC73543" w14:textId="77777777" w:rsidR="00FA06AB" w:rsidRPr="00A931A6" w:rsidRDefault="00FA06AB" w:rsidP="00FA06AB">
      <w:pPr>
        <w:rPr>
          <w:rFonts w:cs="Arial"/>
          <w:lang w:val="en-US"/>
        </w:rPr>
      </w:pPr>
      <w:r w:rsidRPr="00291078">
        <w:rPr>
          <w:rFonts w:cs="Arial"/>
          <w:lang w:val="en-GB" w:bidi="en-GB"/>
        </w:rPr>
        <w:t>Cases are circulated for consultation because:</w:t>
      </w:r>
    </w:p>
    <w:p w14:paraId="24533B23" w14:textId="77777777" w:rsidR="00FA06AB" w:rsidRPr="00A931A6" w:rsidRDefault="00FA06AB" w:rsidP="00291078">
      <w:pPr>
        <w:pStyle w:val="Liste"/>
        <w:rPr>
          <w:lang w:val="en-US"/>
        </w:rPr>
      </w:pPr>
      <w:r w:rsidRPr="00291078">
        <w:rPr>
          <w:lang w:val="en-GB" w:bidi="en-GB"/>
        </w:rPr>
        <w:t>it is a democratic right for everyone to be involved in shaping public policy.</w:t>
      </w:r>
    </w:p>
    <w:p w14:paraId="2810617E" w14:textId="77777777" w:rsidR="00FA06AB" w:rsidRPr="00A931A6" w:rsidRDefault="00311610" w:rsidP="00291078">
      <w:pPr>
        <w:pStyle w:val="Liste"/>
        <w:rPr>
          <w:lang w:val="en-US"/>
        </w:rPr>
      </w:pPr>
      <w:r w:rsidRPr="00291078">
        <w:rPr>
          <w:lang w:val="en-GB" w:bidi="en-GB"/>
        </w:rPr>
        <w:t>the views of affected interests must be known to those who make the decisions.</w:t>
      </w:r>
    </w:p>
    <w:p w14:paraId="1778E5F5" w14:textId="77777777" w:rsidR="00FA06AB" w:rsidRPr="00A931A6" w:rsidRDefault="00FA06AB" w:rsidP="00291078">
      <w:pPr>
        <w:pStyle w:val="Liste"/>
        <w:rPr>
          <w:lang w:val="en-US"/>
        </w:rPr>
      </w:pPr>
      <w:r w:rsidRPr="00291078">
        <w:rPr>
          <w:lang w:val="en-GB" w:bidi="en-GB"/>
        </w:rPr>
        <w:t>cases must be informed as well as possible before decisions are made (ref. the Public Administration Act).</w:t>
      </w:r>
    </w:p>
    <w:p w14:paraId="141AB0EA" w14:textId="77777777" w:rsidR="00FA06AB" w:rsidRPr="00A931A6" w:rsidRDefault="00FA06AB" w:rsidP="00291078">
      <w:pPr>
        <w:pStyle w:val="Liste"/>
        <w:rPr>
          <w:lang w:val="en-US"/>
        </w:rPr>
      </w:pPr>
      <w:r w:rsidRPr="00291078">
        <w:rPr>
          <w:lang w:val="en-GB" w:bidi="en-GB"/>
        </w:rPr>
        <w:t>participation creates better support and facilitates the implementation of initiatives.</w:t>
      </w:r>
    </w:p>
    <w:p w14:paraId="5F01AA5E" w14:textId="77777777" w:rsidR="00291078" w:rsidRDefault="00FA06AB" w:rsidP="00FA06AB">
      <w:pPr>
        <w:rPr>
          <w:rFonts w:cs="Arial"/>
          <w:lang w:val="en-US"/>
        </w:rPr>
      </w:pPr>
      <w:r w:rsidRPr="00291078">
        <w:rPr>
          <w:rFonts w:cs="Arial"/>
          <w:lang w:val="en-GB" w:bidi="en-GB"/>
        </w:rPr>
        <w:t>Cases circulated for consultation may concern proposals for laws and regulations that regulate people</w:t>
      </w:r>
      <w:r w:rsidR="0064546B">
        <w:rPr>
          <w:rFonts w:cs="Arial"/>
          <w:lang w:val="en-GB" w:bidi="en-GB"/>
        </w:rPr>
        <w:t>’</w:t>
      </w:r>
      <w:r w:rsidRPr="00291078">
        <w:rPr>
          <w:rFonts w:cs="Arial"/>
          <w:lang w:val="en-GB" w:bidi="en-GB"/>
        </w:rPr>
        <w:t>s rights and obligations, the organisation of the public administration, changes to areas of authority, and investigations. Anyone and everyone can contribute to public consultations, regardless of whether they are on the consultation list or not.</w:t>
      </w:r>
    </w:p>
    <w:p w14:paraId="5DF1BC2D" w14:textId="77777777" w:rsidR="00FA06AB" w:rsidRPr="00A931A6" w:rsidRDefault="00FA06AB" w:rsidP="00291078">
      <w:pPr>
        <w:pStyle w:val="Overskrift2"/>
        <w:rPr>
          <w:lang w:val="en-US"/>
        </w:rPr>
      </w:pPr>
      <w:r w:rsidRPr="00291078">
        <w:rPr>
          <w:lang w:val="en-GB" w:bidi="en-GB"/>
        </w:rPr>
        <w:t>The Public Administration Act, Freedom of Information Act, Archives Act, Environmental Information Act and Transparency Act</w:t>
      </w:r>
    </w:p>
    <w:p w14:paraId="1DCCF6FF" w14:textId="77777777" w:rsidR="00291078" w:rsidRDefault="00FA06AB" w:rsidP="00FA06AB">
      <w:pPr>
        <w:tabs>
          <w:tab w:val="left" w:pos="2127"/>
        </w:tabs>
        <w:autoSpaceDE w:val="0"/>
        <w:autoSpaceDN w:val="0"/>
        <w:adjustRightInd w:val="0"/>
        <w:spacing w:line="276" w:lineRule="auto"/>
        <w:rPr>
          <w:rFonts w:cs="Arial"/>
          <w:color w:val="000000"/>
          <w:lang w:val="en-US"/>
        </w:rPr>
      </w:pPr>
      <w:r w:rsidRPr="00291078">
        <w:rPr>
          <w:rFonts w:cs="Arial"/>
          <w:color w:val="000000"/>
          <w:lang w:val="en-GB" w:bidi="en-GB"/>
        </w:rPr>
        <w:t xml:space="preserve">The </w:t>
      </w:r>
      <w:r w:rsidR="00D72616" w:rsidRPr="00291078">
        <w:rPr>
          <w:lang w:val="en-GB"/>
        </w:rPr>
        <w:t>Public Administration Act</w:t>
      </w:r>
      <w:r w:rsidRPr="00291078">
        <w:rPr>
          <w:rFonts w:cs="Arial"/>
          <w:color w:val="000000"/>
          <w:lang w:val="en-GB" w:bidi="en-GB"/>
        </w:rPr>
        <w:t xml:space="preserve"> provides general rules on procedure in public administration. The Act regulates the processing of cases when a decision is made, and </w:t>
      </w:r>
      <w:proofErr w:type="gramStart"/>
      <w:r w:rsidRPr="00291078">
        <w:rPr>
          <w:rFonts w:cs="Arial"/>
          <w:color w:val="000000"/>
          <w:lang w:val="en-GB" w:bidi="en-GB"/>
        </w:rPr>
        <w:t>in particular the</w:t>
      </w:r>
      <w:proofErr w:type="gramEnd"/>
      <w:r w:rsidRPr="00291078">
        <w:rPr>
          <w:rFonts w:cs="Arial"/>
          <w:color w:val="000000"/>
          <w:lang w:val="en-GB" w:bidi="en-GB"/>
        </w:rPr>
        <w:t xml:space="preserve"> rights of the parties during the process.</w:t>
      </w:r>
    </w:p>
    <w:p w14:paraId="5B2C56A6" w14:textId="77777777" w:rsidR="00291078" w:rsidRPr="00291078" w:rsidRDefault="00FA06AB" w:rsidP="00FA06AB">
      <w:pPr>
        <w:autoSpaceDE w:val="0"/>
        <w:autoSpaceDN w:val="0"/>
        <w:adjustRightInd w:val="0"/>
        <w:spacing w:line="276" w:lineRule="auto"/>
        <w:rPr>
          <w:rFonts w:cs="Arial"/>
          <w:color w:val="000000"/>
          <w:lang w:val="en-GB" w:bidi="en-GB"/>
        </w:rPr>
      </w:pPr>
      <w:r w:rsidRPr="00291078">
        <w:rPr>
          <w:rFonts w:cs="Arial"/>
          <w:color w:val="000000"/>
          <w:lang w:val="en-GB" w:bidi="en-GB"/>
        </w:rPr>
        <w:t xml:space="preserve">The </w:t>
      </w:r>
      <w:r w:rsidR="00D72616" w:rsidRPr="00291078">
        <w:rPr>
          <w:lang w:val="en-GB"/>
        </w:rPr>
        <w:t>Freedom of Information Act</w:t>
      </w:r>
      <w:r w:rsidRPr="00291078">
        <w:rPr>
          <w:rFonts w:cs="Arial"/>
          <w:color w:val="000000"/>
          <w:lang w:val="en-GB" w:bidi="en-GB"/>
        </w:rPr>
        <w:t xml:space="preserve"> gives everyone the right to access case documents, records and similar registers for all bodies covered by the Act. It applies to all government agencies, municipalities and county authorities and certain other entities. The main rule is that access must be granted, and exceptions require authorisation by law or accordance with the law. The Act also contains rules on the handling of requests for access and the right to appeal against decisions in access cases.</w:t>
      </w:r>
    </w:p>
    <w:p w14:paraId="4F04F91E" w14:textId="77777777" w:rsidR="00291078" w:rsidRPr="00291078" w:rsidRDefault="00FA06AB" w:rsidP="00FA06AB">
      <w:pPr>
        <w:autoSpaceDE w:val="0"/>
        <w:autoSpaceDN w:val="0"/>
        <w:adjustRightInd w:val="0"/>
        <w:spacing w:line="276" w:lineRule="auto"/>
        <w:rPr>
          <w:rFonts w:cs="Arial"/>
          <w:color w:val="333333"/>
          <w:shd w:val="clear" w:color="auto" w:fill="FFFFFF"/>
          <w:lang w:val="en-GB" w:bidi="en-GB"/>
        </w:rPr>
      </w:pPr>
      <w:r w:rsidRPr="00291078">
        <w:rPr>
          <w:rFonts w:cs="Arial"/>
          <w:color w:val="333333"/>
          <w:shd w:val="clear" w:color="auto" w:fill="FFFFFF"/>
          <w:lang w:val="en-GB" w:bidi="en-GB"/>
        </w:rPr>
        <w:t xml:space="preserve">The </w:t>
      </w:r>
      <w:r w:rsidR="00D72616" w:rsidRPr="00291078">
        <w:rPr>
          <w:lang w:val="en-GB"/>
        </w:rPr>
        <w:t>Archives Act</w:t>
      </w:r>
      <w:r w:rsidRPr="00291078">
        <w:rPr>
          <w:rFonts w:cs="Arial"/>
          <w:color w:val="333333"/>
          <w:shd w:val="clear" w:color="auto" w:fill="FFFFFF"/>
          <w:lang w:val="en-GB" w:bidi="en-GB"/>
        </w:rPr>
        <w:t xml:space="preserve"> shall safeguard archives that have important cultural or research value or that contain legal or important administrative documentation so that these can be preserved and made available for posterity. Detailed rules on archiving and journalling of documents are set out in the Archive Regulations.</w:t>
      </w:r>
    </w:p>
    <w:p w14:paraId="0CD5D36F" w14:textId="77777777" w:rsidR="00FA06AB" w:rsidRPr="00A931A6" w:rsidRDefault="00FA06AB" w:rsidP="00FA06AB">
      <w:pPr>
        <w:autoSpaceDE w:val="0"/>
        <w:autoSpaceDN w:val="0"/>
        <w:adjustRightInd w:val="0"/>
        <w:spacing w:before="260" w:line="276" w:lineRule="auto"/>
        <w:rPr>
          <w:rFonts w:cs="Arial"/>
          <w:color w:val="000000"/>
          <w:lang w:val="en-US"/>
        </w:rPr>
      </w:pPr>
      <w:r w:rsidRPr="00291078">
        <w:rPr>
          <w:rFonts w:cs="Arial"/>
          <w:color w:val="000000"/>
          <w:lang w:val="en-GB" w:bidi="en-GB"/>
        </w:rPr>
        <w:lastRenderedPageBreak/>
        <w:t xml:space="preserve">The </w:t>
      </w:r>
      <w:r w:rsidR="00D72616" w:rsidRPr="00291078">
        <w:rPr>
          <w:lang w:val="en-GB"/>
        </w:rPr>
        <w:t>Environmental Information Act</w:t>
      </w:r>
      <w:r w:rsidRPr="00291078">
        <w:rPr>
          <w:rFonts w:cs="Arial"/>
          <w:color w:val="000000"/>
          <w:lang w:val="en-GB" w:bidi="en-GB"/>
        </w:rPr>
        <w:t xml:space="preserve"> is intended to ensure that the public has access to environmental information and thereby makes it easier for individuals to contribute to the protection of the environment, to protect themselves against health and environmental harm and to influence public and private decision-makers on environmental issues. The Act also promotes the public</w:t>
      </w:r>
      <w:r w:rsidR="0064546B">
        <w:rPr>
          <w:rFonts w:cs="Arial"/>
          <w:color w:val="000000"/>
          <w:lang w:val="en-GB" w:bidi="en-GB"/>
        </w:rPr>
        <w:t>’</w:t>
      </w:r>
      <w:r w:rsidRPr="00291078">
        <w:rPr>
          <w:rFonts w:cs="Arial"/>
          <w:color w:val="000000"/>
          <w:lang w:val="en-GB" w:bidi="en-GB"/>
        </w:rPr>
        <w:t>s right to participate in public decision-making processes that affect the environment.</w:t>
      </w:r>
    </w:p>
    <w:p w14:paraId="021D1382" w14:textId="77777777" w:rsidR="00FA06AB" w:rsidRPr="00A931A6" w:rsidRDefault="00A0335E" w:rsidP="00FA06AB">
      <w:pPr>
        <w:autoSpaceDE w:val="0"/>
        <w:autoSpaceDN w:val="0"/>
        <w:adjustRightInd w:val="0"/>
        <w:spacing w:before="260" w:line="276" w:lineRule="auto"/>
        <w:rPr>
          <w:rFonts w:cs="Arial"/>
          <w:color w:val="000000"/>
          <w:lang w:val="en-US"/>
        </w:rPr>
      </w:pPr>
      <w:r w:rsidRPr="00291078">
        <w:rPr>
          <w:rFonts w:cs="Arial"/>
          <w:color w:val="000000"/>
          <w:lang w:val="en-GB" w:bidi="en-GB"/>
        </w:rPr>
        <w:t xml:space="preserve">The </w:t>
      </w:r>
      <w:r w:rsidR="00D72616" w:rsidRPr="00291078">
        <w:rPr>
          <w:lang w:val="en-GB"/>
        </w:rPr>
        <w:t>Transparency Act</w:t>
      </w:r>
      <w:r w:rsidRPr="00291078">
        <w:rPr>
          <w:rFonts w:cs="Arial"/>
          <w:color w:val="000000"/>
          <w:lang w:val="en-GB" w:bidi="en-GB"/>
        </w:rPr>
        <w:t xml:space="preserve"> entered into force on 1 July 2022. </w:t>
      </w:r>
      <w:r w:rsidR="00FA06AB" w:rsidRPr="00291078">
        <w:rPr>
          <w:rFonts w:cs="Arial"/>
          <w:color w:val="333333"/>
          <w:shd w:val="clear" w:color="auto" w:fill="FFFFFF"/>
          <w:lang w:val="en-GB" w:bidi="en-GB"/>
        </w:rPr>
        <w:t>It aims to promote the enterprises</w:t>
      </w:r>
      <w:r w:rsidR="0064546B">
        <w:rPr>
          <w:rFonts w:cs="Arial"/>
          <w:color w:val="333333"/>
          <w:shd w:val="clear" w:color="auto" w:fill="FFFFFF"/>
          <w:lang w:val="en-GB" w:bidi="en-GB"/>
        </w:rPr>
        <w:t>’</w:t>
      </w:r>
      <w:r w:rsidR="00FA06AB" w:rsidRPr="00291078">
        <w:rPr>
          <w:rFonts w:cs="Arial"/>
          <w:color w:val="333333"/>
          <w:shd w:val="clear" w:color="auto" w:fill="FFFFFF"/>
          <w:lang w:val="en-GB" w:bidi="en-GB"/>
        </w:rPr>
        <w:t xml:space="preserve"> respect for fundamental human rights and decent working conditions in connection with the production of goods and provision of services and ensure the </w:t>
      </w:r>
      <w:proofErr w:type="gramStart"/>
      <w:r w:rsidR="00FA06AB" w:rsidRPr="00291078">
        <w:rPr>
          <w:rFonts w:cs="Arial"/>
          <w:color w:val="333333"/>
          <w:shd w:val="clear" w:color="auto" w:fill="FFFFFF"/>
          <w:lang w:val="en-GB" w:bidi="en-GB"/>
        </w:rPr>
        <w:t>general public</w:t>
      </w:r>
      <w:proofErr w:type="gramEnd"/>
      <w:r w:rsidR="00FA06AB" w:rsidRPr="00291078">
        <w:rPr>
          <w:rFonts w:cs="Arial"/>
          <w:color w:val="333333"/>
          <w:shd w:val="clear" w:color="auto" w:fill="FFFFFF"/>
          <w:lang w:val="en-GB" w:bidi="en-GB"/>
        </w:rPr>
        <w:t xml:space="preserve"> access to information regarding how enterprises address adverse impacts on fundamental human rights and decent working conditions.</w:t>
      </w:r>
    </w:p>
    <w:p w14:paraId="30820EF6" w14:textId="77777777" w:rsidR="00FA06AB" w:rsidRPr="00AC09F2" w:rsidRDefault="00FA06AB" w:rsidP="00291078">
      <w:pPr>
        <w:pStyle w:val="Overskrift2"/>
        <w:rPr>
          <w:lang w:val="nn-NO"/>
        </w:rPr>
      </w:pPr>
      <w:r w:rsidRPr="00AC09F2">
        <w:rPr>
          <w:lang w:bidi="en-GB"/>
        </w:rPr>
        <w:t xml:space="preserve">Central </w:t>
      </w:r>
      <w:proofErr w:type="spellStart"/>
      <w:r w:rsidRPr="00AC09F2">
        <w:rPr>
          <w:lang w:bidi="en-GB"/>
        </w:rPr>
        <w:t>Government</w:t>
      </w:r>
      <w:proofErr w:type="spellEnd"/>
      <w:r w:rsidRPr="00AC09F2">
        <w:rPr>
          <w:lang w:bidi="en-GB"/>
        </w:rPr>
        <w:t xml:space="preserve"> </w:t>
      </w:r>
      <w:proofErr w:type="spellStart"/>
      <w:r w:rsidR="00D72616">
        <w:rPr>
          <w:lang w:bidi="en-GB"/>
        </w:rPr>
        <w:t>c</w:t>
      </w:r>
      <w:r w:rsidRPr="00AC09F2">
        <w:rPr>
          <w:lang w:bidi="en-GB"/>
        </w:rPr>
        <w:t>ommunication</w:t>
      </w:r>
      <w:proofErr w:type="spellEnd"/>
      <w:r w:rsidRPr="00AC09F2">
        <w:rPr>
          <w:lang w:bidi="en-GB"/>
        </w:rPr>
        <w:t xml:space="preserve"> </w:t>
      </w:r>
      <w:r w:rsidR="00D72616">
        <w:rPr>
          <w:lang w:bidi="en-GB"/>
        </w:rPr>
        <w:t>p</w:t>
      </w:r>
      <w:r w:rsidRPr="00AC09F2">
        <w:rPr>
          <w:lang w:bidi="en-GB"/>
        </w:rPr>
        <w:t>olicy</w:t>
      </w:r>
    </w:p>
    <w:p w14:paraId="0884B7B5" w14:textId="77777777" w:rsidR="00291078" w:rsidRPr="00291078" w:rsidRDefault="00FA06AB" w:rsidP="00FA06AB">
      <w:pPr>
        <w:autoSpaceDE w:val="0"/>
        <w:autoSpaceDN w:val="0"/>
        <w:adjustRightInd w:val="0"/>
        <w:spacing w:line="276" w:lineRule="auto"/>
        <w:rPr>
          <w:rFonts w:cs="Arial"/>
          <w:color w:val="000000"/>
          <w:lang w:val="en-GB" w:bidi="en-GB"/>
        </w:rPr>
      </w:pPr>
      <w:r w:rsidRPr="00291078">
        <w:rPr>
          <w:rFonts w:cs="Arial"/>
          <w:color w:val="000000"/>
          <w:lang w:val="en-GB" w:bidi="en-GB"/>
        </w:rPr>
        <w:t xml:space="preserve">The </w:t>
      </w:r>
      <w:r w:rsidR="00D72616" w:rsidRPr="00291078">
        <w:rPr>
          <w:lang w:val="en-GB"/>
        </w:rPr>
        <w:t>communication policy</w:t>
      </w:r>
      <w:r w:rsidRPr="00291078">
        <w:rPr>
          <w:rFonts w:cs="Arial"/>
          <w:color w:val="000000"/>
          <w:lang w:val="en-GB" w:bidi="en-GB"/>
        </w:rPr>
        <w:t xml:space="preserve"> contains the central goals and principles of the central government</w:t>
      </w:r>
      <w:r w:rsidR="0064546B">
        <w:rPr>
          <w:rFonts w:cs="Arial"/>
          <w:color w:val="000000"/>
          <w:lang w:val="en-GB" w:bidi="en-GB"/>
        </w:rPr>
        <w:t>’</w:t>
      </w:r>
      <w:r w:rsidRPr="00291078">
        <w:rPr>
          <w:rFonts w:cs="Arial"/>
          <w:color w:val="000000"/>
          <w:lang w:val="en-GB" w:bidi="en-GB"/>
        </w:rPr>
        <w:t xml:space="preserve">s communication with citizens, businesses, </w:t>
      </w:r>
      <w:proofErr w:type="gramStart"/>
      <w:r w:rsidRPr="00291078">
        <w:rPr>
          <w:rFonts w:cs="Arial"/>
          <w:color w:val="000000"/>
          <w:lang w:val="en-GB" w:bidi="en-GB"/>
        </w:rPr>
        <w:t>organisations</w:t>
      </w:r>
      <w:proofErr w:type="gramEnd"/>
      <w:r w:rsidRPr="00291078">
        <w:rPr>
          <w:rFonts w:cs="Arial"/>
          <w:color w:val="000000"/>
          <w:lang w:val="en-GB" w:bidi="en-GB"/>
        </w:rPr>
        <w:t xml:space="preserve"> and other public sector activities. The aim of the Central Government </w:t>
      </w:r>
      <w:r w:rsidR="00D72616" w:rsidRPr="00291078">
        <w:rPr>
          <w:rFonts w:cs="Arial"/>
          <w:color w:val="000000"/>
          <w:lang w:val="en-GB" w:bidi="en-GB"/>
        </w:rPr>
        <w:t>c</w:t>
      </w:r>
      <w:r w:rsidRPr="00291078">
        <w:rPr>
          <w:rFonts w:cs="Arial"/>
          <w:color w:val="000000"/>
          <w:lang w:val="en-GB" w:bidi="en-GB"/>
        </w:rPr>
        <w:t xml:space="preserve">ommunication </w:t>
      </w:r>
      <w:r w:rsidR="00D72616" w:rsidRPr="00291078">
        <w:rPr>
          <w:rFonts w:cs="Arial"/>
          <w:color w:val="000000"/>
          <w:lang w:val="en-GB" w:bidi="en-GB"/>
        </w:rPr>
        <w:t>p</w:t>
      </w:r>
      <w:r w:rsidRPr="00291078">
        <w:rPr>
          <w:rFonts w:cs="Arial"/>
          <w:color w:val="000000"/>
          <w:lang w:val="en-GB" w:bidi="en-GB"/>
        </w:rPr>
        <w:t xml:space="preserve">olicy is to ensure that citizens receive correct and clear information about their rights, </w:t>
      </w:r>
      <w:proofErr w:type="gramStart"/>
      <w:r w:rsidRPr="00291078">
        <w:rPr>
          <w:rFonts w:cs="Arial"/>
          <w:color w:val="000000"/>
          <w:lang w:val="en-GB" w:bidi="en-GB"/>
        </w:rPr>
        <w:t>responsibilities</w:t>
      </w:r>
      <w:proofErr w:type="gramEnd"/>
      <w:r w:rsidRPr="00291078">
        <w:rPr>
          <w:rFonts w:cs="Arial"/>
          <w:color w:val="000000"/>
          <w:lang w:val="en-GB" w:bidi="en-GB"/>
        </w:rPr>
        <w:t xml:space="preserve"> and opportunities, have access to information about the central government</w:t>
      </w:r>
      <w:r w:rsidR="0064546B">
        <w:rPr>
          <w:rFonts w:cs="Arial"/>
          <w:color w:val="000000"/>
          <w:lang w:val="en-GB" w:bidi="en-GB"/>
        </w:rPr>
        <w:t>’</w:t>
      </w:r>
      <w:r w:rsidRPr="00291078">
        <w:rPr>
          <w:rFonts w:cs="Arial"/>
          <w:color w:val="000000"/>
          <w:lang w:val="en-GB" w:bidi="en-GB"/>
        </w:rPr>
        <w:t>s activities, and be invited to participate in the formulation of policies, schemes and services.</w:t>
      </w:r>
    </w:p>
    <w:p w14:paraId="6688580B" w14:textId="77777777" w:rsidR="00FA06AB" w:rsidRPr="00A931A6" w:rsidRDefault="00FA06AB" w:rsidP="00291078">
      <w:pPr>
        <w:pStyle w:val="Overskrift2"/>
        <w:rPr>
          <w:lang w:val="en-US"/>
        </w:rPr>
      </w:pPr>
      <w:r w:rsidRPr="00291078">
        <w:rPr>
          <w:lang w:val="en-GB" w:bidi="en-GB"/>
        </w:rPr>
        <w:t>Dialogue with the municipalities (the consultation scheme)</w:t>
      </w:r>
    </w:p>
    <w:p w14:paraId="17A68E2B" w14:textId="77777777" w:rsidR="00291078" w:rsidRPr="00291078" w:rsidRDefault="00FA06AB" w:rsidP="00FA06AB">
      <w:pPr>
        <w:shd w:val="clear" w:color="auto" w:fill="FFFFFF"/>
        <w:spacing w:line="276" w:lineRule="auto"/>
        <w:rPr>
          <w:rFonts w:cs="Arial"/>
          <w:color w:val="333333"/>
          <w:lang w:val="en-GB" w:bidi="en-GB"/>
        </w:rPr>
      </w:pPr>
      <w:r w:rsidRPr="00291078">
        <w:rPr>
          <w:rFonts w:cs="Arial"/>
          <w:color w:val="333333"/>
          <w:lang w:val="en-GB" w:bidi="en-GB"/>
        </w:rPr>
        <w:t>The Government and the Norwegian Association of Local and Regional Authorities (KS) agree on the need for a good dialogue between the central government and the municipal sector on central government framework conditions and goal achievement within municipal activities. From and including the work on the national budget for 2001, there have been regular consultations between the central government, represented by the Government, and the municipal sector, represented by KS (the local government sector</w:t>
      </w:r>
      <w:r w:rsidR="0064546B">
        <w:rPr>
          <w:rFonts w:cs="Arial"/>
          <w:color w:val="333333"/>
          <w:lang w:val="en-GB" w:bidi="en-GB"/>
        </w:rPr>
        <w:t>’</w:t>
      </w:r>
      <w:r w:rsidRPr="00291078">
        <w:rPr>
          <w:rFonts w:cs="Arial"/>
          <w:color w:val="333333"/>
          <w:lang w:val="en-GB" w:bidi="en-GB"/>
        </w:rPr>
        <w:t>s interest and employer organisation), through regular political meetings.</w:t>
      </w:r>
    </w:p>
    <w:p w14:paraId="6BA8B7DF" w14:textId="77777777" w:rsidR="00291078" w:rsidRPr="00291078" w:rsidRDefault="00FA06AB" w:rsidP="00FA06AB">
      <w:pPr>
        <w:shd w:val="clear" w:color="auto" w:fill="FFFFFF"/>
        <w:spacing w:line="276" w:lineRule="auto"/>
        <w:rPr>
          <w:rFonts w:cs="Arial"/>
          <w:color w:val="333333"/>
          <w:lang w:val="en-GB" w:bidi="en-GB"/>
        </w:rPr>
      </w:pPr>
      <w:r w:rsidRPr="00291078">
        <w:rPr>
          <w:rFonts w:cs="Arial"/>
          <w:color w:val="333333"/>
          <w:lang w:val="en-GB" w:bidi="en-GB"/>
        </w:rPr>
        <w:t>The main purpose of the scheme is to reach agreement on what can be achieved within the municipal sector</w:t>
      </w:r>
      <w:r w:rsidR="0064546B">
        <w:rPr>
          <w:rFonts w:cs="Arial"/>
          <w:color w:val="333333"/>
          <w:lang w:val="en-GB" w:bidi="en-GB"/>
        </w:rPr>
        <w:t>’</w:t>
      </w:r>
      <w:r w:rsidRPr="00291078">
        <w:rPr>
          <w:rFonts w:cs="Arial"/>
          <w:color w:val="333333"/>
          <w:lang w:val="en-GB" w:bidi="en-GB"/>
        </w:rPr>
        <w:t>s revenue framework.</w:t>
      </w:r>
    </w:p>
    <w:p w14:paraId="42A2E551" w14:textId="77777777" w:rsidR="00291078" w:rsidRPr="00291078" w:rsidRDefault="00FA06AB" w:rsidP="00291078">
      <w:pPr>
        <w:pStyle w:val="Overskrift2"/>
        <w:rPr>
          <w:lang w:val="en-GB" w:bidi="en-GB"/>
        </w:rPr>
      </w:pPr>
      <w:r w:rsidRPr="00291078">
        <w:rPr>
          <w:lang w:val="en-GB" w:bidi="en-GB"/>
        </w:rPr>
        <w:t>Norwegian participation in the OECD</w:t>
      </w:r>
      <w:r w:rsidR="0064546B">
        <w:rPr>
          <w:lang w:val="en-GB" w:bidi="en-GB"/>
        </w:rPr>
        <w:t>’</w:t>
      </w:r>
      <w:r w:rsidRPr="00291078">
        <w:rPr>
          <w:lang w:val="en-GB" w:bidi="en-GB"/>
        </w:rPr>
        <w:t>s work on openness</w:t>
      </w:r>
      <w:r w:rsidR="00D72616" w:rsidRPr="00291078">
        <w:rPr>
          <w:lang w:val="en-GB" w:bidi="en-GB"/>
        </w:rPr>
        <w:t xml:space="preserve"> and </w:t>
      </w:r>
      <w:r w:rsidRPr="00291078">
        <w:rPr>
          <w:lang w:val="en-GB" w:bidi="en-GB"/>
        </w:rPr>
        <w:t>democracy</w:t>
      </w:r>
    </w:p>
    <w:p w14:paraId="7E441F47" w14:textId="77777777" w:rsidR="00291078" w:rsidRPr="00291078" w:rsidRDefault="00FA06AB" w:rsidP="00FA06AB">
      <w:pPr>
        <w:rPr>
          <w:rFonts w:cs="Arial"/>
          <w:lang w:val="en-GB" w:bidi="en-GB"/>
        </w:rPr>
      </w:pPr>
      <w:r w:rsidRPr="00291078">
        <w:rPr>
          <w:rFonts w:cs="Arial"/>
          <w:lang w:val="en-GB" w:bidi="en-GB"/>
        </w:rPr>
        <w:t>Norway participates in the OECD</w:t>
      </w:r>
      <w:r w:rsidR="0064546B">
        <w:rPr>
          <w:rFonts w:cs="Arial"/>
          <w:lang w:val="en-GB" w:bidi="en-GB"/>
        </w:rPr>
        <w:t>’</w:t>
      </w:r>
      <w:r w:rsidRPr="00291078">
        <w:rPr>
          <w:rFonts w:cs="Arial"/>
          <w:lang w:val="en-GB" w:bidi="en-GB"/>
        </w:rPr>
        <w:t xml:space="preserve">s work on openness through the Working Party on Open Government (WPOG). The work on openness in the OECD covers many of the same topics as the OGP, but often with a slightly different angle, often with greater </w:t>
      </w:r>
      <w:r w:rsidRPr="00291078">
        <w:rPr>
          <w:rFonts w:cs="Arial"/>
          <w:lang w:val="en-GB" w:bidi="en-GB"/>
        </w:rPr>
        <w:lastRenderedPageBreak/>
        <w:t>emphasis on how the public administration should organise its work. WPOG is a working group under the PGC (Public Government Committee).</w:t>
      </w:r>
    </w:p>
    <w:p w14:paraId="1670D23E" w14:textId="77777777" w:rsidR="00291078" w:rsidRDefault="00FA06AB" w:rsidP="00291078">
      <w:pPr>
        <w:pStyle w:val="Overskrift1"/>
        <w:rPr>
          <w:lang w:val="nn-NO"/>
        </w:rPr>
      </w:pPr>
      <w:proofErr w:type="spellStart"/>
      <w:r w:rsidRPr="00AC09F2">
        <w:rPr>
          <w:lang w:bidi="en-GB"/>
        </w:rPr>
        <w:t>Norway</w:t>
      </w:r>
      <w:r w:rsidR="0064546B">
        <w:rPr>
          <w:lang w:bidi="en-GB"/>
        </w:rPr>
        <w:t>’</w:t>
      </w:r>
      <w:r w:rsidRPr="00AC09F2">
        <w:rPr>
          <w:lang w:bidi="en-GB"/>
        </w:rPr>
        <w:t>s</w:t>
      </w:r>
      <w:proofErr w:type="spellEnd"/>
      <w:r w:rsidRPr="00AC09F2">
        <w:rPr>
          <w:lang w:bidi="en-GB"/>
        </w:rPr>
        <w:t xml:space="preserve"> OGP </w:t>
      </w:r>
      <w:proofErr w:type="spellStart"/>
      <w:r w:rsidRPr="00AC09F2">
        <w:rPr>
          <w:lang w:bidi="en-GB"/>
        </w:rPr>
        <w:t>commitments</w:t>
      </w:r>
      <w:proofErr w:type="spellEnd"/>
      <w:r w:rsidRPr="00AC09F2">
        <w:rPr>
          <w:lang w:bidi="en-GB"/>
        </w:rPr>
        <w:t xml:space="preserve"> 2023-2027</w:t>
      </w:r>
    </w:p>
    <w:p w14:paraId="013E5A49" w14:textId="77777777" w:rsidR="00FA06AB" w:rsidRPr="00A931A6" w:rsidRDefault="00FA06AB" w:rsidP="00291078">
      <w:pPr>
        <w:pStyle w:val="Overskrift2"/>
        <w:rPr>
          <w:lang w:val="en-US"/>
        </w:rPr>
      </w:pPr>
      <w:r w:rsidRPr="00291078">
        <w:rPr>
          <w:lang w:val="en-GB" w:bidi="en-GB"/>
        </w:rPr>
        <w:t>Public procurement</w:t>
      </w:r>
      <w:r w:rsidR="00291078" w:rsidRPr="00291078">
        <w:rPr>
          <w:lang w:val="en-GB" w:bidi="en-GB"/>
        </w:rPr>
        <w:t xml:space="preserve"> – </w:t>
      </w:r>
      <w:r w:rsidRPr="00291078">
        <w:rPr>
          <w:lang w:val="en-GB" w:bidi="en-GB"/>
        </w:rPr>
        <w:t>establish an authoritative source of quantitative data on public procurement.</w:t>
      </w:r>
    </w:p>
    <w:p w14:paraId="501A5A1E" w14:textId="77777777" w:rsidR="00FA06AB" w:rsidRPr="00BB441C" w:rsidRDefault="00FA06AB" w:rsidP="00FA06AB">
      <w:pPr>
        <w:rPr>
          <w:rStyle w:val="halvfet"/>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38"/>
        <w:gridCol w:w="2455"/>
        <w:gridCol w:w="2591"/>
        <w:gridCol w:w="2591"/>
      </w:tblGrid>
      <w:tr w:rsidR="00FA06AB" w:rsidRPr="00BB441C" w14:paraId="062A28F3" w14:textId="77777777" w:rsidTr="009D3DDD">
        <w:tc>
          <w:tcPr>
            <w:tcW w:w="1838" w:type="dxa"/>
            <w:shd w:val="clear" w:color="auto" w:fill="auto"/>
          </w:tcPr>
          <w:p w14:paraId="1E000233" w14:textId="77777777" w:rsidR="00FA06AB" w:rsidRPr="0064546B" w:rsidRDefault="00D72616" w:rsidP="008D0E43">
            <w:pPr>
              <w:pStyle w:val="TabellHode-kolonne"/>
              <w:rPr>
                <w:rFonts w:eastAsia="Proxima Nova"/>
              </w:rPr>
            </w:pPr>
            <w:proofErr w:type="spellStart"/>
            <w:r w:rsidRPr="0064546B">
              <w:rPr>
                <w:rFonts w:eastAsia="Proxima Nova"/>
              </w:rPr>
              <w:t>Title</w:t>
            </w:r>
            <w:proofErr w:type="spellEnd"/>
          </w:p>
        </w:tc>
        <w:tc>
          <w:tcPr>
            <w:tcW w:w="7637" w:type="dxa"/>
            <w:gridSpan w:val="3"/>
            <w:shd w:val="clear" w:color="auto" w:fill="auto"/>
          </w:tcPr>
          <w:p w14:paraId="0161208B" w14:textId="77777777" w:rsidR="00FA06AB" w:rsidRPr="00BB441C" w:rsidRDefault="00FA06AB" w:rsidP="008D0E43">
            <w:pPr>
              <w:pStyle w:val="TabellHode-kolonne"/>
              <w:rPr>
                <w:rFonts w:eastAsia="Proxima Nova"/>
                <w:lang w:val="en-GB"/>
              </w:rPr>
            </w:pPr>
            <w:r w:rsidRPr="00BB441C">
              <w:rPr>
                <w:rFonts w:eastAsia="Calibri"/>
                <w:lang w:val="en-GB"/>
              </w:rPr>
              <w:t>Establish an authoritative source of quantitative data on public procurement.</w:t>
            </w:r>
          </w:p>
        </w:tc>
      </w:tr>
      <w:tr w:rsidR="00FA06AB" w:rsidRPr="00BB441C" w14:paraId="50245DA4" w14:textId="77777777" w:rsidTr="009D3DDD">
        <w:tc>
          <w:tcPr>
            <w:tcW w:w="1838" w:type="dxa"/>
            <w:shd w:val="clear" w:color="auto" w:fill="auto"/>
          </w:tcPr>
          <w:p w14:paraId="1A71AB74" w14:textId="028AA61C" w:rsidR="00FA06AB" w:rsidRPr="00642710" w:rsidRDefault="00257C38" w:rsidP="008D0E43">
            <w:pPr>
              <w:pStyle w:val="TabellHode-rad"/>
              <w:rPr>
                <w:rStyle w:val="kursiv"/>
                <w:rFonts w:eastAsia="Proxima Nova"/>
              </w:rPr>
            </w:pPr>
            <w:proofErr w:type="spellStart"/>
            <w:r w:rsidRPr="00257C38">
              <w:rPr>
                <w:rStyle w:val="kursiv"/>
                <w:rFonts w:eastAsia="Proxima Nova"/>
              </w:rPr>
              <w:t>Summary</w:t>
            </w:r>
            <w:proofErr w:type="spellEnd"/>
            <w:r w:rsidRPr="00257C38">
              <w:rPr>
                <w:rStyle w:val="kursiv"/>
                <w:rFonts w:eastAsia="Proxima Nova"/>
              </w:rPr>
              <w:t xml:space="preserve"> </w:t>
            </w:r>
            <w:proofErr w:type="spellStart"/>
            <w:r w:rsidRPr="00257C38">
              <w:rPr>
                <w:rStyle w:val="kursiv"/>
                <w:rFonts w:eastAsia="Proxima Nova"/>
              </w:rPr>
              <w:t>of</w:t>
            </w:r>
            <w:proofErr w:type="spellEnd"/>
            <w:r w:rsidRPr="00257C38">
              <w:rPr>
                <w:rStyle w:val="kursiv"/>
                <w:rFonts w:eastAsia="Proxima Nova"/>
              </w:rPr>
              <w:t xml:space="preserve"> </w:t>
            </w:r>
            <w:proofErr w:type="spellStart"/>
            <w:r w:rsidRPr="00257C38">
              <w:rPr>
                <w:rStyle w:val="kursiv"/>
                <w:rFonts w:eastAsia="Proxima Nova"/>
              </w:rPr>
              <w:t>the</w:t>
            </w:r>
            <w:proofErr w:type="spellEnd"/>
            <w:r w:rsidRPr="00257C38">
              <w:rPr>
                <w:rStyle w:val="kursiv"/>
                <w:rFonts w:eastAsia="Proxima Nova"/>
              </w:rPr>
              <w:t xml:space="preserve"> </w:t>
            </w:r>
            <w:proofErr w:type="spellStart"/>
            <w:r w:rsidRPr="00257C38">
              <w:rPr>
                <w:rStyle w:val="kursiv"/>
                <w:rFonts w:eastAsia="Proxima Nova"/>
              </w:rPr>
              <w:t>commitment</w:t>
            </w:r>
            <w:proofErr w:type="spellEnd"/>
          </w:p>
        </w:tc>
        <w:tc>
          <w:tcPr>
            <w:tcW w:w="7637" w:type="dxa"/>
            <w:gridSpan w:val="3"/>
            <w:shd w:val="clear" w:color="auto" w:fill="auto"/>
          </w:tcPr>
          <w:p w14:paraId="15CB3075" w14:textId="0B8677D8" w:rsidR="00FA06AB" w:rsidRPr="00BB441C" w:rsidRDefault="00FA06AB" w:rsidP="008D0E43">
            <w:pPr>
              <w:spacing w:line="240" w:lineRule="auto"/>
              <w:rPr>
                <w:rStyle w:val="kursiv"/>
                <w:rFonts w:eastAsia="Calibri"/>
                <w:lang w:val="en-GB"/>
              </w:rPr>
            </w:pPr>
            <w:r w:rsidRPr="00BB441C">
              <w:rPr>
                <w:rStyle w:val="kursiv"/>
                <w:rFonts w:eastAsia="Calibri"/>
                <w:lang w:val="en-GB"/>
              </w:rPr>
              <w:t>Background</w:t>
            </w:r>
          </w:p>
          <w:p w14:paraId="2F0EAC43" w14:textId="77777777" w:rsidR="00291078" w:rsidRPr="008D0E43" w:rsidRDefault="00FA06AB" w:rsidP="008D0E43">
            <w:pPr>
              <w:spacing w:line="240" w:lineRule="auto"/>
              <w:rPr>
                <w:rFonts w:eastAsia="Calibri" w:cs="Arial"/>
                <w:color w:val="000000"/>
                <w:lang w:val="en-US" w:eastAsia="en-US"/>
              </w:rPr>
            </w:pPr>
            <w:r w:rsidRPr="008D0E43">
              <w:rPr>
                <w:rFonts w:eastAsia="Calibri" w:cs="Arial"/>
                <w:color w:val="000000"/>
                <w:lang w:val="en-GB" w:eastAsia="en-US" w:bidi="en-GB"/>
              </w:rPr>
              <w:t>The Norwegian Agency for Public and Financial Management (DFØ) has the ambition to be recognised as the leading source of quantitative data on public procurement.</w:t>
            </w:r>
          </w:p>
          <w:p w14:paraId="60F3555E" w14:textId="77777777" w:rsidR="00291078" w:rsidRPr="008D0E43" w:rsidRDefault="00FA06AB" w:rsidP="008D0E43">
            <w:pPr>
              <w:spacing w:line="240" w:lineRule="auto"/>
              <w:rPr>
                <w:rFonts w:eastAsia="Calibri" w:cs="Arial"/>
                <w:color w:val="000000"/>
                <w:lang w:val="en-US" w:eastAsia="en-US"/>
              </w:rPr>
            </w:pPr>
            <w:r w:rsidRPr="008D0E43">
              <w:rPr>
                <w:rFonts w:eastAsia="Calibri" w:cs="Arial"/>
                <w:color w:val="000000"/>
                <w:lang w:val="en-GB" w:eastAsia="en-US" w:bidi="en-GB"/>
              </w:rPr>
              <w:t>In its review of Norway</w:t>
            </w:r>
            <w:r w:rsidR="0064546B">
              <w:rPr>
                <w:rFonts w:eastAsia="Calibri" w:cs="Arial"/>
                <w:color w:val="000000"/>
                <w:lang w:val="en-GB" w:eastAsia="en-US" w:bidi="en-GB"/>
              </w:rPr>
              <w:t>’</w:t>
            </w:r>
            <w:r w:rsidRPr="008D0E43">
              <w:rPr>
                <w:rFonts w:eastAsia="Calibri" w:cs="Arial"/>
                <w:color w:val="000000"/>
                <w:lang w:val="en-GB" w:eastAsia="en-US" w:bidi="en-GB"/>
              </w:rPr>
              <w:t>s public procurement system (MAPS), the OECD (2018) pointed out that one area for improvement was to invest in data collection and the development of a framework for analysing and monitoring status and performance.</w:t>
            </w:r>
          </w:p>
          <w:p w14:paraId="721EF10E" w14:textId="77777777" w:rsidR="00291078" w:rsidRPr="00BB441C" w:rsidRDefault="00FA06AB" w:rsidP="008D0E43">
            <w:pPr>
              <w:spacing w:line="240" w:lineRule="auto"/>
              <w:rPr>
                <w:rStyle w:val="kursiv"/>
                <w:rFonts w:eastAsia="Calibri"/>
                <w:lang w:val="en-GB"/>
              </w:rPr>
            </w:pPr>
            <w:r w:rsidRPr="008D0E43">
              <w:rPr>
                <w:rFonts w:eastAsia="Calibri" w:cs="Arial"/>
                <w:color w:val="000000"/>
                <w:lang w:val="en-GB" w:eastAsia="en-US" w:bidi="en-GB"/>
              </w:rPr>
              <w:t>The Office of the Auditor General</w:t>
            </w:r>
            <w:r w:rsidR="0064546B">
              <w:rPr>
                <w:rFonts w:eastAsia="Calibri" w:cs="Arial"/>
                <w:color w:val="000000"/>
                <w:lang w:val="en-GB" w:eastAsia="en-US" w:bidi="en-GB"/>
              </w:rPr>
              <w:t>’</w:t>
            </w:r>
            <w:r w:rsidRPr="008D0E43">
              <w:rPr>
                <w:rFonts w:eastAsia="Calibri" w:cs="Arial"/>
                <w:color w:val="000000"/>
                <w:lang w:val="en-GB" w:eastAsia="en-US" w:bidi="en-GB"/>
              </w:rPr>
              <w:t xml:space="preserve">s review of green procurement in 2022 also sheds light on the issue: </w:t>
            </w:r>
            <w:r w:rsidRPr="0064546B">
              <w:rPr>
                <w:rStyle w:val="kursiv"/>
                <w:rFonts w:eastAsia="Calibri"/>
                <w:lang w:val="en-GB"/>
              </w:rPr>
              <w:t xml:space="preserve">A lack of data has made it challenging to describe the scope, </w:t>
            </w:r>
            <w:proofErr w:type="gramStart"/>
            <w:r w:rsidRPr="0064546B">
              <w:rPr>
                <w:rStyle w:val="kursiv"/>
                <w:rFonts w:eastAsia="Calibri"/>
                <w:lang w:val="en-GB"/>
              </w:rPr>
              <w:t>costs</w:t>
            </w:r>
            <w:proofErr w:type="gramEnd"/>
            <w:r w:rsidRPr="0064546B">
              <w:rPr>
                <w:rStyle w:val="kursiv"/>
                <w:rFonts w:eastAsia="Calibri"/>
                <w:lang w:val="en-GB"/>
              </w:rPr>
              <w:t xml:space="preserve"> and effects of green procurement. </w:t>
            </w:r>
            <w:r w:rsidRPr="00BB441C">
              <w:rPr>
                <w:rStyle w:val="kursiv"/>
                <w:rFonts w:eastAsia="Calibri"/>
                <w:lang w:val="en-GB"/>
              </w:rPr>
              <w:t>A fundamental challenge is that the available information does not meet the need. This is due both to inadequate access to existing information sources and to the fact that the sources do not contain the necessary information about the procurements that are carried out.</w:t>
            </w:r>
          </w:p>
          <w:p w14:paraId="2812943B" w14:textId="77777777" w:rsidR="00291078" w:rsidRPr="008D0E43" w:rsidRDefault="00FA06AB" w:rsidP="008D0E43">
            <w:pPr>
              <w:spacing w:line="240" w:lineRule="auto"/>
              <w:rPr>
                <w:rFonts w:eastAsia="Calibri" w:cs="Arial"/>
                <w:color w:val="000000"/>
                <w:lang w:val="en-GB" w:eastAsia="en-US" w:bidi="en-GB"/>
              </w:rPr>
            </w:pPr>
            <w:r w:rsidRPr="008D0E43">
              <w:rPr>
                <w:rFonts w:eastAsia="Calibri" w:cs="Arial"/>
                <w:color w:val="000000"/>
                <w:lang w:val="en-GB" w:eastAsia="en-US" w:bidi="en-GB"/>
              </w:rPr>
              <w:t xml:space="preserve">DFØ was tasked in the letter of allocation for 2021 with facilitating the production of better procurement data from central government entities. In addition, they were tasked with increasing the production and use of data for efficient resource utilisation. This work was continued in </w:t>
            </w:r>
            <w:proofErr w:type="gramStart"/>
            <w:r w:rsidRPr="008D0E43">
              <w:rPr>
                <w:rFonts w:eastAsia="Calibri" w:cs="Arial"/>
                <w:color w:val="000000"/>
                <w:lang w:val="en-GB" w:eastAsia="en-US" w:bidi="en-GB"/>
              </w:rPr>
              <w:t>2022, and</w:t>
            </w:r>
            <w:proofErr w:type="gramEnd"/>
            <w:r w:rsidRPr="008D0E43">
              <w:rPr>
                <w:rFonts w:eastAsia="Calibri" w:cs="Arial"/>
                <w:color w:val="000000"/>
                <w:lang w:val="en-GB" w:eastAsia="en-US" w:bidi="en-GB"/>
              </w:rPr>
              <w:t xml:space="preserve"> forms the basis for DFØ</w:t>
            </w:r>
            <w:r w:rsidR="0064546B">
              <w:rPr>
                <w:rFonts w:eastAsia="Calibri" w:cs="Arial"/>
                <w:color w:val="000000"/>
                <w:lang w:val="en-GB" w:eastAsia="en-US" w:bidi="en-GB"/>
              </w:rPr>
              <w:t>’</w:t>
            </w:r>
            <w:r w:rsidRPr="008D0E43">
              <w:rPr>
                <w:rFonts w:eastAsia="Calibri" w:cs="Arial"/>
                <w:color w:val="000000"/>
                <w:lang w:val="en-GB" w:eastAsia="en-US" w:bidi="en-GB"/>
              </w:rPr>
              <w:t xml:space="preserve">s ambition to make data available to promote openness in public procurement. This will be done by continuously expanding data collection </w:t>
            </w:r>
            <w:proofErr w:type="gramStart"/>
            <w:r w:rsidRPr="008D0E43">
              <w:rPr>
                <w:rFonts w:eastAsia="Calibri" w:cs="Arial"/>
                <w:color w:val="000000"/>
                <w:lang w:val="en-GB" w:eastAsia="en-US" w:bidi="en-GB"/>
              </w:rPr>
              <w:t>in order to</w:t>
            </w:r>
            <w:proofErr w:type="gramEnd"/>
            <w:r w:rsidRPr="008D0E43">
              <w:rPr>
                <w:rFonts w:eastAsia="Calibri" w:cs="Arial"/>
                <w:color w:val="000000"/>
                <w:lang w:val="en-GB" w:eastAsia="en-US" w:bidi="en-GB"/>
              </w:rPr>
              <w:t xml:space="preserve"> produce information about public procurement and consumption, together with the risks and consequences that procurement may have for the economy and sustainability.</w:t>
            </w:r>
          </w:p>
          <w:p w14:paraId="6BCD75DF" w14:textId="77777777" w:rsidR="00291078" w:rsidRPr="00BB441C" w:rsidRDefault="004826D8" w:rsidP="008D0E43">
            <w:pPr>
              <w:spacing w:line="240" w:lineRule="auto"/>
              <w:rPr>
                <w:rStyle w:val="kursiv"/>
                <w:rFonts w:eastAsia="Calibri"/>
                <w:lang w:val="en-GB"/>
              </w:rPr>
            </w:pPr>
            <w:r w:rsidRPr="00BB441C">
              <w:rPr>
                <w:rStyle w:val="kursiv"/>
                <w:rFonts w:eastAsia="Calibri"/>
                <w:lang w:val="en-GB"/>
              </w:rPr>
              <w:t>Examples of data DFØ wants to make available:</w:t>
            </w:r>
          </w:p>
          <w:p w14:paraId="442FCF11" w14:textId="77777777" w:rsidR="00291078" w:rsidRPr="008D0E43" w:rsidRDefault="00FA06AB" w:rsidP="008D0E43">
            <w:pPr>
              <w:pStyle w:val="Liste"/>
              <w:rPr>
                <w:szCs w:val="22"/>
                <w:lang w:val="en-GB" w:eastAsia="en-US" w:bidi="en-GB"/>
              </w:rPr>
            </w:pPr>
            <w:r w:rsidRPr="008D0E43">
              <w:rPr>
                <w:szCs w:val="22"/>
                <w:lang w:val="en-GB" w:eastAsia="en-US" w:bidi="en-GB"/>
              </w:rPr>
              <w:lastRenderedPageBreak/>
              <w:t xml:space="preserve">Data on public announcements to obtain a better knowledge base about procurements made on </w:t>
            </w:r>
            <w:proofErr w:type="spellStart"/>
            <w:r w:rsidRPr="008D0E43">
              <w:rPr>
                <w:szCs w:val="22"/>
                <w:lang w:val="en-GB" w:eastAsia="en-US" w:bidi="en-GB"/>
              </w:rPr>
              <w:t>Doffin</w:t>
            </w:r>
            <w:proofErr w:type="spellEnd"/>
            <w:r w:rsidRPr="008D0E43">
              <w:rPr>
                <w:szCs w:val="22"/>
                <w:lang w:val="en-GB" w:eastAsia="en-US" w:bidi="en-GB"/>
              </w:rPr>
              <w:t>. This includes raw data from the Doffin.no solution, together with aggregated statistics.</w:t>
            </w:r>
          </w:p>
          <w:p w14:paraId="79279E1B" w14:textId="77777777" w:rsidR="00291078" w:rsidRPr="008D0E43" w:rsidRDefault="00FA06AB" w:rsidP="008D0E43">
            <w:pPr>
              <w:pStyle w:val="Liste"/>
              <w:rPr>
                <w:szCs w:val="22"/>
                <w:lang w:val="en-GB" w:eastAsia="en-US" w:bidi="en-GB"/>
              </w:rPr>
            </w:pPr>
            <w:r w:rsidRPr="008D0E43">
              <w:rPr>
                <w:szCs w:val="22"/>
                <w:lang w:val="en-GB" w:eastAsia="en-US" w:bidi="en-GB"/>
              </w:rPr>
              <w:t xml:space="preserve">Statistics from the use of </w:t>
            </w:r>
            <w:proofErr w:type="spellStart"/>
            <w:r w:rsidRPr="008D0E43">
              <w:rPr>
                <w:szCs w:val="22"/>
                <w:lang w:val="en-GB" w:eastAsia="en-US" w:bidi="en-GB"/>
              </w:rPr>
              <w:t>eBevis</w:t>
            </w:r>
            <w:proofErr w:type="spellEnd"/>
            <w:r w:rsidRPr="008D0E43">
              <w:rPr>
                <w:szCs w:val="22"/>
                <w:lang w:val="en-GB" w:eastAsia="en-US" w:bidi="en-GB"/>
              </w:rPr>
              <w:t xml:space="preserve">. </w:t>
            </w:r>
            <w:proofErr w:type="spellStart"/>
            <w:r w:rsidRPr="008D0E43">
              <w:rPr>
                <w:szCs w:val="22"/>
                <w:lang w:val="en-GB" w:eastAsia="en-US" w:bidi="en-GB"/>
              </w:rPr>
              <w:t>eBevis</w:t>
            </w:r>
            <w:proofErr w:type="spellEnd"/>
            <w:r w:rsidRPr="008D0E43">
              <w:rPr>
                <w:szCs w:val="22"/>
                <w:lang w:val="en-GB" w:eastAsia="en-US" w:bidi="en-GB"/>
              </w:rPr>
              <w:t xml:space="preserve"> is a service for electronic collection of documentary evidence from various public registers.</w:t>
            </w:r>
          </w:p>
          <w:p w14:paraId="7FE97754" w14:textId="77777777" w:rsidR="00291078" w:rsidRPr="008D0E43" w:rsidRDefault="00FA06AB" w:rsidP="008D0E43">
            <w:pPr>
              <w:pStyle w:val="Liste"/>
              <w:rPr>
                <w:szCs w:val="22"/>
                <w:lang w:val="en-GB" w:eastAsia="en-US" w:bidi="en-GB"/>
              </w:rPr>
            </w:pPr>
            <w:r w:rsidRPr="008D0E43">
              <w:rPr>
                <w:szCs w:val="22"/>
                <w:lang w:val="en-GB" w:eastAsia="en-US" w:bidi="en-GB"/>
              </w:rPr>
              <w:t>Statistics from accounting data and supplier information for public agencies.</w:t>
            </w:r>
          </w:p>
          <w:p w14:paraId="3A93C5BB" w14:textId="77777777" w:rsidR="00291078" w:rsidRPr="008D0E43" w:rsidRDefault="00FA06AB" w:rsidP="008D0E43">
            <w:pPr>
              <w:pStyle w:val="Liste"/>
              <w:rPr>
                <w:szCs w:val="22"/>
                <w:lang w:val="en-GB" w:eastAsia="en-US" w:bidi="en-GB"/>
              </w:rPr>
            </w:pPr>
            <w:r w:rsidRPr="008D0E43">
              <w:rPr>
                <w:szCs w:val="22"/>
                <w:lang w:val="en-GB" w:eastAsia="en-US" w:bidi="en-GB"/>
              </w:rPr>
              <w:t>Data and statistics on climate and environmentally friendly public procurement.</w:t>
            </w:r>
          </w:p>
          <w:p w14:paraId="52156648" w14:textId="77777777" w:rsidR="0064546B" w:rsidRDefault="00FA06AB" w:rsidP="008D0E43">
            <w:pPr>
              <w:pStyle w:val="Liste"/>
              <w:rPr>
                <w:szCs w:val="22"/>
                <w:lang w:val="en-GB" w:eastAsia="en-US" w:bidi="en-GB"/>
              </w:rPr>
            </w:pPr>
            <w:r w:rsidRPr="008D0E43">
              <w:rPr>
                <w:szCs w:val="22"/>
                <w:lang w:val="en-GB" w:eastAsia="en-US" w:bidi="en-GB"/>
              </w:rPr>
              <w:t>Data and statistics on the results of the procurement survey.</w:t>
            </w:r>
          </w:p>
          <w:p w14:paraId="1A01BFB6" w14:textId="77777777" w:rsidR="00FA06AB" w:rsidRPr="008D0E43" w:rsidRDefault="00FA06AB" w:rsidP="008D0E43">
            <w:pPr>
              <w:spacing w:line="240" w:lineRule="auto"/>
              <w:jc w:val="both"/>
              <w:rPr>
                <w:rFonts w:eastAsia="Proxima Nova" w:cs="Arial"/>
                <w:color w:val="434343"/>
                <w:lang w:val="en-US" w:eastAsia="en-US"/>
              </w:rPr>
            </w:pPr>
            <w:r w:rsidRPr="008D0E43">
              <w:rPr>
                <w:rFonts w:eastAsia="Calibri" w:cs="Arial"/>
                <w:color w:val="000000"/>
                <w:lang w:val="en-GB" w:eastAsia="en-US" w:bidi="en-GB"/>
              </w:rPr>
              <w:t>DFØ</w:t>
            </w:r>
            <w:r w:rsidR="0064546B">
              <w:rPr>
                <w:rFonts w:eastAsia="Calibri" w:cs="Arial"/>
                <w:color w:val="000000"/>
                <w:lang w:val="en-GB" w:eastAsia="en-US" w:bidi="en-GB"/>
              </w:rPr>
              <w:t>’</w:t>
            </w:r>
            <w:r w:rsidRPr="008D0E43">
              <w:rPr>
                <w:rFonts w:eastAsia="Calibri" w:cs="Arial"/>
                <w:color w:val="000000"/>
                <w:lang w:val="en-GB" w:eastAsia="en-US" w:bidi="en-GB"/>
              </w:rPr>
              <w:t>s ambition is to make data available in the form of statistics and finished analyses on dfo.no and anskaffelser.no, as well as open data on data.norge.no and data.dfo.no.</w:t>
            </w:r>
          </w:p>
        </w:tc>
      </w:tr>
      <w:tr w:rsidR="00FA06AB" w:rsidRPr="0064546B" w14:paraId="6EAE2D68" w14:textId="77777777" w:rsidTr="009D3DDD">
        <w:trPr>
          <w:trHeight w:val="634"/>
        </w:trPr>
        <w:tc>
          <w:tcPr>
            <w:tcW w:w="1838" w:type="dxa"/>
            <w:shd w:val="clear" w:color="auto" w:fill="auto"/>
          </w:tcPr>
          <w:p w14:paraId="1E294315" w14:textId="571DF1ED" w:rsidR="000247A1" w:rsidRPr="000D7654" w:rsidRDefault="00AD2CA5" w:rsidP="00CF3F3C">
            <w:pPr>
              <w:pStyle w:val="TabellHode-rad"/>
              <w:rPr>
                <w:rFonts w:eastAsia="Proxima Nova"/>
              </w:rPr>
            </w:pPr>
            <w:proofErr w:type="spellStart"/>
            <w:r w:rsidRPr="00385CB3">
              <w:rPr>
                <w:rStyle w:val="kursiv"/>
                <w:rFonts w:eastAsia="Proxima Nova"/>
              </w:rPr>
              <w:lastRenderedPageBreak/>
              <w:t>Summary</w:t>
            </w:r>
            <w:proofErr w:type="spellEnd"/>
            <w:r w:rsidRPr="00385CB3">
              <w:rPr>
                <w:rStyle w:val="kursiv"/>
                <w:rFonts w:eastAsia="Proxima Nova"/>
              </w:rPr>
              <w:t xml:space="preserve"> </w:t>
            </w:r>
            <w:proofErr w:type="spellStart"/>
            <w:r w:rsidRPr="00385CB3">
              <w:rPr>
                <w:rStyle w:val="kursiv"/>
                <w:rFonts w:eastAsia="Proxima Nova"/>
              </w:rPr>
              <w:t>of</w:t>
            </w:r>
            <w:proofErr w:type="spellEnd"/>
            <w:r w:rsidRPr="00385CB3">
              <w:rPr>
                <w:rStyle w:val="kursiv"/>
                <w:rFonts w:eastAsia="Proxima Nova"/>
              </w:rPr>
              <w:t xml:space="preserve"> </w:t>
            </w:r>
            <w:proofErr w:type="spellStart"/>
            <w:r w:rsidRPr="00385CB3">
              <w:rPr>
                <w:rStyle w:val="kursiv"/>
                <w:rFonts w:eastAsia="Proxima Nova"/>
              </w:rPr>
              <w:t>the</w:t>
            </w:r>
            <w:proofErr w:type="spellEnd"/>
            <w:r w:rsidRPr="00385CB3">
              <w:rPr>
                <w:rStyle w:val="kursiv"/>
                <w:rFonts w:eastAsia="Proxima Nova"/>
              </w:rPr>
              <w:t xml:space="preserve"> </w:t>
            </w:r>
            <w:proofErr w:type="spellStart"/>
            <w:r w:rsidRPr="00385CB3">
              <w:rPr>
                <w:rStyle w:val="kursiv"/>
                <w:rFonts w:eastAsia="Proxima Nova"/>
              </w:rPr>
              <w:t>commitment</w:t>
            </w:r>
            <w:proofErr w:type="spellEnd"/>
          </w:p>
        </w:tc>
        <w:tc>
          <w:tcPr>
            <w:tcW w:w="7637" w:type="dxa"/>
            <w:gridSpan w:val="3"/>
            <w:shd w:val="clear" w:color="auto" w:fill="auto"/>
          </w:tcPr>
          <w:p w14:paraId="2FFF42B0" w14:textId="77777777" w:rsidR="00FA06AB" w:rsidRPr="00F23FB2" w:rsidRDefault="00FA06AB" w:rsidP="00F23FB2">
            <w:pPr>
              <w:rPr>
                <w:rFonts w:eastAsia="Proxima Nova"/>
              </w:rPr>
            </w:pPr>
            <w:r w:rsidRPr="00F23FB2">
              <w:rPr>
                <w:rFonts w:eastAsia="Proxima Nova"/>
              </w:rPr>
              <w:t>DFØ</w:t>
            </w:r>
          </w:p>
        </w:tc>
      </w:tr>
      <w:tr w:rsidR="00FA06AB" w:rsidRPr="0064546B" w14:paraId="74422164" w14:textId="77777777" w:rsidTr="009D3DDD">
        <w:trPr>
          <w:trHeight w:val="270"/>
        </w:trPr>
        <w:tc>
          <w:tcPr>
            <w:tcW w:w="1838" w:type="dxa"/>
            <w:vMerge w:val="restart"/>
            <w:shd w:val="clear" w:color="auto" w:fill="auto"/>
          </w:tcPr>
          <w:p w14:paraId="2B10D5F6" w14:textId="77777777" w:rsidR="00FA06AB" w:rsidRPr="00642710" w:rsidRDefault="00FA06AB" w:rsidP="008D0E43">
            <w:pPr>
              <w:pStyle w:val="TabellHode-rad"/>
              <w:rPr>
                <w:rStyle w:val="kursiv"/>
                <w:rFonts w:eastAsia="Proxima Nova"/>
              </w:rPr>
            </w:pPr>
            <w:r w:rsidRPr="00642710">
              <w:rPr>
                <w:rStyle w:val="kursiv"/>
                <w:rFonts w:eastAsia="Proxima Nova"/>
              </w:rPr>
              <w:t>Stakeholders</w:t>
            </w:r>
          </w:p>
        </w:tc>
        <w:tc>
          <w:tcPr>
            <w:tcW w:w="2455" w:type="dxa"/>
            <w:shd w:val="clear" w:color="auto" w:fill="auto"/>
          </w:tcPr>
          <w:p w14:paraId="3FECF67D" w14:textId="77777777" w:rsidR="00FA06AB" w:rsidRPr="0064546B" w:rsidRDefault="00AD2CA5" w:rsidP="008D0E43">
            <w:pPr>
              <w:pStyle w:val="TabellHode-kolonne"/>
              <w:rPr>
                <w:rStyle w:val="kursiv"/>
                <w:rFonts w:eastAsia="Proxima Nova"/>
              </w:rPr>
            </w:pPr>
            <w:proofErr w:type="spellStart"/>
            <w:r w:rsidRPr="0064546B">
              <w:rPr>
                <w:rStyle w:val="kursiv"/>
                <w:rFonts w:eastAsia="Proxima Nova"/>
              </w:rPr>
              <w:t>Authorities</w:t>
            </w:r>
            <w:proofErr w:type="spellEnd"/>
          </w:p>
        </w:tc>
        <w:tc>
          <w:tcPr>
            <w:tcW w:w="2591" w:type="dxa"/>
            <w:shd w:val="clear" w:color="auto" w:fill="auto"/>
          </w:tcPr>
          <w:p w14:paraId="00B8F520" w14:textId="77777777" w:rsidR="00FA06AB" w:rsidRPr="0064546B" w:rsidRDefault="00FA06AB" w:rsidP="008D0E43">
            <w:pPr>
              <w:pStyle w:val="TabellHode-kolonne"/>
              <w:rPr>
                <w:rStyle w:val="kursiv"/>
                <w:rFonts w:eastAsia="Proxima Nova"/>
              </w:rPr>
            </w:pPr>
            <w:proofErr w:type="spellStart"/>
            <w:r w:rsidRPr="0064546B">
              <w:rPr>
                <w:rStyle w:val="kursiv"/>
                <w:rFonts w:eastAsia="Proxima Nova"/>
              </w:rPr>
              <w:t>Civil</w:t>
            </w:r>
            <w:proofErr w:type="spellEnd"/>
            <w:r w:rsidRPr="0064546B">
              <w:rPr>
                <w:rStyle w:val="kursiv"/>
                <w:rFonts w:eastAsia="Proxima Nova"/>
              </w:rPr>
              <w:t xml:space="preserve"> </w:t>
            </w:r>
            <w:proofErr w:type="spellStart"/>
            <w:r w:rsidRPr="0064546B">
              <w:rPr>
                <w:rStyle w:val="kursiv"/>
                <w:rFonts w:eastAsia="Proxima Nova"/>
              </w:rPr>
              <w:t>society</w:t>
            </w:r>
            <w:proofErr w:type="spellEnd"/>
          </w:p>
        </w:tc>
        <w:tc>
          <w:tcPr>
            <w:tcW w:w="2591" w:type="dxa"/>
            <w:shd w:val="clear" w:color="auto" w:fill="auto"/>
          </w:tcPr>
          <w:p w14:paraId="52A08CB0" w14:textId="77777777" w:rsidR="00FA06AB" w:rsidRPr="0064546B" w:rsidRDefault="00FA06AB" w:rsidP="008D0E43">
            <w:pPr>
              <w:pStyle w:val="TabellHode-kolonne"/>
              <w:rPr>
                <w:rStyle w:val="kursiv"/>
                <w:rFonts w:eastAsia="Proxima Nova"/>
              </w:rPr>
            </w:pPr>
            <w:proofErr w:type="spellStart"/>
            <w:r w:rsidRPr="0064546B">
              <w:rPr>
                <w:rStyle w:val="kursiv"/>
                <w:rFonts w:eastAsia="Proxima Nova"/>
              </w:rPr>
              <w:t>Others</w:t>
            </w:r>
            <w:proofErr w:type="spellEnd"/>
            <w:r w:rsidRPr="0064546B">
              <w:rPr>
                <w:rStyle w:val="kursiv"/>
                <w:rFonts w:eastAsia="Proxima Nova"/>
              </w:rPr>
              <w:t xml:space="preserve"> (</w:t>
            </w:r>
            <w:proofErr w:type="spellStart"/>
            <w:r w:rsidRPr="0064546B">
              <w:rPr>
                <w:rStyle w:val="kursiv"/>
                <w:rFonts w:eastAsia="Proxima Nova"/>
              </w:rPr>
              <w:t>parliament</w:t>
            </w:r>
            <w:proofErr w:type="spellEnd"/>
            <w:r w:rsidRPr="0064546B">
              <w:rPr>
                <w:rStyle w:val="kursiv"/>
                <w:rFonts w:eastAsia="Proxima Nova"/>
              </w:rPr>
              <w:t xml:space="preserve">, private </w:t>
            </w:r>
            <w:proofErr w:type="spellStart"/>
            <w:r w:rsidRPr="0064546B">
              <w:rPr>
                <w:rStyle w:val="kursiv"/>
                <w:rFonts w:eastAsia="Proxima Nova"/>
              </w:rPr>
              <w:t>sector</w:t>
            </w:r>
            <w:proofErr w:type="spellEnd"/>
            <w:r w:rsidRPr="0064546B">
              <w:rPr>
                <w:rStyle w:val="kursiv"/>
                <w:rFonts w:eastAsia="Proxima Nova"/>
              </w:rPr>
              <w:t>, etc.)</w:t>
            </w:r>
          </w:p>
        </w:tc>
      </w:tr>
      <w:tr w:rsidR="00291078" w:rsidRPr="0064546B" w14:paraId="2D6E1CAC" w14:textId="77777777" w:rsidTr="009D3DDD">
        <w:trPr>
          <w:trHeight w:val="755"/>
        </w:trPr>
        <w:tc>
          <w:tcPr>
            <w:tcW w:w="1838" w:type="dxa"/>
            <w:vMerge/>
            <w:shd w:val="clear" w:color="auto" w:fill="auto"/>
          </w:tcPr>
          <w:p w14:paraId="2807DC63" w14:textId="77777777" w:rsidR="00FA06AB" w:rsidRPr="0064546B" w:rsidRDefault="00FA06AB" w:rsidP="008D0E43">
            <w:pPr>
              <w:widowControl w:val="0"/>
              <w:rPr>
                <w:rFonts w:eastAsia="Proxima Nova"/>
              </w:rPr>
            </w:pPr>
          </w:p>
        </w:tc>
        <w:tc>
          <w:tcPr>
            <w:tcW w:w="2455" w:type="dxa"/>
            <w:shd w:val="clear" w:color="auto" w:fill="auto"/>
          </w:tcPr>
          <w:p w14:paraId="509E7A89" w14:textId="77777777" w:rsidR="00FA06AB" w:rsidRPr="00BB441C" w:rsidRDefault="002166AA" w:rsidP="008D0E43">
            <w:pPr>
              <w:spacing w:line="240" w:lineRule="auto"/>
              <w:rPr>
                <w:rFonts w:eastAsia="Proxima Nova"/>
                <w:lang w:val="en-GB"/>
              </w:rPr>
            </w:pPr>
            <w:r w:rsidRPr="00BB441C">
              <w:rPr>
                <w:rFonts w:eastAsia="Proxima Nova"/>
                <w:lang w:val="en-GB"/>
              </w:rPr>
              <w:t>Ministry of Trade, Industry and Fisheries (NFD)</w:t>
            </w:r>
            <w:r w:rsidR="00FA06AB" w:rsidRPr="00BB441C">
              <w:rPr>
                <w:rFonts w:eastAsia="Proxima Nova"/>
                <w:lang w:val="en-GB"/>
              </w:rPr>
              <w:t>/</w:t>
            </w:r>
            <w:r w:rsidRPr="00BB441C">
              <w:rPr>
                <w:rFonts w:eastAsia="Calibri"/>
                <w:lang w:val="en-GB"/>
              </w:rPr>
              <w:t xml:space="preserve"> </w:t>
            </w:r>
            <w:r w:rsidRPr="00BB441C">
              <w:rPr>
                <w:rFonts w:eastAsia="Proxima Nova"/>
                <w:lang w:val="en-GB"/>
              </w:rPr>
              <w:t>The Norwegian Agency for Public and Financial Management (DFØ)/Department of National IT Policy and Public governance (</w:t>
            </w:r>
            <w:r w:rsidR="00FA06AB" w:rsidRPr="00BB441C">
              <w:rPr>
                <w:rFonts w:eastAsia="Proxima Nova"/>
                <w:lang w:val="en-GB"/>
              </w:rPr>
              <w:t>DFD</w:t>
            </w:r>
            <w:r w:rsidRPr="00BB441C">
              <w:rPr>
                <w:rFonts w:eastAsia="Proxima Nova"/>
                <w:lang w:val="en-GB"/>
              </w:rPr>
              <w:t>).</w:t>
            </w:r>
            <w:r w:rsidR="00FA06AB" w:rsidRPr="00BB441C">
              <w:rPr>
                <w:rFonts w:eastAsia="Proxima Nova"/>
                <w:lang w:val="en-GB"/>
              </w:rPr>
              <w:t xml:space="preserve"> </w:t>
            </w:r>
          </w:p>
        </w:tc>
        <w:tc>
          <w:tcPr>
            <w:tcW w:w="2591" w:type="dxa"/>
            <w:shd w:val="clear" w:color="auto" w:fill="auto"/>
          </w:tcPr>
          <w:p w14:paraId="6ACFB8ED" w14:textId="77777777" w:rsidR="00FA06AB" w:rsidRPr="0064546B" w:rsidRDefault="00FA06AB" w:rsidP="008D0E43">
            <w:pPr>
              <w:spacing w:line="240" w:lineRule="auto"/>
              <w:rPr>
                <w:rFonts w:eastAsia="Proxima Nova"/>
              </w:rPr>
            </w:pPr>
            <w:proofErr w:type="spellStart"/>
            <w:r w:rsidRPr="0064546B">
              <w:rPr>
                <w:rFonts w:eastAsia="Proxima Nova"/>
              </w:rPr>
              <w:t>Transparency</w:t>
            </w:r>
            <w:proofErr w:type="spellEnd"/>
            <w:r w:rsidRPr="0064546B">
              <w:rPr>
                <w:rFonts w:eastAsia="Proxima Nova"/>
              </w:rPr>
              <w:t xml:space="preserve"> International Norge</w:t>
            </w:r>
          </w:p>
        </w:tc>
        <w:tc>
          <w:tcPr>
            <w:tcW w:w="2591" w:type="dxa"/>
            <w:shd w:val="clear" w:color="auto" w:fill="auto"/>
          </w:tcPr>
          <w:p w14:paraId="3DF65029" w14:textId="77777777" w:rsidR="00FA06AB" w:rsidRPr="0064546B" w:rsidRDefault="00FA06AB" w:rsidP="008D0E43">
            <w:pPr>
              <w:spacing w:line="240" w:lineRule="auto"/>
              <w:rPr>
                <w:rFonts w:eastAsia="Proxima Nova"/>
              </w:rPr>
            </w:pPr>
          </w:p>
        </w:tc>
      </w:tr>
      <w:tr w:rsidR="00FA06AB" w:rsidRPr="008D0E43" w14:paraId="257B54B0" w14:textId="77777777" w:rsidTr="009D3DDD">
        <w:tc>
          <w:tcPr>
            <w:tcW w:w="1838" w:type="dxa"/>
            <w:shd w:val="clear" w:color="auto" w:fill="auto"/>
          </w:tcPr>
          <w:p w14:paraId="744EBBE9" w14:textId="77777777" w:rsidR="00291078" w:rsidRPr="00642710" w:rsidRDefault="00FA06AB" w:rsidP="008D0E43">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p>
          <w:p w14:paraId="0B8BDA26" w14:textId="77777777" w:rsidR="00FA06AB" w:rsidRPr="0064546B" w:rsidRDefault="00FA06AB" w:rsidP="008D0E43">
            <w:pPr>
              <w:pStyle w:val="TabellHode-rad"/>
              <w:rPr>
                <w:rFonts w:eastAsia="Proxima Nova"/>
              </w:rPr>
            </w:pPr>
            <w:r w:rsidRPr="00642710">
              <w:rPr>
                <w:rStyle w:val="kursiv"/>
                <w:rFonts w:eastAsia="Proxima Nova"/>
              </w:rPr>
              <w:t>(to</w:t>
            </w:r>
            <w:r w:rsidR="00291078" w:rsidRPr="00642710">
              <w:rPr>
                <w:rStyle w:val="kursiv"/>
                <w:rFonts w:eastAsia="Proxima Nova"/>
              </w:rPr>
              <w:t xml:space="preserve"> – </w:t>
            </w:r>
            <w:r w:rsidRPr="00642710">
              <w:rPr>
                <w:rStyle w:val="kursiv"/>
                <w:rFonts w:eastAsia="Proxima Nova"/>
              </w:rPr>
              <w:t>from)</w:t>
            </w:r>
            <w:r w:rsidR="00291078" w:rsidRPr="00642710">
              <w:rPr>
                <w:rStyle w:val="kursiv"/>
                <w:rFonts w:eastAsia="Proxima Nova"/>
              </w:rPr>
              <w:t xml:space="preserve"> </w:t>
            </w:r>
          </w:p>
        </w:tc>
        <w:tc>
          <w:tcPr>
            <w:tcW w:w="7637" w:type="dxa"/>
            <w:gridSpan w:val="3"/>
            <w:shd w:val="clear" w:color="auto" w:fill="auto"/>
          </w:tcPr>
          <w:p w14:paraId="0F3CAB11" w14:textId="77777777" w:rsidR="00FA06AB" w:rsidRPr="008D0E43" w:rsidRDefault="00FA06AB" w:rsidP="008D0E43">
            <w:pPr>
              <w:spacing w:line="240" w:lineRule="auto"/>
              <w:rPr>
                <w:rFonts w:eastAsia="Proxima Nova" w:cs="Arial"/>
                <w:color w:val="000000"/>
                <w:lang w:val="nn-NO" w:eastAsia="en-US"/>
              </w:rPr>
            </w:pPr>
            <w:r w:rsidRPr="008D0E43">
              <w:rPr>
                <w:rFonts w:eastAsia="Proxima Nova" w:cs="Arial"/>
                <w:color w:val="000000"/>
                <w:lang w:eastAsia="en-US" w:bidi="en-GB"/>
              </w:rPr>
              <w:t>2023</w:t>
            </w:r>
            <w:r w:rsidR="00642710">
              <w:rPr>
                <w:rFonts w:eastAsia="Proxima Nova" w:cs="Arial"/>
                <w:color w:val="000000"/>
                <w:lang w:eastAsia="en-US" w:bidi="en-GB"/>
              </w:rPr>
              <w:t>–</w:t>
            </w:r>
            <w:r w:rsidRPr="008D0E43">
              <w:rPr>
                <w:rFonts w:eastAsia="Proxima Nova" w:cs="Arial"/>
                <w:color w:val="000000"/>
                <w:lang w:eastAsia="en-US" w:bidi="en-GB"/>
              </w:rPr>
              <w:t>2024</w:t>
            </w:r>
          </w:p>
        </w:tc>
      </w:tr>
    </w:tbl>
    <w:p w14:paraId="076CAF8B" w14:textId="77777777" w:rsidR="009D3DDD" w:rsidRDefault="009D3DDD" w:rsidP="009D3DDD">
      <w:pPr>
        <w:rPr>
          <w:lang w:val="en-US" w:bidi="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D75614" w:rsidRPr="0064546B" w14:paraId="1487E1E6" w14:textId="77777777" w:rsidTr="00182400">
        <w:trPr>
          <w:trHeight w:val="348"/>
        </w:trPr>
        <w:tc>
          <w:tcPr>
            <w:tcW w:w="9450" w:type="dxa"/>
            <w:shd w:val="clear" w:color="auto" w:fill="auto"/>
          </w:tcPr>
          <w:p w14:paraId="6F972589" w14:textId="0F95C259" w:rsidR="00D75614" w:rsidRPr="0064546B" w:rsidRDefault="00D75614" w:rsidP="00182400">
            <w:pPr>
              <w:pStyle w:val="TabellHode-kolonne"/>
              <w:rPr>
                <w:rStyle w:val="halvfet"/>
                <w:rFonts w:eastAsia="Proxima Nova"/>
              </w:rPr>
            </w:pPr>
            <w:proofErr w:type="spellStart"/>
            <w:r w:rsidRPr="0064546B">
              <w:rPr>
                <w:rStyle w:val="halvfet"/>
                <w:rFonts w:eastAsia="Proxima Nova"/>
              </w:rPr>
              <w:t>Description</w:t>
            </w:r>
            <w:proofErr w:type="spellEnd"/>
            <w:r w:rsidRPr="0064546B">
              <w:rPr>
                <w:rStyle w:val="halvfet"/>
                <w:rFonts w:eastAsia="Proxima Nova"/>
              </w:rPr>
              <w:t xml:space="preserve"> </w:t>
            </w:r>
            <w:proofErr w:type="spellStart"/>
            <w:r w:rsidRPr="0064546B">
              <w:rPr>
                <w:rStyle w:val="halvfet"/>
                <w:rFonts w:eastAsia="Proxima Nova"/>
              </w:rPr>
              <w:t>of</w:t>
            </w:r>
            <w:proofErr w:type="spellEnd"/>
            <w:r w:rsidRPr="0064546B">
              <w:rPr>
                <w:rStyle w:val="halvfet"/>
                <w:rFonts w:eastAsia="Proxima Nova"/>
              </w:rPr>
              <w:t xml:space="preserve"> </w:t>
            </w:r>
            <w:proofErr w:type="spellStart"/>
            <w:r w:rsidRPr="0064546B">
              <w:rPr>
                <w:rStyle w:val="halvfet"/>
                <w:rFonts w:eastAsia="Proxima Nova"/>
              </w:rPr>
              <w:t>the</w:t>
            </w:r>
            <w:proofErr w:type="spellEnd"/>
            <w:r w:rsidRPr="0064546B">
              <w:rPr>
                <w:rStyle w:val="halvfet"/>
                <w:rFonts w:eastAsia="Proxima Nova"/>
              </w:rPr>
              <w:t xml:space="preserve"> problem</w:t>
            </w:r>
          </w:p>
        </w:tc>
      </w:tr>
      <w:tr w:rsidR="00D75614" w:rsidRPr="00BB441C" w14:paraId="26A97A8D" w14:textId="77777777" w:rsidTr="00182400">
        <w:trPr>
          <w:trHeight w:val="10890"/>
        </w:trPr>
        <w:tc>
          <w:tcPr>
            <w:tcW w:w="9450" w:type="dxa"/>
            <w:shd w:val="clear" w:color="auto" w:fill="auto"/>
          </w:tcPr>
          <w:p w14:paraId="3BF1E209" w14:textId="77777777" w:rsidR="00D75614" w:rsidRPr="008D0E43" w:rsidRDefault="008B0AA1" w:rsidP="008B0AA1">
            <w:pPr>
              <w:pStyle w:val="avsnitt-undertittel"/>
              <w:rPr>
                <w:lang w:val="en-GB" w:eastAsia="en-US"/>
              </w:rPr>
            </w:pPr>
            <w:r w:rsidRPr="008D0E43">
              <w:rPr>
                <w:bCs/>
                <w:lang w:val="en-GB" w:eastAsia="en-US"/>
              </w:rPr>
              <w:lastRenderedPageBreak/>
              <w:t>1.</w:t>
            </w:r>
            <w:r w:rsidRPr="008D0E43">
              <w:rPr>
                <w:bCs/>
                <w:lang w:val="en-GB" w:eastAsia="en-US"/>
              </w:rPr>
              <w:tab/>
            </w:r>
            <w:r w:rsidR="00D75614" w:rsidRPr="008D0E43">
              <w:rPr>
                <w:lang w:val="en-GB" w:eastAsia="en-US"/>
              </w:rPr>
              <w:t>What problems will the commitment solve?</w:t>
            </w:r>
          </w:p>
          <w:p w14:paraId="497956ED" w14:textId="77777777" w:rsidR="00D75614" w:rsidRPr="008D0E43" w:rsidRDefault="00D75614" w:rsidP="00182400">
            <w:pPr>
              <w:rPr>
                <w:rFonts w:eastAsia="Calibri"/>
                <w:lang w:val="en-GB" w:eastAsia="en-US" w:bidi="en-GB"/>
              </w:rPr>
            </w:pPr>
            <w:r w:rsidRPr="008D0E43">
              <w:rPr>
                <w:rFonts w:eastAsia="Calibri"/>
                <w:lang w:val="en-GB" w:eastAsia="en-US" w:bidi="en-GB"/>
              </w:rPr>
              <w:t>The need for better data on public procurement has previously been mentioned by, among others, the OECD and the Office of the Auditor General, as well as in DFØ</w:t>
            </w:r>
            <w:r>
              <w:rPr>
                <w:rFonts w:eastAsia="Calibri"/>
                <w:lang w:val="en-GB" w:eastAsia="en-US" w:bidi="en-GB"/>
              </w:rPr>
              <w:t>’</w:t>
            </w:r>
            <w:r w:rsidRPr="008D0E43">
              <w:rPr>
                <w:rFonts w:eastAsia="Calibri"/>
                <w:lang w:val="en-GB" w:eastAsia="en-US" w:bidi="en-GB"/>
              </w:rPr>
              <w:t>s letter of allocation. Data on public procurement can meet the needs of several target groups for access and knowledge, for example through insight into public agencies</w:t>
            </w:r>
            <w:r>
              <w:rPr>
                <w:rFonts w:eastAsia="Calibri"/>
                <w:lang w:val="en-GB" w:eastAsia="en-US" w:bidi="en-GB"/>
              </w:rPr>
              <w:t>’</w:t>
            </w:r>
            <w:r w:rsidRPr="008D0E43">
              <w:rPr>
                <w:rFonts w:eastAsia="Calibri"/>
                <w:lang w:val="en-GB" w:eastAsia="en-US" w:bidi="en-GB"/>
              </w:rPr>
              <w:t xml:space="preserve"> procurement practices and their effects.</w:t>
            </w:r>
          </w:p>
          <w:p w14:paraId="4F088BE7" w14:textId="77777777" w:rsidR="00D75614" w:rsidRPr="008D0E43" w:rsidRDefault="00D75614" w:rsidP="00182400">
            <w:pPr>
              <w:rPr>
                <w:rFonts w:eastAsia="Calibri"/>
                <w:lang w:val="en-US" w:eastAsia="en-US"/>
              </w:rPr>
            </w:pPr>
            <w:r w:rsidRPr="008D0E43">
              <w:rPr>
                <w:rFonts w:eastAsia="Calibri"/>
                <w:lang w:val="en-GB" w:eastAsia="en-US" w:bidi="en-GB"/>
              </w:rPr>
              <w:t>There is a need for knowledge about the management of public procurement. This knowledge is needed both as a basis for overarching policy formulation and to follow up on overarching political goals. In addition, public agencies need data to be able to manage their procurement effectively and efficiently. To obtain a comprehensive picture of the agencies</w:t>
            </w:r>
            <w:r>
              <w:rPr>
                <w:rFonts w:eastAsia="Calibri"/>
                <w:lang w:val="en-GB" w:eastAsia="en-US" w:bidi="en-GB"/>
              </w:rPr>
              <w:t>’</w:t>
            </w:r>
            <w:r w:rsidRPr="008D0E43">
              <w:rPr>
                <w:rFonts w:eastAsia="Calibri"/>
                <w:lang w:val="en-GB" w:eastAsia="en-US" w:bidi="en-GB"/>
              </w:rPr>
              <w:t xml:space="preserve"> procurement costs, systematic procurement analyses must be prepared that show who buys what and from which suppliers (spend analysis).</w:t>
            </w:r>
          </w:p>
          <w:p w14:paraId="15EBF38A" w14:textId="77777777" w:rsidR="00D75614" w:rsidRPr="008D0E43" w:rsidRDefault="00D75614" w:rsidP="00182400">
            <w:pPr>
              <w:rPr>
                <w:rFonts w:eastAsia="Calibri"/>
                <w:lang w:val="en-GB" w:eastAsia="en-US" w:bidi="en-GB"/>
              </w:rPr>
            </w:pPr>
            <w:r w:rsidRPr="008D0E43">
              <w:rPr>
                <w:rFonts w:eastAsia="Calibri"/>
                <w:lang w:val="en-GB" w:eastAsia="en-US" w:bidi="en-GB"/>
              </w:rPr>
              <w:t xml:space="preserve">At the same time, open administration is important for democracy because it helps to maintain a high level of public confidence that public funds are used efficiently. Statistics and data on completed procurements will give the public better knowledge of the scope, </w:t>
            </w:r>
            <w:proofErr w:type="gramStart"/>
            <w:r w:rsidRPr="008D0E43">
              <w:rPr>
                <w:rFonts w:eastAsia="Calibri"/>
                <w:lang w:val="en-GB" w:eastAsia="en-US" w:bidi="en-GB"/>
              </w:rPr>
              <w:t>type</w:t>
            </w:r>
            <w:proofErr w:type="gramEnd"/>
            <w:r w:rsidRPr="008D0E43">
              <w:rPr>
                <w:rFonts w:eastAsia="Calibri"/>
                <w:lang w:val="en-GB" w:eastAsia="en-US" w:bidi="en-GB"/>
              </w:rPr>
              <w:t xml:space="preserve"> and nature of procurements and who (at a general level) is awarded public contracts. This is information that can contribute to improved access to and control of public expenditure.</w:t>
            </w:r>
          </w:p>
          <w:p w14:paraId="17EAA7B6" w14:textId="77777777" w:rsidR="00D75614" w:rsidRPr="008D0E43" w:rsidRDefault="00D75614" w:rsidP="00182400">
            <w:pPr>
              <w:rPr>
                <w:rFonts w:eastAsia="Calibri"/>
                <w:lang w:val="en-US" w:eastAsia="en-US"/>
              </w:rPr>
            </w:pPr>
            <w:r w:rsidRPr="008D0E43">
              <w:rPr>
                <w:rFonts w:eastAsia="Calibri"/>
                <w:lang w:val="en-GB" w:eastAsia="en-US" w:bidi="en-GB"/>
              </w:rPr>
              <w:t xml:space="preserve">The initiative will provide the target groups with better insight through data and statistics, especially in the areas of announcements on </w:t>
            </w:r>
            <w:proofErr w:type="spellStart"/>
            <w:r w:rsidRPr="008D0E43">
              <w:rPr>
                <w:rFonts w:eastAsia="Calibri"/>
                <w:lang w:val="en-GB" w:eastAsia="en-US" w:bidi="en-GB"/>
              </w:rPr>
              <w:t>Doffin</w:t>
            </w:r>
            <w:proofErr w:type="spellEnd"/>
            <w:r w:rsidRPr="008D0E43">
              <w:rPr>
                <w:rFonts w:eastAsia="Calibri"/>
                <w:lang w:val="en-GB" w:eastAsia="en-US" w:bidi="en-GB"/>
              </w:rPr>
              <w:t>, accounting data and supplier information, climate and environmentally friendly procurements, and public agencies</w:t>
            </w:r>
            <w:r>
              <w:rPr>
                <w:rFonts w:eastAsia="Calibri"/>
                <w:lang w:val="en-GB" w:eastAsia="en-US" w:bidi="en-GB"/>
              </w:rPr>
              <w:t>’</w:t>
            </w:r>
            <w:r w:rsidRPr="008D0E43">
              <w:rPr>
                <w:rFonts w:eastAsia="Calibri"/>
                <w:lang w:val="en-GB" w:eastAsia="en-US" w:bidi="en-GB"/>
              </w:rPr>
              <w:t xml:space="preserve"> procurement work.</w:t>
            </w:r>
          </w:p>
          <w:p w14:paraId="2030BBE6" w14:textId="77777777" w:rsidR="00D75614" w:rsidRPr="008D0E43" w:rsidRDefault="008B0AA1" w:rsidP="008B0AA1">
            <w:pPr>
              <w:pStyle w:val="avsnitt-undertittel"/>
              <w:rPr>
                <w:lang w:val="en-GB" w:eastAsia="en-US"/>
              </w:rPr>
            </w:pPr>
            <w:r w:rsidRPr="008D0E43">
              <w:rPr>
                <w:bCs/>
                <w:lang w:val="en-GB" w:eastAsia="en-US"/>
              </w:rPr>
              <w:t>2.</w:t>
            </w:r>
            <w:r w:rsidRPr="008D0E43">
              <w:rPr>
                <w:bCs/>
                <w:lang w:val="en-GB" w:eastAsia="en-US"/>
              </w:rPr>
              <w:tab/>
            </w:r>
            <w:r w:rsidR="00D75614" w:rsidRPr="008D0E43">
              <w:rPr>
                <w:lang w:val="en-GB" w:eastAsia="en-US"/>
              </w:rPr>
              <w:t>What is the cause of the problem?</w:t>
            </w:r>
          </w:p>
          <w:p w14:paraId="08A524AD" w14:textId="77777777" w:rsidR="00D75614" w:rsidRPr="00D75614" w:rsidRDefault="00D75614" w:rsidP="00182400">
            <w:pPr>
              <w:spacing w:line="240" w:lineRule="auto"/>
              <w:ind w:left="-42"/>
              <w:rPr>
                <w:rStyle w:val="halvfet"/>
                <w:rFonts w:eastAsia="Proxima Nova"/>
                <w:lang w:val="en-GB"/>
              </w:rPr>
            </w:pPr>
            <w:r w:rsidRPr="008D0E43">
              <w:rPr>
                <w:rFonts w:eastAsia="Proxima Nova" w:cs="Arial"/>
                <w:color w:val="000000"/>
                <w:lang w:val="en-GB" w:eastAsia="en-US" w:bidi="en-GB"/>
              </w:rPr>
              <w:t>The problem is caused by:</w:t>
            </w:r>
          </w:p>
          <w:p w14:paraId="427CA437" w14:textId="77777777" w:rsidR="00D75614" w:rsidRPr="008D0E43" w:rsidRDefault="00D75614" w:rsidP="00182400">
            <w:pPr>
              <w:pStyle w:val="Liste"/>
              <w:rPr>
                <w:szCs w:val="22"/>
                <w:lang w:val="en-GB" w:eastAsia="en-US" w:bidi="en-GB"/>
              </w:rPr>
            </w:pPr>
            <w:r w:rsidRPr="008D0E43">
              <w:rPr>
                <w:szCs w:val="22"/>
                <w:lang w:val="en-GB" w:eastAsia="en-US" w:bidi="en-GB"/>
              </w:rPr>
              <w:t>Access to data: often proprietary or entity-specific data is difficult to export or transfer due to legal obstacles or because it is technically labour-intensive.</w:t>
            </w:r>
          </w:p>
          <w:p w14:paraId="42B4A1A1" w14:textId="77777777" w:rsidR="00D75614" w:rsidRPr="008D0E43" w:rsidRDefault="00D75614" w:rsidP="00182400">
            <w:pPr>
              <w:pStyle w:val="Liste"/>
              <w:rPr>
                <w:rFonts w:eastAsia="Calibri" w:cs="Arial"/>
                <w:color w:val="000000"/>
                <w:szCs w:val="22"/>
                <w:lang w:val="en-US" w:eastAsia="en-US"/>
              </w:rPr>
            </w:pPr>
            <w:r w:rsidRPr="008D0E43">
              <w:rPr>
                <w:szCs w:val="22"/>
                <w:lang w:val="en-GB" w:eastAsia="en-US" w:bidi="en-GB"/>
              </w:rPr>
              <w:t xml:space="preserve">Technical data management solutions in DFØ: data management, both a technical data platform and expertise for operation and development, requires capacity and resources. The goal is to establish stable and secure framework conditions for the management of procurement-relevant data that enables dissemination and accessibility. </w:t>
            </w:r>
          </w:p>
        </w:tc>
      </w:tr>
    </w:tbl>
    <w:p w14:paraId="4ECF3DA0" w14:textId="77777777" w:rsidR="00D75614" w:rsidRDefault="00D75614" w:rsidP="009D3DDD">
      <w:pPr>
        <w:rPr>
          <w:lang w:val="en-GB" w:bidi="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D75614" w:rsidRPr="0064546B" w14:paraId="54C3A8F5" w14:textId="77777777" w:rsidTr="00182400">
        <w:tc>
          <w:tcPr>
            <w:tcW w:w="9450" w:type="dxa"/>
            <w:shd w:val="clear" w:color="auto" w:fill="auto"/>
          </w:tcPr>
          <w:p w14:paraId="7F7C0B1F" w14:textId="77777777" w:rsidR="00D75614" w:rsidRPr="0064546B" w:rsidRDefault="00D75614" w:rsidP="00182400">
            <w:pPr>
              <w:pStyle w:val="TabellHode-kolonne"/>
              <w:rPr>
                <w:rStyle w:val="halvfet"/>
                <w:rFonts w:eastAsia="Proxima Nova"/>
              </w:rPr>
            </w:pPr>
            <w:proofErr w:type="spellStart"/>
            <w:r w:rsidRPr="002D48F8">
              <w:rPr>
                <w:rStyle w:val="halvfet"/>
                <w:rFonts w:eastAsia="Proxima Nova"/>
              </w:rPr>
              <w:lastRenderedPageBreak/>
              <w:t>Description</w:t>
            </w:r>
            <w:proofErr w:type="spellEnd"/>
            <w:r w:rsidRPr="002D48F8">
              <w:rPr>
                <w:rStyle w:val="halvfet"/>
                <w:rFonts w:eastAsia="Proxima Nova"/>
              </w:rPr>
              <w:t xml:space="preserve"> </w:t>
            </w:r>
            <w:proofErr w:type="spellStart"/>
            <w:r w:rsidRPr="002D48F8">
              <w:rPr>
                <w:rStyle w:val="halvfet"/>
                <w:rFonts w:eastAsia="Proxima Nova"/>
              </w:rPr>
              <w:t>of</w:t>
            </w:r>
            <w:proofErr w:type="spellEnd"/>
            <w:r w:rsidRPr="002D48F8">
              <w:rPr>
                <w:rStyle w:val="halvfet"/>
                <w:rFonts w:eastAsia="Proxima Nova"/>
              </w:rPr>
              <w:t xml:space="preserve"> </w:t>
            </w:r>
            <w:proofErr w:type="spellStart"/>
            <w:r w:rsidRPr="002D48F8">
              <w:rPr>
                <w:rStyle w:val="halvfet"/>
                <w:rFonts w:eastAsia="Proxima Nova"/>
              </w:rPr>
              <w:t>the</w:t>
            </w:r>
            <w:proofErr w:type="spellEnd"/>
            <w:r w:rsidRPr="002D48F8">
              <w:rPr>
                <w:rStyle w:val="halvfet"/>
                <w:rFonts w:eastAsia="Proxima Nova"/>
              </w:rPr>
              <w:t xml:space="preserve"> </w:t>
            </w:r>
            <w:proofErr w:type="spellStart"/>
            <w:r w:rsidRPr="002D48F8">
              <w:rPr>
                <w:rStyle w:val="halvfet"/>
                <w:rFonts w:eastAsia="Proxima Nova"/>
              </w:rPr>
              <w:t>commitment</w:t>
            </w:r>
            <w:proofErr w:type="spellEnd"/>
            <w:r w:rsidRPr="002D48F8">
              <w:rPr>
                <w:rStyle w:val="halvfet"/>
                <w:rFonts w:eastAsia="Proxima Nova"/>
              </w:rPr>
              <w:t xml:space="preserve"> </w:t>
            </w:r>
          </w:p>
        </w:tc>
      </w:tr>
      <w:tr w:rsidR="00D75614" w:rsidRPr="00BB441C" w14:paraId="77AAB768" w14:textId="77777777" w:rsidTr="00182400">
        <w:trPr>
          <w:trHeight w:val="4710"/>
        </w:trPr>
        <w:tc>
          <w:tcPr>
            <w:tcW w:w="9450" w:type="dxa"/>
            <w:shd w:val="clear" w:color="auto" w:fill="auto"/>
          </w:tcPr>
          <w:p w14:paraId="7135B337" w14:textId="77777777" w:rsidR="00D75614" w:rsidRPr="008D0E43" w:rsidRDefault="008B0AA1" w:rsidP="008B0AA1">
            <w:pPr>
              <w:pStyle w:val="avsnitt-undertittel"/>
              <w:rPr>
                <w:lang w:val="en-GB" w:eastAsia="en-US"/>
              </w:rPr>
            </w:pPr>
            <w:r w:rsidRPr="008D0E43">
              <w:rPr>
                <w:bCs/>
                <w:lang w:val="en-GB" w:eastAsia="en-US"/>
              </w:rPr>
              <w:t>1.</w:t>
            </w:r>
            <w:r w:rsidRPr="008D0E43">
              <w:rPr>
                <w:bCs/>
                <w:lang w:val="en-GB" w:eastAsia="en-US"/>
              </w:rPr>
              <w:tab/>
            </w:r>
            <w:r w:rsidR="00D75614" w:rsidRPr="008D0E43">
              <w:rPr>
                <w:lang w:val="en-GB" w:eastAsia="en-US"/>
              </w:rPr>
              <w:t>What has been done so far to solve the problem?</w:t>
            </w:r>
          </w:p>
          <w:p w14:paraId="34293A9E" w14:textId="77777777" w:rsidR="00D75614" w:rsidRPr="008D0E43" w:rsidRDefault="00D75614" w:rsidP="00182400">
            <w:pPr>
              <w:pStyle w:val="Liste"/>
              <w:rPr>
                <w:szCs w:val="22"/>
                <w:lang w:val="en-GB" w:eastAsia="en-US" w:bidi="en-GB"/>
              </w:rPr>
            </w:pPr>
            <w:r w:rsidRPr="008D0E43">
              <w:rPr>
                <w:szCs w:val="22"/>
                <w:lang w:val="en-GB" w:eastAsia="en-US" w:bidi="en-GB"/>
              </w:rPr>
              <w:t xml:space="preserve">DFØ has established ANS </w:t>
            </w:r>
            <w:proofErr w:type="spellStart"/>
            <w:r w:rsidRPr="008D0E43">
              <w:rPr>
                <w:szCs w:val="22"/>
                <w:lang w:val="en-GB" w:eastAsia="en-US" w:bidi="en-GB"/>
              </w:rPr>
              <w:t>datasjø</w:t>
            </w:r>
            <w:proofErr w:type="spellEnd"/>
            <w:r w:rsidRPr="008D0E43">
              <w:rPr>
                <w:szCs w:val="22"/>
                <w:lang w:val="en-GB" w:eastAsia="en-US" w:bidi="en-GB"/>
              </w:rPr>
              <w:t xml:space="preserve"> as a data platform for data management.</w:t>
            </w:r>
          </w:p>
          <w:p w14:paraId="2CBAA022" w14:textId="77777777" w:rsidR="00D75614" w:rsidRPr="008D0E43" w:rsidRDefault="00D75614" w:rsidP="00182400">
            <w:pPr>
              <w:pStyle w:val="Liste"/>
              <w:rPr>
                <w:iCs/>
                <w:szCs w:val="22"/>
                <w:lang w:val="en-US" w:eastAsia="en-US"/>
              </w:rPr>
            </w:pPr>
            <w:r w:rsidRPr="008D0E43">
              <w:rPr>
                <w:szCs w:val="22"/>
                <w:lang w:val="en-GB" w:eastAsia="en-US" w:bidi="en-GB"/>
              </w:rPr>
              <w:t>DFØ has established the domain data.dfo.no where open data will be published.</w:t>
            </w:r>
          </w:p>
          <w:p w14:paraId="0E9DFEF0" w14:textId="77777777" w:rsidR="00D75614" w:rsidRDefault="00D75614" w:rsidP="00182400">
            <w:pPr>
              <w:pStyle w:val="Liste"/>
              <w:rPr>
                <w:szCs w:val="22"/>
                <w:lang w:val="en-GB" w:eastAsia="en-US" w:bidi="en-GB"/>
              </w:rPr>
            </w:pPr>
            <w:r w:rsidRPr="008D0E43">
              <w:rPr>
                <w:szCs w:val="22"/>
                <w:lang w:val="en-GB" w:eastAsia="en-US" w:bidi="en-GB"/>
              </w:rPr>
              <w:t>DFØ has carried out legal investigations into access to accounting and invoice data in dialogue with NFD.</w:t>
            </w:r>
          </w:p>
          <w:p w14:paraId="5E49F4B5" w14:textId="77777777" w:rsidR="00D75614" w:rsidRPr="008D0E43" w:rsidRDefault="008B0AA1" w:rsidP="008B0AA1">
            <w:pPr>
              <w:pStyle w:val="avsnitt-undertittel"/>
              <w:rPr>
                <w:lang w:val="en-GB" w:eastAsia="en-US"/>
              </w:rPr>
            </w:pPr>
            <w:r w:rsidRPr="008D0E43">
              <w:rPr>
                <w:bCs/>
                <w:lang w:val="en-GB" w:eastAsia="en-US"/>
              </w:rPr>
              <w:t>2.</w:t>
            </w:r>
            <w:r w:rsidRPr="008D0E43">
              <w:rPr>
                <w:bCs/>
                <w:lang w:val="en-GB" w:eastAsia="en-US"/>
              </w:rPr>
              <w:tab/>
            </w:r>
            <w:r w:rsidR="00D75614" w:rsidRPr="008D0E43">
              <w:rPr>
                <w:lang w:val="en-GB" w:eastAsia="en-US"/>
              </w:rPr>
              <w:t>What kind of solution is proposed?</w:t>
            </w:r>
          </w:p>
          <w:p w14:paraId="563DB472" w14:textId="77777777" w:rsidR="00D75614" w:rsidRPr="008D0E43" w:rsidRDefault="00D75614" w:rsidP="00182400">
            <w:pPr>
              <w:pStyle w:val="Liste"/>
              <w:rPr>
                <w:szCs w:val="22"/>
                <w:lang w:val="en-US" w:eastAsia="en-US"/>
              </w:rPr>
            </w:pPr>
            <w:r w:rsidRPr="008D0E43">
              <w:rPr>
                <w:szCs w:val="22"/>
                <w:lang w:val="en-GB" w:eastAsia="en-US" w:bidi="en-GB"/>
              </w:rPr>
              <w:t>DFØ is working on gaining access to data, establishing data flow to the data platform, conducting analyses and publishing data and statistics openly.</w:t>
            </w:r>
          </w:p>
          <w:p w14:paraId="18405A73" w14:textId="77777777" w:rsidR="00D75614" w:rsidRPr="008D0E43" w:rsidRDefault="008B0AA1" w:rsidP="008B0AA1">
            <w:pPr>
              <w:pStyle w:val="avsnitt-undertittel"/>
              <w:rPr>
                <w:lang w:val="en-GB" w:eastAsia="en-US"/>
              </w:rPr>
            </w:pPr>
            <w:r w:rsidRPr="008D0E43">
              <w:rPr>
                <w:bCs/>
                <w:lang w:val="en-GB" w:eastAsia="en-US"/>
              </w:rPr>
              <w:t>3.</w:t>
            </w:r>
            <w:r w:rsidRPr="008D0E43">
              <w:rPr>
                <w:bCs/>
                <w:lang w:val="en-GB" w:eastAsia="en-US"/>
              </w:rPr>
              <w:tab/>
            </w:r>
            <w:r w:rsidR="00D75614" w:rsidRPr="008D0E43">
              <w:rPr>
                <w:lang w:val="en-GB" w:eastAsia="en-US"/>
              </w:rPr>
              <w:t>What results will be achieved by implementing the commitment?</w:t>
            </w:r>
          </w:p>
          <w:p w14:paraId="77DAA9DE" w14:textId="77777777" w:rsidR="00D75614" w:rsidRPr="008D0E43" w:rsidRDefault="00D75614" w:rsidP="00182400">
            <w:pPr>
              <w:pStyle w:val="Liste"/>
              <w:rPr>
                <w:szCs w:val="22"/>
                <w:lang w:val="en-GB" w:eastAsia="en-US" w:bidi="en-GB"/>
              </w:rPr>
            </w:pPr>
            <w:r w:rsidRPr="008D0E43">
              <w:rPr>
                <w:szCs w:val="22"/>
                <w:lang w:val="en-GB" w:eastAsia="en-US" w:bidi="en-GB"/>
              </w:rPr>
              <w:t>Improved data-based knowledge and openness about public procurement based on DFØ</w:t>
            </w:r>
            <w:r>
              <w:rPr>
                <w:szCs w:val="22"/>
                <w:lang w:val="en-GB" w:eastAsia="en-US" w:bidi="en-GB"/>
              </w:rPr>
              <w:t>’</w:t>
            </w:r>
            <w:r w:rsidRPr="008D0E43">
              <w:rPr>
                <w:szCs w:val="22"/>
                <w:lang w:val="en-GB" w:eastAsia="en-US" w:bidi="en-GB"/>
              </w:rPr>
              <w:t>s quantitative data on public procurement.</w:t>
            </w:r>
          </w:p>
          <w:p w14:paraId="1AB39D6A" w14:textId="77777777" w:rsidR="00D75614" w:rsidRPr="008D0E43" w:rsidRDefault="00D75614" w:rsidP="00182400">
            <w:pPr>
              <w:pStyle w:val="Liste"/>
              <w:rPr>
                <w:szCs w:val="22"/>
                <w:lang w:val="en-US" w:eastAsia="en-US"/>
              </w:rPr>
            </w:pPr>
            <w:r w:rsidRPr="008D0E43">
              <w:rPr>
                <w:szCs w:val="22"/>
                <w:lang w:val="en-GB" w:eastAsia="en-US" w:bidi="en-GB"/>
              </w:rPr>
              <w:t>Clarification of DFØ</w:t>
            </w:r>
            <w:r>
              <w:rPr>
                <w:szCs w:val="22"/>
                <w:lang w:val="en-GB" w:eastAsia="en-US" w:bidi="en-GB"/>
              </w:rPr>
              <w:t>’</w:t>
            </w:r>
            <w:r w:rsidRPr="008D0E43">
              <w:rPr>
                <w:szCs w:val="22"/>
                <w:lang w:val="en-GB" w:eastAsia="en-US" w:bidi="en-GB"/>
              </w:rPr>
              <w:t>s role as a premise provider and primary source of quantitative data on public procurement.</w:t>
            </w:r>
          </w:p>
        </w:tc>
      </w:tr>
    </w:tbl>
    <w:p w14:paraId="6B4B110E" w14:textId="77777777" w:rsidR="00D75614" w:rsidRDefault="00D75614" w:rsidP="009D3DDD">
      <w:pPr>
        <w:rPr>
          <w:lang w:val="en-GB" w:bidi="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D75614" w:rsidRPr="0064546B" w14:paraId="059958B4" w14:textId="77777777" w:rsidTr="00182400">
        <w:tc>
          <w:tcPr>
            <w:tcW w:w="9450" w:type="dxa"/>
            <w:gridSpan w:val="2"/>
            <w:shd w:val="clear" w:color="auto" w:fill="auto"/>
          </w:tcPr>
          <w:p w14:paraId="39DA4517" w14:textId="77777777" w:rsidR="00D75614" w:rsidRPr="0064546B" w:rsidRDefault="00D75614" w:rsidP="00182400">
            <w:pPr>
              <w:pStyle w:val="TabellHode-kolonne"/>
              <w:rPr>
                <w:rStyle w:val="halvfet"/>
                <w:rFonts w:eastAsia="Proxima Nova"/>
              </w:rPr>
            </w:pPr>
            <w:r w:rsidRPr="002D48F8">
              <w:rPr>
                <w:rStyle w:val="halvfet"/>
                <w:rFonts w:eastAsia="Proxima Nova"/>
              </w:rPr>
              <w:t xml:space="preserve">Analysis </w:t>
            </w:r>
            <w:proofErr w:type="spellStart"/>
            <w:r w:rsidRPr="002D48F8">
              <w:rPr>
                <w:rStyle w:val="halvfet"/>
                <w:rFonts w:eastAsia="Proxima Nova"/>
              </w:rPr>
              <w:t>of</w:t>
            </w:r>
            <w:proofErr w:type="spellEnd"/>
            <w:r w:rsidRPr="002D48F8">
              <w:rPr>
                <w:rStyle w:val="halvfet"/>
                <w:rFonts w:eastAsia="Proxima Nova"/>
              </w:rPr>
              <w:t xml:space="preserve"> </w:t>
            </w:r>
            <w:proofErr w:type="spellStart"/>
            <w:r w:rsidRPr="002D48F8">
              <w:rPr>
                <w:rStyle w:val="halvfet"/>
                <w:rFonts w:eastAsia="Proxima Nova"/>
              </w:rPr>
              <w:t>the</w:t>
            </w:r>
            <w:proofErr w:type="spellEnd"/>
            <w:r w:rsidRPr="002D48F8">
              <w:rPr>
                <w:rStyle w:val="halvfet"/>
                <w:rFonts w:eastAsia="Proxima Nova"/>
              </w:rPr>
              <w:t xml:space="preserve"> </w:t>
            </w:r>
            <w:proofErr w:type="spellStart"/>
            <w:r w:rsidRPr="002D48F8">
              <w:rPr>
                <w:rStyle w:val="halvfet"/>
                <w:rFonts w:eastAsia="Proxima Nova"/>
              </w:rPr>
              <w:t>commitment</w:t>
            </w:r>
            <w:proofErr w:type="spellEnd"/>
            <w:r w:rsidRPr="002D48F8">
              <w:rPr>
                <w:rStyle w:val="halvfet"/>
                <w:rFonts w:eastAsia="Proxima Nova"/>
              </w:rPr>
              <w:t xml:space="preserve"> </w:t>
            </w:r>
          </w:p>
        </w:tc>
      </w:tr>
      <w:tr w:rsidR="00D75614" w:rsidRPr="0064546B" w14:paraId="254E516A" w14:textId="77777777" w:rsidTr="00182400">
        <w:trPr>
          <w:trHeight w:val="200"/>
        </w:trPr>
        <w:tc>
          <w:tcPr>
            <w:tcW w:w="3810" w:type="dxa"/>
            <w:shd w:val="clear" w:color="auto" w:fill="auto"/>
          </w:tcPr>
          <w:p w14:paraId="66ECA098" w14:textId="77777777" w:rsidR="00D75614" w:rsidRPr="0064546B" w:rsidRDefault="00D75614" w:rsidP="00182400">
            <w:pPr>
              <w:pStyle w:val="TabellHode-kolonne"/>
              <w:rPr>
                <w:rStyle w:val="kursiv"/>
                <w:rFonts w:eastAsia="Proxima Nova"/>
              </w:rPr>
            </w:pPr>
            <w:r w:rsidRPr="0064546B">
              <w:rPr>
                <w:rStyle w:val="kursiv"/>
                <w:rFonts w:eastAsia="Proxima Nova"/>
              </w:rPr>
              <w:t>Question</w:t>
            </w:r>
          </w:p>
        </w:tc>
        <w:tc>
          <w:tcPr>
            <w:tcW w:w="5640" w:type="dxa"/>
            <w:shd w:val="clear" w:color="auto" w:fill="auto"/>
          </w:tcPr>
          <w:p w14:paraId="1ED9D1B2" w14:textId="77777777" w:rsidR="00D75614" w:rsidRPr="0064546B" w:rsidRDefault="00D75614" w:rsidP="00182400">
            <w:pPr>
              <w:pStyle w:val="TabellHode-kolonne"/>
              <w:rPr>
                <w:rStyle w:val="kursiv"/>
                <w:rFonts w:eastAsia="Proxima Nova"/>
              </w:rPr>
            </w:pPr>
            <w:proofErr w:type="spellStart"/>
            <w:r w:rsidRPr="0064546B">
              <w:rPr>
                <w:rStyle w:val="kursiv"/>
                <w:rFonts w:eastAsia="Proxima Nova"/>
              </w:rPr>
              <w:t>Answer</w:t>
            </w:r>
            <w:proofErr w:type="spellEnd"/>
            <w:r w:rsidRPr="0064546B">
              <w:rPr>
                <w:rStyle w:val="kursiv"/>
                <w:rFonts w:eastAsia="Proxima Nova"/>
              </w:rPr>
              <w:t xml:space="preserve"> </w:t>
            </w:r>
          </w:p>
        </w:tc>
      </w:tr>
      <w:tr w:rsidR="00D75614" w:rsidRPr="00BB441C" w14:paraId="3DA2B8DD" w14:textId="77777777" w:rsidTr="00182400">
        <w:trPr>
          <w:trHeight w:val="200"/>
        </w:trPr>
        <w:tc>
          <w:tcPr>
            <w:tcW w:w="3810" w:type="dxa"/>
            <w:shd w:val="clear" w:color="auto" w:fill="auto"/>
          </w:tcPr>
          <w:p w14:paraId="48960861" w14:textId="77777777" w:rsidR="00D75614" w:rsidRPr="008D0E43" w:rsidRDefault="00D75614" w:rsidP="00563360">
            <w:pPr>
              <w:rPr>
                <w:color w:val="434343"/>
                <w:lang w:val="en-US" w:eastAsia="en-US"/>
              </w:rPr>
            </w:pPr>
            <w:r w:rsidRPr="008D0E43">
              <w:rPr>
                <w:lang w:val="en-GB" w:eastAsia="en-US" w:bidi="en-GB"/>
              </w:rPr>
              <w:t>How will the commitment promote openness?</w:t>
            </w:r>
          </w:p>
        </w:tc>
        <w:tc>
          <w:tcPr>
            <w:tcW w:w="5640" w:type="dxa"/>
            <w:shd w:val="clear" w:color="auto" w:fill="auto"/>
          </w:tcPr>
          <w:p w14:paraId="3ECC45E8" w14:textId="77777777" w:rsidR="00D75614" w:rsidRPr="008D0E43" w:rsidRDefault="00D75614" w:rsidP="00182400">
            <w:pPr>
              <w:rPr>
                <w:rFonts w:eastAsia="Proxima Nova"/>
                <w:bCs/>
                <w:lang w:val="en-US" w:eastAsia="en-US"/>
              </w:rPr>
            </w:pPr>
            <w:r w:rsidRPr="008D0E43">
              <w:rPr>
                <w:rFonts w:eastAsia="Proxima Nova"/>
                <w:lang w:val="en-GB" w:eastAsia="en-US" w:bidi="en-GB"/>
              </w:rPr>
              <w:t>DFØ</w:t>
            </w:r>
            <w:r>
              <w:rPr>
                <w:rFonts w:eastAsia="Proxima Nova"/>
                <w:lang w:val="en-GB" w:eastAsia="en-US" w:bidi="en-GB"/>
              </w:rPr>
              <w:t>’</w:t>
            </w:r>
            <w:r w:rsidRPr="008D0E43">
              <w:rPr>
                <w:rFonts w:eastAsia="Proxima Nova"/>
                <w:lang w:val="en-GB" w:eastAsia="en-US" w:bidi="en-GB"/>
              </w:rPr>
              <w:t xml:space="preserve">s ambition is to promote openness in public procurement by sharing raw data, </w:t>
            </w:r>
            <w:proofErr w:type="gramStart"/>
            <w:r w:rsidRPr="008D0E43">
              <w:rPr>
                <w:rFonts w:eastAsia="Proxima Nova"/>
                <w:lang w:val="en-GB" w:eastAsia="en-US" w:bidi="en-GB"/>
              </w:rPr>
              <w:t>analyses</w:t>
            </w:r>
            <w:proofErr w:type="gramEnd"/>
            <w:r w:rsidRPr="008D0E43">
              <w:rPr>
                <w:rFonts w:eastAsia="Proxima Nova"/>
                <w:lang w:val="en-GB" w:eastAsia="en-US" w:bidi="en-GB"/>
              </w:rPr>
              <w:t xml:space="preserve"> and statistics. The public can thus to a greater extent control and scrutinise data from procurement processes, but also from actual purchases and consumption. In addition, suppliers can use this data to build solutions and services that the </w:t>
            </w:r>
            <w:proofErr w:type="gramStart"/>
            <w:r w:rsidRPr="008D0E43">
              <w:rPr>
                <w:rFonts w:eastAsia="Proxima Nova"/>
                <w:lang w:val="en-GB" w:eastAsia="en-US" w:bidi="en-GB"/>
              </w:rPr>
              <w:t>general public</w:t>
            </w:r>
            <w:proofErr w:type="gramEnd"/>
            <w:r w:rsidRPr="008D0E43">
              <w:rPr>
                <w:rFonts w:eastAsia="Proxima Nova"/>
                <w:lang w:val="en-GB" w:eastAsia="en-US" w:bidi="en-GB"/>
              </w:rPr>
              <w:t xml:space="preserve"> and the public sector can use to gain better insight.</w:t>
            </w:r>
          </w:p>
        </w:tc>
      </w:tr>
      <w:tr w:rsidR="00D75614" w:rsidRPr="00BB441C" w14:paraId="1A789991" w14:textId="77777777" w:rsidTr="00182400">
        <w:trPr>
          <w:trHeight w:val="200"/>
        </w:trPr>
        <w:tc>
          <w:tcPr>
            <w:tcW w:w="3810" w:type="dxa"/>
            <w:shd w:val="clear" w:color="auto" w:fill="auto"/>
          </w:tcPr>
          <w:p w14:paraId="269AB920" w14:textId="77777777" w:rsidR="00D75614" w:rsidRPr="008D0E43" w:rsidRDefault="00D75614" w:rsidP="00182400">
            <w:pPr>
              <w:rPr>
                <w:rFonts w:eastAsia="Proxima Nova"/>
                <w:color w:val="434343"/>
                <w:lang w:val="en-US" w:eastAsia="en-US"/>
              </w:rPr>
            </w:pPr>
            <w:r w:rsidRPr="008D0E43">
              <w:rPr>
                <w:rFonts w:eastAsia="Proxima Nova"/>
                <w:lang w:val="en-GB" w:eastAsia="en-US" w:bidi="en-GB"/>
              </w:rPr>
              <w:t xml:space="preserve">How will the commitment contribute to greater predictability? </w:t>
            </w:r>
          </w:p>
        </w:tc>
        <w:tc>
          <w:tcPr>
            <w:tcW w:w="5640" w:type="dxa"/>
            <w:shd w:val="clear" w:color="auto" w:fill="auto"/>
          </w:tcPr>
          <w:p w14:paraId="18BCB501" w14:textId="77777777" w:rsidR="00D75614" w:rsidRPr="008D0E43" w:rsidRDefault="00D75614" w:rsidP="00182400">
            <w:pPr>
              <w:rPr>
                <w:rFonts w:eastAsia="Proxima Nova"/>
                <w:lang w:val="en-US" w:eastAsia="en-US"/>
              </w:rPr>
            </w:pPr>
            <w:r w:rsidRPr="008D0E43">
              <w:rPr>
                <w:rFonts w:eastAsia="Proxima Nova"/>
                <w:lang w:val="en-GB" w:eastAsia="en-US" w:bidi="en-GB"/>
              </w:rPr>
              <w:t xml:space="preserve">Sharing data and statistics lays the foundation for the public and others to engage with public agencies to a greater extent. Predictability is made possible through detailed information about procurements, </w:t>
            </w:r>
            <w:proofErr w:type="gramStart"/>
            <w:r w:rsidRPr="008D0E43">
              <w:rPr>
                <w:rFonts w:eastAsia="Proxima Nova"/>
                <w:lang w:val="en-GB" w:eastAsia="en-US" w:bidi="en-GB"/>
              </w:rPr>
              <w:t>e.g.</w:t>
            </w:r>
            <w:proofErr w:type="gramEnd"/>
            <w:r w:rsidRPr="008D0E43">
              <w:rPr>
                <w:rFonts w:eastAsia="Proxima Nova"/>
                <w:lang w:val="en-GB" w:eastAsia="en-US" w:bidi="en-GB"/>
              </w:rPr>
              <w:t xml:space="preserve"> who the contracting authority is, what they </w:t>
            </w:r>
            <w:r w:rsidRPr="008D0E43">
              <w:rPr>
                <w:rFonts w:eastAsia="Proxima Nova"/>
                <w:lang w:val="en-GB" w:eastAsia="en-US" w:bidi="en-GB"/>
              </w:rPr>
              <w:lastRenderedPageBreak/>
              <w:t>procure, who wins the contract, the volume of the contract, etc.</w:t>
            </w:r>
          </w:p>
        </w:tc>
      </w:tr>
      <w:tr w:rsidR="00D75614" w:rsidRPr="00BB441C" w14:paraId="0EA3E65B" w14:textId="77777777" w:rsidTr="00182400">
        <w:trPr>
          <w:trHeight w:val="200"/>
        </w:trPr>
        <w:tc>
          <w:tcPr>
            <w:tcW w:w="3810" w:type="dxa"/>
            <w:shd w:val="clear" w:color="auto" w:fill="auto"/>
          </w:tcPr>
          <w:p w14:paraId="1FA81DFA" w14:textId="77777777" w:rsidR="00D75614" w:rsidRPr="008D0E43" w:rsidRDefault="00D75614" w:rsidP="00182400">
            <w:pPr>
              <w:rPr>
                <w:rFonts w:eastAsia="Proxima Nova"/>
                <w:color w:val="434343"/>
                <w:lang w:val="en-US" w:eastAsia="en-US"/>
              </w:rPr>
            </w:pPr>
            <w:r w:rsidRPr="008D0E43">
              <w:rPr>
                <w:rFonts w:eastAsia="Proxima Nova"/>
                <w:lang w:val="en-GB" w:eastAsia="en-US" w:bidi="en-GB"/>
              </w:rPr>
              <w:lastRenderedPageBreak/>
              <w:t xml:space="preserve">How will the commitment improve the opportunity for citizens to participate by publicising, </w:t>
            </w:r>
            <w:proofErr w:type="gramStart"/>
            <w:r w:rsidRPr="008D0E43">
              <w:rPr>
                <w:rFonts w:eastAsia="Proxima Nova"/>
                <w:lang w:val="en-GB" w:eastAsia="en-US" w:bidi="en-GB"/>
              </w:rPr>
              <w:t>implementing</w:t>
            </w:r>
            <w:proofErr w:type="gramEnd"/>
            <w:r w:rsidRPr="008D0E43">
              <w:rPr>
                <w:rFonts w:eastAsia="Proxima Nova"/>
                <w:lang w:val="en-GB" w:eastAsia="en-US" w:bidi="en-GB"/>
              </w:rPr>
              <w:t xml:space="preserve"> and monitoring the solutions?</w:t>
            </w:r>
          </w:p>
        </w:tc>
        <w:tc>
          <w:tcPr>
            <w:tcW w:w="5640" w:type="dxa"/>
            <w:shd w:val="clear" w:color="auto" w:fill="auto"/>
          </w:tcPr>
          <w:p w14:paraId="0F92D28B" w14:textId="77777777" w:rsidR="00D75614" w:rsidRPr="008D0E43" w:rsidRDefault="00D75614" w:rsidP="00182400">
            <w:pPr>
              <w:rPr>
                <w:rFonts w:eastAsia="Proxima Nova"/>
                <w:bCs/>
                <w:lang w:val="en-US" w:eastAsia="en-US"/>
              </w:rPr>
            </w:pPr>
            <w:r w:rsidRPr="008D0E43">
              <w:rPr>
                <w:rFonts w:eastAsia="Proxima Nova"/>
                <w:lang w:val="en-GB" w:eastAsia="en-US" w:bidi="en-GB"/>
              </w:rPr>
              <w:t xml:space="preserve">DFØ seeks to provide the </w:t>
            </w:r>
            <w:proofErr w:type="gramStart"/>
            <w:r w:rsidRPr="008D0E43">
              <w:rPr>
                <w:rFonts w:eastAsia="Proxima Nova"/>
                <w:lang w:val="en-GB" w:eastAsia="en-US" w:bidi="en-GB"/>
              </w:rPr>
              <w:t>general public</w:t>
            </w:r>
            <w:proofErr w:type="gramEnd"/>
            <w:r w:rsidRPr="008D0E43">
              <w:rPr>
                <w:rFonts w:eastAsia="Proxima Nova"/>
                <w:lang w:val="en-GB" w:eastAsia="en-US" w:bidi="en-GB"/>
              </w:rPr>
              <w:t xml:space="preserve"> with greater insight and knowledge about public procurement at a general level. It will also enable individuals and suppliers to investigate and analyse data, as well as compose news stories about procurement in the public sector.</w:t>
            </w:r>
          </w:p>
        </w:tc>
      </w:tr>
    </w:tbl>
    <w:p w14:paraId="40C8EBF4" w14:textId="77777777" w:rsidR="00D75614" w:rsidRDefault="00D75614" w:rsidP="009D3DDD">
      <w:pPr>
        <w:rPr>
          <w:lang w:val="en-US" w:bidi="en-GB"/>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38"/>
        <w:gridCol w:w="2268"/>
        <w:gridCol w:w="1843"/>
        <w:gridCol w:w="3544"/>
      </w:tblGrid>
      <w:tr w:rsidR="008761D7" w:rsidRPr="0064546B" w14:paraId="1935A3D5" w14:textId="77777777" w:rsidTr="005258C8">
        <w:trPr>
          <w:trHeight w:val="210"/>
        </w:trPr>
        <w:tc>
          <w:tcPr>
            <w:tcW w:w="9493" w:type="dxa"/>
            <w:gridSpan w:val="4"/>
            <w:shd w:val="clear" w:color="auto" w:fill="auto"/>
          </w:tcPr>
          <w:p w14:paraId="7D2896FF" w14:textId="77777777" w:rsidR="008761D7" w:rsidRPr="0064546B" w:rsidRDefault="008761D7" w:rsidP="005258C8">
            <w:pPr>
              <w:pStyle w:val="TabellHode-kolonne"/>
              <w:rPr>
                <w:rStyle w:val="halvfet"/>
                <w:rFonts w:eastAsia="Proxima Nova"/>
              </w:rPr>
            </w:pPr>
            <w:r w:rsidRPr="0064546B">
              <w:rPr>
                <w:rStyle w:val="halvfet"/>
                <w:rFonts w:eastAsia="Proxima Nova"/>
              </w:rPr>
              <w:t xml:space="preserve">Plan for </w:t>
            </w:r>
            <w:proofErr w:type="spellStart"/>
            <w:r w:rsidRPr="0064546B">
              <w:rPr>
                <w:rStyle w:val="halvfet"/>
                <w:rFonts w:eastAsia="Proxima Nova"/>
              </w:rPr>
              <w:t>commitment</w:t>
            </w:r>
            <w:proofErr w:type="spellEnd"/>
          </w:p>
        </w:tc>
      </w:tr>
      <w:tr w:rsidR="008761D7" w:rsidRPr="0064546B" w14:paraId="7356F048" w14:textId="77777777" w:rsidTr="005258C8">
        <w:trPr>
          <w:trHeight w:val="200"/>
        </w:trPr>
        <w:tc>
          <w:tcPr>
            <w:tcW w:w="1838" w:type="dxa"/>
            <w:shd w:val="clear" w:color="auto" w:fill="auto"/>
          </w:tcPr>
          <w:p w14:paraId="39DAEB23" w14:textId="77777777" w:rsidR="008761D7" w:rsidRPr="0064546B" w:rsidRDefault="008761D7" w:rsidP="005258C8">
            <w:pPr>
              <w:pStyle w:val="TabellHode-kolonne"/>
              <w:rPr>
                <w:rStyle w:val="kursiv"/>
                <w:rFonts w:eastAsia="Proxima Nova"/>
              </w:rPr>
            </w:pPr>
            <w:r w:rsidRPr="0064546B">
              <w:rPr>
                <w:rStyle w:val="kursiv"/>
                <w:rFonts w:eastAsia="Proxima Nova"/>
              </w:rPr>
              <w:t>Milestones</w:t>
            </w:r>
          </w:p>
        </w:tc>
        <w:tc>
          <w:tcPr>
            <w:tcW w:w="2268" w:type="dxa"/>
            <w:shd w:val="clear" w:color="auto" w:fill="auto"/>
          </w:tcPr>
          <w:p w14:paraId="1E7B5F81" w14:textId="77777777" w:rsidR="008761D7" w:rsidRPr="0064546B" w:rsidRDefault="008761D7" w:rsidP="005258C8">
            <w:pPr>
              <w:pStyle w:val="TabellHode-kolonne"/>
              <w:rPr>
                <w:rStyle w:val="kursiv"/>
                <w:rFonts w:eastAsia="Proxima Nova"/>
              </w:rPr>
            </w:pPr>
            <w:proofErr w:type="spellStart"/>
            <w:r w:rsidRPr="0064546B">
              <w:rPr>
                <w:rStyle w:val="kursiv"/>
                <w:rFonts w:eastAsia="Proxima Nova"/>
              </w:rPr>
              <w:t>Expected</w:t>
            </w:r>
            <w:proofErr w:type="spellEnd"/>
            <w:r w:rsidRPr="0064546B">
              <w:rPr>
                <w:rStyle w:val="kursiv"/>
                <w:rFonts w:eastAsia="Proxima Nova"/>
              </w:rPr>
              <w:t xml:space="preserve"> </w:t>
            </w:r>
            <w:proofErr w:type="spellStart"/>
            <w:r w:rsidRPr="0064546B">
              <w:rPr>
                <w:rStyle w:val="kursiv"/>
                <w:rFonts w:eastAsia="Proxima Nova"/>
              </w:rPr>
              <w:t>outcome</w:t>
            </w:r>
            <w:proofErr w:type="spellEnd"/>
          </w:p>
        </w:tc>
        <w:tc>
          <w:tcPr>
            <w:tcW w:w="1843" w:type="dxa"/>
            <w:shd w:val="clear" w:color="auto" w:fill="auto"/>
          </w:tcPr>
          <w:p w14:paraId="7E0B9DC5" w14:textId="77777777" w:rsidR="008761D7" w:rsidRPr="0064546B" w:rsidRDefault="008761D7" w:rsidP="005258C8">
            <w:pPr>
              <w:pStyle w:val="TabellHode-kolonne"/>
              <w:rPr>
                <w:rStyle w:val="kursiv"/>
                <w:rFonts w:eastAsia="Proxima Nova"/>
              </w:rPr>
            </w:pPr>
            <w:proofErr w:type="spellStart"/>
            <w:r w:rsidRPr="0064546B">
              <w:rPr>
                <w:rStyle w:val="kursiv"/>
                <w:rFonts w:eastAsia="Proxima Nova"/>
              </w:rPr>
              <w:t>Expected</w:t>
            </w:r>
            <w:proofErr w:type="spellEnd"/>
            <w:r w:rsidRPr="0064546B">
              <w:rPr>
                <w:rStyle w:val="kursiv"/>
                <w:rFonts w:eastAsia="Proxima Nova"/>
              </w:rPr>
              <w:t xml:space="preserve"> </w:t>
            </w:r>
            <w:proofErr w:type="spellStart"/>
            <w:r w:rsidRPr="0064546B">
              <w:rPr>
                <w:rStyle w:val="kursiv"/>
                <w:rFonts w:eastAsia="Proxima Nova"/>
              </w:rPr>
              <w:t>completion</w:t>
            </w:r>
            <w:proofErr w:type="spellEnd"/>
            <w:r w:rsidRPr="0064546B">
              <w:rPr>
                <w:rStyle w:val="kursiv"/>
                <w:rFonts w:eastAsia="Proxima Nova"/>
              </w:rPr>
              <w:t xml:space="preserve"> date</w:t>
            </w:r>
          </w:p>
        </w:tc>
        <w:tc>
          <w:tcPr>
            <w:tcW w:w="3544" w:type="dxa"/>
            <w:shd w:val="clear" w:color="auto" w:fill="auto"/>
          </w:tcPr>
          <w:p w14:paraId="1EB07A77" w14:textId="77777777" w:rsidR="008761D7" w:rsidRPr="0064546B" w:rsidRDefault="008761D7" w:rsidP="005258C8">
            <w:pPr>
              <w:pStyle w:val="TabellHode-kolonne"/>
              <w:rPr>
                <w:rStyle w:val="kursiv"/>
                <w:rFonts w:eastAsia="Proxima Nova"/>
              </w:rPr>
            </w:pPr>
            <w:r w:rsidRPr="0064546B">
              <w:rPr>
                <w:rStyle w:val="kursiv"/>
                <w:rFonts w:eastAsia="Proxima Nova"/>
              </w:rPr>
              <w:t xml:space="preserve">Stakeholders </w:t>
            </w:r>
          </w:p>
        </w:tc>
      </w:tr>
      <w:tr w:rsidR="008761D7" w:rsidRPr="008761D7" w14:paraId="14F1D116" w14:textId="77777777" w:rsidTr="00CE033B">
        <w:trPr>
          <w:trHeight w:val="11545"/>
        </w:trPr>
        <w:tc>
          <w:tcPr>
            <w:tcW w:w="1838" w:type="dxa"/>
            <w:shd w:val="clear" w:color="auto" w:fill="auto"/>
          </w:tcPr>
          <w:p w14:paraId="694CFE2D" w14:textId="609BB683" w:rsidR="008761D7" w:rsidRPr="008D0E43" w:rsidRDefault="008761D7" w:rsidP="00563360">
            <w:pPr>
              <w:pStyle w:val="Nummerertliste"/>
              <w:rPr>
                <w:rFonts w:eastAsia="Calibri"/>
                <w:lang w:val="en-US" w:eastAsia="en-US"/>
              </w:rPr>
            </w:pPr>
            <w:r w:rsidRPr="008D0E43">
              <w:rPr>
                <w:lang w:val="en-GB" w:eastAsia="en-US" w:bidi="en-GB"/>
              </w:rPr>
              <w:lastRenderedPageBreak/>
              <w:t xml:space="preserve">Open data and statistics on public announcements, as well as statistics based on </w:t>
            </w:r>
            <w:proofErr w:type="spellStart"/>
            <w:r w:rsidRPr="008D0E43">
              <w:rPr>
                <w:lang w:val="en-GB" w:eastAsia="en-US" w:bidi="en-GB"/>
              </w:rPr>
              <w:t>eBevis</w:t>
            </w:r>
            <w:proofErr w:type="spellEnd"/>
            <w:r w:rsidRPr="008D0E43">
              <w:rPr>
                <w:lang w:val="en-GB" w:eastAsia="en-US" w:bidi="en-GB"/>
              </w:rPr>
              <w:t>.</w:t>
            </w:r>
          </w:p>
          <w:p w14:paraId="49C006A6" w14:textId="50B5BA52" w:rsidR="008761D7" w:rsidRPr="008D0E43" w:rsidRDefault="008761D7" w:rsidP="00563360">
            <w:pPr>
              <w:pStyle w:val="Nummerertliste"/>
              <w:rPr>
                <w:lang w:val="en-US" w:eastAsia="en-US"/>
              </w:rPr>
            </w:pPr>
            <w:r w:rsidRPr="008D0E43">
              <w:rPr>
                <w:lang w:val="en-GB" w:eastAsia="en-US" w:bidi="en-GB"/>
              </w:rPr>
              <w:t>Statistics from accounting data and supplier information for public agencies</w:t>
            </w:r>
          </w:p>
          <w:p w14:paraId="66CBE345" w14:textId="66B9C9DB" w:rsidR="008761D7" w:rsidRPr="008D0E43" w:rsidRDefault="008761D7" w:rsidP="00563360">
            <w:pPr>
              <w:pStyle w:val="Nummerertliste"/>
              <w:rPr>
                <w:iCs/>
                <w:lang w:val="en-US" w:eastAsia="en-US"/>
              </w:rPr>
            </w:pPr>
            <w:r w:rsidRPr="008D0E43">
              <w:rPr>
                <w:lang w:val="en-GB" w:eastAsia="en-US" w:bidi="en-GB"/>
              </w:rPr>
              <w:t>Statistics on climate and environmentally friendly procurement</w:t>
            </w:r>
          </w:p>
          <w:p w14:paraId="36DACD85" w14:textId="0081D03F" w:rsidR="008761D7" w:rsidRPr="008D0E43" w:rsidRDefault="008761D7" w:rsidP="00563360">
            <w:pPr>
              <w:pStyle w:val="Nummerertliste"/>
              <w:rPr>
                <w:iCs/>
                <w:lang w:val="en-US" w:eastAsia="en-US"/>
              </w:rPr>
            </w:pPr>
            <w:r w:rsidRPr="008D0E43">
              <w:rPr>
                <w:lang w:val="en-GB" w:eastAsia="en-US" w:bidi="en-GB"/>
              </w:rPr>
              <w:t>Results and data from the procurement survey</w:t>
            </w:r>
          </w:p>
        </w:tc>
        <w:tc>
          <w:tcPr>
            <w:tcW w:w="2268" w:type="dxa"/>
            <w:shd w:val="clear" w:color="auto" w:fill="auto"/>
          </w:tcPr>
          <w:p w14:paraId="030B4009" w14:textId="69D947AF" w:rsidR="008761D7" w:rsidRPr="00563360" w:rsidRDefault="008761D7">
            <w:pPr>
              <w:pStyle w:val="Nummerertliste"/>
              <w:numPr>
                <w:ilvl w:val="0"/>
                <w:numId w:val="42"/>
              </w:numPr>
              <w:rPr>
                <w:rFonts w:eastAsia="Calibri"/>
                <w:lang w:val="en-US" w:eastAsia="en-US"/>
              </w:rPr>
            </w:pPr>
            <w:r w:rsidRPr="00563360">
              <w:rPr>
                <w:lang w:val="en-GB" w:eastAsia="en-US" w:bidi="en-GB"/>
              </w:rPr>
              <w:t xml:space="preserve">Open data provides detailed insight into announcements made on </w:t>
            </w:r>
            <w:proofErr w:type="spellStart"/>
            <w:r w:rsidRPr="00563360">
              <w:rPr>
                <w:lang w:val="en-GB" w:eastAsia="en-US" w:bidi="en-GB"/>
              </w:rPr>
              <w:t>Doffin</w:t>
            </w:r>
            <w:proofErr w:type="spellEnd"/>
            <w:r w:rsidRPr="00563360">
              <w:rPr>
                <w:lang w:val="en-GB" w:eastAsia="en-US" w:bidi="en-GB"/>
              </w:rPr>
              <w:t>, as well as statistics from the electronic collection of documentary evidence.</w:t>
            </w:r>
          </w:p>
          <w:p w14:paraId="61A44F24" w14:textId="60B34238" w:rsidR="008761D7" w:rsidRPr="008D0E43" w:rsidRDefault="008761D7" w:rsidP="00563360">
            <w:pPr>
              <w:pStyle w:val="Nummerertliste"/>
              <w:rPr>
                <w:iCs/>
                <w:lang w:val="en-US" w:eastAsia="en-US"/>
              </w:rPr>
            </w:pPr>
            <w:r w:rsidRPr="008D0E43">
              <w:rPr>
                <w:lang w:val="en-GB" w:eastAsia="en-US" w:bidi="en-GB"/>
              </w:rPr>
              <w:t xml:space="preserve">Provides insight into what expenses public agencies </w:t>
            </w:r>
            <w:proofErr w:type="gramStart"/>
            <w:r w:rsidRPr="008D0E43">
              <w:rPr>
                <w:lang w:val="en-GB" w:eastAsia="en-US" w:bidi="en-GB"/>
              </w:rPr>
              <w:t>actually incur</w:t>
            </w:r>
            <w:proofErr w:type="gramEnd"/>
            <w:r w:rsidRPr="008D0E43">
              <w:rPr>
                <w:lang w:val="en-GB" w:eastAsia="en-US" w:bidi="en-GB"/>
              </w:rPr>
              <w:t>, within which categories, and which suppliers have large market shares within the public sector.</w:t>
            </w:r>
          </w:p>
          <w:p w14:paraId="777D08EB" w14:textId="5800527B" w:rsidR="008761D7" w:rsidRPr="008D0E43" w:rsidRDefault="008761D7" w:rsidP="00563360">
            <w:pPr>
              <w:pStyle w:val="Nummerertliste"/>
              <w:rPr>
                <w:iCs/>
                <w:lang w:val="en-US" w:eastAsia="en-US"/>
              </w:rPr>
            </w:pPr>
            <w:r w:rsidRPr="008D0E43">
              <w:rPr>
                <w:lang w:val="en-GB" w:eastAsia="en-US" w:bidi="en-GB"/>
              </w:rPr>
              <w:t>Better follow-up of the share of green procurement.</w:t>
            </w:r>
          </w:p>
          <w:p w14:paraId="12CC2559" w14:textId="1F69275B" w:rsidR="008761D7" w:rsidRPr="008D0E43" w:rsidRDefault="008761D7" w:rsidP="00563360">
            <w:pPr>
              <w:pStyle w:val="Nummerertliste"/>
              <w:rPr>
                <w:iCs/>
                <w:lang w:val="en-US" w:eastAsia="en-US"/>
              </w:rPr>
            </w:pPr>
            <w:r w:rsidRPr="008D0E43">
              <w:rPr>
                <w:lang w:val="en-GB" w:eastAsia="en-US" w:bidi="en-GB"/>
              </w:rPr>
              <w:t>Overview of public agencies</w:t>
            </w:r>
            <w:r>
              <w:rPr>
                <w:lang w:val="en-GB" w:eastAsia="en-US" w:bidi="en-GB"/>
              </w:rPr>
              <w:t>’</w:t>
            </w:r>
            <w:r w:rsidRPr="008D0E43">
              <w:rPr>
                <w:lang w:val="en-GB" w:eastAsia="en-US" w:bidi="en-GB"/>
              </w:rPr>
              <w:t xml:space="preserve"> work with procurement.</w:t>
            </w:r>
          </w:p>
        </w:tc>
        <w:tc>
          <w:tcPr>
            <w:tcW w:w="1843" w:type="dxa"/>
            <w:shd w:val="clear" w:color="auto" w:fill="auto"/>
          </w:tcPr>
          <w:p w14:paraId="3CC1721E" w14:textId="77777777" w:rsidR="008761D7" w:rsidRPr="008D0E43" w:rsidRDefault="008761D7" w:rsidP="005258C8">
            <w:pPr>
              <w:rPr>
                <w:rFonts w:eastAsia="Proxima Nova"/>
                <w:iCs/>
                <w:lang w:val="nn-NO" w:eastAsia="en-US"/>
              </w:rPr>
            </w:pPr>
            <w:r w:rsidRPr="008D0E43">
              <w:rPr>
                <w:rFonts w:eastAsia="Proxima Nova"/>
                <w:lang w:eastAsia="en-US" w:bidi="en-GB"/>
              </w:rPr>
              <w:t>2024</w:t>
            </w:r>
          </w:p>
        </w:tc>
        <w:tc>
          <w:tcPr>
            <w:tcW w:w="3544" w:type="dxa"/>
            <w:shd w:val="clear" w:color="auto" w:fill="auto"/>
          </w:tcPr>
          <w:tbl>
            <w:tblPr>
              <w:tblStyle w:val="StandardTabell"/>
              <w:tblW w:w="0" w:type="auto"/>
              <w:tblLayout w:type="fixed"/>
              <w:tblLook w:val="04A0" w:firstRow="1" w:lastRow="0" w:firstColumn="1" w:lastColumn="0" w:noHBand="0" w:noVBand="1"/>
            </w:tblPr>
            <w:tblGrid>
              <w:gridCol w:w="1106"/>
              <w:gridCol w:w="1106"/>
              <w:gridCol w:w="1106"/>
            </w:tblGrid>
            <w:tr w:rsidR="008761D7" w14:paraId="40B7B0D1" w14:textId="77777777" w:rsidTr="00892F77">
              <w:tc>
                <w:tcPr>
                  <w:tcW w:w="3318" w:type="dxa"/>
                  <w:gridSpan w:val="3"/>
                </w:tcPr>
                <w:p w14:paraId="7009BD7F" w14:textId="29D170D4" w:rsidR="008761D7" w:rsidRDefault="008761D7" w:rsidP="008761D7">
                  <w:pPr>
                    <w:rPr>
                      <w:rFonts w:eastAsia="Proxima Nova"/>
                      <w:lang w:val="nn-NO"/>
                    </w:rPr>
                  </w:pPr>
                  <w:proofErr w:type="spellStart"/>
                  <w:r w:rsidRPr="008D0E43">
                    <w:rPr>
                      <w:rFonts w:eastAsia="Proxima Nova"/>
                      <w:lang w:bidi="en-GB"/>
                    </w:rPr>
                    <w:t>Responsible</w:t>
                  </w:r>
                  <w:proofErr w:type="spellEnd"/>
                  <w:r w:rsidRPr="008D0E43">
                    <w:rPr>
                      <w:rFonts w:eastAsia="Proxima Nova"/>
                      <w:lang w:bidi="en-GB"/>
                    </w:rPr>
                    <w:t>: DFØ</w:t>
                  </w:r>
                </w:p>
              </w:tc>
            </w:tr>
            <w:tr w:rsidR="008761D7" w14:paraId="2EA03425" w14:textId="77777777" w:rsidTr="000E5F6E">
              <w:tc>
                <w:tcPr>
                  <w:tcW w:w="3318" w:type="dxa"/>
                  <w:gridSpan w:val="3"/>
                </w:tcPr>
                <w:p w14:paraId="43EE78E1" w14:textId="62E240D7" w:rsidR="008761D7" w:rsidRDefault="008761D7" w:rsidP="008761D7">
                  <w:pPr>
                    <w:rPr>
                      <w:rFonts w:eastAsia="Proxima Nova"/>
                      <w:lang w:val="nn-NO"/>
                    </w:rPr>
                  </w:pPr>
                  <w:r w:rsidRPr="008D0E43">
                    <w:rPr>
                      <w:rFonts w:eastAsia="Proxima Nova"/>
                      <w:lang w:bidi="en-GB"/>
                    </w:rPr>
                    <w:t>Stakeholders/supporters</w:t>
                  </w:r>
                </w:p>
              </w:tc>
            </w:tr>
            <w:tr w:rsidR="008761D7" w14:paraId="24E76B8E" w14:textId="77777777" w:rsidTr="008761D7">
              <w:tc>
                <w:tcPr>
                  <w:tcW w:w="1106" w:type="dxa"/>
                </w:tcPr>
                <w:p w14:paraId="52FD3234" w14:textId="7F73DFA8" w:rsidR="008761D7" w:rsidRDefault="008761D7" w:rsidP="008761D7">
                  <w:pPr>
                    <w:rPr>
                      <w:rFonts w:eastAsia="Proxima Nova"/>
                      <w:lang w:val="nn-NO"/>
                    </w:rPr>
                  </w:pPr>
                  <w:r w:rsidRPr="008D0E43">
                    <w:rPr>
                      <w:rFonts w:eastAsia="Proxima Nova"/>
                      <w:lang w:bidi="en-GB"/>
                    </w:rPr>
                    <w:t xml:space="preserve">Public </w:t>
                  </w:r>
                  <w:proofErr w:type="spellStart"/>
                  <w:r w:rsidRPr="008D0E43">
                    <w:rPr>
                      <w:rFonts w:eastAsia="Proxima Nova"/>
                      <w:lang w:bidi="en-GB"/>
                    </w:rPr>
                    <w:t>administration</w:t>
                  </w:r>
                  <w:proofErr w:type="spellEnd"/>
                  <w:r w:rsidRPr="008D0E43">
                    <w:rPr>
                      <w:rFonts w:eastAsia="Proxima Nova"/>
                      <w:lang w:bidi="en-GB"/>
                    </w:rPr>
                    <w:t xml:space="preserve"> </w:t>
                  </w:r>
                </w:p>
              </w:tc>
              <w:tc>
                <w:tcPr>
                  <w:tcW w:w="1106" w:type="dxa"/>
                </w:tcPr>
                <w:p w14:paraId="567BC8A9" w14:textId="1B582632" w:rsidR="008761D7" w:rsidRDefault="008761D7" w:rsidP="008761D7">
                  <w:pPr>
                    <w:rPr>
                      <w:rFonts w:eastAsia="Proxima Nova"/>
                      <w:lang w:val="nn-NO"/>
                    </w:rPr>
                  </w:pPr>
                  <w:proofErr w:type="spellStart"/>
                  <w:r w:rsidRPr="008D0E43">
                    <w:rPr>
                      <w:rFonts w:eastAsia="Proxima Nova"/>
                      <w:lang w:bidi="en-GB"/>
                    </w:rPr>
                    <w:t>Civil</w:t>
                  </w:r>
                  <w:proofErr w:type="spellEnd"/>
                  <w:r w:rsidRPr="008D0E43">
                    <w:rPr>
                      <w:rFonts w:eastAsia="Proxima Nova"/>
                      <w:lang w:bidi="en-GB"/>
                    </w:rPr>
                    <w:t xml:space="preserve"> </w:t>
                  </w:r>
                  <w:proofErr w:type="spellStart"/>
                  <w:r w:rsidRPr="008D0E43">
                    <w:rPr>
                      <w:rFonts w:eastAsia="Proxima Nova"/>
                      <w:lang w:bidi="en-GB"/>
                    </w:rPr>
                    <w:t>society</w:t>
                  </w:r>
                  <w:proofErr w:type="spellEnd"/>
                  <w:r w:rsidRPr="008D0E43">
                    <w:rPr>
                      <w:rFonts w:eastAsia="Proxima Nova"/>
                      <w:lang w:bidi="en-GB"/>
                    </w:rPr>
                    <w:t xml:space="preserve"> </w:t>
                  </w:r>
                  <w:proofErr w:type="spellStart"/>
                  <w:r w:rsidRPr="008D0E43">
                    <w:rPr>
                      <w:rFonts w:eastAsia="Proxima Nova"/>
                      <w:lang w:bidi="en-GB"/>
                    </w:rPr>
                    <w:t>organisations</w:t>
                  </w:r>
                  <w:proofErr w:type="spellEnd"/>
                </w:p>
              </w:tc>
              <w:tc>
                <w:tcPr>
                  <w:tcW w:w="1106" w:type="dxa"/>
                </w:tcPr>
                <w:p w14:paraId="65CDD814" w14:textId="1FBE10E0" w:rsidR="008761D7" w:rsidRDefault="008761D7" w:rsidP="008761D7">
                  <w:pPr>
                    <w:rPr>
                      <w:rFonts w:eastAsia="Proxima Nova"/>
                      <w:lang w:val="nn-NO"/>
                    </w:rPr>
                  </w:pPr>
                  <w:r w:rsidRPr="008D0E43">
                    <w:rPr>
                      <w:rFonts w:eastAsia="Proxima Nova"/>
                      <w:lang w:val="en-GB" w:bidi="en-GB"/>
                    </w:rPr>
                    <w:t>Others (</w:t>
                  </w:r>
                  <w:proofErr w:type="gramStart"/>
                  <w:r w:rsidRPr="008D0E43">
                    <w:rPr>
                      <w:rFonts w:eastAsia="Proxima Nova"/>
                      <w:lang w:val="en-GB" w:bidi="en-GB"/>
                    </w:rPr>
                    <w:t>e.g.</w:t>
                  </w:r>
                  <w:proofErr w:type="gramEnd"/>
                  <w:r w:rsidRPr="008D0E43">
                    <w:rPr>
                      <w:rFonts w:eastAsia="Proxima Nova"/>
                      <w:lang w:val="en-GB" w:bidi="en-GB"/>
                    </w:rPr>
                    <w:t xml:space="preserve"> parliament, civil society, others)</w:t>
                  </w:r>
                </w:p>
              </w:tc>
            </w:tr>
          </w:tbl>
          <w:p w14:paraId="6443B7DF" w14:textId="69544918" w:rsidR="008761D7" w:rsidRPr="008D0E43" w:rsidRDefault="008761D7" w:rsidP="005258C8">
            <w:pPr>
              <w:rPr>
                <w:rFonts w:eastAsia="Proxima Nova"/>
                <w:lang w:val="nn-NO" w:eastAsia="en-US"/>
              </w:rPr>
            </w:pPr>
          </w:p>
        </w:tc>
      </w:tr>
    </w:tbl>
    <w:p w14:paraId="5BF85DEC" w14:textId="77777777" w:rsidR="009D3DDD" w:rsidRPr="009D3DDD" w:rsidRDefault="009D3DDD" w:rsidP="009D3DDD">
      <w:pPr>
        <w:rPr>
          <w:lang w:val="en-GB" w:bidi="en-GB"/>
        </w:rPr>
      </w:pPr>
    </w:p>
    <w:p w14:paraId="623804EB" w14:textId="77777777" w:rsidR="009D3DDD" w:rsidRDefault="009D3DDD" w:rsidP="009D3DDD">
      <w:pPr>
        <w:pStyle w:val="Overskrift2"/>
        <w:rPr>
          <w:lang w:val="en-GB" w:bidi="en-GB"/>
        </w:rPr>
      </w:pPr>
      <w:r w:rsidRPr="00291078">
        <w:rPr>
          <w:lang w:val="en-GB" w:bidi="en-GB"/>
        </w:rPr>
        <w:t xml:space="preserve">Enforce the regulations for universal design of ICT </w:t>
      </w:r>
      <w:proofErr w:type="gramStart"/>
      <w:r w:rsidRPr="00291078">
        <w:rPr>
          <w:lang w:val="en-GB" w:bidi="en-GB"/>
        </w:rPr>
        <w:t>solutions</w:t>
      </w:r>
      <w:proofErr w:type="gramEnd"/>
    </w:p>
    <w:p w14:paraId="1A219193" w14:textId="77777777" w:rsidR="00E32722" w:rsidRPr="009D3DDD" w:rsidRDefault="00E32722" w:rsidP="005B4324">
      <w:pPr>
        <w:rPr>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FA06AB" w:rsidRPr="00BB441C" w14:paraId="7C98B71C" w14:textId="77777777" w:rsidTr="00182400">
        <w:tc>
          <w:tcPr>
            <w:tcW w:w="1702" w:type="dxa"/>
            <w:shd w:val="clear" w:color="auto" w:fill="auto"/>
          </w:tcPr>
          <w:p w14:paraId="14DA84F4" w14:textId="77777777" w:rsidR="00FA06AB" w:rsidRPr="00642710" w:rsidRDefault="001A31DB" w:rsidP="00182400">
            <w:pPr>
              <w:pStyle w:val="TabellHode-rad"/>
              <w:rPr>
                <w:rStyle w:val="kursiv"/>
                <w:rFonts w:eastAsia="Calibri"/>
              </w:rPr>
            </w:pPr>
            <w:proofErr w:type="spellStart"/>
            <w:r w:rsidRPr="00642710">
              <w:rPr>
                <w:rStyle w:val="kursiv"/>
                <w:rFonts w:eastAsia="Proxima Nova"/>
              </w:rPr>
              <w:lastRenderedPageBreak/>
              <w:t>Title</w:t>
            </w:r>
            <w:proofErr w:type="spellEnd"/>
          </w:p>
        </w:tc>
        <w:tc>
          <w:tcPr>
            <w:tcW w:w="7773" w:type="dxa"/>
            <w:gridSpan w:val="3"/>
            <w:shd w:val="clear" w:color="auto" w:fill="auto"/>
          </w:tcPr>
          <w:p w14:paraId="1E2B423C" w14:textId="77777777" w:rsidR="00FA06AB" w:rsidRPr="00BB441C" w:rsidRDefault="00042023" w:rsidP="00CB52B5">
            <w:pPr>
              <w:rPr>
                <w:rFonts w:eastAsia="Calibri"/>
                <w:lang w:val="en-GB" w:eastAsia="en-US"/>
              </w:rPr>
            </w:pPr>
            <w:r w:rsidRPr="00BB441C">
              <w:rPr>
                <w:rFonts w:eastAsia="Calibri"/>
                <w:lang w:val="en-GB" w:eastAsia="en-US"/>
              </w:rPr>
              <w:t xml:space="preserve">Enforce the regulations for universal design of ICT solutions as set out in Section 18 of the Equality and Anti-Discrimination Act and the regulations on universal design of information and communication technology solutions (ICT regulations). </w:t>
            </w:r>
          </w:p>
        </w:tc>
      </w:tr>
      <w:tr w:rsidR="007E7AED" w:rsidRPr="00BB441C" w14:paraId="78E63925" w14:textId="77777777" w:rsidTr="00182400">
        <w:tc>
          <w:tcPr>
            <w:tcW w:w="1702" w:type="dxa"/>
            <w:shd w:val="clear" w:color="auto" w:fill="auto"/>
          </w:tcPr>
          <w:p w14:paraId="09B599AC" w14:textId="77777777" w:rsidR="007E7AED" w:rsidRPr="00642710" w:rsidRDefault="007E7AED" w:rsidP="00182400">
            <w:pPr>
              <w:pStyle w:val="TabellHode-rad"/>
              <w:rPr>
                <w:rStyle w:val="kursiv"/>
                <w:rFonts w:eastAsia="Calibri"/>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73" w:type="dxa"/>
            <w:gridSpan w:val="3"/>
            <w:shd w:val="clear" w:color="auto" w:fill="auto"/>
          </w:tcPr>
          <w:p w14:paraId="16D50F90" w14:textId="77777777" w:rsidR="00291078" w:rsidRPr="00BB441C" w:rsidRDefault="007E7AED" w:rsidP="00CB52B5">
            <w:pPr>
              <w:rPr>
                <w:rFonts w:eastAsia="Calibri"/>
                <w:lang w:val="en-GB" w:eastAsia="en-US"/>
              </w:rPr>
            </w:pPr>
            <w:r w:rsidRPr="00BB441C">
              <w:rPr>
                <w:rFonts w:eastAsia="Calibri"/>
                <w:lang w:val="en-GB" w:eastAsia="en-US"/>
              </w:rPr>
              <w:t xml:space="preserve">The regulations require that websites, </w:t>
            </w:r>
            <w:proofErr w:type="gramStart"/>
            <w:r w:rsidRPr="00BB441C">
              <w:rPr>
                <w:rFonts w:eastAsia="Calibri"/>
                <w:lang w:val="en-GB" w:eastAsia="en-US"/>
              </w:rPr>
              <w:t>apps</w:t>
            </w:r>
            <w:proofErr w:type="gramEnd"/>
            <w:r w:rsidRPr="00BB441C">
              <w:rPr>
                <w:rFonts w:eastAsia="Calibri"/>
                <w:lang w:val="en-GB" w:eastAsia="en-US"/>
              </w:rPr>
              <w:t xml:space="preserve"> and self-service machines that the public and private sectors, including voluntary organisations, use in contact with the general public must be universally designed. The purpose is to promote equal participation in society, reduce and prevent new digital barriers and prevent discrimination. The regulations must be enforced and followed up through supervision, control, </w:t>
            </w:r>
            <w:proofErr w:type="gramStart"/>
            <w:r w:rsidRPr="00BB441C">
              <w:rPr>
                <w:rFonts w:eastAsia="Calibri"/>
                <w:lang w:val="en-GB" w:eastAsia="en-US"/>
              </w:rPr>
              <w:t>guidance</w:t>
            </w:r>
            <w:proofErr w:type="gramEnd"/>
            <w:r w:rsidRPr="00BB441C">
              <w:rPr>
                <w:rFonts w:eastAsia="Calibri"/>
                <w:lang w:val="en-GB" w:eastAsia="en-US"/>
              </w:rPr>
              <w:t xml:space="preserve"> and area monitoring.</w:t>
            </w:r>
          </w:p>
          <w:p w14:paraId="06C2C402" w14:textId="77777777" w:rsidR="007E7AED" w:rsidRPr="00BB441C" w:rsidRDefault="007E7AED" w:rsidP="00CB52B5">
            <w:pPr>
              <w:rPr>
                <w:rFonts w:eastAsia="Calibri"/>
                <w:lang w:val="en-GB" w:eastAsia="en-US"/>
              </w:rPr>
            </w:pPr>
            <w:r w:rsidRPr="00BB441C">
              <w:rPr>
                <w:rFonts w:eastAsia="Calibri"/>
                <w:lang w:val="en-GB" w:eastAsia="en-US"/>
              </w:rPr>
              <w:t xml:space="preserve">The regulations have been extended for the public sector with effect from 1 February 2023, so that from this date, more and stricter requirements are set for universal design of ICT in the public sector, compared to the private sector. </w:t>
            </w:r>
          </w:p>
        </w:tc>
      </w:tr>
      <w:tr w:rsidR="007E7AED" w:rsidRPr="00BB441C" w14:paraId="5BFD8DFF" w14:textId="77777777" w:rsidTr="00182400">
        <w:tc>
          <w:tcPr>
            <w:tcW w:w="1702" w:type="dxa"/>
            <w:shd w:val="clear" w:color="auto" w:fill="auto"/>
          </w:tcPr>
          <w:p w14:paraId="332B3807" w14:textId="77777777" w:rsidR="007E7AED" w:rsidRPr="00642710" w:rsidRDefault="007E7AED" w:rsidP="00182400">
            <w:pPr>
              <w:pStyle w:val="TabellHode-rad"/>
              <w:rPr>
                <w:rStyle w:val="kursiv"/>
                <w:rFonts w:eastAsia="Calibri"/>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73" w:type="dxa"/>
            <w:gridSpan w:val="3"/>
            <w:shd w:val="clear" w:color="auto" w:fill="auto"/>
          </w:tcPr>
          <w:p w14:paraId="1C113A7D" w14:textId="77777777" w:rsidR="007E7AED" w:rsidRPr="00BB441C" w:rsidRDefault="007E7AED" w:rsidP="00CB52B5">
            <w:pPr>
              <w:rPr>
                <w:rFonts w:eastAsia="Calibri"/>
                <w:lang w:val="en-GB" w:eastAsia="en-US"/>
              </w:rPr>
            </w:pPr>
            <w:r w:rsidRPr="00BB441C">
              <w:rPr>
                <w:rFonts w:eastAsia="Calibri"/>
                <w:lang w:val="en-GB" w:eastAsia="en-US"/>
              </w:rPr>
              <w:t>Through the Authority for Universal Design of ICT (</w:t>
            </w:r>
            <w:proofErr w:type="spellStart"/>
            <w:r w:rsidRPr="00BB441C">
              <w:rPr>
                <w:rFonts w:eastAsia="Calibri"/>
                <w:lang w:val="en-GB" w:eastAsia="en-US"/>
              </w:rPr>
              <w:t>Uu-tilsynet</w:t>
            </w:r>
            <w:proofErr w:type="spellEnd"/>
            <w:r w:rsidRPr="00BB441C">
              <w:rPr>
                <w:rFonts w:eastAsia="Calibri"/>
                <w:lang w:val="en-GB" w:eastAsia="en-US"/>
              </w:rPr>
              <w:t>), the Norwegian Digitalisation Agency (</w:t>
            </w:r>
            <w:proofErr w:type="spellStart"/>
            <w:r w:rsidRPr="00BB441C">
              <w:rPr>
                <w:rFonts w:eastAsia="Calibri"/>
                <w:lang w:val="en-GB" w:eastAsia="en-US"/>
              </w:rPr>
              <w:t>Digdir</w:t>
            </w:r>
            <w:proofErr w:type="spellEnd"/>
            <w:r w:rsidRPr="00BB441C">
              <w:rPr>
                <w:rFonts w:eastAsia="Calibri"/>
                <w:lang w:val="en-GB" w:eastAsia="en-US"/>
              </w:rPr>
              <w:t>) is the supervisory and control body, while the Ministry of Local Government and Regional Development is the appeals body and higher authority.</w:t>
            </w:r>
          </w:p>
        </w:tc>
      </w:tr>
      <w:tr w:rsidR="007E7AED" w:rsidRPr="00182400" w14:paraId="6CE4B7C8" w14:textId="77777777" w:rsidTr="00182400">
        <w:trPr>
          <w:trHeight w:val="270"/>
        </w:trPr>
        <w:tc>
          <w:tcPr>
            <w:tcW w:w="1702" w:type="dxa"/>
            <w:vMerge w:val="restart"/>
            <w:shd w:val="clear" w:color="auto" w:fill="auto"/>
          </w:tcPr>
          <w:p w14:paraId="293D5F82" w14:textId="77777777" w:rsidR="007E7AED" w:rsidRPr="00642710" w:rsidRDefault="007E7AED" w:rsidP="00182400">
            <w:pPr>
              <w:pStyle w:val="TabellHode-rad"/>
              <w:rPr>
                <w:rStyle w:val="kursiv"/>
                <w:rFonts w:eastAsia="Proxima Nova"/>
              </w:rPr>
            </w:pPr>
            <w:r w:rsidRPr="00642710">
              <w:rPr>
                <w:rStyle w:val="kursiv"/>
                <w:rFonts w:eastAsia="Proxima Nova"/>
              </w:rPr>
              <w:t>Stakeholders</w:t>
            </w:r>
          </w:p>
        </w:tc>
        <w:tc>
          <w:tcPr>
            <w:tcW w:w="2591" w:type="dxa"/>
            <w:shd w:val="clear" w:color="auto" w:fill="auto"/>
          </w:tcPr>
          <w:p w14:paraId="3285B8F9" w14:textId="77777777" w:rsidR="007E7AED" w:rsidRPr="00182400" w:rsidRDefault="007E7AED" w:rsidP="00182400">
            <w:pPr>
              <w:pStyle w:val="TabellHode-kolonne"/>
              <w:rPr>
                <w:rStyle w:val="kursiv"/>
                <w:rFonts w:eastAsia="Proxima Nova"/>
                <w:lang w:eastAsia="en-US"/>
              </w:rPr>
            </w:pPr>
            <w:proofErr w:type="spellStart"/>
            <w:r w:rsidRPr="00182400">
              <w:rPr>
                <w:rStyle w:val="kursiv"/>
                <w:rFonts w:eastAsia="Proxima Nova"/>
                <w:lang w:eastAsia="en-US"/>
              </w:rPr>
              <w:t>Authorities</w:t>
            </w:r>
            <w:proofErr w:type="spellEnd"/>
          </w:p>
        </w:tc>
        <w:tc>
          <w:tcPr>
            <w:tcW w:w="2591" w:type="dxa"/>
            <w:shd w:val="clear" w:color="auto" w:fill="auto"/>
          </w:tcPr>
          <w:p w14:paraId="4F15EB84" w14:textId="77777777" w:rsidR="007E7AED" w:rsidRPr="00182400" w:rsidRDefault="007E7AED" w:rsidP="00182400">
            <w:pPr>
              <w:pStyle w:val="TabellHode-kolonne"/>
              <w:rPr>
                <w:rStyle w:val="kursiv"/>
                <w:rFonts w:eastAsia="Proxima Nova"/>
                <w:lang w:eastAsia="en-US"/>
              </w:rPr>
            </w:pPr>
            <w:proofErr w:type="spellStart"/>
            <w:r w:rsidRPr="00182400">
              <w:rPr>
                <w:rStyle w:val="kursiv"/>
                <w:rFonts w:eastAsia="Proxima Nova"/>
                <w:lang w:eastAsia="en-US"/>
              </w:rPr>
              <w:t>Civil</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society</w:t>
            </w:r>
            <w:proofErr w:type="spellEnd"/>
          </w:p>
        </w:tc>
        <w:tc>
          <w:tcPr>
            <w:tcW w:w="2591" w:type="dxa"/>
            <w:shd w:val="clear" w:color="auto" w:fill="auto"/>
          </w:tcPr>
          <w:p w14:paraId="16F91699" w14:textId="77777777" w:rsidR="007E7AED" w:rsidRPr="00182400" w:rsidRDefault="007E7AED" w:rsidP="00182400">
            <w:pPr>
              <w:pStyle w:val="TabellHode-kolonne"/>
              <w:rPr>
                <w:rStyle w:val="kursiv"/>
                <w:rFonts w:eastAsia="Proxima Nova"/>
                <w:lang w:eastAsia="en-US"/>
              </w:rPr>
            </w:pPr>
            <w:proofErr w:type="spellStart"/>
            <w:r w:rsidRPr="00182400">
              <w:rPr>
                <w:rStyle w:val="kursiv"/>
                <w:rFonts w:eastAsia="Proxima Nova"/>
                <w:lang w:eastAsia="en-US"/>
              </w:rPr>
              <w:t>Others</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parliament</w:t>
            </w:r>
            <w:proofErr w:type="spellEnd"/>
            <w:r w:rsidRPr="00182400">
              <w:rPr>
                <w:rStyle w:val="kursiv"/>
                <w:rFonts w:eastAsia="Proxima Nova"/>
                <w:lang w:eastAsia="en-US"/>
              </w:rPr>
              <w:t xml:space="preserve">, private </w:t>
            </w:r>
            <w:proofErr w:type="spellStart"/>
            <w:r w:rsidRPr="00182400">
              <w:rPr>
                <w:rStyle w:val="kursiv"/>
                <w:rFonts w:eastAsia="Proxima Nova"/>
                <w:lang w:eastAsia="en-US"/>
              </w:rPr>
              <w:t>sector</w:t>
            </w:r>
            <w:proofErr w:type="spellEnd"/>
            <w:r w:rsidRPr="00182400">
              <w:rPr>
                <w:rStyle w:val="kursiv"/>
                <w:rFonts w:eastAsia="Proxima Nova"/>
                <w:lang w:eastAsia="en-US"/>
              </w:rPr>
              <w:t>, etc.)</w:t>
            </w:r>
          </w:p>
        </w:tc>
      </w:tr>
      <w:tr w:rsidR="00291078" w:rsidRPr="00BB441C" w14:paraId="3B7C8104" w14:textId="77777777" w:rsidTr="00182400">
        <w:trPr>
          <w:trHeight w:val="1256"/>
        </w:trPr>
        <w:tc>
          <w:tcPr>
            <w:tcW w:w="1702" w:type="dxa"/>
            <w:vMerge/>
            <w:shd w:val="clear" w:color="auto" w:fill="auto"/>
          </w:tcPr>
          <w:p w14:paraId="1D6B6972" w14:textId="77777777" w:rsidR="007E7AED" w:rsidRPr="00182400" w:rsidRDefault="007E7AED" w:rsidP="00182400">
            <w:pPr>
              <w:widowControl w:val="0"/>
              <w:spacing w:line="240" w:lineRule="auto"/>
              <w:rPr>
                <w:rStyle w:val="halvfet"/>
                <w:rFonts w:eastAsia="Proxima Nova"/>
                <w:lang w:eastAsia="en-US"/>
              </w:rPr>
            </w:pPr>
          </w:p>
        </w:tc>
        <w:tc>
          <w:tcPr>
            <w:tcW w:w="2591" w:type="dxa"/>
            <w:shd w:val="clear" w:color="auto" w:fill="auto"/>
          </w:tcPr>
          <w:p w14:paraId="3CB90292" w14:textId="77777777" w:rsidR="007E7AED" w:rsidRPr="00182400" w:rsidRDefault="007E7AED" w:rsidP="00E733AB">
            <w:pPr>
              <w:pStyle w:val="Liste"/>
              <w:rPr>
                <w:iCs/>
                <w:szCs w:val="22"/>
                <w:lang w:val="en-US" w:eastAsia="en-US"/>
              </w:rPr>
            </w:pPr>
            <w:proofErr w:type="spellStart"/>
            <w:r w:rsidRPr="00182400">
              <w:rPr>
                <w:szCs w:val="22"/>
                <w:lang w:val="en-GB" w:eastAsia="en-US" w:bidi="en-GB"/>
              </w:rPr>
              <w:t>Digdir</w:t>
            </w:r>
            <w:proofErr w:type="spellEnd"/>
            <w:r w:rsidRPr="00182400">
              <w:rPr>
                <w:szCs w:val="22"/>
                <w:lang w:val="en-GB" w:eastAsia="en-US" w:bidi="en-GB"/>
              </w:rPr>
              <w:t xml:space="preserve"> represented by the Authority for Universal Design of ICT as control and supervisory body.</w:t>
            </w:r>
          </w:p>
          <w:p w14:paraId="20A471CF" w14:textId="77777777" w:rsidR="007E7AED" w:rsidRPr="00182400" w:rsidRDefault="007E7AED" w:rsidP="00E733AB">
            <w:pPr>
              <w:pStyle w:val="Liste"/>
              <w:rPr>
                <w:iCs/>
                <w:szCs w:val="22"/>
                <w:lang w:val="en-US" w:eastAsia="en-US"/>
              </w:rPr>
            </w:pPr>
            <w:r w:rsidRPr="00182400">
              <w:rPr>
                <w:szCs w:val="22"/>
                <w:lang w:val="en-GB" w:eastAsia="en-US" w:bidi="en-GB"/>
              </w:rPr>
              <w:t>The Ministry of Culture and Equality (KUD) is responsible for the Equality and Anti-Discrimination Act.</w:t>
            </w:r>
          </w:p>
          <w:p w14:paraId="5FAED2B6" w14:textId="77777777" w:rsidR="007E7AED" w:rsidRPr="00182400" w:rsidRDefault="007E7AED" w:rsidP="00E733AB">
            <w:pPr>
              <w:pStyle w:val="Liste"/>
              <w:rPr>
                <w:iCs/>
                <w:szCs w:val="22"/>
                <w:lang w:val="en-US" w:eastAsia="en-US"/>
              </w:rPr>
            </w:pPr>
            <w:r w:rsidRPr="00182400">
              <w:rPr>
                <w:szCs w:val="22"/>
                <w:lang w:val="en-GB" w:eastAsia="en-US" w:bidi="en-GB"/>
              </w:rPr>
              <w:lastRenderedPageBreak/>
              <w:t>The Ministry of Digitisation and Public Governance (DFD) is responsible for the ICT regulations.</w:t>
            </w:r>
          </w:p>
        </w:tc>
        <w:tc>
          <w:tcPr>
            <w:tcW w:w="2591" w:type="dxa"/>
            <w:shd w:val="clear" w:color="auto" w:fill="auto"/>
          </w:tcPr>
          <w:p w14:paraId="50D67904" w14:textId="77777777" w:rsidR="007E7AED" w:rsidRPr="00182400" w:rsidRDefault="007E7AED" w:rsidP="00182400">
            <w:pPr>
              <w:pStyle w:val="Liste"/>
              <w:rPr>
                <w:iCs/>
                <w:szCs w:val="22"/>
                <w:lang w:val="en-US" w:eastAsia="en-US"/>
              </w:rPr>
            </w:pPr>
            <w:r w:rsidRPr="00182400">
              <w:rPr>
                <w:szCs w:val="22"/>
                <w:lang w:val="en-GB" w:eastAsia="en-US" w:bidi="en-GB"/>
              </w:rPr>
              <w:lastRenderedPageBreak/>
              <w:t xml:space="preserve">All associations and organisations that use websites, </w:t>
            </w:r>
            <w:proofErr w:type="gramStart"/>
            <w:r w:rsidRPr="00182400">
              <w:rPr>
                <w:szCs w:val="22"/>
                <w:lang w:val="en-GB" w:eastAsia="en-US" w:bidi="en-GB"/>
              </w:rPr>
              <w:t>apps</w:t>
            </w:r>
            <w:proofErr w:type="gramEnd"/>
            <w:r w:rsidRPr="00182400">
              <w:rPr>
                <w:szCs w:val="22"/>
                <w:lang w:val="en-GB" w:eastAsia="en-US" w:bidi="en-GB"/>
              </w:rPr>
              <w:t xml:space="preserve"> or vending machines in contact with the public are required to comply with the requirements of the ICT regulations.</w:t>
            </w:r>
          </w:p>
          <w:p w14:paraId="4EED73AE" w14:textId="77777777" w:rsidR="00291078" w:rsidRPr="00182400" w:rsidRDefault="007E7AED" w:rsidP="00182400">
            <w:pPr>
              <w:pStyle w:val="Liste"/>
              <w:rPr>
                <w:szCs w:val="22"/>
                <w:lang w:val="en-GB" w:eastAsia="en-US" w:bidi="en-GB"/>
              </w:rPr>
            </w:pPr>
            <w:r w:rsidRPr="00182400">
              <w:rPr>
                <w:szCs w:val="22"/>
                <w:lang w:val="en-GB" w:eastAsia="en-US" w:bidi="en-GB"/>
              </w:rPr>
              <w:lastRenderedPageBreak/>
              <w:t>User organisations for persons with various types of disabilities and organisations for the elderly are stakeholders to a great extent. This submission has been reviewed by the Norwegian Association of the Blind, Norwegian Association of the Hearing Impaired, Dyslexia Norway and the Norwegian Federation of Organisations of Disabled People</w:t>
            </w:r>
          </w:p>
          <w:p w14:paraId="067BC344" w14:textId="77777777" w:rsidR="007E7AED" w:rsidRPr="00182400" w:rsidRDefault="007E7AED" w:rsidP="00182400">
            <w:pPr>
              <w:pStyle w:val="Liste"/>
              <w:rPr>
                <w:iCs/>
                <w:szCs w:val="22"/>
                <w:lang w:val="en-US" w:eastAsia="en-US"/>
              </w:rPr>
            </w:pPr>
            <w:r w:rsidRPr="00182400">
              <w:rPr>
                <w:szCs w:val="22"/>
                <w:lang w:val="en-GB" w:eastAsia="en-US" w:bidi="en-GB"/>
              </w:rPr>
              <w:t>Other stakeholders are trade organisations such as market participants and supplier networks through the development and offering of ICT solutions that are universally designed</w:t>
            </w:r>
          </w:p>
        </w:tc>
        <w:tc>
          <w:tcPr>
            <w:tcW w:w="2591" w:type="dxa"/>
            <w:shd w:val="clear" w:color="auto" w:fill="auto"/>
          </w:tcPr>
          <w:p w14:paraId="54FEAE24" w14:textId="77777777" w:rsidR="00291078" w:rsidRPr="00182400" w:rsidRDefault="007E7AED" w:rsidP="00182400">
            <w:pPr>
              <w:pStyle w:val="Liste"/>
              <w:rPr>
                <w:szCs w:val="22"/>
                <w:lang w:val="en-GB" w:eastAsia="en-US" w:bidi="en-GB"/>
              </w:rPr>
            </w:pPr>
            <w:r w:rsidRPr="00182400">
              <w:rPr>
                <w:szCs w:val="22"/>
                <w:lang w:val="en-GB" w:eastAsia="en-US" w:bidi="en-GB"/>
              </w:rPr>
              <w:lastRenderedPageBreak/>
              <w:t xml:space="preserve">The </w:t>
            </w:r>
            <w:proofErr w:type="spellStart"/>
            <w:r w:rsidRPr="00182400">
              <w:rPr>
                <w:szCs w:val="22"/>
                <w:lang w:val="en-GB" w:eastAsia="en-US" w:bidi="en-GB"/>
              </w:rPr>
              <w:t>Storting</w:t>
            </w:r>
            <w:proofErr w:type="spellEnd"/>
            <w:r w:rsidRPr="00182400">
              <w:rPr>
                <w:szCs w:val="22"/>
                <w:lang w:val="en-GB" w:eastAsia="en-US" w:bidi="en-GB"/>
              </w:rPr>
              <w:t xml:space="preserve"> is involved as legislator.</w:t>
            </w:r>
          </w:p>
          <w:p w14:paraId="496B7BE3" w14:textId="77777777" w:rsidR="007E7AED" w:rsidRPr="00182400" w:rsidRDefault="007E7AED" w:rsidP="00182400">
            <w:pPr>
              <w:pStyle w:val="Liste"/>
              <w:rPr>
                <w:iCs/>
                <w:szCs w:val="22"/>
                <w:lang w:val="en-US" w:eastAsia="en-US"/>
              </w:rPr>
            </w:pPr>
            <w:r w:rsidRPr="00182400">
              <w:rPr>
                <w:szCs w:val="22"/>
                <w:lang w:val="en-GB" w:eastAsia="en-US" w:bidi="en-GB"/>
              </w:rPr>
              <w:lastRenderedPageBreak/>
              <w:t xml:space="preserve">The regulations apply to all entities in the private, central government and municipal sectors, including bodies governed by public law that use websites, </w:t>
            </w:r>
            <w:proofErr w:type="gramStart"/>
            <w:r w:rsidRPr="00182400">
              <w:rPr>
                <w:szCs w:val="22"/>
                <w:lang w:val="en-GB" w:eastAsia="en-US" w:bidi="en-GB"/>
              </w:rPr>
              <w:t>apps</w:t>
            </w:r>
            <w:proofErr w:type="gramEnd"/>
            <w:r w:rsidRPr="00182400">
              <w:rPr>
                <w:szCs w:val="22"/>
                <w:lang w:val="en-GB" w:eastAsia="en-US" w:bidi="en-GB"/>
              </w:rPr>
              <w:t xml:space="preserve"> or vending machines in contact with the public, which are required to comply with the requirements of the ICT regulations.</w:t>
            </w:r>
          </w:p>
        </w:tc>
      </w:tr>
      <w:tr w:rsidR="007E7AED" w:rsidRPr="00BB441C" w14:paraId="5EF1318F" w14:textId="77777777" w:rsidTr="00182400">
        <w:tc>
          <w:tcPr>
            <w:tcW w:w="1702" w:type="dxa"/>
            <w:shd w:val="clear" w:color="auto" w:fill="auto"/>
          </w:tcPr>
          <w:p w14:paraId="326E5038" w14:textId="77777777" w:rsidR="007E7AED" w:rsidRPr="00642710" w:rsidRDefault="007E7AED" w:rsidP="00182400">
            <w:pPr>
              <w:pStyle w:val="TabellHode-rad"/>
              <w:rPr>
                <w:rStyle w:val="kursiv"/>
                <w:rFonts w:eastAsia="Proxima Nova"/>
              </w:rPr>
            </w:pPr>
            <w:r w:rsidRPr="00642710">
              <w:rPr>
                <w:rStyle w:val="kursiv"/>
                <w:rFonts w:eastAsia="Proxima Nova"/>
              </w:rPr>
              <w:lastRenderedPageBreak/>
              <w:t xml:space="preserve">Time </w:t>
            </w:r>
            <w:proofErr w:type="spellStart"/>
            <w:r w:rsidRPr="00642710">
              <w:rPr>
                <w:rStyle w:val="kursiv"/>
                <w:rFonts w:eastAsia="Proxima Nova"/>
              </w:rPr>
              <w:t>period</w:t>
            </w:r>
            <w:proofErr w:type="spellEnd"/>
            <w:r w:rsidRPr="00642710">
              <w:rPr>
                <w:rStyle w:val="kursiv"/>
                <w:rFonts w:eastAsia="Proxima Nova"/>
              </w:rPr>
              <w:t xml:space="preserve"> (to</w:t>
            </w:r>
            <w:r w:rsidR="00291078" w:rsidRPr="00642710">
              <w:rPr>
                <w:rStyle w:val="kursiv"/>
                <w:rFonts w:eastAsia="Proxima Nova"/>
              </w:rPr>
              <w:t xml:space="preserve"> – </w:t>
            </w:r>
            <w:r w:rsidRPr="00642710">
              <w:rPr>
                <w:rStyle w:val="kursiv"/>
                <w:rFonts w:eastAsia="Proxima Nova"/>
              </w:rPr>
              <w:t>from)</w:t>
            </w:r>
          </w:p>
        </w:tc>
        <w:tc>
          <w:tcPr>
            <w:tcW w:w="7773" w:type="dxa"/>
            <w:gridSpan w:val="3"/>
            <w:shd w:val="clear" w:color="auto" w:fill="auto"/>
          </w:tcPr>
          <w:p w14:paraId="4D083F0C" w14:textId="77777777" w:rsidR="00291078" w:rsidRPr="00182400" w:rsidRDefault="007E7AED" w:rsidP="00CB52B5">
            <w:pPr>
              <w:rPr>
                <w:rFonts w:eastAsia="Proxima Nova"/>
                <w:lang w:val="en-GB" w:eastAsia="en-US" w:bidi="en-GB"/>
              </w:rPr>
            </w:pPr>
            <w:r w:rsidRPr="00182400">
              <w:rPr>
                <w:rFonts w:eastAsia="Proxima Nova"/>
                <w:lang w:val="en-GB" w:eastAsia="en-US" w:bidi="en-GB"/>
              </w:rPr>
              <w:t>The ICT regulations were introduced in 2013 and apply to entities in the private and public sector, including voluntary associations and organisations. The education sector and the labour market were excluded.</w:t>
            </w:r>
          </w:p>
          <w:p w14:paraId="50678CDF" w14:textId="77777777" w:rsidR="00291078" w:rsidRPr="00182400" w:rsidRDefault="007E7AED" w:rsidP="00CB52B5">
            <w:pPr>
              <w:rPr>
                <w:rFonts w:eastAsia="Proxima Nova"/>
                <w:lang w:val="en-GB" w:eastAsia="en-US" w:bidi="en-GB"/>
              </w:rPr>
            </w:pPr>
            <w:r w:rsidRPr="00182400">
              <w:rPr>
                <w:rFonts w:eastAsia="Proxima Nova"/>
                <w:lang w:val="en-GB" w:eastAsia="en-US" w:bidi="en-GB"/>
              </w:rPr>
              <w:t>In 2018, the ICT regulations were expanded to include digital solutions in the education sector.</w:t>
            </w:r>
          </w:p>
          <w:p w14:paraId="2F9414DD" w14:textId="77777777" w:rsidR="007E7AED" w:rsidRPr="00BB441C" w:rsidRDefault="007E7AED" w:rsidP="00CB52B5">
            <w:pPr>
              <w:rPr>
                <w:rStyle w:val="halvfet"/>
                <w:rFonts w:eastAsia="Proxima Nova"/>
                <w:lang w:val="en-GB" w:eastAsia="en-US"/>
              </w:rPr>
            </w:pPr>
            <w:r w:rsidRPr="00182400">
              <w:rPr>
                <w:rFonts w:eastAsia="Proxima Nova"/>
                <w:lang w:val="en-GB" w:eastAsia="en-US" w:bidi="en-GB"/>
              </w:rPr>
              <w:lastRenderedPageBreak/>
              <w:t xml:space="preserve">In 2021, the </w:t>
            </w:r>
            <w:proofErr w:type="spellStart"/>
            <w:r w:rsidRPr="00182400">
              <w:rPr>
                <w:rFonts w:eastAsia="Proxima Nova"/>
                <w:lang w:val="en-GB" w:eastAsia="en-US" w:bidi="en-GB"/>
              </w:rPr>
              <w:t>Storting</w:t>
            </w:r>
            <w:proofErr w:type="spellEnd"/>
            <w:r w:rsidRPr="00182400">
              <w:rPr>
                <w:rFonts w:eastAsia="Proxima Nova"/>
                <w:lang w:val="en-GB" w:eastAsia="en-US" w:bidi="en-GB"/>
              </w:rPr>
              <w:t xml:space="preserve"> adopted a further expansion of the regulations for the public sector by incorporating EU Directive 2016/2102 on the accessibility of websites and mobile applications into the ICT regulations with effect from 1 February 2023.</w:t>
            </w:r>
            <w:r w:rsidR="00291078" w:rsidRPr="00182400">
              <w:rPr>
                <w:rFonts w:eastAsia="Proxima Nova"/>
                <w:lang w:val="en-GB" w:eastAsia="en-US" w:bidi="en-GB"/>
              </w:rPr>
              <w:t xml:space="preserve"> </w:t>
            </w:r>
          </w:p>
        </w:tc>
      </w:tr>
    </w:tbl>
    <w:p w14:paraId="66071B88" w14:textId="77777777" w:rsidR="00FA06AB" w:rsidRDefault="00FA06AB" w:rsidP="00FA06AB">
      <w:pPr>
        <w:spacing w:after="180" w:line="240" w:lineRule="auto"/>
        <w:jc w:val="both"/>
        <w:rPr>
          <w:rFonts w:eastAsia="Proxima Nova" w:cs="Arial"/>
          <w:lang w:val="en-US"/>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9D3DDD" w:rsidRPr="00182400" w14:paraId="65343BA2" w14:textId="77777777" w:rsidTr="00182400">
        <w:trPr>
          <w:trHeight w:val="348"/>
        </w:trPr>
        <w:tc>
          <w:tcPr>
            <w:tcW w:w="9445" w:type="dxa"/>
            <w:shd w:val="clear" w:color="auto" w:fill="auto"/>
          </w:tcPr>
          <w:p w14:paraId="39B80F6B" w14:textId="77777777" w:rsidR="009D3DDD" w:rsidRPr="00182400" w:rsidRDefault="009D3DDD"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problem </w:t>
            </w:r>
          </w:p>
        </w:tc>
      </w:tr>
      <w:tr w:rsidR="009D3DDD" w:rsidRPr="00BB441C" w14:paraId="252F7FB5" w14:textId="77777777" w:rsidTr="00182400">
        <w:trPr>
          <w:trHeight w:val="3955"/>
        </w:trPr>
        <w:tc>
          <w:tcPr>
            <w:tcW w:w="9445" w:type="dxa"/>
            <w:shd w:val="clear" w:color="auto" w:fill="auto"/>
          </w:tcPr>
          <w:p w14:paraId="1FE0A5CC" w14:textId="77777777" w:rsidR="009D3DDD"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9D3DDD" w:rsidRPr="00182400">
              <w:rPr>
                <w:lang w:val="en-GB" w:eastAsia="en-US"/>
              </w:rPr>
              <w:t>What problems will the commitment solve?</w:t>
            </w:r>
          </w:p>
          <w:p w14:paraId="084544D3" w14:textId="77777777" w:rsidR="009D3DDD" w:rsidRPr="00182400" w:rsidRDefault="009D3DDD" w:rsidP="00182400">
            <w:pPr>
              <w:rPr>
                <w:rFonts w:eastAsia="Proxima Nova"/>
                <w:iCs/>
                <w:lang w:val="en-US" w:eastAsia="en-US"/>
              </w:rPr>
            </w:pPr>
            <w:r w:rsidRPr="00182400">
              <w:rPr>
                <w:rFonts w:eastAsia="Proxima Nova"/>
                <w:lang w:val="en-GB" w:eastAsia="en-US" w:bidi="en-GB"/>
              </w:rPr>
              <w:t xml:space="preserve">The purpose is to ensure equal participation in society and prevent digital exclusion and discrimination. Digitalisation of society makes everyday life easier for many people. Social media, news, timetables, shopping, </w:t>
            </w:r>
            <w:proofErr w:type="gramStart"/>
            <w:r w:rsidRPr="00182400">
              <w:rPr>
                <w:rFonts w:eastAsia="Proxima Nova"/>
                <w:lang w:val="en-GB" w:eastAsia="en-US" w:bidi="en-GB"/>
              </w:rPr>
              <w:t>banking</w:t>
            </w:r>
            <w:proofErr w:type="gramEnd"/>
            <w:r w:rsidRPr="00182400">
              <w:rPr>
                <w:rFonts w:eastAsia="Proxima Nova"/>
                <w:lang w:val="en-GB" w:eastAsia="en-US" w:bidi="en-GB"/>
              </w:rPr>
              <w:t xml:space="preserve"> and public services can be accessed via PCs and mobile phones. While nine out of ten people go online several times a day many people experience digital exclusion. Disabilities, advanced age, </w:t>
            </w:r>
            <w:proofErr w:type="gramStart"/>
            <w:r w:rsidRPr="00182400">
              <w:rPr>
                <w:rFonts w:eastAsia="Proxima Nova"/>
                <w:lang w:val="en-GB" w:eastAsia="en-US" w:bidi="en-GB"/>
              </w:rPr>
              <w:t>skills</w:t>
            </w:r>
            <w:proofErr w:type="gramEnd"/>
            <w:r w:rsidRPr="00182400">
              <w:rPr>
                <w:rFonts w:eastAsia="Proxima Nova"/>
                <w:lang w:val="en-GB" w:eastAsia="en-US" w:bidi="en-GB"/>
              </w:rPr>
              <w:t xml:space="preserve"> and language challenges mean that many people are unable to participate in society on equal terms. Between 630,000 and 800,000 people over the age of 15 have a disability, and more than 600,000 feel that their digital skills are inadequate. Digital exclusion has major consequences for society and the individual.</w:t>
            </w:r>
          </w:p>
          <w:p w14:paraId="646E1197" w14:textId="77777777" w:rsidR="009D3DDD" w:rsidRPr="00182400" w:rsidRDefault="009D3DDD" w:rsidP="00182400">
            <w:pPr>
              <w:rPr>
                <w:rFonts w:eastAsia="Proxima Nova"/>
                <w:lang w:eastAsia="en-US" w:bidi="en-GB"/>
              </w:rPr>
            </w:pPr>
            <w:r w:rsidRPr="00182400">
              <w:rPr>
                <w:rFonts w:eastAsia="Proxima Nova"/>
                <w:lang w:val="en-GB" w:eastAsia="en-US" w:bidi="en-GB"/>
              </w:rPr>
              <w:t xml:space="preserve">Universal design of ICT should reduce exclusion and discrimination. </w:t>
            </w:r>
            <w:r w:rsidRPr="00182400">
              <w:rPr>
                <w:rFonts w:eastAsia="Proxima Nova"/>
                <w:lang w:eastAsia="en-US" w:bidi="en-GB"/>
              </w:rPr>
              <w:t xml:space="preserve">The </w:t>
            </w:r>
            <w:proofErr w:type="spellStart"/>
            <w:r w:rsidRPr="00182400">
              <w:rPr>
                <w:rFonts w:eastAsia="Proxima Nova"/>
                <w:lang w:eastAsia="en-US" w:bidi="en-GB"/>
              </w:rPr>
              <w:t>regulations</w:t>
            </w:r>
            <w:proofErr w:type="spellEnd"/>
            <w:r w:rsidRPr="00182400">
              <w:rPr>
                <w:rFonts w:eastAsia="Proxima Nova"/>
                <w:lang w:eastAsia="en-US" w:bidi="en-GB"/>
              </w:rPr>
              <w:t xml:space="preserve"> </w:t>
            </w:r>
            <w:proofErr w:type="spellStart"/>
            <w:r w:rsidRPr="00182400">
              <w:rPr>
                <w:rFonts w:eastAsia="Proxima Nova"/>
                <w:lang w:eastAsia="en-US" w:bidi="en-GB"/>
              </w:rPr>
              <w:t>shall</w:t>
            </w:r>
            <w:proofErr w:type="spellEnd"/>
            <w:r w:rsidRPr="00182400">
              <w:rPr>
                <w:rFonts w:eastAsia="Proxima Nova"/>
                <w:lang w:eastAsia="en-US" w:bidi="en-GB"/>
              </w:rPr>
              <w:t xml:space="preserve"> in </w:t>
            </w:r>
            <w:proofErr w:type="spellStart"/>
            <w:r w:rsidRPr="00182400">
              <w:rPr>
                <w:rFonts w:eastAsia="Proxima Nova"/>
                <w:lang w:eastAsia="en-US" w:bidi="en-GB"/>
              </w:rPr>
              <w:t>particular</w:t>
            </w:r>
            <w:proofErr w:type="spellEnd"/>
            <w:r w:rsidRPr="00182400">
              <w:rPr>
                <w:rFonts w:eastAsia="Proxima Nova"/>
                <w:lang w:eastAsia="en-US" w:bidi="en-GB"/>
              </w:rPr>
              <w:t xml:space="preserve"> </w:t>
            </w:r>
            <w:proofErr w:type="spellStart"/>
            <w:r w:rsidRPr="00182400">
              <w:rPr>
                <w:rFonts w:eastAsia="Proxima Nova"/>
                <w:lang w:eastAsia="en-US" w:bidi="en-GB"/>
              </w:rPr>
              <w:t>safeguard</w:t>
            </w:r>
            <w:proofErr w:type="spellEnd"/>
            <w:r w:rsidRPr="00182400">
              <w:rPr>
                <w:rFonts w:eastAsia="Proxima Nova"/>
                <w:lang w:eastAsia="en-US" w:bidi="en-GB"/>
              </w:rPr>
              <w:t xml:space="preserve"> persons </w:t>
            </w:r>
            <w:proofErr w:type="spellStart"/>
            <w:r w:rsidRPr="00182400">
              <w:rPr>
                <w:rFonts w:eastAsia="Proxima Nova"/>
                <w:lang w:eastAsia="en-US" w:bidi="en-GB"/>
              </w:rPr>
              <w:t>who</w:t>
            </w:r>
            <w:proofErr w:type="spellEnd"/>
            <w:r w:rsidRPr="00182400">
              <w:rPr>
                <w:rFonts w:eastAsia="Proxima Nova"/>
                <w:lang w:eastAsia="en-US" w:bidi="en-GB"/>
              </w:rPr>
              <w:t xml:space="preserve"> </w:t>
            </w:r>
            <w:proofErr w:type="spellStart"/>
            <w:r w:rsidRPr="00182400">
              <w:rPr>
                <w:rFonts w:eastAsia="Proxima Nova"/>
                <w:lang w:eastAsia="en-US" w:bidi="en-GB"/>
              </w:rPr>
              <w:t>are</w:t>
            </w:r>
            <w:proofErr w:type="spellEnd"/>
            <w:r w:rsidRPr="00182400">
              <w:rPr>
                <w:rFonts w:eastAsia="Proxima Nova"/>
                <w:lang w:eastAsia="en-US" w:bidi="en-GB"/>
              </w:rPr>
              <w:t>/have</w:t>
            </w:r>
          </w:p>
          <w:p w14:paraId="6DA5BDDF" w14:textId="77777777" w:rsidR="009D3DDD" w:rsidRPr="00182400" w:rsidRDefault="009D3DDD" w:rsidP="00182400">
            <w:pPr>
              <w:pStyle w:val="Liste"/>
              <w:rPr>
                <w:iCs/>
                <w:szCs w:val="22"/>
                <w:lang w:val="nn-NO" w:eastAsia="en-US"/>
              </w:rPr>
            </w:pPr>
            <w:proofErr w:type="spellStart"/>
            <w:r w:rsidRPr="00182400">
              <w:rPr>
                <w:szCs w:val="22"/>
                <w:lang w:eastAsia="en-US" w:bidi="en-GB"/>
              </w:rPr>
              <w:t>Visually</w:t>
            </w:r>
            <w:proofErr w:type="spellEnd"/>
            <w:r w:rsidRPr="00182400">
              <w:rPr>
                <w:szCs w:val="22"/>
                <w:lang w:eastAsia="en-US" w:bidi="en-GB"/>
              </w:rPr>
              <w:t xml:space="preserve"> </w:t>
            </w:r>
            <w:proofErr w:type="spellStart"/>
            <w:r w:rsidRPr="00182400">
              <w:rPr>
                <w:szCs w:val="22"/>
                <w:lang w:eastAsia="en-US" w:bidi="en-GB"/>
              </w:rPr>
              <w:t>impaired</w:t>
            </w:r>
            <w:proofErr w:type="spellEnd"/>
            <w:r w:rsidRPr="00182400">
              <w:rPr>
                <w:szCs w:val="22"/>
                <w:lang w:eastAsia="en-US" w:bidi="en-GB"/>
              </w:rPr>
              <w:t xml:space="preserve"> or blind</w:t>
            </w:r>
          </w:p>
          <w:p w14:paraId="0A72030F" w14:textId="77777777" w:rsidR="009D3DDD" w:rsidRPr="00182400" w:rsidRDefault="009D3DDD" w:rsidP="00182400">
            <w:pPr>
              <w:pStyle w:val="Liste"/>
              <w:rPr>
                <w:iCs/>
                <w:szCs w:val="22"/>
                <w:lang w:val="nn-NO" w:eastAsia="en-US"/>
              </w:rPr>
            </w:pPr>
            <w:proofErr w:type="spellStart"/>
            <w:r w:rsidRPr="00182400">
              <w:rPr>
                <w:szCs w:val="22"/>
                <w:lang w:eastAsia="en-US" w:bidi="en-GB"/>
              </w:rPr>
              <w:t>Hearing</w:t>
            </w:r>
            <w:proofErr w:type="spellEnd"/>
            <w:r w:rsidRPr="00182400">
              <w:rPr>
                <w:szCs w:val="22"/>
                <w:lang w:eastAsia="en-US" w:bidi="en-GB"/>
              </w:rPr>
              <w:t xml:space="preserve"> </w:t>
            </w:r>
            <w:proofErr w:type="spellStart"/>
            <w:r w:rsidRPr="00182400">
              <w:rPr>
                <w:szCs w:val="22"/>
                <w:lang w:eastAsia="en-US" w:bidi="en-GB"/>
              </w:rPr>
              <w:t>impaired</w:t>
            </w:r>
            <w:proofErr w:type="spellEnd"/>
            <w:r w:rsidRPr="00182400">
              <w:rPr>
                <w:szCs w:val="22"/>
                <w:lang w:eastAsia="en-US" w:bidi="en-GB"/>
              </w:rPr>
              <w:t xml:space="preserve"> or </w:t>
            </w:r>
            <w:proofErr w:type="spellStart"/>
            <w:r w:rsidRPr="00182400">
              <w:rPr>
                <w:szCs w:val="22"/>
                <w:lang w:eastAsia="en-US" w:bidi="en-GB"/>
              </w:rPr>
              <w:t>deaf</w:t>
            </w:r>
            <w:proofErr w:type="spellEnd"/>
          </w:p>
          <w:p w14:paraId="52EC116B" w14:textId="77777777" w:rsidR="009D3DDD" w:rsidRPr="00182400" w:rsidRDefault="009D3DDD" w:rsidP="00182400">
            <w:pPr>
              <w:pStyle w:val="Liste"/>
              <w:rPr>
                <w:iCs/>
                <w:szCs w:val="22"/>
                <w:lang w:val="en-US" w:eastAsia="en-US"/>
              </w:rPr>
            </w:pPr>
            <w:r w:rsidRPr="00182400">
              <w:rPr>
                <w:szCs w:val="22"/>
                <w:lang w:val="en-GB" w:eastAsia="en-US" w:bidi="en-GB"/>
              </w:rPr>
              <w:t>Mobility impairment or other motor disabilities</w:t>
            </w:r>
          </w:p>
          <w:p w14:paraId="45650DD6" w14:textId="77777777" w:rsidR="009D3DDD" w:rsidRPr="00182400" w:rsidRDefault="009D3DDD" w:rsidP="00182400">
            <w:pPr>
              <w:pStyle w:val="Liste"/>
              <w:rPr>
                <w:iCs/>
                <w:szCs w:val="22"/>
                <w:lang w:val="nn-NO" w:eastAsia="en-US"/>
              </w:rPr>
            </w:pPr>
            <w:proofErr w:type="spellStart"/>
            <w:r w:rsidRPr="00182400">
              <w:rPr>
                <w:szCs w:val="22"/>
                <w:lang w:eastAsia="en-US" w:bidi="en-GB"/>
              </w:rPr>
              <w:t>Cognitive</w:t>
            </w:r>
            <w:proofErr w:type="spellEnd"/>
            <w:r w:rsidRPr="00182400">
              <w:rPr>
                <w:szCs w:val="22"/>
                <w:lang w:eastAsia="en-US" w:bidi="en-GB"/>
              </w:rPr>
              <w:t xml:space="preserve"> </w:t>
            </w:r>
            <w:proofErr w:type="spellStart"/>
            <w:r w:rsidRPr="00182400">
              <w:rPr>
                <w:szCs w:val="22"/>
                <w:lang w:eastAsia="en-US" w:bidi="en-GB"/>
              </w:rPr>
              <w:t>disabilities</w:t>
            </w:r>
            <w:proofErr w:type="spellEnd"/>
          </w:p>
          <w:p w14:paraId="50D0AE05" w14:textId="77777777" w:rsidR="009D3DDD" w:rsidRPr="00182400" w:rsidRDefault="009D3DDD" w:rsidP="00182400">
            <w:pPr>
              <w:pStyle w:val="Liste"/>
              <w:rPr>
                <w:szCs w:val="22"/>
                <w:lang w:val="en-GB" w:eastAsia="en-US" w:bidi="en-GB"/>
              </w:rPr>
            </w:pPr>
            <w:r w:rsidRPr="00182400">
              <w:rPr>
                <w:szCs w:val="22"/>
                <w:lang w:val="en-GB" w:eastAsia="en-US" w:bidi="en-GB"/>
              </w:rPr>
              <w:t>A primary language other than Norwegian</w:t>
            </w:r>
          </w:p>
          <w:p w14:paraId="70B0E981" w14:textId="77777777" w:rsidR="009D3DDD" w:rsidRPr="00182400" w:rsidRDefault="009D3DDD" w:rsidP="00182400">
            <w:pPr>
              <w:rPr>
                <w:rFonts w:eastAsia="Proxima Nova"/>
                <w:lang w:val="en-GB" w:eastAsia="en-US" w:bidi="en-GB"/>
              </w:rPr>
            </w:pPr>
            <w:r w:rsidRPr="00182400">
              <w:rPr>
                <w:rFonts w:eastAsia="Proxima Nova"/>
                <w:lang w:val="en-GB" w:eastAsia="en-US" w:bidi="en-GB"/>
              </w:rPr>
              <w:t xml:space="preserve">Deficiencies in the codebase of digital solutions can exclude those who use functionality for reading content, such as the blind, those with severely impaired vision, </w:t>
            </w:r>
            <w:proofErr w:type="gramStart"/>
            <w:r w:rsidRPr="00182400">
              <w:rPr>
                <w:rFonts w:eastAsia="Proxima Nova"/>
                <w:lang w:val="en-GB" w:eastAsia="en-US" w:bidi="en-GB"/>
              </w:rPr>
              <w:t>dyslexia</w:t>
            </w:r>
            <w:proofErr w:type="gramEnd"/>
            <w:r w:rsidRPr="00182400">
              <w:rPr>
                <w:rFonts w:eastAsia="Proxima Nova"/>
                <w:lang w:val="en-GB" w:eastAsia="en-US" w:bidi="en-GB"/>
              </w:rPr>
              <w:t xml:space="preserve"> or cognitive challenges. Poor contrast and insufficient possibilities for enlarging content make it difficult to use digital services for those with impaired vision. Without subtitles on videos and audio files, the content is inaccessible to those who are deaf or hard of hearing. Headings and links should be descriptive and help users find relevant content. This benefits everyone. If a website cannot be operated with a keyboard, those with motor disabilities, whether permanent or temporary, are excluded. Without good prompts on what to enter in the various form fields and sufficient time to complete and submit, those with visual impairments, cognitive disabilities, advanced </w:t>
            </w:r>
            <w:proofErr w:type="gramStart"/>
            <w:r w:rsidRPr="00182400">
              <w:rPr>
                <w:rFonts w:eastAsia="Proxima Nova"/>
                <w:lang w:val="en-GB" w:eastAsia="en-US" w:bidi="en-GB"/>
              </w:rPr>
              <w:t>age</w:t>
            </w:r>
            <w:proofErr w:type="gramEnd"/>
            <w:r w:rsidRPr="00182400">
              <w:rPr>
                <w:rFonts w:eastAsia="Proxima Nova"/>
                <w:lang w:val="en-GB" w:eastAsia="en-US" w:bidi="en-GB"/>
              </w:rPr>
              <w:t xml:space="preserve"> and little experience with digital services may miss out on necessary information, services they are entitled to and obligations they must fulfil. This is an example of the consequences of a lack of universal design. This will benefit those who need it </w:t>
            </w:r>
            <w:proofErr w:type="gramStart"/>
            <w:r w:rsidRPr="00182400">
              <w:rPr>
                <w:rFonts w:eastAsia="Proxima Nova"/>
                <w:lang w:val="en-GB" w:eastAsia="en-US" w:bidi="en-GB"/>
              </w:rPr>
              <w:t>most, but</w:t>
            </w:r>
            <w:proofErr w:type="gramEnd"/>
            <w:r w:rsidRPr="00182400">
              <w:rPr>
                <w:rFonts w:eastAsia="Proxima Nova"/>
                <w:lang w:val="en-GB" w:eastAsia="en-US" w:bidi="en-GB"/>
              </w:rPr>
              <w:t xml:space="preserve"> will also improve the quality of use for everyone.</w:t>
            </w:r>
          </w:p>
          <w:p w14:paraId="4DFAE516" w14:textId="77777777" w:rsidR="009D3DDD"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9D3DDD" w:rsidRPr="00182400">
              <w:rPr>
                <w:lang w:val="en-GB" w:eastAsia="en-US"/>
              </w:rPr>
              <w:t>What is the cause of the problem?</w:t>
            </w:r>
          </w:p>
          <w:p w14:paraId="2D335423" w14:textId="77777777" w:rsidR="009D3DDD" w:rsidRPr="00182400" w:rsidRDefault="009D3DDD" w:rsidP="00182400">
            <w:pPr>
              <w:rPr>
                <w:rFonts w:eastAsia="Proxima Nova"/>
                <w:iCs/>
                <w:lang w:val="en-US" w:eastAsia="en-US"/>
              </w:rPr>
            </w:pPr>
            <w:r w:rsidRPr="00182400">
              <w:rPr>
                <w:rFonts w:eastAsia="Proxima Nova"/>
                <w:lang w:val="en-GB" w:eastAsia="en-US" w:bidi="en-GB"/>
              </w:rPr>
              <w:t xml:space="preserve">Digital exclusion has multiple causes. The benefits of digitalisation are often linked to the reduction of staffed services. Research from a user perspective shows that disabilities, health challenges, age, language barriers, a difficult financial or life situation and </w:t>
            </w:r>
            <w:r w:rsidRPr="00182400">
              <w:rPr>
                <w:rFonts w:eastAsia="Proxima Nova"/>
                <w:lang w:val="en-GB" w:eastAsia="en-US" w:bidi="en-GB"/>
              </w:rPr>
              <w:lastRenderedPageBreak/>
              <w:t xml:space="preserve">insufficient connection to the labour market make people vulnerable to exclusion in digital social arenas. These are also factors that mean that many people lack the necessary digital skills and knowledge of rights, </w:t>
            </w:r>
            <w:proofErr w:type="gramStart"/>
            <w:r w:rsidRPr="00182400">
              <w:rPr>
                <w:rFonts w:eastAsia="Proxima Nova"/>
                <w:lang w:val="en-GB" w:eastAsia="en-US" w:bidi="en-GB"/>
              </w:rPr>
              <w:t>obligations</w:t>
            </w:r>
            <w:proofErr w:type="gramEnd"/>
            <w:r w:rsidRPr="00182400">
              <w:rPr>
                <w:rFonts w:eastAsia="Proxima Nova"/>
                <w:lang w:val="en-GB" w:eastAsia="en-US" w:bidi="en-GB"/>
              </w:rPr>
              <w:t xml:space="preserve"> and organisation (often referred to as administrative or bureaucratic skills). Circumstances on the provider side are also of great importance. A lack of universal design, too little user involvement in the development of digital services, difficult and inaccessible language in digital solutions, a lack of user guidance and few resources for staffed provision of services mean that the demands placed on individual users for digital self-service are too great. The gap between society’s requirements and many users’ individual preferences is therefore too great. This creates digital exclusion – the bigger the gap, the more exclusion.</w:t>
            </w:r>
          </w:p>
        </w:tc>
      </w:tr>
    </w:tbl>
    <w:p w14:paraId="2A43170D" w14:textId="77777777" w:rsidR="009D3DDD" w:rsidRPr="00A931A6" w:rsidRDefault="009D3DDD" w:rsidP="00FA06AB">
      <w:pPr>
        <w:spacing w:after="180" w:line="240" w:lineRule="auto"/>
        <w:jc w:val="both"/>
        <w:rPr>
          <w:rFonts w:eastAsia="Proxima Nova" w:cs="Arial"/>
          <w:lang w:val="en-US"/>
        </w:rPr>
      </w:pPr>
    </w:p>
    <w:tbl>
      <w:tblPr>
        <w:tblW w:w="94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45"/>
      </w:tblGrid>
      <w:tr w:rsidR="00FA06AB" w:rsidRPr="00182400" w14:paraId="7DAF9C4E" w14:textId="77777777" w:rsidTr="00182400">
        <w:tc>
          <w:tcPr>
            <w:tcW w:w="9445" w:type="dxa"/>
            <w:shd w:val="clear" w:color="auto" w:fill="auto"/>
          </w:tcPr>
          <w:p w14:paraId="6AD80E75" w14:textId="77777777" w:rsidR="00FA06AB" w:rsidRPr="00182400" w:rsidRDefault="000C02FB"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007E7AED" w:rsidRPr="00182400">
              <w:rPr>
                <w:rStyle w:val="halvfet"/>
                <w:rFonts w:eastAsia="Proxima Nova"/>
                <w:lang w:eastAsia="en-US"/>
              </w:rPr>
              <w:t>of</w:t>
            </w:r>
            <w:proofErr w:type="spellEnd"/>
            <w:r w:rsidR="007E7AED" w:rsidRPr="00182400">
              <w:rPr>
                <w:rStyle w:val="halvfet"/>
                <w:rFonts w:eastAsia="Proxima Nova"/>
                <w:lang w:eastAsia="en-US"/>
              </w:rPr>
              <w:t xml:space="preserve"> </w:t>
            </w:r>
            <w:proofErr w:type="spellStart"/>
            <w:r w:rsidR="007E7AED" w:rsidRPr="00182400">
              <w:rPr>
                <w:rStyle w:val="halvfet"/>
                <w:rFonts w:eastAsia="Proxima Nova"/>
                <w:lang w:eastAsia="en-US"/>
              </w:rPr>
              <w:t>the</w:t>
            </w:r>
            <w:proofErr w:type="spellEnd"/>
            <w:r w:rsidR="007E7AED" w:rsidRPr="00182400">
              <w:rPr>
                <w:rStyle w:val="halvfet"/>
                <w:rFonts w:eastAsia="Proxima Nova"/>
                <w:lang w:eastAsia="en-US"/>
              </w:rPr>
              <w:t xml:space="preserve"> </w:t>
            </w:r>
            <w:proofErr w:type="spellStart"/>
            <w:r w:rsidR="007E7AED" w:rsidRPr="00182400">
              <w:rPr>
                <w:rStyle w:val="halvfet"/>
                <w:rFonts w:eastAsia="Proxima Nova"/>
                <w:lang w:eastAsia="en-US"/>
              </w:rPr>
              <w:t>commitment</w:t>
            </w:r>
            <w:proofErr w:type="spellEnd"/>
            <w:r w:rsidR="00291078" w:rsidRPr="00182400">
              <w:rPr>
                <w:rStyle w:val="halvfet"/>
                <w:rFonts w:eastAsia="Proxima Nova"/>
                <w:lang w:eastAsia="en-US"/>
              </w:rPr>
              <w:t xml:space="preserve"> </w:t>
            </w:r>
          </w:p>
        </w:tc>
      </w:tr>
      <w:tr w:rsidR="00CB52B5" w:rsidRPr="00BB441C" w14:paraId="6FFC307A" w14:textId="77777777" w:rsidTr="00182400">
        <w:trPr>
          <w:trHeight w:val="2112"/>
        </w:trPr>
        <w:tc>
          <w:tcPr>
            <w:tcW w:w="9445" w:type="dxa"/>
            <w:shd w:val="clear" w:color="auto" w:fill="auto"/>
          </w:tcPr>
          <w:p w14:paraId="550C5BA3" w14:textId="77777777" w:rsidR="00CB52B5"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CB52B5" w:rsidRPr="00182400">
              <w:rPr>
                <w:lang w:val="en-GB" w:eastAsia="en-US"/>
              </w:rPr>
              <w:t>What has been done so far to solve the problem?</w:t>
            </w:r>
          </w:p>
          <w:p w14:paraId="56246D6E" w14:textId="77777777" w:rsidR="0064546B" w:rsidRPr="00182400" w:rsidRDefault="00CB52B5" w:rsidP="00CB52B5">
            <w:pPr>
              <w:rPr>
                <w:rFonts w:eastAsia="Proxima Nova"/>
                <w:lang w:val="en-GB" w:eastAsia="en-US" w:bidi="en-GB"/>
              </w:rPr>
            </w:pPr>
            <w:r w:rsidRPr="00182400">
              <w:rPr>
                <w:rFonts w:eastAsia="Proxima Nova"/>
                <w:lang w:val="en-GB" w:eastAsia="en-US" w:bidi="en-GB"/>
              </w:rPr>
              <w:t xml:space="preserve">Norway was one of the first countries to demand universal design for ICT solutions in the private and public sectors. The EU followed suit in 2018 with similar </w:t>
            </w:r>
            <w:proofErr w:type="gramStart"/>
            <w:r w:rsidRPr="00182400">
              <w:rPr>
                <w:rFonts w:eastAsia="Proxima Nova"/>
                <w:lang w:val="en-GB" w:eastAsia="en-US" w:bidi="en-GB"/>
              </w:rPr>
              <w:t>regulations, but</w:t>
            </w:r>
            <w:proofErr w:type="gramEnd"/>
            <w:r w:rsidRPr="00182400">
              <w:rPr>
                <w:rFonts w:eastAsia="Proxima Nova"/>
                <w:lang w:val="en-GB" w:eastAsia="en-US" w:bidi="en-GB"/>
              </w:rPr>
              <w:t xml:space="preserve"> limited to the public sector. Since 2014, the regulations in Norway have been enforced through supervision of compliance in the private and public sectors, orders and other sanctions for violations of the regulations, guidance to entities that must comply with the regulations, communication activities and dialogue with industry and user organisations, area monitoring in the form of analysis and surveys to increase knowledge of the status of compliance and the consequences of digital exclusion in the absence of universal design.</w:t>
            </w:r>
          </w:p>
          <w:p w14:paraId="4E870068" w14:textId="77777777" w:rsidR="00CB52B5" w:rsidRPr="00BB441C" w:rsidRDefault="008B0AA1" w:rsidP="00182400">
            <w:pPr>
              <w:pStyle w:val="avsnitt-undertittel"/>
              <w:rPr>
                <w:lang w:val="en-GB" w:eastAsia="en-US"/>
              </w:rPr>
            </w:pPr>
            <w:r w:rsidRPr="00BB441C">
              <w:rPr>
                <w:bCs/>
                <w:lang w:val="en-GB" w:eastAsia="en-US"/>
              </w:rPr>
              <w:t>2.</w:t>
            </w:r>
            <w:r w:rsidRPr="00BB441C">
              <w:rPr>
                <w:bCs/>
                <w:lang w:val="en-GB" w:eastAsia="en-US"/>
              </w:rPr>
              <w:tab/>
            </w:r>
            <w:r w:rsidR="00CB52B5" w:rsidRPr="00BB441C">
              <w:rPr>
                <w:lang w:val="en-GB" w:eastAsia="en-US"/>
              </w:rPr>
              <w:t>What solution is proposed?</w:t>
            </w:r>
          </w:p>
          <w:p w14:paraId="2C2781C1" w14:textId="77777777" w:rsidR="00CB52B5" w:rsidRPr="00182400" w:rsidRDefault="00CB52B5" w:rsidP="00182400">
            <w:pPr>
              <w:spacing w:before="120" w:line="240" w:lineRule="auto"/>
              <w:rPr>
                <w:rFonts w:eastAsia="Proxima Nova" w:cs="Arial"/>
                <w:iCs/>
                <w:color w:val="000000"/>
                <w:lang w:val="en-US" w:eastAsia="en-US"/>
              </w:rPr>
            </w:pPr>
            <w:r w:rsidRPr="00182400">
              <w:rPr>
                <w:rFonts w:eastAsia="Proxima Nova" w:cs="Arial"/>
                <w:color w:val="000000"/>
                <w:lang w:val="en-GB" w:eastAsia="en-US" w:bidi="en-GB"/>
              </w:rPr>
              <w:t xml:space="preserve">The initiatives/solutions presented here are in line with </w:t>
            </w:r>
            <w:proofErr w:type="spellStart"/>
            <w:r w:rsidRPr="00182400">
              <w:rPr>
                <w:rFonts w:eastAsia="Proxima Nova" w:cs="Arial"/>
                <w:color w:val="000000"/>
                <w:lang w:val="en-GB" w:eastAsia="en-US" w:bidi="en-GB"/>
              </w:rPr>
              <w:t>Digdir</w:t>
            </w:r>
            <w:proofErr w:type="spellEnd"/>
            <w:r w:rsidRPr="00182400">
              <w:rPr>
                <w:rFonts w:eastAsia="Proxima Nova" w:cs="Arial"/>
                <w:color w:val="000000"/>
                <w:lang w:val="en-GB" w:eastAsia="en-US" w:bidi="en-GB"/>
              </w:rPr>
              <w:t>/the Authority for Universal Design of ICT</w:t>
            </w:r>
            <w:r w:rsidR="0064546B" w:rsidRPr="00182400">
              <w:rPr>
                <w:rFonts w:eastAsia="Proxima Nova" w:cs="Arial"/>
                <w:color w:val="000000"/>
                <w:lang w:val="en-GB" w:eastAsia="en-US" w:bidi="en-GB"/>
              </w:rPr>
              <w:t>’</w:t>
            </w:r>
            <w:r w:rsidRPr="00182400">
              <w:rPr>
                <w:rFonts w:eastAsia="Proxima Nova" w:cs="Arial"/>
                <w:color w:val="000000"/>
                <w:lang w:val="en-GB" w:eastAsia="en-US" w:bidi="en-GB"/>
              </w:rPr>
              <w:t>s plans:</w:t>
            </w:r>
          </w:p>
          <w:p w14:paraId="02A99924" w14:textId="77777777" w:rsidR="00CB52B5" w:rsidRPr="00182400" w:rsidRDefault="00CB52B5" w:rsidP="00182400">
            <w:pPr>
              <w:pStyle w:val="Nummerertliste2"/>
              <w:rPr>
                <w:szCs w:val="22"/>
                <w:lang w:val="en-GB" w:eastAsia="en-US" w:bidi="en-GB"/>
              </w:rPr>
            </w:pPr>
            <w:r w:rsidRPr="00182400">
              <w:rPr>
                <w:szCs w:val="22"/>
                <w:lang w:val="en-GB" w:eastAsia="en-US" w:bidi="en-GB"/>
              </w:rPr>
              <w:t>Enforce expanded regulations for the use of ICT in line with the imposed guidelines for increased control volume. In 2023, sector supervision was carried out in the education sector, with at least 10 controls. Subject to available resources, from 2024, approximately 280 simplified controls and 30-35 in-depth controls of digital solutions in the public sector will be carried out. In addition, supervision and controls will also be carried out in the private sector after 2023.</w:t>
            </w:r>
          </w:p>
          <w:p w14:paraId="3F64AD41" w14:textId="77777777" w:rsidR="00CB52B5" w:rsidRPr="00182400" w:rsidRDefault="00CB52B5" w:rsidP="00182400">
            <w:pPr>
              <w:pStyle w:val="Nummerertliste2"/>
              <w:rPr>
                <w:szCs w:val="22"/>
                <w:lang w:val="en-GB" w:eastAsia="en-US" w:bidi="en-GB"/>
              </w:rPr>
            </w:pPr>
            <w:r w:rsidRPr="00182400">
              <w:rPr>
                <w:szCs w:val="22"/>
                <w:lang w:val="en-GB" w:eastAsia="en-US" w:bidi="en-GB"/>
              </w:rPr>
              <w:t>Continue the work to digitise methods for control and supervision to effectively scale up the control activities.</w:t>
            </w:r>
          </w:p>
          <w:p w14:paraId="145772C8" w14:textId="77777777" w:rsidR="00CB52B5" w:rsidRPr="00182400" w:rsidRDefault="00CB52B5" w:rsidP="00182400">
            <w:pPr>
              <w:pStyle w:val="Nummerertliste2"/>
              <w:rPr>
                <w:iCs/>
                <w:szCs w:val="22"/>
                <w:lang w:val="en-US" w:eastAsia="en-US"/>
              </w:rPr>
            </w:pPr>
            <w:r w:rsidRPr="00182400">
              <w:rPr>
                <w:szCs w:val="22"/>
                <w:lang w:val="en-GB" w:eastAsia="en-US" w:bidi="en-GB"/>
              </w:rPr>
              <w:t>Roll out the solution for accessibility declarations to help ensure that all public sector activities have declarations of compliance with the regulations.</w:t>
            </w:r>
          </w:p>
          <w:p w14:paraId="79DB16CE" w14:textId="77777777" w:rsidR="00CB52B5" w:rsidRPr="00182400" w:rsidRDefault="00CB52B5" w:rsidP="00182400">
            <w:pPr>
              <w:pStyle w:val="Nummerertliste2"/>
              <w:rPr>
                <w:iCs/>
                <w:szCs w:val="22"/>
                <w:lang w:val="en-US" w:eastAsia="en-US"/>
              </w:rPr>
            </w:pPr>
            <w:r w:rsidRPr="00182400">
              <w:rPr>
                <w:szCs w:val="22"/>
                <w:lang w:val="en-GB" w:eastAsia="en-US" w:bidi="en-GB"/>
              </w:rPr>
              <w:t>Continue the work on guidance, communication, information work and contact with industry and user organisations.</w:t>
            </w:r>
          </w:p>
          <w:p w14:paraId="6506C6DC" w14:textId="77777777" w:rsidR="00CB52B5" w:rsidRPr="00182400" w:rsidRDefault="00CB52B5" w:rsidP="00182400">
            <w:pPr>
              <w:pStyle w:val="Nummerertliste2"/>
              <w:rPr>
                <w:iCs/>
                <w:szCs w:val="22"/>
                <w:lang w:val="en-US" w:eastAsia="en-US"/>
              </w:rPr>
            </w:pPr>
            <w:r w:rsidRPr="00182400">
              <w:rPr>
                <w:szCs w:val="22"/>
                <w:lang w:val="en-GB" w:eastAsia="en-US" w:bidi="en-GB"/>
              </w:rPr>
              <w:t xml:space="preserve">Analyse data and disseminate knowledge about the status of universal design of ICT, digital </w:t>
            </w:r>
            <w:proofErr w:type="gramStart"/>
            <w:r w:rsidRPr="00182400">
              <w:rPr>
                <w:szCs w:val="22"/>
                <w:lang w:val="en-GB" w:eastAsia="en-US" w:bidi="en-GB"/>
              </w:rPr>
              <w:t>participation</w:t>
            </w:r>
            <w:proofErr w:type="gramEnd"/>
            <w:r w:rsidRPr="00182400">
              <w:rPr>
                <w:szCs w:val="22"/>
                <w:lang w:val="en-GB" w:eastAsia="en-US" w:bidi="en-GB"/>
              </w:rPr>
              <w:t xml:space="preserve"> and digital exclusion.</w:t>
            </w:r>
          </w:p>
          <w:p w14:paraId="5007C0A9" w14:textId="77777777" w:rsidR="00CB52B5" w:rsidRPr="00182400" w:rsidRDefault="00CB52B5" w:rsidP="00CB52B5">
            <w:pPr>
              <w:pStyle w:val="Nummerertliste2"/>
              <w:rPr>
                <w:szCs w:val="22"/>
                <w:lang w:val="en-US" w:eastAsia="en-US"/>
              </w:rPr>
            </w:pPr>
            <w:r w:rsidRPr="00182400">
              <w:rPr>
                <w:szCs w:val="22"/>
                <w:lang w:val="en-GB" w:eastAsia="en-US" w:bidi="en-GB"/>
              </w:rPr>
              <w:t>Contribute to updated and relevant regulations.</w:t>
            </w:r>
          </w:p>
          <w:p w14:paraId="5476EBF5" w14:textId="77777777" w:rsidR="00CB52B5" w:rsidRPr="00182400" w:rsidRDefault="008B0AA1" w:rsidP="00182400">
            <w:pPr>
              <w:pStyle w:val="avsnitt-undertittel"/>
              <w:rPr>
                <w:lang w:val="en-GB" w:eastAsia="en-US"/>
              </w:rPr>
            </w:pPr>
            <w:r w:rsidRPr="00182400">
              <w:rPr>
                <w:bCs/>
                <w:lang w:val="en-GB" w:eastAsia="en-US"/>
              </w:rPr>
              <w:t>3.</w:t>
            </w:r>
            <w:r w:rsidRPr="00182400">
              <w:rPr>
                <w:bCs/>
                <w:lang w:val="en-GB" w:eastAsia="en-US"/>
              </w:rPr>
              <w:tab/>
            </w:r>
            <w:r w:rsidR="00CB52B5" w:rsidRPr="00182400">
              <w:rPr>
                <w:lang w:val="en-GB" w:eastAsia="en-US"/>
              </w:rPr>
              <w:t>What results will be achieved by implementing the commitment?</w:t>
            </w:r>
          </w:p>
          <w:p w14:paraId="71470AAA" w14:textId="77777777" w:rsidR="00CB52B5" w:rsidRPr="00182400" w:rsidRDefault="00CB52B5" w:rsidP="00182400">
            <w:pPr>
              <w:spacing w:line="240" w:lineRule="auto"/>
              <w:rPr>
                <w:rFonts w:eastAsia="Proxima Nova" w:cs="Arial"/>
                <w:color w:val="000000"/>
                <w:lang w:val="en-GB" w:eastAsia="en-US" w:bidi="en-GB"/>
              </w:rPr>
            </w:pPr>
            <w:r w:rsidRPr="00182400">
              <w:rPr>
                <w:rFonts w:eastAsia="Proxima Nova" w:cs="Arial"/>
                <w:color w:val="000000"/>
                <w:lang w:val="en-GB" w:eastAsia="en-US" w:bidi="en-GB"/>
              </w:rPr>
              <w:t>The purpose is to promote equal participation in society, reduce and prevent new digital barriers and prevent discrimination.</w:t>
            </w:r>
          </w:p>
          <w:p w14:paraId="4D7114D7" w14:textId="77777777" w:rsidR="00CB52B5" w:rsidRPr="00182400" w:rsidRDefault="00CB52B5" w:rsidP="00182400">
            <w:pPr>
              <w:spacing w:line="240" w:lineRule="auto"/>
              <w:rPr>
                <w:rFonts w:eastAsia="Proxima Nova" w:cs="Arial"/>
                <w:color w:val="000000"/>
                <w:lang w:val="en-GB" w:eastAsia="en-US" w:bidi="en-GB"/>
              </w:rPr>
            </w:pPr>
            <w:r w:rsidRPr="00182400">
              <w:rPr>
                <w:rFonts w:eastAsia="Proxima Nova" w:cs="Arial"/>
                <w:color w:val="000000"/>
                <w:lang w:val="en-GB" w:eastAsia="en-US" w:bidi="en-GB"/>
              </w:rPr>
              <w:t xml:space="preserve">The result of enforcing and following up the regulations through control and supervision, guidance and communication, analyses and surveys </w:t>
            </w:r>
            <w:proofErr w:type="gramStart"/>
            <w:r w:rsidRPr="00182400">
              <w:rPr>
                <w:rFonts w:eastAsia="Proxima Nova" w:cs="Arial"/>
                <w:color w:val="000000"/>
                <w:lang w:val="en-GB" w:eastAsia="en-US" w:bidi="en-GB"/>
              </w:rPr>
              <w:t>is</w:t>
            </w:r>
            <w:proofErr w:type="gramEnd"/>
          </w:p>
          <w:p w14:paraId="06396A54" w14:textId="77777777" w:rsidR="00CB52B5" w:rsidRPr="00182400" w:rsidRDefault="00CB52B5" w:rsidP="00182400">
            <w:pPr>
              <w:pStyle w:val="Liste"/>
              <w:rPr>
                <w:szCs w:val="22"/>
                <w:lang w:val="en-GB" w:eastAsia="en-US" w:bidi="en-GB"/>
              </w:rPr>
            </w:pPr>
            <w:proofErr w:type="gramStart"/>
            <w:r w:rsidRPr="00182400">
              <w:rPr>
                <w:szCs w:val="22"/>
                <w:lang w:val="en-GB" w:eastAsia="en-US" w:bidi="en-GB"/>
              </w:rPr>
              <w:lastRenderedPageBreak/>
              <w:t>that citizens</w:t>
            </w:r>
            <w:proofErr w:type="gramEnd"/>
            <w:r w:rsidRPr="00182400">
              <w:rPr>
                <w:szCs w:val="22"/>
                <w:lang w:val="en-GB" w:eastAsia="en-US" w:bidi="en-GB"/>
              </w:rPr>
              <w:t>, regardless of disability, will be able to participate in digital social arenas on equal terms.</w:t>
            </w:r>
          </w:p>
          <w:p w14:paraId="63B0D368" w14:textId="77777777" w:rsidR="00CB52B5" w:rsidRPr="00182400" w:rsidRDefault="00CB52B5" w:rsidP="00182400">
            <w:pPr>
              <w:pStyle w:val="Liste"/>
              <w:rPr>
                <w:iCs/>
                <w:szCs w:val="22"/>
                <w:lang w:val="en-US" w:eastAsia="en-US"/>
              </w:rPr>
            </w:pPr>
            <w:r w:rsidRPr="00182400">
              <w:rPr>
                <w:szCs w:val="22"/>
                <w:lang w:val="en-GB" w:eastAsia="en-US" w:bidi="en-GB"/>
              </w:rPr>
              <w:t>increased awareness and knowledge about universal design of ICT and contribute to ensuring that universal design is a continuous endeavour that is included from the start of all development projects and is maintained in further development and administration.</w:t>
            </w:r>
          </w:p>
          <w:p w14:paraId="11AB3425" w14:textId="77777777" w:rsidR="00CB52B5" w:rsidRPr="00182400" w:rsidRDefault="00CB52B5" w:rsidP="00182400">
            <w:pPr>
              <w:pStyle w:val="Liste"/>
              <w:rPr>
                <w:bCs/>
                <w:szCs w:val="22"/>
                <w:lang w:val="en-US" w:eastAsia="en-US"/>
              </w:rPr>
            </w:pPr>
            <w:r w:rsidRPr="00182400">
              <w:rPr>
                <w:szCs w:val="22"/>
                <w:lang w:val="en-GB" w:eastAsia="en-US" w:bidi="en-GB"/>
              </w:rPr>
              <w:t xml:space="preserve">increased knowledge and awareness of the extent and consequences of lack of universal design and digital exclusion. </w:t>
            </w:r>
          </w:p>
        </w:tc>
      </w:tr>
    </w:tbl>
    <w:p w14:paraId="38DCABA3" w14:textId="77777777" w:rsidR="009D3DDD" w:rsidRDefault="009D3DDD" w:rsidP="00FA06AB">
      <w:pPr>
        <w:spacing w:after="180" w:line="240" w:lineRule="auto"/>
        <w:jc w:val="both"/>
        <w:rPr>
          <w:rFonts w:eastAsia="Proxima Nova" w:cs="Arial"/>
          <w:lang w:val="en-US"/>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547"/>
        <w:gridCol w:w="7087"/>
      </w:tblGrid>
      <w:tr w:rsidR="009D3DDD" w:rsidRPr="00182400" w14:paraId="220A16C3" w14:textId="77777777" w:rsidTr="00182400">
        <w:tc>
          <w:tcPr>
            <w:tcW w:w="9634" w:type="dxa"/>
            <w:gridSpan w:val="2"/>
            <w:shd w:val="clear" w:color="auto" w:fill="auto"/>
          </w:tcPr>
          <w:p w14:paraId="04B154AD" w14:textId="77777777" w:rsidR="009D3DDD" w:rsidRPr="00182400" w:rsidRDefault="009D3DDD"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9D3DDD" w:rsidRPr="00182400" w14:paraId="6C351485" w14:textId="77777777" w:rsidTr="00182400">
        <w:trPr>
          <w:trHeight w:val="200"/>
        </w:trPr>
        <w:tc>
          <w:tcPr>
            <w:tcW w:w="2547" w:type="dxa"/>
            <w:shd w:val="clear" w:color="auto" w:fill="auto"/>
          </w:tcPr>
          <w:p w14:paraId="78180D3B" w14:textId="77777777" w:rsidR="009D3DDD" w:rsidRPr="00182400" w:rsidRDefault="009D3DDD" w:rsidP="00182400">
            <w:pPr>
              <w:pStyle w:val="TabellHode-kolonne"/>
              <w:rPr>
                <w:rStyle w:val="kursiv"/>
                <w:rFonts w:eastAsia="Proxima Nova"/>
                <w:lang w:eastAsia="en-US"/>
              </w:rPr>
            </w:pPr>
            <w:r w:rsidRPr="00182400">
              <w:rPr>
                <w:rStyle w:val="kursiv"/>
                <w:rFonts w:eastAsia="Proxima Nova"/>
                <w:lang w:eastAsia="en-US"/>
              </w:rPr>
              <w:t>Question</w:t>
            </w:r>
          </w:p>
        </w:tc>
        <w:tc>
          <w:tcPr>
            <w:tcW w:w="7087" w:type="dxa"/>
            <w:shd w:val="clear" w:color="auto" w:fill="auto"/>
          </w:tcPr>
          <w:p w14:paraId="4DC07AD5" w14:textId="77777777" w:rsidR="009D3DDD" w:rsidRPr="00182400" w:rsidRDefault="009D3DDD" w:rsidP="00182400">
            <w:pPr>
              <w:pStyle w:val="TabellHode-kolonne"/>
              <w:rPr>
                <w:rStyle w:val="kursiv"/>
                <w:rFonts w:eastAsia="Proxima Nova"/>
                <w:lang w:eastAsia="en-US"/>
              </w:rPr>
            </w:pPr>
            <w:proofErr w:type="spellStart"/>
            <w:r w:rsidRPr="00182400">
              <w:rPr>
                <w:rStyle w:val="kursiv"/>
                <w:rFonts w:eastAsia="Proxima Nova"/>
                <w:lang w:eastAsia="en-US"/>
              </w:rPr>
              <w:t>Answer</w:t>
            </w:r>
            <w:proofErr w:type="spellEnd"/>
            <w:r w:rsidRPr="00182400">
              <w:rPr>
                <w:rStyle w:val="kursiv"/>
                <w:rFonts w:eastAsia="Proxima Nova"/>
                <w:lang w:eastAsia="en-US"/>
              </w:rPr>
              <w:t xml:space="preserve"> </w:t>
            </w:r>
          </w:p>
        </w:tc>
      </w:tr>
      <w:tr w:rsidR="009D3DDD" w:rsidRPr="00BB441C" w14:paraId="39CCE823" w14:textId="77777777" w:rsidTr="00182400">
        <w:trPr>
          <w:trHeight w:val="200"/>
        </w:trPr>
        <w:tc>
          <w:tcPr>
            <w:tcW w:w="2547" w:type="dxa"/>
            <w:shd w:val="clear" w:color="auto" w:fill="auto"/>
          </w:tcPr>
          <w:p w14:paraId="4B6115AC" w14:textId="0EE57632" w:rsidR="009D3DDD" w:rsidRPr="00182400" w:rsidRDefault="00534E36" w:rsidP="00BB441C">
            <w:pPr>
              <w:pStyle w:val="friliste"/>
              <w:rPr>
                <w:rStyle w:val="kursiv"/>
                <w:lang w:val="en-GB" w:eastAsia="en-US"/>
              </w:rPr>
            </w:pPr>
            <w:r w:rsidRPr="00182400">
              <w:rPr>
                <w:rStyle w:val="kursiv"/>
                <w:lang w:val="en-GB" w:eastAsia="en-US"/>
              </w:rPr>
              <w:t>1.</w:t>
            </w:r>
            <w:r w:rsidRPr="00182400">
              <w:rPr>
                <w:rStyle w:val="kursiv"/>
                <w:lang w:val="en-GB" w:eastAsia="en-US"/>
              </w:rPr>
              <w:tab/>
            </w:r>
            <w:r w:rsidR="009D3DDD" w:rsidRPr="00182400">
              <w:rPr>
                <w:lang w:val="en-GB" w:eastAsia="en-US"/>
              </w:rPr>
              <w:t>How will the commitment promote openness?</w:t>
            </w:r>
          </w:p>
        </w:tc>
        <w:tc>
          <w:tcPr>
            <w:tcW w:w="7087" w:type="dxa"/>
            <w:shd w:val="clear" w:color="auto" w:fill="auto"/>
          </w:tcPr>
          <w:p w14:paraId="66893BED" w14:textId="77777777" w:rsidR="009D3DDD" w:rsidRPr="00182400" w:rsidRDefault="009D3DDD" w:rsidP="00182400">
            <w:pPr>
              <w:rPr>
                <w:rFonts w:eastAsia="Proxima Nova"/>
                <w:bCs/>
                <w:lang w:val="en-US" w:eastAsia="en-US"/>
              </w:rPr>
            </w:pPr>
            <w:r w:rsidRPr="00182400">
              <w:rPr>
                <w:rFonts w:eastAsia="Proxima Nova"/>
                <w:lang w:val="en-GB" w:eastAsia="en-US" w:bidi="en-GB"/>
              </w:rPr>
              <w:t xml:space="preserve">The commitment promotes openness by making information and services more accessible through universal design of ICT, thereby promoting equal participation. </w:t>
            </w:r>
          </w:p>
        </w:tc>
      </w:tr>
      <w:tr w:rsidR="009D3DDD" w:rsidRPr="00BB441C" w14:paraId="2A96CE3B" w14:textId="77777777" w:rsidTr="00182400">
        <w:trPr>
          <w:trHeight w:val="200"/>
        </w:trPr>
        <w:tc>
          <w:tcPr>
            <w:tcW w:w="2547" w:type="dxa"/>
            <w:shd w:val="clear" w:color="auto" w:fill="auto"/>
          </w:tcPr>
          <w:p w14:paraId="04F255EB" w14:textId="4EC8F82B" w:rsidR="009D3DDD" w:rsidRPr="00182400" w:rsidRDefault="00534E36" w:rsidP="00BB441C">
            <w:pPr>
              <w:pStyle w:val="friliste"/>
              <w:rPr>
                <w:rStyle w:val="kursiv"/>
                <w:lang w:val="en-GB" w:eastAsia="en-US"/>
              </w:rPr>
            </w:pPr>
            <w:r w:rsidRPr="00182400">
              <w:rPr>
                <w:rStyle w:val="kursiv"/>
                <w:lang w:val="en-GB" w:eastAsia="en-US"/>
              </w:rPr>
              <w:t>2.</w:t>
            </w:r>
            <w:r w:rsidRPr="00182400">
              <w:rPr>
                <w:rStyle w:val="kursiv"/>
                <w:lang w:val="en-GB" w:eastAsia="en-US"/>
              </w:rPr>
              <w:tab/>
            </w:r>
            <w:r w:rsidR="009D3DDD" w:rsidRPr="00182400">
              <w:rPr>
                <w:lang w:val="en-GB" w:eastAsia="en-US" w:bidi="en-GB"/>
              </w:rPr>
              <w:t xml:space="preserve">How will the commitment contribute to greater predictability? </w:t>
            </w:r>
          </w:p>
        </w:tc>
        <w:tc>
          <w:tcPr>
            <w:tcW w:w="7087" w:type="dxa"/>
            <w:shd w:val="clear" w:color="auto" w:fill="auto"/>
          </w:tcPr>
          <w:p w14:paraId="5FD6CB9F" w14:textId="77777777" w:rsidR="009D3DDD" w:rsidRPr="00182400" w:rsidRDefault="009D3DDD" w:rsidP="00182400">
            <w:pPr>
              <w:rPr>
                <w:rFonts w:eastAsia="Proxima Nova"/>
                <w:lang w:val="en-GB" w:eastAsia="en-US" w:bidi="en-GB"/>
              </w:rPr>
            </w:pPr>
            <w:r w:rsidRPr="00182400">
              <w:rPr>
                <w:rFonts w:eastAsia="Proxima Nova"/>
                <w:lang w:val="en-GB" w:eastAsia="en-US" w:bidi="en-GB"/>
              </w:rPr>
              <w:t>The ICT regulations require the entities to ensure that digital solutions are universally designed.</w:t>
            </w:r>
          </w:p>
          <w:p w14:paraId="4E4E75E4" w14:textId="77777777" w:rsidR="009D3DDD" w:rsidRPr="00182400" w:rsidRDefault="009D3DDD" w:rsidP="00182400">
            <w:pPr>
              <w:rPr>
                <w:rFonts w:eastAsia="Proxima Nova"/>
                <w:lang w:val="en-GB" w:eastAsia="en-US" w:bidi="en-GB"/>
              </w:rPr>
            </w:pPr>
            <w:r w:rsidRPr="00182400">
              <w:rPr>
                <w:rFonts w:eastAsia="Proxima Nova"/>
                <w:lang w:val="en-GB" w:eastAsia="en-US" w:bidi="en-GB"/>
              </w:rPr>
              <w:t xml:space="preserve">From 1 February 2023, public sector activities and bodies governed by public law must also have accessibility declarations for all websites and apps. The declarations show the degree of compliance with each individual requirement in the regulations for universal design of </w:t>
            </w:r>
            <w:proofErr w:type="gramStart"/>
            <w:r w:rsidRPr="00182400">
              <w:rPr>
                <w:rFonts w:eastAsia="Proxima Nova"/>
                <w:lang w:val="en-GB" w:eastAsia="en-US" w:bidi="en-GB"/>
              </w:rPr>
              <w:t>ICT, and</w:t>
            </w:r>
            <w:proofErr w:type="gramEnd"/>
            <w:r w:rsidRPr="00182400">
              <w:rPr>
                <w:rFonts w:eastAsia="Proxima Nova"/>
                <w:lang w:val="en-GB" w:eastAsia="en-US" w:bidi="en-GB"/>
              </w:rPr>
              <w:t xml:space="preserve"> have functionality for users of digital solutions to report accessibility challenges.</w:t>
            </w:r>
          </w:p>
          <w:p w14:paraId="330D9195" w14:textId="77777777" w:rsidR="009D3DDD" w:rsidRPr="00182400" w:rsidRDefault="009D3DDD" w:rsidP="00182400">
            <w:pPr>
              <w:rPr>
                <w:rFonts w:eastAsia="Proxima Nova"/>
                <w:lang w:val="en-US" w:eastAsia="en-US"/>
              </w:rPr>
            </w:pPr>
            <w:r w:rsidRPr="00182400">
              <w:rPr>
                <w:rFonts w:eastAsia="Proxima Nova"/>
                <w:lang w:val="en-GB" w:eastAsia="en-US" w:bidi="en-GB"/>
              </w:rPr>
              <w:t xml:space="preserve">Through the Authority for Universal Design of ICT, </w:t>
            </w:r>
            <w:proofErr w:type="spellStart"/>
            <w:r w:rsidRPr="00182400">
              <w:rPr>
                <w:rFonts w:eastAsia="Proxima Nova"/>
                <w:lang w:val="en-GB" w:eastAsia="en-US" w:bidi="en-GB"/>
              </w:rPr>
              <w:t>Digdir</w:t>
            </w:r>
            <w:proofErr w:type="spellEnd"/>
            <w:r w:rsidRPr="00182400">
              <w:rPr>
                <w:rFonts w:eastAsia="Proxima Nova"/>
                <w:lang w:val="en-GB" w:eastAsia="en-US" w:bidi="en-GB"/>
              </w:rPr>
              <w:t xml:space="preserve"> shall annually control the extent to which the entities comply with the regulations, and the results of the controls shall be reported to ESA/EU and made publicly available. </w:t>
            </w:r>
          </w:p>
        </w:tc>
      </w:tr>
      <w:tr w:rsidR="009D3DDD" w:rsidRPr="00BB441C" w14:paraId="3AC0C88B" w14:textId="77777777" w:rsidTr="00182400">
        <w:trPr>
          <w:trHeight w:val="200"/>
        </w:trPr>
        <w:tc>
          <w:tcPr>
            <w:tcW w:w="2547" w:type="dxa"/>
            <w:shd w:val="clear" w:color="auto" w:fill="auto"/>
          </w:tcPr>
          <w:p w14:paraId="767283BF" w14:textId="79B27895" w:rsidR="009D3DDD" w:rsidRPr="00182400" w:rsidRDefault="00534E36" w:rsidP="00BB441C">
            <w:pPr>
              <w:pStyle w:val="friliste"/>
              <w:rPr>
                <w:rStyle w:val="kursiv"/>
                <w:lang w:val="en-GB" w:eastAsia="en-US"/>
              </w:rPr>
            </w:pPr>
            <w:r w:rsidRPr="00182400">
              <w:rPr>
                <w:rStyle w:val="kursiv"/>
                <w:lang w:val="en-GB" w:eastAsia="en-US"/>
              </w:rPr>
              <w:t>3.</w:t>
            </w:r>
            <w:r w:rsidRPr="00182400">
              <w:rPr>
                <w:rStyle w:val="kursiv"/>
                <w:lang w:val="en-GB" w:eastAsia="en-US"/>
              </w:rPr>
              <w:tab/>
            </w:r>
            <w:r w:rsidR="009D3DDD" w:rsidRPr="00182400">
              <w:rPr>
                <w:lang w:val="en-GB" w:eastAsia="en-US" w:bidi="en-GB"/>
              </w:rPr>
              <w:t xml:space="preserve">How will the commitment improve the opportunity for citizens to participate by publicising, </w:t>
            </w:r>
            <w:proofErr w:type="gramStart"/>
            <w:r w:rsidR="009D3DDD" w:rsidRPr="00182400">
              <w:rPr>
                <w:lang w:val="en-GB" w:eastAsia="en-US" w:bidi="en-GB"/>
              </w:rPr>
              <w:lastRenderedPageBreak/>
              <w:t>implementing</w:t>
            </w:r>
            <w:proofErr w:type="gramEnd"/>
            <w:r w:rsidR="009D3DDD" w:rsidRPr="00182400">
              <w:rPr>
                <w:lang w:val="en-GB" w:eastAsia="en-US" w:bidi="en-GB"/>
              </w:rPr>
              <w:t xml:space="preserve"> and monitoring the solutions? </w:t>
            </w:r>
          </w:p>
        </w:tc>
        <w:tc>
          <w:tcPr>
            <w:tcW w:w="7087" w:type="dxa"/>
            <w:shd w:val="clear" w:color="auto" w:fill="auto"/>
          </w:tcPr>
          <w:p w14:paraId="2235402F" w14:textId="77777777" w:rsidR="009D3DDD" w:rsidRPr="00182400" w:rsidRDefault="009D3DDD" w:rsidP="00182400">
            <w:pPr>
              <w:rPr>
                <w:rFonts w:eastAsia="Proxima Nova"/>
                <w:lang w:val="en-GB" w:eastAsia="en-US" w:bidi="en-GB"/>
              </w:rPr>
            </w:pPr>
            <w:r w:rsidRPr="00182400">
              <w:rPr>
                <w:rFonts w:eastAsia="Proxima Nova"/>
                <w:lang w:val="en-GB" w:eastAsia="en-US" w:bidi="en-GB"/>
              </w:rPr>
              <w:lastRenderedPageBreak/>
              <w:t>The incorporation of EU Directive 2016/2102 into Norwegian law means that the total number of compliance checks must be greatly increased.</w:t>
            </w:r>
          </w:p>
          <w:p w14:paraId="6FEC000C" w14:textId="77777777" w:rsidR="009D3DDD" w:rsidRPr="00182400" w:rsidRDefault="009D3DDD" w:rsidP="00182400">
            <w:pPr>
              <w:rPr>
                <w:rFonts w:eastAsia="Proxima Nova"/>
                <w:lang w:val="en-GB" w:eastAsia="en-US" w:bidi="en-GB"/>
              </w:rPr>
            </w:pPr>
            <w:r w:rsidRPr="00182400">
              <w:rPr>
                <w:rFonts w:eastAsia="Proxima Nova"/>
                <w:lang w:val="en-GB" w:eastAsia="en-US" w:bidi="en-GB"/>
              </w:rPr>
              <w:t xml:space="preserve">Norway is required to carry out annual in-depth controls of 30-35 websites and apps against all requirements in the regulations and </w:t>
            </w:r>
            <w:r w:rsidRPr="00182400">
              <w:rPr>
                <w:rFonts w:eastAsia="Proxima Nova"/>
                <w:lang w:val="en-GB" w:eastAsia="en-US" w:bidi="en-GB"/>
              </w:rPr>
              <w:lastRenderedPageBreak/>
              <w:t>up to 280 simplified controls of websites to identify violations of the regulations.</w:t>
            </w:r>
          </w:p>
          <w:p w14:paraId="4BCAB64F" w14:textId="77777777" w:rsidR="009D3DDD" w:rsidRPr="00182400" w:rsidRDefault="009D3DDD" w:rsidP="00182400">
            <w:pPr>
              <w:rPr>
                <w:rFonts w:eastAsia="Proxima Nova"/>
                <w:bCs/>
                <w:lang w:val="en-US" w:eastAsia="en-US"/>
              </w:rPr>
            </w:pPr>
            <w:r w:rsidRPr="00182400">
              <w:rPr>
                <w:rFonts w:eastAsia="Proxima Nova"/>
                <w:lang w:val="en-GB" w:eastAsia="en-US" w:bidi="en-GB"/>
              </w:rPr>
              <w:t xml:space="preserve">This will contribute to more universally designed solutions and open information about which solutions are most/least compliant with the regulations. Accessibility declarations and follow-up of feedback from users about accessibility challenges in the public sector’s digital solutions will also help to make the entities more accountable to users. </w:t>
            </w:r>
          </w:p>
        </w:tc>
      </w:tr>
    </w:tbl>
    <w:p w14:paraId="10DA6027" w14:textId="77777777" w:rsidR="009D3DDD" w:rsidRDefault="009D3DDD" w:rsidP="00FA06AB">
      <w:pPr>
        <w:spacing w:after="180" w:line="240" w:lineRule="auto"/>
        <w:jc w:val="both"/>
        <w:rPr>
          <w:rFonts w:eastAsia="Proxima Nova" w:cs="Arial"/>
          <w:lang w:val="en-US"/>
        </w:rPr>
      </w:pPr>
    </w:p>
    <w:p w14:paraId="24A781F9" w14:textId="77777777" w:rsidR="00FA06AB" w:rsidRPr="00A931A6" w:rsidRDefault="00FA06AB" w:rsidP="00291078">
      <w:pPr>
        <w:pStyle w:val="Overskrift2"/>
        <w:rPr>
          <w:rFonts w:eastAsia="Proxima Nova"/>
          <w:lang w:val="en-US"/>
        </w:rPr>
      </w:pPr>
      <w:r w:rsidRPr="00291078">
        <w:rPr>
          <w:rFonts w:eastAsia="Proxima Nova"/>
          <w:lang w:val="en-GB" w:bidi="en-GB"/>
        </w:rPr>
        <w:t>Simplified privacy statements on public websites (DFD)</w:t>
      </w:r>
    </w:p>
    <w:p w14:paraId="49320413" w14:textId="77777777" w:rsidR="00FA06AB" w:rsidRPr="009D3DDD" w:rsidRDefault="00FA06AB" w:rsidP="00FA06AB">
      <w:pPr>
        <w:pStyle w:val="Listeavsnitt"/>
        <w:spacing w:line="240" w:lineRule="auto"/>
        <w:rPr>
          <w:rStyle w:val="halvfet"/>
          <w:rFonts w:eastAsia="Proxima Nova"/>
          <w:lang w:val="en-GB"/>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0"/>
        <w:gridCol w:w="2589"/>
        <w:gridCol w:w="2589"/>
      </w:tblGrid>
      <w:tr w:rsidR="0079238D" w:rsidRPr="00BB441C" w14:paraId="5FAD475D" w14:textId="77777777" w:rsidTr="00182400">
        <w:tc>
          <w:tcPr>
            <w:tcW w:w="1702" w:type="dxa"/>
            <w:shd w:val="clear" w:color="auto" w:fill="auto"/>
          </w:tcPr>
          <w:p w14:paraId="1ED325D8" w14:textId="77777777" w:rsidR="0079238D" w:rsidRPr="00642710" w:rsidRDefault="001A31DB" w:rsidP="00182400">
            <w:pPr>
              <w:pStyle w:val="TabellHode-rad"/>
              <w:rPr>
                <w:rStyle w:val="kursiv"/>
                <w:rFonts w:eastAsia="Proxima Nova"/>
              </w:rPr>
            </w:pPr>
            <w:proofErr w:type="spellStart"/>
            <w:r w:rsidRPr="00642710">
              <w:rPr>
                <w:rStyle w:val="kursiv"/>
                <w:rFonts w:eastAsia="Proxima Nova"/>
              </w:rPr>
              <w:t>Title</w:t>
            </w:r>
            <w:proofErr w:type="spellEnd"/>
          </w:p>
        </w:tc>
        <w:tc>
          <w:tcPr>
            <w:tcW w:w="7768" w:type="dxa"/>
            <w:gridSpan w:val="3"/>
            <w:shd w:val="clear" w:color="auto" w:fill="auto"/>
          </w:tcPr>
          <w:p w14:paraId="255F9A40" w14:textId="77777777" w:rsidR="0079238D" w:rsidRPr="00BB441C" w:rsidRDefault="0079238D" w:rsidP="00CB52B5">
            <w:pPr>
              <w:rPr>
                <w:rFonts w:eastAsia="Proxima Nova"/>
                <w:lang w:val="en-GB" w:eastAsia="en-US"/>
              </w:rPr>
            </w:pPr>
            <w:r w:rsidRPr="00BB441C">
              <w:rPr>
                <w:rFonts w:eastAsia="Proxima Nova"/>
                <w:lang w:val="en-GB" w:eastAsia="en-US"/>
              </w:rPr>
              <w:t>Simplified privacy statements on public websites</w:t>
            </w:r>
          </w:p>
        </w:tc>
      </w:tr>
      <w:tr w:rsidR="009A5D11" w:rsidRPr="00BB441C" w14:paraId="25A33807" w14:textId="77777777" w:rsidTr="00182400">
        <w:tc>
          <w:tcPr>
            <w:tcW w:w="1702" w:type="dxa"/>
            <w:shd w:val="clear" w:color="auto" w:fill="auto"/>
          </w:tcPr>
          <w:p w14:paraId="1597AAE1" w14:textId="77777777" w:rsidR="009A5D11" w:rsidRPr="00642710" w:rsidRDefault="009A5D11" w:rsidP="00182400">
            <w:pPr>
              <w:pStyle w:val="TabellHode-rad"/>
              <w:rPr>
                <w:rStyle w:val="kursiv"/>
                <w:rFonts w:eastAsia="Proxima Nova"/>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68" w:type="dxa"/>
            <w:gridSpan w:val="3"/>
            <w:shd w:val="clear" w:color="auto" w:fill="auto"/>
          </w:tcPr>
          <w:p w14:paraId="76834962" w14:textId="77777777" w:rsidR="009A5D11" w:rsidRPr="00BB441C" w:rsidRDefault="009A5D11" w:rsidP="00CB52B5">
            <w:pPr>
              <w:rPr>
                <w:rFonts w:eastAsia="Proxima Nova"/>
                <w:lang w:val="en-GB" w:eastAsia="en-US"/>
              </w:rPr>
            </w:pPr>
            <w:r w:rsidRPr="00BB441C">
              <w:rPr>
                <w:rFonts w:eastAsia="Proxima Nova"/>
                <w:lang w:val="en-GB" w:eastAsia="en-US"/>
              </w:rPr>
              <w:t>Contribute to public agencies formulating and publishing simplified and more understandable statements on the processing of personal data.</w:t>
            </w:r>
          </w:p>
        </w:tc>
      </w:tr>
      <w:tr w:rsidR="0079238D" w:rsidRPr="00BB441C" w14:paraId="2BC68020" w14:textId="77777777" w:rsidTr="00182400">
        <w:tc>
          <w:tcPr>
            <w:tcW w:w="1702" w:type="dxa"/>
            <w:shd w:val="clear" w:color="auto" w:fill="auto"/>
          </w:tcPr>
          <w:p w14:paraId="01A92F1A" w14:textId="77777777" w:rsidR="0079238D" w:rsidRPr="00642710" w:rsidRDefault="009A5D11" w:rsidP="00182400">
            <w:pPr>
              <w:pStyle w:val="TabellHode-rad"/>
              <w:rPr>
                <w:rStyle w:val="kursiv"/>
                <w:rFonts w:eastAsia="Proxima Nova"/>
              </w:rPr>
            </w:pPr>
            <w:proofErr w:type="spellStart"/>
            <w:r w:rsidRPr="00642710">
              <w:rPr>
                <w:rStyle w:val="kursiv"/>
                <w:rFonts w:eastAsia="Proxima Nova"/>
              </w:rPr>
              <w:t>Responsible</w:t>
            </w:r>
            <w:proofErr w:type="spellEnd"/>
            <w:r w:rsidRPr="00642710">
              <w:rPr>
                <w:rStyle w:val="kursiv"/>
                <w:rFonts w:eastAsia="Proxima Nova"/>
              </w:rPr>
              <w:t xml:space="preserve"> for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68" w:type="dxa"/>
            <w:gridSpan w:val="3"/>
            <w:shd w:val="clear" w:color="auto" w:fill="auto"/>
          </w:tcPr>
          <w:p w14:paraId="5280A1A8" w14:textId="77777777" w:rsidR="0079238D" w:rsidRPr="00BB441C" w:rsidRDefault="0079238D" w:rsidP="00CB52B5">
            <w:pPr>
              <w:rPr>
                <w:rFonts w:eastAsia="Proxima Nova"/>
                <w:lang w:val="en-GB" w:eastAsia="en-US"/>
              </w:rPr>
            </w:pPr>
            <w:r w:rsidRPr="00BB441C">
              <w:rPr>
                <w:rFonts w:eastAsia="Proxima Nova"/>
                <w:lang w:val="en-GB" w:eastAsia="en-US"/>
              </w:rPr>
              <w:t>Ministry of Digitisation and Public Governance</w:t>
            </w:r>
          </w:p>
        </w:tc>
      </w:tr>
      <w:tr w:rsidR="0079238D" w:rsidRPr="00182400" w14:paraId="3FB85476" w14:textId="77777777" w:rsidTr="00182400">
        <w:trPr>
          <w:trHeight w:val="270"/>
        </w:trPr>
        <w:tc>
          <w:tcPr>
            <w:tcW w:w="1702" w:type="dxa"/>
            <w:vMerge w:val="restart"/>
            <w:shd w:val="clear" w:color="auto" w:fill="auto"/>
          </w:tcPr>
          <w:p w14:paraId="792E259C" w14:textId="77777777" w:rsidR="0079238D" w:rsidRPr="00642710" w:rsidRDefault="009A5D11" w:rsidP="00182400">
            <w:pPr>
              <w:pStyle w:val="TabellHode-rad"/>
              <w:rPr>
                <w:rStyle w:val="kursiv"/>
                <w:rFonts w:eastAsia="Proxima Nova"/>
              </w:rPr>
            </w:pPr>
            <w:r w:rsidRPr="00642710">
              <w:rPr>
                <w:rStyle w:val="kursiv"/>
                <w:rFonts w:eastAsia="Proxima Nova"/>
              </w:rPr>
              <w:t>Stakeholders</w:t>
            </w:r>
          </w:p>
        </w:tc>
        <w:tc>
          <w:tcPr>
            <w:tcW w:w="2590" w:type="dxa"/>
            <w:shd w:val="clear" w:color="auto" w:fill="auto"/>
          </w:tcPr>
          <w:p w14:paraId="7A65D7A4" w14:textId="77777777" w:rsidR="0079238D" w:rsidRPr="00182400" w:rsidRDefault="009A5D11" w:rsidP="00182400">
            <w:pPr>
              <w:pStyle w:val="TabellHode-kolonne"/>
              <w:rPr>
                <w:rStyle w:val="kursiv"/>
                <w:rFonts w:eastAsia="Proxima Nova"/>
                <w:lang w:eastAsia="en-US"/>
              </w:rPr>
            </w:pPr>
            <w:proofErr w:type="spellStart"/>
            <w:r w:rsidRPr="00182400">
              <w:rPr>
                <w:rStyle w:val="kursiv"/>
                <w:rFonts w:eastAsia="Proxima Nova"/>
                <w:lang w:eastAsia="en-US"/>
              </w:rPr>
              <w:t>Authorities</w:t>
            </w:r>
            <w:proofErr w:type="spellEnd"/>
          </w:p>
        </w:tc>
        <w:tc>
          <w:tcPr>
            <w:tcW w:w="2589" w:type="dxa"/>
            <w:shd w:val="clear" w:color="auto" w:fill="auto"/>
          </w:tcPr>
          <w:p w14:paraId="300EA617" w14:textId="77777777" w:rsidR="0079238D" w:rsidRPr="00182400" w:rsidRDefault="0079238D" w:rsidP="00182400">
            <w:pPr>
              <w:pStyle w:val="TabellHode-kolonne"/>
              <w:rPr>
                <w:rStyle w:val="kursiv"/>
                <w:rFonts w:eastAsia="Proxima Nova"/>
                <w:lang w:eastAsia="en-US"/>
              </w:rPr>
            </w:pPr>
            <w:proofErr w:type="spellStart"/>
            <w:r w:rsidRPr="00182400">
              <w:rPr>
                <w:rStyle w:val="kursiv"/>
                <w:rFonts w:eastAsia="Proxima Nova"/>
                <w:lang w:eastAsia="en-US"/>
              </w:rPr>
              <w:t>Civil</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society</w:t>
            </w:r>
            <w:proofErr w:type="spellEnd"/>
          </w:p>
        </w:tc>
        <w:tc>
          <w:tcPr>
            <w:tcW w:w="2589" w:type="dxa"/>
            <w:shd w:val="clear" w:color="auto" w:fill="auto"/>
          </w:tcPr>
          <w:p w14:paraId="3D068F68" w14:textId="77777777" w:rsidR="0079238D" w:rsidRPr="00182400" w:rsidRDefault="0079238D" w:rsidP="00182400">
            <w:pPr>
              <w:pStyle w:val="TabellHode-kolonne"/>
              <w:rPr>
                <w:rStyle w:val="kursiv"/>
                <w:rFonts w:eastAsia="Proxima Nova"/>
                <w:lang w:eastAsia="en-US"/>
              </w:rPr>
            </w:pPr>
            <w:proofErr w:type="spellStart"/>
            <w:r w:rsidRPr="00182400">
              <w:rPr>
                <w:rStyle w:val="kursiv"/>
                <w:rFonts w:eastAsia="Proxima Nova"/>
                <w:lang w:eastAsia="en-US"/>
              </w:rPr>
              <w:t>Others</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parliament</w:t>
            </w:r>
            <w:proofErr w:type="spellEnd"/>
            <w:r w:rsidRPr="00182400">
              <w:rPr>
                <w:rStyle w:val="kursiv"/>
                <w:rFonts w:eastAsia="Proxima Nova"/>
                <w:lang w:eastAsia="en-US"/>
              </w:rPr>
              <w:t xml:space="preserve">, private </w:t>
            </w:r>
            <w:proofErr w:type="spellStart"/>
            <w:r w:rsidRPr="00182400">
              <w:rPr>
                <w:rStyle w:val="kursiv"/>
                <w:rFonts w:eastAsia="Proxima Nova"/>
                <w:lang w:eastAsia="en-US"/>
              </w:rPr>
              <w:t>sector</w:t>
            </w:r>
            <w:proofErr w:type="spellEnd"/>
            <w:r w:rsidRPr="00182400">
              <w:rPr>
                <w:rStyle w:val="kursiv"/>
                <w:rFonts w:eastAsia="Proxima Nova"/>
                <w:lang w:eastAsia="en-US"/>
              </w:rPr>
              <w:t>, etc.)</w:t>
            </w:r>
          </w:p>
        </w:tc>
      </w:tr>
      <w:tr w:rsidR="0079238D" w:rsidRPr="00BB441C" w14:paraId="370EA10A" w14:textId="77777777" w:rsidTr="00182400">
        <w:trPr>
          <w:trHeight w:val="1193"/>
        </w:trPr>
        <w:tc>
          <w:tcPr>
            <w:tcW w:w="1702" w:type="dxa"/>
            <w:vMerge/>
            <w:shd w:val="clear" w:color="auto" w:fill="auto"/>
          </w:tcPr>
          <w:p w14:paraId="1D8CF7E1" w14:textId="77777777" w:rsidR="0079238D" w:rsidRPr="00182400" w:rsidRDefault="0079238D" w:rsidP="00CB52B5">
            <w:pPr>
              <w:rPr>
                <w:rFonts w:eastAsia="Proxima Nova"/>
                <w:lang w:eastAsia="en-US"/>
              </w:rPr>
            </w:pPr>
          </w:p>
        </w:tc>
        <w:tc>
          <w:tcPr>
            <w:tcW w:w="2590" w:type="dxa"/>
            <w:shd w:val="clear" w:color="auto" w:fill="auto"/>
          </w:tcPr>
          <w:p w14:paraId="440E3161" w14:textId="77777777" w:rsidR="0079238D" w:rsidRPr="00BB441C" w:rsidRDefault="0079238D" w:rsidP="00CB52B5">
            <w:pPr>
              <w:rPr>
                <w:rFonts w:eastAsia="Proxima Nova"/>
                <w:lang w:val="en-GB" w:eastAsia="en-US"/>
              </w:rPr>
            </w:pPr>
            <w:r w:rsidRPr="00BB441C">
              <w:rPr>
                <w:rFonts w:eastAsia="Proxima Nova"/>
                <w:lang w:val="en-GB" w:eastAsia="en-US"/>
              </w:rPr>
              <w:t>Anyone who handles personal data</w:t>
            </w:r>
          </w:p>
        </w:tc>
        <w:tc>
          <w:tcPr>
            <w:tcW w:w="2589" w:type="dxa"/>
            <w:shd w:val="clear" w:color="auto" w:fill="auto"/>
          </w:tcPr>
          <w:p w14:paraId="6F892A61" w14:textId="77777777" w:rsidR="0079238D" w:rsidRPr="00BB441C" w:rsidRDefault="0079238D" w:rsidP="00CB52B5">
            <w:pPr>
              <w:rPr>
                <w:rFonts w:eastAsia="Proxima Nova"/>
                <w:lang w:val="en-GB" w:eastAsia="en-US"/>
              </w:rPr>
            </w:pPr>
            <w:r w:rsidRPr="00BB441C">
              <w:rPr>
                <w:rFonts w:eastAsia="Proxima Nova"/>
                <w:lang w:val="en-GB" w:eastAsia="en-US"/>
              </w:rPr>
              <w:t>All entities and organisations that process personal data</w:t>
            </w:r>
          </w:p>
        </w:tc>
        <w:tc>
          <w:tcPr>
            <w:tcW w:w="2589" w:type="dxa"/>
            <w:shd w:val="clear" w:color="auto" w:fill="auto"/>
          </w:tcPr>
          <w:p w14:paraId="7C2BCAC3" w14:textId="77777777" w:rsidR="0079238D" w:rsidRPr="00BB441C" w:rsidRDefault="0079238D" w:rsidP="00CB52B5">
            <w:pPr>
              <w:rPr>
                <w:rFonts w:eastAsia="Proxima Nova"/>
                <w:lang w:val="en-GB" w:eastAsia="en-US"/>
              </w:rPr>
            </w:pPr>
          </w:p>
        </w:tc>
      </w:tr>
      <w:tr w:rsidR="0079238D" w:rsidRPr="00182400" w14:paraId="16C754EE" w14:textId="77777777" w:rsidTr="00182400">
        <w:trPr>
          <w:trHeight w:val="426"/>
        </w:trPr>
        <w:tc>
          <w:tcPr>
            <w:tcW w:w="1702" w:type="dxa"/>
            <w:shd w:val="clear" w:color="auto" w:fill="auto"/>
          </w:tcPr>
          <w:p w14:paraId="4744BC66" w14:textId="77777777" w:rsidR="0079238D" w:rsidRPr="00642710" w:rsidRDefault="0079238D" w:rsidP="00182400">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r w:rsidRPr="00642710">
              <w:rPr>
                <w:rStyle w:val="kursiv"/>
                <w:rFonts w:eastAsia="Proxima Nova"/>
              </w:rPr>
              <w:t xml:space="preserve"> (to</w:t>
            </w:r>
            <w:r w:rsidR="00291078" w:rsidRPr="00642710">
              <w:rPr>
                <w:rStyle w:val="kursiv"/>
                <w:rFonts w:eastAsia="Proxima Nova"/>
              </w:rPr>
              <w:t xml:space="preserve"> – </w:t>
            </w:r>
            <w:r w:rsidRPr="00642710">
              <w:rPr>
                <w:rStyle w:val="kursiv"/>
                <w:rFonts w:eastAsia="Proxima Nova"/>
              </w:rPr>
              <w:t>from)</w:t>
            </w:r>
            <w:r w:rsidR="00291078" w:rsidRPr="00642710">
              <w:rPr>
                <w:rStyle w:val="kursiv"/>
                <w:rFonts w:eastAsia="Proxima Nova"/>
              </w:rPr>
              <w:t xml:space="preserve"> </w:t>
            </w:r>
          </w:p>
        </w:tc>
        <w:tc>
          <w:tcPr>
            <w:tcW w:w="7768" w:type="dxa"/>
            <w:gridSpan w:val="3"/>
            <w:shd w:val="clear" w:color="auto" w:fill="auto"/>
          </w:tcPr>
          <w:p w14:paraId="32FC5EA3" w14:textId="77777777" w:rsidR="0079238D" w:rsidRPr="00182400" w:rsidRDefault="0079238D" w:rsidP="00CB52B5">
            <w:pPr>
              <w:rPr>
                <w:rFonts w:eastAsia="Proxima Nova"/>
                <w:lang w:eastAsia="en-US"/>
              </w:rPr>
            </w:pPr>
          </w:p>
        </w:tc>
      </w:tr>
    </w:tbl>
    <w:p w14:paraId="7811ED66" w14:textId="77777777" w:rsidR="00291078" w:rsidRDefault="00291078" w:rsidP="00FA06AB">
      <w:pPr>
        <w:spacing w:after="180" w:line="274" w:lineRule="auto"/>
        <w:jc w:val="both"/>
        <w:rPr>
          <w:rFonts w:eastAsia="Proxima Nova" w:cs="Arial"/>
          <w:lang w:val="en-GB"/>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9D3DDD" w:rsidRPr="00182400" w14:paraId="79D26BA8" w14:textId="77777777" w:rsidTr="00182400">
        <w:trPr>
          <w:trHeight w:val="348"/>
        </w:trPr>
        <w:tc>
          <w:tcPr>
            <w:tcW w:w="9445" w:type="dxa"/>
            <w:shd w:val="clear" w:color="auto" w:fill="auto"/>
          </w:tcPr>
          <w:p w14:paraId="62CD5212" w14:textId="77777777" w:rsidR="009D3DDD" w:rsidRPr="00182400" w:rsidRDefault="009D3DDD"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problem </w:t>
            </w:r>
          </w:p>
        </w:tc>
      </w:tr>
      <w:tr w:rsidR="009D3DDD" w:rsidRPr="00BB441C" w14:paraId="4B83C275" w14:textId="77777777" w:rsidTr="00182400">
        <w:trPr>
          <w:trHeight w:val="4155"/>
        </w:trPr>
        <w:tc>
          <w:tcPr>
            <w:tcW w:w="9445" w:type="dxa"/>
            <w:shd w:val="clear" w:color="auto" w:fill="auto"/>
          </w:tcPr>
          <w:p w14:paraId="1878F42F" w14:textId="77777777" w:rsidR="009D3DDD"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9D3DDD" w:rsidRPr="00182400">
              <w:rPr>
                <w:lang w:val="en-GB" w:eastAsia="en-US"/>
              </w:rPr>
              <w:t>What problems will the commitment solve?</w:t>
            </w:r>
          </w:p>
          <w:p w14:paraId="733C7521" w14:textId="77777777" w:rsidR="009D3DDD" w:rsidRPr="00182400" w:rsidRDefault="009D3DDD" w:rsidP="00182400">
            <w:pPr>
              <w:rPr>
                <w:rFonts w:eastAsia="Proxima Nova"/>
                <w:lang w:val="en-GB" w:eastAsia="en-US" w:bidi="en-GB"/>
              </w:rPr>
            </w:pPr>
            <w:r w:rsidRPr="00182400">
              <w:rPr>
                <w:rFonts w:eastAsia="Proxima Nova"/>
                <w:lang w:val="en-GB" w:eastAsia="en-US" w:bidi="en-GB"/>
              </w:rPr>
              <w:t>It is a challenge that many privacy statements in both the public and private sectors are difficult to access. They are both legally and technically complex, and often linguistically complicated. This makes it difficult for data subjects to understand what personal data is processed and how it is processed. The aim of the commitment is to make such declarations more user-friendly.</w:t>
            </w:r>
          </w:p>
          <w:p w14:paraId="71666CD2" w14:textId="77777777" w:rsidR="009D3DDD"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9D3DDD" w:rsidRPr="00182400">
              <w:rPr>
                <w:lang w:val="en-GB" w:eastAsia="en-US"/>
              </w:rPr>
              <w:t>What is the cause of the problem?</w:t>
            </w:r>
          </w:p>
          <w:p w14:paraId="01699B9F" w14:textId="77777777" w:rsidR="009D3DDD" w:rsidRPr="00182400" w:rsidRDefault="009D3DDD" w:rsidP="00182400">
            <w:pPr>
              <w:rPr>
                <w:rFonts w:eastAsia="Proxima Nova"/>
                <w:lang w:val="en-US" w:eastAsia="en-US"/>
              </w:rPr>
            </w:pPr>
            <w:r w:rsidRPr="00182400">
              <w:rPr>
                <w:rFonts w:eastAsia="Proxima Nova"/>
                <w:lang w:val="en-GB" w:eastAsia="en-US" w:bidi="en-GB"/>
              </w:rPr>
              <w:t xml:space="preserve">There is reason to believe that the concern about not providing sufficient information to fulfil the information obligations in the GDPR is the reason why many privacy statements are very complex. </w:t>
            </w:r>
          </w:p>
        </w:tc>
      </w:tr>
    </w:tbl>
    <w:p w14:paraId="18C7D5FA" w14:textId="77777777" w:rsidR="009D3DDD" w:rsidRDefault="009D3DDD" w:rsidP="00FA06AB">
      <w:pPr>
        <w:spacing w:after="180" w:line="274" w:lineRule="auto"/>
        <w:jc w:val="both"/>
        <w:rPr>
          <w:rFonts w:eastAsia="Proxima Nova" w:cs="Arial"/>
          <w:lang w:val="en-GB"/>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9D3DDD" w:rsidRPr="00182400" w14:paraId="5A6C2979" w14:textId="77777777" w:rsidTr="00182400">
        <w:tc>
          <w:tcPr>
            <w:tcW w:w="9445" w:type="dxa"/>
            <w:shd w:val="clear" w:color="auto" w:fill="auto"/>
          </w:tcPr>
          <w:p w14:paraId="4568A419" w14:textId="77777777" w:rsidR="009D3DDD" w:rsidRPr="00182400" w:rsidRDefault="009D3DDD"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9D3DDD" w:rsidRPr="00BB441C" w14:paraId="4446C57A" w14:textId="77777777" w:rsidTr="00182400">
        <w:trPr>
          <w:trHeight w:val="5880"/>
        </w:trPr>
        <w:tc>
          <w:tcPr>
            <w:tcW w:w="9445" w:type="dxa"/>
            <w:shd w:val="clear" w:color="auto" w:fill="auto"/>
          </w:tcPr>
          <w:p w14:paraId="027FF15C" w14:textId="77777777" w:rsidR="009D3DDD" w:rsidRPr="00182400" w:rsidRDefault="008B0AA1" w:rsidP="00182400">
            <w:pPr>
              <w:pStyle w:val="avsnitt-undertittel"/>
              <w:rPr>
                <w:lang w:val="en-GB" w:eastAsia="en-US"/>
              </w:rPr>
            </w:pPr>
            <w:r w:rsidRPr="00182400">
              <w:rPr>
                <w:bCs/>
                <w:lang w:val="en-GB" w:eastAsia="en-US"/>
              </w:rPr>
              <w:t>1.</w:t>
            </w:r>
            <w:r w:rsidRPr="00182400">
              <w:rPr>
                <w:bCs/>
                <w:lang w:val="en-GB" w:eastAsia="en-US"/>
              </w:rPr>
              <w:tab/>
            </w:r>
            <w:r w:rsidR="009D3DDD" w:rsidRPr="00182400">
              <w:rPr>
                <w:lang w:val="en-GB" w:eastAsia="en-US"/>
              </w:rPr>
              <w:t>What has been done so far to solve the problem?</w:t>
            </w:r>
          </w:p>
          <w:p w14:paraId="015B0734" w14:textId="77777777" w:rsidR="009D3DDD" w:rsidRPr="00182400" w:rsidRDefault="009D3DDD" w:rsidP="00182400">
            <w:pPr>
              <w:rPr>
                <w:rFonts w:eastAsia="Proxima Nova"/>
                <w:lang w:val="en-GB" w:eastAsia="en-US" w:bidi="en-GB"/>
              </w:rPr>
            </w:pPr>
            <w:r w:rsidRPr="00182400">
              <w:rPr>
                <w:rFonts w:eastAsia="Proxima Nova"/>
                <w:lang w:val="en-GB" w:eastAsia="en-US" w:bidi="en-GB"/>
              </w:rPr>
              <w:t>We are not aware of any specific efforts on the part of the authorities to contribute to simplified privacy statements. However, some work has taken place under private auspices, such as the development of icons to replace written text, but we are not aware of anyone having utilised such solutions in Norway.</w:t>
            </w:r>
          </w:p>
          <w:p w14:paraId="1C3012E3" w14:textId="77777777" w:rsidR="009D3DDD"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9D3DDD" w:rsidRPr="00182400">
              <w:rPr>
                <w:lang w:val="en-GB" w:eastAsia="en-US"/>
              </w:rPr>
              <w:t>What kind of solution is proposed?</w:t>
            </w:r>
          </w:p>
          <w:p w14:paraId="7B515364" w14:textId="77777777" w:rsidR="009D3DDD" w:rsidRPr="00182400" w:rsidRDefault="009D3DDD" w:rsidP="00182400">
            <w:pPr>
              <w:rPr>
                <w:rFonts w:eastAsia="Calibri"/>
                <w:lang w:val="en-US" w:eastAsia="en-US"/>
              </w:rPr>
            </w:pPr>
            <w:r w:rsidRPr="00182400">
              <w:rPr>
                <w:rFonts w:eastAsia="Proxima Nova"/>
                <w:lang w:val="en-GB" w:eastAsia="en-US" w:bidi="en-GB"/>
              </w:rPr>
              <w:t xml:space="preserve">DFD, in possible cooperation with the Norwegian Data Protection Authority, DFØ and </w:t>
            </w:r>
            <w:proofErr w:type="spellStart"/>
            <w:r w:rsidRPr="00182400">
              <w:rPr>
                <w:rFonts w:eastAsia="Proxima Nova"/>
                <w:lang w:val="en-GB" w:eastAsia="en-US" w:bidi="en-GB"/>
              </w:rPr>
              <w:t>Digdir</w:t>
            </w:r>
            <w:proofErr w:type="spellEnd"/>
            <w:r w:rsidRPr="00182400">
              <w:rPr>
                <w:rFonts w:eastAsia="Proxima Nova"/>
                <w:lang w:val="en-GB" w:eastAsia="en-US" w:bidi="en-GB"/>
              </w:rPr>
              <w:t>, has taken the initiative to prepare templates for privacy information/privacy statements. This will be a component of the work on the Central Government Communication Policy. The template can be utilised by the public sector as a basis for its information on the processing of personal data.</w:t>
            </w:r>
          </w:p>
          <w:p w14:paraId="79F91494" w14:textId="77777777" w:rsidR="009D3DDD" w:rsidRPr="00182400" w:rsidRDefault="008B0AA1" w:rsidP="00182400">
            <w:pPr>
              <w:pStyle w:val="avsnitt-undertittel"/>
              <w:rPr>
                <w:rStyle w:val="halvfet"/>
                <w:lang w:val="en-GB" w:eastAsia="en-US"/>
              </w:rPr>
            </w:pPr>
            <w:r w:rsidRPr="00182400">
              <w:rPr>
                <w:rStyle w:val="halvfet"/>
                <w:b w:val="0"/>
                <w:bCs/>
                <w:lang w:val="en-GB" w:eastAsia="en-US"/>
              </w:rPr>
              <w:t>3.</w:t>
            </w:r>
            <w:r w:rsidRPr="00182400">
              <w:rPr>
                <w:rStyle w:val="halvfet"/>
                <w:b w:val="0"/>
                <w:bCs/>
                <w:lang w:val="en-GB" w:eastAsia="en-US"/>
              </w:rPr>
              <w:tab/>
            </w:r>
            <w:r w:rsidR="009D3DDD" w:rsidRPr="00182400">
              <w:rPr>
                <w:lang w:val="en-GB" w:eastAsia="en-US"/>
              </w:rPr>
              <w:t>What results will be achieved by implementing the commitment?</w:t>
            </w:r>
          </w:p>
          <w:p w14:paraId="639773EA" w14:textId="77777777" w:rsidR="009D3DDD" w:rsidRPr="00182400" w:rsidRDefault="009D3DDD" w:rsidP="00182400">
            <w:pPr>
              <w:rPr>
                <w:rFonts w:eastAsia="Proxima Nova"/>
                <w:lang w:val="en-US" w:eastAsia="en-US"/>
              </w:rPr>
            </w:pPr>
            <w:r w:rsidRPr="00182400">
              <w:rPr>
                <w:rFonts w:eastAsia="Proxima Nova"/>
                <w:lang w:val="en-GB" w:eastAsia="en-US" w:bidi="en-GB"/>
              </w:rPr>
              <w:t xml:space="preserve">Simplified and more understandable information about the processing of personal data for citizens. This will be in accordance with the information obligation in GDPR Art. 12(1). </w:t>
            </w:r>
          </w:p>
        </w:tc>
      </w:tr>
    </w:tbl>
    <w:p w14:paraId="6A12C19E" w14:textId="77777777" w:rsidR="009D3DDD" w:rsidRDefault="009D3DDD" w:rsidP="00FA06AB">
      <w:pPr>
        <w:spacing w:after="180" w:line="274" w:lineRule="auto"/>
        <w:jc w:val="both"/>
        <w:rPr>
          <w:rFonts w:eastAsia="Proxima Nova" w:cs="Arial"/>
          <w:lang w:val="en-GB"/>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19"/>
        <w:gridCol w:w="5651"/>
      </w:tblGrid>
      <w:tr w:rsidR="009D3DDD" w:rsidRPr="00182400" w14:paraId="087551F8" w14:textId="77777777" w:rsidTr="00182400">
        <w:tc>
          <w:tcPr>
            <w:tcW w:w="9445" w:type="dxa"/>
            <w:gridSpan w:val="2"/>
            <w:shd w:val="clear" w:color="auto" w:fill="auto"/>
          </w:tcPr>
          <w:p w14:paraId="6C9AC49B" w14:textId="77777777" w:rsidR="009D3DDD" w:rsidRPr="00182400" w:rsidRDefault="009D3DDD"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p>
        </w:tc>
      </w:tr>
      <w:tr w:rsidR="009D3DDD" w:rsidRPr="00182400" w14:paraId="6CC132AF" w14:textId="77777777" w:rsidTr="00182400">
        <w:trPr>
          <w:trHeight w:val="200"/>
        </w:trPr>
        <w:tc>
          <w:tcPr>
            <w:tcW w:w="3809" w:type="dxa"/>
            <w:shd w:val="clear" w:color="auto" w:fill="auto"/>
          </w:tcPr>
          <w:p w14:paraId="17D63AB0" w14:textId="77777777" w:rsidR="009D3DDD" w:rsidRPr="00182400" w:rsidRDefault="009D3DDD" w:rsidP="00182400">
            <w:pPr>
              <w:pStyle w:val="TabellHode-kolonne"/>
              <w:rPr>
                <w:rStyle w:val="kursiv"/>
                <w:rFonts w:eastAsia="Proxima Nova"/>
                <w:lang w:eastAsia="en-US"/>
              </w:rPr>
            </w:pPr>
            <w:r w:rsidRPr="00182400">
              <w:rPr>
                <w:rStyle w:val="kursiv"/>
                <w:rFonts w:eastAsia="Proxima Nova"/>
                <w:lang w:eastAsia="en-US"/>
              </w:rPr>
              <w:lastRenderedPageBreak/>
              <w:t>Question</w:t>
            </w:r>
          </w:p>
        </w:tc>
        <w:tc>
          <w:tcPr>
            <w:tcW w:w="5636" w:type="dxa"/>
            <w:shd w:val="clear" w:color="auto" w:fill="auto"/>
          </w:tcPr>
          <w:p w14:paraId="10963022" w14:textId="77777777" w:rsidR="009D3DDD" w:rsidRPr="00182400" w:rsidRDefault="009D3DDD" w:rsidP="00182400">
            <w:pPr>
              <w:pStyle w:val="TabellHode-kolonne"/>
              <w:rPr>
                <w:rStyle w:val="kursiv"/>
                <w:rFonts w:eastAsia="Proxima Nova"/>
                <w:lang w:eastAsia="en-US"/>
              </w:rPr>
            </w:pPr>
            <w:proofErr w:type="spellStart"/>
            <w:r w:rsidRPr="00182400">
              <w:rPr>
                <w:rStyle w:val="kursiv"/>
                <w:rFonts w:eastAsia="Proxima Nova"/>
                <w:lang w:eastAsia="en-US"/>
              </w:rPr>
              <w:t>Answer</w:t>
            </w:r>
            <w:proofErr w:type="spellEnd"/>
            <w:r w:rsidRPr="00182400">
              <w:rPr>
                <w:rStyle w:val="kursiv"/>
                <w:rFonts w:eastAsia="Proxima Nova"/>
                <w:lang w:eastAsia="en-US"/>
              </w:rPr>
              <w:t xml:space="preserve"> </w:t>
            </w:r>
          </w:p>
        </w:tc>
      </w:tr>
      <w:tr w:rsidR="009D3DDD" w:rsidRPr="00BB441C" w14:paraId="1A0ECE02" w14:textId="77777777" w:rsidTr="00182400">
        <w:trPr>
          <w:trHeight w:val="200"/>
        </w:trPr>
        <w:tc>
          <w:tcPr>
            <w:tcW w:w="3809" w:type="dxa"/>
            <w:shd w:val="clear" w:color="auto" w:fill="auto"/>
          </w:tcPr>
          <w:p w14:paraId="4AC25577" w14:textId="1124AF9A" w:rsidR="009D3DDD" w:rsidRPr="00182400" w:rsidRDefault="00534E36" w:rsidP="00BB441C">
            <w:pPr>
              <w:pStyle w:val="friliste"/>
              <w:rPr>
                <w:lang w:val="en-US" w:eastAsia="en-US"/>
              </w:rPr>
            </w:pPr>
            <w:r w:rsidRPr="00182400">
              <w:rPr>
                <w:lang w:val="en-US" w:eastAsia="en-US"/>
              </w:rPr>
              <w:t>1.</w:t>
            </w:r>
            <w:r w:rsidRPr="00182400">
              <w:rPr>
                <w:lang w:val="en-US" w:eastAsia="en-US"/>
              </w:rPr>
              <w:tab/>
            </w:r>
            <w:r w:rsidR="009D3DDD" w:rsidRPr="00182400">
              <w:rPr>
                <w:lang w:val="en-GB" w:eastAsia="en-US" w:bidi="en-GB"/>
              </w:rPr>
              <w:t>How will the commitment promote openness?</w:t>
            </w:r>
          </w:p>
        </w:tc>
        <w:tc>
          <w:tcPr>
            <w:tcW w:w="5636" w:type="dxa"/>
            <w:shd w:val="clear" w:color="auto" w:fill="auto"/>
          </w:tcPr>
          <w:p w14:paraId="1C5593AB" w14:textId="77777777" w:rsidR="009D3DDD" w:rsidRPr="00182400" w:rsidRDefault="009D3DDD" w:rsidP="00182400">
            <w:pPr>
              <w:rPr>
                <w:rFonts w:eastAsia="Proxima Nova"/>
                <w:bCs/>
                <w:lang w:val="en-US" w:eastAsia="en-US"/>
              </w:rPr>
            </w:pPr>
            <w:r w:rsidRPr="00182400">
              <w:rPr>
                <w:rFonts w:eastAsia="Proxima Nova"/>
                <w:lang w:val="en-GB" w:eastAsia="en-US" w:bidi="en-GB"/>
              </w:rPr>
              <w:t>More accessible and understandable information promotes openness in the public administration and helps to build trust between citizens and the public administration.</w:t>
            </w:r>
          </w:p>
        </w:tc>
      </w:tr>
      <w:tr w:rsidR="009D3DDD" w:rsidRPr="00BB441C" w14:paraId="288E8D1B" w14:textId="77777777" w:rsidTr="00182400">
        <w:trPr>
          <w:trHeight w:val="200"/>
        </w:trPr>
        <w:tc>
          <w:tcPr>
            <w:tcW w:w="3809" w:type="dxa"/>
            <w:shd w:val="clear" w:color="auto" w:fill="auto"/>
          </w:tcPr>
          <w:p w14:paraId="4501CFC2" w14:textId="162B2B31" w:rsidR="009D3DDD" w:rsidRPr="00182400" w:rsidRDefault="00534E36" w:rsidP="00BB441C">
            <w:pPr>
              <w:pStyle w:val="friliste"/>
              <w:rPr>
                <w:rStyle w:val="kursiv"/>
                <w:lang w:val="en-GB" w:eastAsia="en-US"/>
              </w:rPr>
            </w:pPr>
            <w:r w:rsidRPr="00182400">
              <w:rPr>
                <w:rStyle w:val="kursiv"/>
                <w:lang w:val="en-GB" w:eastAsia="en-US"/>
              </w:rPr>
              <w:t>2.</w:t>
            </w:r>
            <w:r w:rsidRPr="00182400">
              <w:rPr>
                <w:rStyle w:val="kursiv"/>
                <w:lang w:val="en-GB" w:eastAsia="en-US"/>
              </w:rPr>
              <w:tab/>
            </w:r>
            <w:r w:rsidR="009D3DDD" w:rsidRPr="00182400">
              <w:rPr>
                <w:lang w:val="en-GB" w:eastAsia="en-US" w:bidi="en-GB"/>
              </w:rPr>
              <w:t xml:space="preserve">How will the commitment contribute to greater predictability? </w:t>
            </w:r>
          </w:p>
        </w:tc>
        <w:tc>
          <w:tcPr>
            <w:tcW w:w="5636" w:type="dxa"/>
            <w:shd w:val="clear" w:color="auto" w:fill="auto"/>
          </w:tcPr>
          <w:p w14:paraId="718C25AF" w14:textId="77777777" w:rsidR="009D3DDD" w:rsidRPr="00182400" w:rsidRDefault="009D3DDD" w:rsidP="00182400">
            <w:pPr>
              <w:rPr>
                <w:rFonts w:eastAsia="Proxima Nova"/>
                <w:lang w:val="en-US" w:eastAsia="en-US"/>
              </w:rPr>
            </w:pPr>
            <w:r w:rsidRPr="00182400">
              <w:rPr>
                <w:rFonts w:eastAsia="Proxima Nova"/>
                <w:lang w:val="en-GB" w:eastAsia="en-US" w:bidi="en-GB"/>
              </w:rPr>
              <w:t xml:space="preserve">Understandable information shows users how public agencies take responsibility and comply with the obligations of the data protection regulations, </w:t>
            </w:r>
            <w:proofErr w:type="gramStart"/>
            <w:r w:rsidRPr="00182400">
              <w:rPr>
                <w:rFonts w:eastAsia="Proxima Nova"/>
                <w:lang w:val="en-GB" w:eastAsia="en-US" w:bidi="en-GB"/>
              </w:rPr>
              <w:t>i.e.</w:t>
            </w:r>
            <w:proofErr w:type="gramEnd"/>
            <w:r w:rsidRPr="00182400">
              <w:rPr>
                <w:rFonts w:eastAsia="Proxima Nova"/>
                <w:lang w:val="en-GB" w:eastAsia="en-US" w:bidi="en-GB"/>
              </w:rPr>
              <w:t xml:space="preserve"> that they handle personal data in a lawful, fair and transparent manner, as required by the regulations. </w:t>
            </w:r>
          </w:p>
        </w:tc>
      </w:tr>
      <w:tr w:rsidR="009D3DDD" w:rsidRPr="00BB441C" w14:paraId="00A1633C" w14:textId="77777777" w:rsidTr="00182400">
        <w:trPr>
          <w:trHeight w:val="200"/>
        </w:trPr>
        <w:tc>
          <w:tcPr>
            <w:tcW w:w="3809" w:type="dxa"/>
            <w:shd w:val="clear" w:color="auto" w:fill="auto"/>
          </w:tcPr>
          <w:p w14:paraId="7FC81940" w14:textId="13F41736" w:rsidR="009D3DDD" w:rsidRPr="00182400" w:rsidRDefault="00534E36" w:rsidP="00BB441C">
            <w:pPr>
              <w:pStyle w:val="friliste"/>
              <w:rPr>
                <w:rStyle w:val="kursiv"/>
                <w:lang w:val="en-GB" w:eastAsia="en-US"/>
              </w:rPr>
            </w:pPr>
            <w:r w:rsidRPr="00182400">
              <w:rPr>
                <w:rStyle w:val="kursiv"/>
                <w:lang w:val="en-GB" w:eastAsia="en-US"/>
              </w:rPr>
              <w:t>3.</w:t>
            </w:r>
            <w:r w:rsidRPr="00182400">
              <w:rPr>
                <w:rStyle w:val="kursiv"/>
                <w:lang w:val="en-GB" w:eastAsia="en-US"/>
              </w:rPr>
              <w:tab/>
            </w:r>
            <w:r w:rsidR="009D3DDD" w:rsidRPr="00182400">
              <w:rPr>
                <w:lang w:val="en-GB" w:eastAsia="en-US" w:bidi="en-GB"/>
              </w:rPr>
              <w:t xml:space="preserve">How will the commitment improve the opportunity for citizens to participate by publicising, </w:t>
            </w:r>
            <w:proofErr w:type="gramStart"/>
            <w:r w:rsidR="009D3DDD" w:rsidRPr="00182400">
              <w:rPr>
                <w:lang w:val="en-GB" w:eastAsia="en-US" w:bidi="en-GB"/>
              </w:rPr>
              <w:t>implementing</w:t>
            </w:r>
            <w:proofErr w:type="gramEnd"/>
            <w:r w:rsidR="009D3DDD" w:rsidRPr="00182400">
              <w:rPr>
                <w:lang w:val="en-GB" w:eastAsia="en-US" w:bidi="en-GB"/>
              </w:rPr>
              <w:t xml:space="preserve"> and monitoring the solutions? </w:t>
            </w:r>
          </w:p>
        </w:tc>
        <w:tc>
          <w:tcPr>
            <w:tcW w:w="5636" w:type="dxa"/>
            <w:shd w:val="clear" w:color="auto" w:fill="auto"/>
          </w:tcPr>
          <w:p w14:paraId="3A7DA14A" w14:textId="77777777" w:rsidR="009D3DDD" w:rsidRPr="00182400" w:rsidRDefault="009D3DDD" w:rsidP="00182400">
            <w:pPr>
              <w:rPr>
                <w:rStyle w:val="halvfet"/>
                <w:rFonts w:eastAsia="Proxima Nova"/>
                <w:lang w:val="en-GB" w:eastAsia="en-US"/>
              </w:rPr>
            </w:pPr>
          </w:p>
        </w:tc>
      </w:tr>
    </w:tbl>
    <w:p w14:paraId="4A68B5FC" w14:textId="77777777" w:rsidR="009D3DDD" w:rsidRDefault="009D3DDD" w:rsidP="00FA06AB">
      <w:pPr>
        <w:spacing w:after="180" w:line="274" w:lineRule="auto"/>
        <w:jc w:val="both"/>
        <w:rPr>
          <w:rFonts w:eastAsia="Proxima Nova" w:cs="Arial"/>
          <w:lang w:val="en-GB"/>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65"/>
        <w:gridCol w:w="2016"/>
        <w:gridCol w:w="1468"/>
        <w:gridCol w:w="3644"/>
      </w:tblGrid>
      <w:tr w:rsidR="00B173DB" w:rsidRPr="00182400" w14:paraId="0F6C8AF3" w14:textId="77777777" w:rsidTr="005258C8">
        <w:trPr>
          <w:trHeight w:val="210"/>
        </w:trPr>
        <w:tc>
          <w:tcPr>
            <w:tcW w:w="9493" w:type="dxa"/>
            <w:gridSpan w:val="4"/>
            <w:shd w:val="clear" w:color="auto" w:fill="auto"/>
          </w:tcPr>
          <w:p w14:paraId="55789EAF" w14:textId="77777777" w:rsidR="00B173DB" w:rsidRPr="00182400" w:rsidRDefault="00B173DB" w:rsidP="005258C8">
            <w:pPr>
              <w:pStyle w:val="TabellHode-kolonne"/>
              <w:rPr>
                <w:rStyle w:val="halvfet"/>
                <w:rFonts w:eastAsia="Proxima Nova"/>
                <w:lang w:eastAsia="en-US"/>
              </w:rPr>
            </w:pPr>
            <w:r w:rsidRPr="00182400">
              <w:rPr>
                <w:rStyle w:val="halvfet"/>
                <w:rFonts w:eastAsia="Proxima Nova"/>
                <w:lang w:eastAsia="en-US"/>
              </w:rPr>
              <w:t xml:space="preserve">Plan for </w:t>
            </w:r>
            <w:proofErr w:type="spellStart"/>
            <w:r w:rsidRPr="00182400">
              <w:rPr>
                <w:rStyle w:val="halvfet"/>
                <w:rFonts w:eastAsia="Proxima Nova"/>
                <w:lang w:eastAsia="en-US"/>
              </w:rPr>
              <w:t>commitment</w:t>
            </w:r>
            <w:proofErr w:type="spellEnd"/>
          </w:p>
        </w:tc>
      </w:tr>
      <w:tr w:rsidR="00B173DB" w:rsidRPr="00182400" w14:paraId="6B7D1C0F" w14:textId="77777777" w:rsidTr="005258C8">
        <w:trPr>
          <w:trHeight w:val="200"/>
        </w:trPr>
        <w:tc>
          <w:tcPr>
            <w:tcW w:w="2365" w:type="dxa"/>
            <w:shd w:val="clear" w:color="auto" w:fill="auto"/>
          </w:tcPr>
          <w:p w14:paraId="521B4AEB" w14:textId="77777777" w:rsidR="00B173DB" w:rsidRPr="00182400" w:rsidRDefault="00B173DB" w:rsidP="005258C8">
            <w:pPr>
              <w:pStyle w:val="TabellHode-kolonne"/>
              <w:rPr>
                <w:rStyle w:val="kursiv"/>
                <w:rFonts w:eastAsia="Proxima Nova"/>
                <w:lang w:eastAsia="en-US"/>
              </w:rPr>
            </w:pPr>
            <w:r w:rsidRPr="00182400">
              <w:rPr>
                <w:rStyle w:val="kursiv"/>
                <w:rFonts w:eastAsia="Proxima Nova"/>
                <w:lang w:eastAsia="en-US"/>
              </w:rPr>
              <w:t>Milestones</w:t>
            </w:r>
          </w:p>
        </w:tc>
        <w:tc>
          <w:tcPr>
            <w:tcW w:w="2016" w:type="dxa"/>
            <w:shd w:val="clear" w:color="auto" w:fill="auto"/>
          </w:tcPr>
          <w:p w14:paraId="7C15ED83" w14:textId="77777777" w:rsidR="00B173DB" w:rsidRPr="00182400" w:rsidRDefault="00B173DB"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outcome</w:t>
            </w:r>
            <w:proofErr w:type="spellEnd"/>
          </w:p>
        </w:tc>
        <w:tc>
          <w:tcPr>
            <w:tcW w:w="1468" w:type="dxa"/>
            <w:shd w:val="clear" w:color="auto" w:fill="auto"/>
          </w:tcPr>
          <w:p w14:paraId="7045BA1D" w14:textId="77777777" w:rsidR="00B173DB" w:rsidRPr="00182400" w:rsidRDefault="00B173DB"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completion</w:t>
            </w:r>
            <w:proofErr w:type="spellEnd"/>
            <w:r w:rsidRPr="00182400">
              <w:rPr>
                <w:rStyle w:val="kursiv"/>
                <w:rFonts w:eastAsia="Proxima Nova"/>
                <w:lang w:eastAsia="en-US"/>
              </w:rPr>
              <w:t xml:space="preserve"> date</w:t>
            </w:r>
          </w:p>
        </w:tc>
        <w:tc>
          <w:tcPr>
            <w:tcW w:w="3644" w:type="dxa"/>
            <w:shd w:val="clear" w:color="auto" w:fill="auto"/>
          </w:tcPr>
          <w:p w14:paraId="3E01F0BB" w14:textId="77777777" w:rsidR="00B173DB" w:rsidRPr="00182400" w:rsidRDefault="00B173DB" w:rsidP="005258C8">
            <w:pPr>
              <w:pStyle w:val="TabellHode-kolonne"/>
              <w:rPr>
                <w:rStyle w:val="kursiv"/>
                <w:rFonts w:eastAsia="Proxima Nova"/>
                <w:lang w:eastAsia="en-US"/>
              </w:rPr>
            </w:pPr>
            <w:r w:rsidRPr="00182400">
              <w:rPr>
                <w:rStyle w:val="kursiv"/>
                <w:rFonts w:eastAsia="Proxima Nova"/>
                <w:lang w:eastAsia="en-US"/>
              </w:rPr>
              <w:t xml:space="preserve">Stakeholders </w:t>
            </w:r>
          </w:p>
        </w:tc>
      </w:tr>
      <w:tr w:rsidR="00B173DB" w:rsidRPr="00B173DB" w14:paraId="1E687460" w14:textId="77777777" w:rsidTr="00B173DB">
        <w:trPr>
          <w:trHeight w:val="2395"/>
        </w:trPr>
        <w:tc>
          <w:tcPr>
            <w:tcW w:w="2365" w:type="dxa"/>
            <w:shd w:val="clear" w:color="auto" w:fill="auto"/>
          </w:tcPr>
          <w:p w14:paraId="39AA5B65" w14:textId="77777777" w:rsidR="00B173DB" w:rsidRPr="00182400" w:rsidRDefault="00B173DB" w:rsidP="005258C8">
            <w:pPr>
              <w:spacing w:line="240" w:lineRule="auto"/>
              <w:jc w:val="both"/>
              <w:rPr>
                <w:rStyle w:val="kursiv"/>
                <w:rFonts w:eastAsia="Proxima Nova"/>
                <w:lang w:eastAsia="en-US"/>
              </w:rPr>
            </w:pPr>
          </w:p>
        </w:tc>
        <w:tc>
          <w:tcPr>
            <w:tcW w:w="2016" w:type="dxa"/>
            <w:shd w:val="clear" w:color="auto" w:fill="auto"/>
          </w:tcPr>
          <w:p w14:paraId="5780F38D" w14:textId="77777777" w:rsidR="00B173DB" w:rsidRPr="00182400" w:rsidRDefault="00B173DB" w:rsidP="005258C8">
            <w:pPr>
              <w:rPr>
                <w:rFonts w:eastAsia="Proxima Nova"/>
                <w:lang w:val="en-US" w:eastAsia="en-US"/>
              </w:rPr>
            </w:pPr>
            <w:r w:rsidRPr="00182400">
              <w:rPr>
                <w:rFonts w:eastAsia="Proxima Nova"/>
                <w:lang w:val="en-GB" w:eastAsia="en-US" w:bidi="en-GB"/>
              </w:rPr>
              <w:t xml:space="preserve">Template for simplified and more understandable privacy statements/information about the processing of personal data on public websites. </w:t>
            </w:r>
          </w:p>
        </w:tc>
        <w:tc>
          <w:tcPr>
            <w:tcW w:w="1468" w:type="dxa"/>
            <w:shd w:val="clear" w:color="auto" w:fill="auto"/>
          </w:tcPr>
          <w:p w14:paraId="090C5B77" w14:textId="77777777" w:rsidR="00B173DB" w:rsidRPr="00182400" w:rsidRDefault="00B173DB" w:rsidP="005258C8">
            <w:pPr>
              <w:rPr>
                <w:rFonts w:eastAsia="Proxima Nova"/>
                <w:lang w:val="en-US" w:eastAsia="en-US"/>
              </w:rPr>
            </w:pPr>
          </w:p>
        </w:tc>
        <w:tc>
          <w:tcPr>
            <w:tcW w:w="3644" w:type="dxa"/>
            <w:shd w:val="clear" w:color="auto" w:fill="auto"/>
          </w:tcPr>
          <w:tbl>
            <w:tblPr>
              <w:tblStyle w:val="StandardTabell"/>
              <w:tblW w:w="0" w:type="auto"/>
              <w:tblLayout w:type="fixed"/>
              <w:tblLook w:val="04A0" w:firstRow="1" w:lastRow="0" w:firstColumn="1" w:lastColumn="0" w:noHBand="0" w:noVBand="1"/>
            </w:tblPr>
            <w:tblGrid>
              <w:gridCol w:w="1139"/>
              <w:gridCol w:w="1139"/>
              <w:gridCol w:w="1140"/>
            </w:tblGrid>
            <w:tr w:rsidR="00B173DB" w14:paraId="1D69DB42" w14:textId="77777777" w:rsidTr="00F83EEF">
              <w:tc>
                <w:tcPr>
                  <w:tcW w:w="3418" w:type="dxa"/>
                  <w:gridSpan w:val="3"/>
                </w:tcPr>
                <w:p w14:paraId="2A626FDB" w14:textId="2F1114B4" w:rsidR="00B173DB" w:rsidRDefault="00B173DB" w:rsidP="00B173DB">
                  <w:pPr>
                    <w:rPr>
                      <w:rFonts w:eastAsia="Proxima Nova"/>
                      <w:lang w:val="nn-NO"/>
                    </w:rPr>
                  </w:pPr>
                  <w:proofErr w:type="spellStart"/>
                  <w:r w:rsidRPr="00182400">
                    <w:rPr>
                      <w:rFonts w:eastAsia="Proxima Nova"/>
                      <w:lang w:bidi="en-GB"/>
                    </w:rPr>
                    <w:t>Responsible</w:t>
                  </w:r>
                  <w:proofErr w:type="spellEnd"/>
                  <w:r w:rsidRPr="00182400">
                    <w:rPr>
                      <w:rFonts w:eastAsia="Proxima Nova"/>
                      <w:lang w:bidi="en-GB"/>
                    </w:rPr>
                    <w:t>:</w:t>
                  </w:r>
                </w:p>
              </w:tc>
            </w:tr>
            <w:tr w:rsidR="00B173DB" w14:paraId="344D8587" w14:textId="77777777" w:rsidTr="007343B2">
              <w:tc>
                <w:tcPr>
                  <w:tcW w:w="3418" w:type="dxa"/>
                  <w:gridSpan w:val="3"/>
                </w:tcPr>
                <w:p w14:paraId="2341F480" w14:textId="3D53F85C" w:rsidR="00B173DB" w:rsidRDefault="00B173DB" w:rsidP="00B173DB">
                  <w:pPr>
                    <w:rPr>
                      <w:rFonts w:eastAsia="Proxima Nova"/>
                      <w:lang w:val="nn-NO"/>
                    </w:rPr>
                  </w:pPr>
                  <w:r w:rsidRPr="00182400">
                    <w:rPr>
                      <w:rFonts w:eastAsia="Proxima Nova"/>
                      <w:lang w:bidi="en-GB"/>
                    </w:rPr>
                    <w:t>Stakeholders/supporters</w:t>
                  </w:r>
                </w:p>
              </w:tc>
            </w:tr>
            <w:tr w:rsidR="00B173DB" w14:paraId="09013997" w14:textId="77777777" w:rsidTr="00B173DB">
              <w:tc>
                <w:tcPr>
                  <w:tcW w:w="1139" w:type="dxa"/>
                </w:tcPr>
                <w:p w14:paraId="1D085A45" w14:textId="379294A8" w:rsidR="00B173DB" w:rsidRDefault="00B173DB" w:rsidP="00B173DB">
                  <w:pPr>
                    <w:rPr>
                      <w:rFonts w:eastAsia="Proxima Nova"/>
                      <w:lang w:val="nn-NO"/>
                    </w:rPr>
                  </w:pPr>
                  <w:r w:rsidRPr="00182400">
                    <w:rPr>
                      <w:rFonts w:eastAsia="Proxima Nova"/>
                      <w:lang w:bidi="en-GB"/>
                    </w:rPr>
                    <w:t xml:space="preserve">Public </w:t>
                  </w:r>
                  <w:proofErr w:type="spellStart"/>
                  <w:r w:rsidRPr="00182400">
                    <w:rPr>
                      <w:rFonts w:eastAsia="Proxima Nova"/>
                      <w:lang w:bidi="en-GB"/>
                    </w:rPr>
                    <w:t>administration</w:t>
                  </w:r>
                  <w:proofErr w:type="spellEnd"/>
                  <w:r w:rsidRPr="00182400">
                    <w:rPr>
                      <w:rFonts w:eastAsia="Proxima Nova"/>
                      <w:lang w:bidi="en-GB"/>
                    </w:rPr>
                    <w:t xml:space="preserve"> </w:t>
                  </w:r>
                </w:p>
              </w:tc>
              <w:tc>
                <w:tcPr>
                  <w:tcW w:w="1139" w:type="dxa"/>
                </w:tcPr>
                <w:p w14:paraId="647BD4D1" w14:textId="0D5DC0E9" w:rsidR="00B173DB" w:rsidRDefault="00B173DB" w:rsidP="00B173DB">
                  <w:pPr>
                    <w:rPr>
                      <w:rFonts w:eastAsia="Proxima Nova"/>
                      <w:lang w:val="nn-NO"/>
                    </w:rPr>
                  </w:pPr>
                  <w:proofErr w:type="spellStart"/>
                  <w:r w:rsidRPr="00182400">
                    <w:rPr>
                      <w:rFonts w:eastAsia="Proxima Nova"/>
                      <w:lang w:bidi="en-GB"/>
                    </w:rPr>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r w:rsidRPr="00182400">
                    <w:rPr>
                      <w:rFonts w:eastAsia="Proxima Nova"/>
                      <w:lang w:bidi="en-GB"/>
                    </w:rPr>
                    <w:t xml:space="preserve"> </w:t>
                  </w:r>
                  <w:proofErr w:type="spellStart"/>
                  <w:r w:rsidRPr="00182400">
                    <w:rPr>
                      <w:rFonts w:eastAsia="Proxima Nova"/>
                      <w:lang w:bidi="en-GB"/>
                    </w:rPr>
                    <w:t>organisations</w:t>
                  </w:r>
                  <w:proofErr w:type="spellEnd"/>
                </w:p>
              </w:tc>
              <w:tc>
                <w:tcPr>
                  <w:tcW w:w="1140" w:type="dxa"/>
                </w:tcPr>
                <w:p w14:paraId="7DA04843" w14:textId="60BE4FE2" w:rsidR="00B173DB" w:rsidRDefault="00B173DB" w:rsidP="00B173DB">
                  <w:pPr>
                    <w:rPr>
                      <w:rFonts w:eastAsia="Proxima Nova"/>
                      <w:lang w:val="nn-NO"/>
                    </w:rPr>
                  </w:pPr>
                  <w:r w:rsidRPr="00182400">
                    <w:rPr>
                      <w:rFonts w:eastAsia="Proxima Nova"/>
                      <w:lang w:val="en-GB" w:bidi="en-GB"/>
                    </w:rPr>
                    <w:t>Others (</w:t>
                  </w:r>
                  <w:proofErr w:type="gramStart"/>
                  <w:r w:rsidRPr="00182400">
                    <w:rPr>
                      <w:rFonts w:eastAsia="Proxima Nova"/>
                      <w:lang w:val="en-GB" w:bidi="en-GB"/>
                    </w:rPr>
                    <w:t>e.g.</w:t>
                  </w:r>
                  <w:proofErr w:type="gramEnd"/>
                  <w:r w:rsidRPr="00182400">
                    <w:rPr>
                      <w:rFonts w:eastAsia="Proxima Nova"/>
                      <w:lang w:val="en-GB" w:bidi="en-GB"/>
                    </w:rPr>
                    <w:t xml:space="preserve"> parliament, civil society, others)</w:t>
                  </w:r>
                </w:p>
              </w:tc>
            </w:tr>
            <w:tr w:rsidR="00B173DB" w14:paraId="06DFE412" w14:textId="77777777" w:rsidTr="00B173DB">
              <w:tc>
                <w:tcPr>
                  <w:tcW w:w="1139" w:type="dxa"/>
                </w:tcPr>
                <w:p w14:paraId="7259EEF0" w14:textId="77777777" w:rsidR="00B173DB" w:rsidRPr="00182400" w:rsidRDefault="00B173DB" w:rsidP="00B173DB">
                  <w:pPr>
                    <w:rPr>
                      <w:rFonts w:eastAsia="Proxima Nova"/>
                      <w:lang w:val="nn-NO"/>
                    </w:rPr>
                  </w:pPr>
                  <w:r w:rsidRPr="00182400">
                    <w:rPr>
                      <w:rFonts w:eastAsia="Proxima Nova"/>
                      <w:lang w:val="en-GB" w:bidi="en-GB"/>
                    </w:rPr>
                    <w:t>DFØ</w:t>
                  </w:r>
                </w:p>
                <w:p w14:paraId="0F0B0417" w14:textId="7F306B4A" w:rsidR="00B173DB" w:rsidRDefault="00B173DB" w:rsidP="00B173DB">
                  <w:pPr>
                    <w:rPr>
                      <w:rFonts w:eastAsia="Proxima Nova"/>
                      <w:lang w:val="nn-NO"/>
                    </w:rPr>
                  </w:pPr>
                  <w:r w:rsidRPr="00182400">
                    <w:rPr>
                      <w:rFonts w:eastAsia="Proxima Nova"/>
                      <w:lang w:val="en-GB" w:bidi="en-GB"/>
                    </w:rPr>
                    <w:lastRenderedPageBreak/>
                    <w:t xml:space="preserve">Norwegian Data Protection Authority </w:t>
                  </w:r>
                </w:p>
              </w:tc>
              <w:tc>
                <w:tcPr>
                  <w:tcW w:w="1139" w:type="dxa"/>
                </w:tcPr>
                <w:p w14:paraId="34A89C9B" w14:textId="77777777" w:rsidR="00B173DB" w:rsidRDefault="00B173DB" w:rsidP="00B173DB">
                  <w:pPr>
                    <w:rPr>
                      <w:rFonts w:eastAsia="Proxima Nova"/>
                      <w:lang w:val="nn-NO"/>
                    </w:rPr>
                  </w:pPr>
                </w:p>
              </w:tc>
              <w:tc>
                <w:tcPr>
                  <w:tcW w:w="1140" w:type="dxa"/>
                </w:tcPr>
                <w:p w14:paraId="438CAD44" w14:textId="77777777" w:rsidR="00B173DB" w:rsidRDefault="00B173DB" w:rsidP="00B173DB">
                  <w:pPr>
                    <w:rPr>
                      <w:rFonts w:eastAsia="Proxima Nova"/>
                      <w:lang w:val="nn-NO"/>
                    </w:rPr>
                  </w:pPr>
                </w:p>
              </w:tc>
            </w:tr>
          </w:tbl>
          <w:p w14:paraId="3A1DA5A5" w14:textId="57CD35E0" w:rsidR="00B173DB" w:rsidRPr="00182400" w:rsidRDefault="00B173DB" w:rsidP="005258C8">
            <w:pPr>
              <w:rPr>
                <w:rFonts w:eastAsia="Proxima Nova"/>
                <w:lang w:val="nn-NO" w:eastAsia="en-US"/>
              </w:rPr>
            </w:pPr>
          </w:p>
        </w:tc>
      </w:tr>
      <w:tr w:rsidR="00B173DB" w:rsidRPr="00B173DB" w14:paraId="62B8D931" w14:textId="77777777" w:rsidTr="007A17A2">
        <w:trPr>
          <w:trHeight w:val="1879"/>
        </w:trPr>
        <w:tc>
          <w:tcPr>
            <w:tcW w:w="2365" w:type="dxa"/>
            <w:shd w:val="clear" w:color="auto" w:fill="auto"/>
          </w:tcPr>
          <w:p w14:paraId="7560B66B" w14:textId="77777777" w:rsidR="00B173DB" w:rsidRPr="00182400" w:rsidRDefault="00B173DB" w:rsidP="005258C8">
            <w:pPr>
              <w:rPr>
                <w:rStyle w:val="kursiv"/>
                <w:rFonts w:eastAsia="Proxima Nova"/>
                <w:lang w:val="en-GB" w:eastAsia="en-US"/>
              </w:rPr>
            </w:pPr>
          </w:p>
        </w:tc>
        <w:tc>
          <w:tcPr>
            <w:tcW w:w="2016" w:type="dxa"/>
            <w:shd w:val="clear" w:color="auto" w:fill="auto"/>
          </w:tcPr>
          <w:p w14:paraId="1A433011" w14:textId="77777777" w:rsidR="00B173DB" w:rsidRPr="00182400" w:rsidRDefault="00B173DB" w:rsidP="005258C8">
            <w:pPr>
              <w:rPr>
                <w:rFonts w:eastAsia="Proxima Nova"/>
                <w:lang w:val="nn-NO" w:eastAsia="en-US"/>
              </w:rPr>
            </w:pPr>
          </w:p>
        </w:tc>
        <w:tc>
          <w:tcPr>
            <w:tcW w:w="1468" w:type="dxa"/>
            <w:shd w:val="clear" w:color="auto" w:fill="auto"/>
          </w:tcPr>
          <w:p w14:paraId="1E97C622" w14:textId="77777777" w:rsidR="00B173DB" w:rsidRPr="00182400" w:rsidRDefault="00B173DB" w:rsidP="005258C8">
            <w:pPr>
              <w:rPr>
                <w:rFonts w:eastAsia="Proxima Nova"/>
                <w:lang w:val="nn-NO" w:eastAsia="en-US"/>
              </w:rPr>
            </w:pPr>
          </w:p>
        </w:tc>
        <w:tc>
          <w:tcPr>
            <w:tcW w:w="3644" w:type="dxa"/>
            <w:shd w:val="clear" w:color="auto" w:fill="auto"/>
          </w:tcPr>
          <w:tbl>
            <w:tblPr>
              <w:tblStyle w:val="StandardTabell"/>
              <w:tblW w:w="0" w:type="auto"/>
              <w:tblLayout w:type="fixed"/>
              <w:tblLook w:val="04A0" w:firstRow="1" w:lastRow="0" w:firstColumn="1" w:lastColumn="0" w:noHBand="0" w:noVBand="1"/>
            </w:tblPr>
            <w:tblGrid>
              <w:gridCol w:w="1139"/>
              <w:gridCol w:w="1139"/>
              <w:gridCol w:w="1140"/>
            </w:tblGrid>
            <w:tr w:rsidR="00B173DB" w14:paraId="49D4C62E" w14:textId="77777777" w:rsidTr="00B05653">
              <w:tc>
                <w:tcPr>
                  <w:tcW w:w="3418" w:type="dxa"/>
                  <w:gridSpan w:val="3"/>
                </w:tcPr>
                <w:p w14:paraId="4849948D" w14:textId="2D414A43" w:rsidR="00B173DB" w:rsidRDefault="00B173DB" w:rsidP="00B173DB">
                  <w:pPr>
                    <w:rPr>
                      <w:rFonts w:eastAsia="Proxima Nova"/>
                      <w:lang w:val="nn-NO"/>
                    </w:rPr>
                  </w:pPr>
                  <w:proofErr w:type="spellStart"/>
                  <w:r w:rsidRPr="00182400">
                    <w:rPr>
                      <w:rFonts w:eastAsia="Proxima Nova"/>
                      <w:lang w:bidi="en-GB"/>
                    </w:rPr>
                    <w:t>Responsible</w:t>
                  </w:r>
                  <w:proofErr w:type="spellEnd"/>
                  <w:r w:rsidRPr="00182400">
                    <w:rPr>
                      <w:rFonts w:eastAsia="Proxima Nova"/>
                      <w:lang w:bidi="en-GB"/>
                    </w:rPr>
                    <w:t>:</w:t>
                  </w:r>
                </w:p>
              </w:tc>
            </w:tr>
            <w:tr w:rsidR="00B173DB" w14:paraId="5F93BDD1" w14:textId="77777777" w:rsidTr="00261F60">
              <w:tc>
                <w:tcPr>
                  <w:tcW w:w="3418" w:type="dxa"/>
                  <w:gridSpan w:val="3"/>
                </w:tcPr>
                <w:p w14:paraId="701B3A2D" w14:textId="3CCAB5D8" w:rsidR="00B173DB" w:rsidRDefault="00B173DB" w:rsidP="00B173DB">
                  <w:pPr>
                    <w:rPr>
                      <w:rFonts w:eastAsia="Proxima Nova"/>
                      <w:lang w:val="nn-NO"/>
                    </w:rPr>
                  </w:pPr>
                  <w:r w:rsidRPr="00182400">
                    <w:rPr>
                      <w:rFonts w:eastAsia="Proxima Nova"/>
                      <w:lang w:bidi="en-GB"/>
                    </w:rPr>
                    <w:t>Stakeholders/supporters</w:t>
                  </w:r>
                </w:p>
              </w:tc>
            </w:tr>
            <w:tr w:rsidR="00B173DB" w14:paraId="3B444AC4" w14:textId="77777777" w:rsidTr="00B173DB">
              <w:tc>
                <w:tcPr>
                  <w:tcW w:w="1139" w:type="dxa"/>
                </w:tcPr>
                <w:p w14:paraId="41E5E34D" w14:textId="7185524F" w:rsidR="00B173DB" w:rsidRDefault="00B173DB" w:rsidP="00B173DB">
                  <w:pPr>
                    <w:rPr>
                      <w:rFonts w:eastAsia="Proxima Nova"/>
                      <w:lang w:val="nn-NO"/>
                    </w:rPr>
                  </w:pPr>
                  <w:r w:rsidRPr="00182400">
                    <w:rPr>
                      <w:rFonts w:eastAsia="Proxima Nova"/>
                      <w:lang w:bidi="en-GB"/>
                    </w:rPr>
                    <w:t xml:space="preserve">Public </w:t>
                  </w:r>
                  <w:proofErr w:type="spellStart"/>
                  <w:r w:rsidRPr="00182400">
                    <w:rPr>
                      <w:rFonts w:eastAsia="Proxima Nova"/>
                      <w:lang w:bidi="en-GB"/>
                    </w:rPr>
                    <w:t>administration</w:t>
                  </w:r>
                  <w:proofErr w:type="spellEnd"/>
                </w:p>
              </w:tc>
              <w:tc>
                <w:tcPr>
                  <w:tcW w:w="1139" w:type="dxa"/>
                </w:tcPr>
                <w:p w14:paraId="2B4DDBCA" w14:textId="22B38C99" w:rsidR="00B173DB" w:rsidRDefault="00B173DB" w:rsidP="00B173DB">
                  <w:pPr>
                    <w:rPr>
                      <w:rFonts w:eastAsia="Proxima Nova"/>
                      <w:lang w:val="nn-NO"/>
                    </w:rPr>
                  </w:pPr>
                  <w:proofErr w:type="spellStart"/>
                  <w:r w:rsidRPr="00182400">
                    <w:rPr>
                      <w:rFonts w:eastAsia="Proxima Nova"/>
                      <w:lang w:bidi="en-GB"/>
                    </w:rPr>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r w:rsidRPr="00182400">
                    <w:rPr>
                      <w:rFonts w:eastAsia="Proxima Nova"/>
                      <w:lang w:bidi="en-GB"/>
                    </w:rPr>
                    <w:t xml:space="preserve"> </w:t>
                  </w:r>
                  <w:proofErr w:type="spellStart"/>
                  <w:r w:rsidRPr="00182400">
                    <w:rPr>
                      <w:rFonts w:eastAsia="Proxima Nova"/>
                      <w:lang w:bidi="en-GB"/>
                    </w:rPr>
                    <w:t>organisations</w:t>
                  </w:r>
                  <w:proofErr w:type="spellEnd"/>
                </w:p>
              </w:tc>
              <w:tc>
                <w:tcPr>
                  <w:tcW w:w="1140" w:type="dxa"/>
                </w:tcPr>
                <w:p w14:paraId="64F58D8D" w14:textId="5D2592A3" w:rsidR="00B173DB" w:rsidRDefault="00B173DB" w:rsidP="00B173DB">
                  <w:pPr>
                    <w:rPr>
                      <w:rFonts w:eastAsia="Proxima Nova"/>
                      <w:lang w:val="nn-NO"/>
                    </w:rPr>
                  </w:pPr>
                  <w:r w:rsidRPr="00182400">
                    <w:rPr>
                      <w:rFonts w:eastAsia="Proxima Nova"/>
                      <w:lang w:val="en-GB" w:bidi="en-GB"/>
                    </w:rPr>
                    <w:t>Others (</w:t>
                  </w:r>
                  <w:proofErr w:type="gramStart"/>
                  <w:r w:rsidRPr="00182400">
                    <w:rPr>
                      <w:rFonts w:eastAsia="Proxima Nova"/>
                      <w:lang w:val="en-GB" w:bidi="en-GB"/>
                    </w:rPr>
                    <w:t>e.g.</w:t>
                  </w:r>
                  <w:proofErr w:type="gramEnd"/>
                  <w:r w:rsidRPr="00182400">
                    <w:rPr>
                      <w:rFonts w:eastAsia="Proxima Nova"/>
                      <w:lang w:val="en-GB" w:bidi="en-GB"/>
                    </w:rPr>
                    <w:t xml:space="preserve"> parliament, civil society, others)</w:t>
                  </w:r>
                </w:p>
              </w:tc>
            </w:tr>
          </w:tbl>
          <w:p w14:paraId="3F98C48B" w14:textId="40B55A55" w:rsidR="00B173DB" w:rsidRPr="00182400" w:rsidRDefault="00B173DB" w:rsidP="005258C8">
            <w:pPr>
              <w:rPr>
                <w:rFonts w:eastAsia="Proxima Nova"/>
                <w:lang w:val="nn-NO" w:eastAsia="en-US"/>
              </w:rPr>
            </w:pPr>
          </w:p>
        </w:tc>
      </w:tr>
    </w:tbl>
    <w:p w14:paraId="6F94426D" w14:textId="77777777" w:rsidR="009D3DDD" w:rsidRPr="00291078" w:rsidRDefault="009D3DDD" w:rsidP="00FA06AB">
      <w:pPr>
        <w:spacing w:after="180" w:line="274" w:lineRule="auto"/>
        <w:jc w:val="both"/>
        <w:rPr>
          <w:rFonts w:eastAsia="Proxima Nova" w:cs="Arial"/>
          <w:lang w:val="en-GB"/>
        </w:rPr>
      </w:pPr>
    </w:p>
    <w:p w14:paraId="25C5386D" w14:textId="77777777" w:rsidR="00FA06AB" w:rsidRPr="00AC09F2" w:rsidRDefault="00FA06AB" w:rsidP="00291078">
      <w:pPr>
        <w:pStyle w:val="Overskrift2"/>
        <w:rPr>
          <w:lang w:val="nn-NO"/>
        </w:rPr>
      </w:pPr>
      <w:r w:rsidRPr="00AC09F2">
        <w:rPr>
          <w:lang w:bidi="en-GB"/>
        </w:rPr>
        <w:t xml:space="preserve">Digital </w:t>
      </w:r>
      <w:proofErr w:type="spellStart"/>
      <w:r w:rsidRPr="00AC09F2">
        <w:rPr>
          <w:lang w:bidi="en-GB"/>
        </w:rPr>
        <w:t>inclusion</w:t>
      </w:r>
      <w:proofErr w:type="spellEnd"/>
      <w:r w:rsidRPr="00AC09F2">
        <w:rPr>
          <w:lang w:bidi="en-GB"/>
        </w:rPr>
        <w:t xml:space="preserve"> (DFD)</w:t>
      </w:r>
    </w:p>
    <w:p w14:paraId="1A126592" w14:textId="77777777" w:rsidR="00FA06AB" w:rsidRPr="0064546B" w:rsidRDefault="00FA06AB"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657DA8" w:rsidRPr="00182400" w14:paraId="60EBC523" w14:textId="77777777" w:rsidTr="00182400">
        <w:tc>
          <w:tcPr>
            <w:tcW w:w="1702" w:type="dxa"/>
            <w:shd w:val="clear" w:color="auto" w:fill="auto"/>
          </w:tcPr>
          <w:p w14:paraId="4ECF5FD0" w14:textId="77777777" w:rsidR="00657DA8" w:rsidRPr="00642710" w:rsidRDefault="001A31DB" w:rsidP="00182400">
            <w:pPr>
              <w:pStyle w:val="TabellHode-rad"/>
              <w:rPr>
                <w:rStyle w:val="kursiv"/>
                <w:rFonts w:eastAsia="Proxima Nova"/>
              </w:rPr>
            </w:pPr>
            <w:proofErr w:type="spellStart"/>
            <w:r w:rsidRPr="00642710">
              <w:rPr>
                <w:rStyle w:val="kursiv"/>
                <w:rFonts w:eastAsia="Proxima Nova"/>
              </w:rPr>
              <w:t>Title</w:t>
            </w:r>
            <w:proofErr w:type="spellEnd"/>
          </w:p>
        </w:tc>
        <w:tc>
          <w:tcPr>
            <w:tcW w:w="7773" w:type="dxa"/>
            <w:gridSpan w:val="3"/>
            <w:shd w:val="clear" w:color="auto" w:fill="auto"/>
          </w:tcPr>
          <w:p w14:paraId="049B9D3C" w14:textId="77777777" w:rsidR="00657DA8" w:rsidRPr="00182400" w:rsidRDefault="00657DA8" w:rsidP="00182400">
            <w:pPr>
              <w:spacing w:line="240" w:lineRule="auto"/>
              <w:rPr>
                <w:rFonts w:eastAsia="Proxima Nova"/>
                <w:lang w:eastAsia="en-US"/>
              </w:rPr>
            </w:pPr>
            <w:r w:rsidRPr="00182400">
              <w:rPr>
                <w:rFonts w:eastAsia="Calibri"/>
                <w:lang w:eastAsia="en-US"/>
              </w:rPr>
              <w:t xml:space="preserve"> Digital </w:t>
            </w:r>
            <w:proofErr w:type="spellStart"/>
            <w:r w:rsidRPr="00182400">
              <w:rPr>
                <w:rFonts w:eastAsia="Calibri"/>
                <w:lang w:eastAsia="en-US"/>
              </w:rPr>
              <w:t>inclusion</w:t>
            </w:r>
            <w:proofErr w:type="spellEnd"/>
          </w:p>
        </w:tc>
      </w:tr>
      <w:tr w:rsidR="00657DA8" w:rsidRPr="00BB441C" w14:paraId="1239FC5F" w14:textId="77777777" w:rsidTr="00182400">
        <w:tc>
          <w:tcPr>
            <w:tcW w:w="1702" w:type="dxa"/>
            <w:shd w:val="clear" w:color="auto" w:fill="auto"/>
          </w:tcPr>
          <w:p w14:paraId="4FF6AE59" w14:textId="77777777" w:rsidR="00657DA8" w:rsidRPr="00642710" w:rsidRDefault="00657DA8" w:rsidP="00182400">
            <w:pPr>
              <w:pStyle w:val="TabellHode-rad"/>
              <w:rPr>
                <w:rStyle w:val="kursiv"/>
                <w:rFonts w:eastAsia="Proxima Nova"/>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73" w:type="dxa"/>
            <w:gridSpan w:val="3"/>
            <w:shd w:val="clear" w:color="auto" w:fill="auto"/>
          </w:tcPr>
          <w:p w14:paraId="458B75FB" w14:textId="77777777" w:rsidR="00657DA8" w:rsidRPr="00182400" w:rsidRDefault="00657DA8" w:rsidP="00182400">
            <w:pPr>
              <w:spacing w:line="240" w:lineRule="auto"/>
              <w:jc w:val="both"/>
              <w:rPr>
                <w:rFonts w:eastAsia="Proxima Nova"/>
                <w:lang w:val="en-GB" w:eastAsia="en-US"/>
              </w:rPr>
            </w:pPr>
            <w:r w:rsidRPr="00182400">
              <w:rPr>
                <w:rFonts w:eastAsia="Proxima Nova"/>
                <w:lang w:val="en-GB" w:eastAsia="en-US"/>
              </w:rPr>
              <w:t xml:space="preserve">Contribute to </w:t>
            </w:r>
            <w:r w:rsidR="001A31DB" w:rsidRPr="00182400">
              <w:rPr>
                <w:rFonts w:eastAsia="Proxima Nova"/>
                <w:lang w:val="en-GB" w:eastAsia="en-US"/>
              </w:rPr>
              <w:t>the populations</w:t>
            </w:r>
            <w:r w:rsidR="0064546B" w:rsidRPr="00182400">
              <w:rPr>
                <w:rFonts w:eastAsia="Proxima Nova"/>
                <w:lang w:val="en-GB" w:eastAsia="en-US"/>
              </w:rPr>
              <w:t>’</w:t>
            </w:r>
            <w:r w:rsidR="001A31DB" w:rsidRPr="00182400">
              <w:rPr>
                <w:rFonts w:eastAsia="Proxima Nova"/>
                <w:lang w:val="en-GB" w:eastAsia="en-US"/>
              </w:rPr>
              <w:t xml:space="preserve"> </w:t>
            </w:r>
            <w:r w:rsidR="00B02EC5" w:rsidRPr="00182400">
              <w:rPr>
                <w:rFonts w:eastAsia="Proxima Nova"/>
                <w:lang w:val="en-GB" w:eastAsia="en-US"/>
              </w:rPr>
              <w:t xml:space="preserve">digital participation </w:t>
            </w:r>
            <w:r w:rsidR="001A31DB" w:rsidRPr="00182400">
              <w:rPr>
                <w:rFonts w:eastAsia="Proxima Nova"/>
                <w:lang w:val="en-GB" w:eastAsia="en-US"/>
              </w:rPr>
              <w:t>throughout life</w:t>
            </w:r>
            <w:r w:rsidR="00291078" w:rsidRPr="00182400">
              <w:rPr>
                <w:rFonts w:eastAsia="Proxima Nova"/>
                <w:lang w:val="en-GB" w:eastAsia="en-US"/>
              </w:rPr>
              <w:t xml:space="preserve"> </w:t>
            </w:r>
          </w:p>
        </w:tc>
      </w:tr>
      <w:tr w:rsidR="00FA06AB" w:rsidRPr="00BB441C" w14:paraId="6F4FEF7A" w14:textId="77777777" w:rsidTr="00182400">
        <w:tc>
          <w:tcPr>
            <w:tcW w:w="1702" w:type="dxa"/>
            <w:shd w:val="clear" w:color="auto" w:fill="auto"/>
          </w:tcPr>
          <w:p w14:paraId="5593885A" w14:textId="77777777" w:rsidR="00FA06AB" w:rsidRPr="00642710" w:rsidRDefault="00657DA8" w:rsidP="00182400">
            <w:pPr>
              <w:pStyle w:val="TabellHode-rad"/>
              <w:rPr>
                <w:rStyle w:val="kursiv"/>
                <w:rFonts w:eastAsia="Proxima Nova"/>
              </w:rPr>
            </w:pPr>
            <w:proofErr w:type="spellStart"/>
            <w:r w:rsidRPr="00642710">
              <w:rPr>
                <w:rStyle w:val="kursiv"/>
                <w:rFonts w:eastAsia="Proxima Nova"/>
              </w:rPr>
              <w:t>Responsible</w:t>
            </w:r>
            <w:proofErr w:type="spellEnd"/>
            <w:r w:rsidRPr="00642710">
              <w:rPr>
                <w:rStyle w:val="kursiv"/>
                <w:rFonts w:eastAsia="Proxima Nova"/>
              </w:rPr>
              <w:t xml:space="preserve"> for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73" w:type="dxa"/>
            <w:gridSpan w:val="3"/>
            <w:shd w:val="clear" w:color="auto" w:fill="auto"/>
          </w:tcPr>
          <w:p w14:paraId="17E2B53F" w14:textId="77777777" w:rsidR="00FA06AB" w:rsidRPr="00BB441C" w:rsidRDefault="00D47522" w:rsidP="00182400">
            <w:pPr>
              <w:spacing w:line="240" w:lineRule="auto"/>
              <w:rPr>
                <w:rFonts w:eastAsia="Proxima Nova"/>
                <w:lang w:val="en-GB" w:eastAsia="en-US"/>
              </w:rPr>
            </w:pPr>
            <w:r w:rsidRPr="00BB441C">
              <w:rPr>
                <w:rFonts w:eastAsia="Proxima Nova"/>
                <w:lang w:val="en-GB" w:eastAsia="en-US"/>
              </w:rPr>
              <w:t>Ministry of Digitisation and Public Governance (DFD)</w:t>
            </w:r>
          </w:p>
        </w:tc>
      </w:tr>
      <w:tr w:rsidR="00FA06AB" w:rsidRPr="00182400" w14:paraId="4A3330AD" w14:textId="77777777" w:rsidTr="00182400">
        <w:trPr>
          <w:trHeight w:val="270"/>
        </w:trPr>
        <w:tc>
          <w:tcPr>
            <w:tcW w:w="1702" w:type="dxa"/>
            <w:vMerge w:val="restart"/>
            <w:shd w:val="clear" w:color="auto" w:fill="auto"/>
          </w:tcPr>
          <w:p w14:paraId="68A300FF" w14:textId="77777777" w:rsidR="00FA06AB" w:rsidRPr="00642710" w:rsidRDefault="00FA06AB" w:rsidP="00182400">
            <w:pPr>
              <w:pStyle w:val="TabellHode-rad"/>
              <w:rPr>
                <w:rStyle w:val="kursiv"/>
                <w:rFonts w:eastAsia="Proxima Nova"/>
              </w:rPr>
            </w:pPr>
            <w:r w:rsidRPr="00642710">
              <w:rPr>
                <w:rStyle w:val="kursiv"/>
                <w:rFonts w:eastAsia="Proxima Nova"/>
              </w:rPr>
              <w:t>Stakeholders</w:t>
            </w:r>
          </w:p>
        </w:tc>
        <w:tc>
          <w:tcPr>
            <w:tcW w:w="2591" w:type="dxa"/>
            <w:shd w:val="clear" w:color="auto" w:fill="auto"/>
          </w:tcPr>
          <w:p w14:paraId="506A2335" w14:textId="77777777" w:rsidR="00FA06AB" w:rsidRPr="00B173DB" w:rsidRDefault="00657DA8" w:rsidP="00B173DB">
            <w:pPr>
              <w:pStyle w:val="TabellHode-kolonne"/>
              <w:rPr>
                <w:rStyle w:val="kursiv"/>
                <w:rFonts w:eastAsia="Proxima Nova"/>
              </w:rPr>
            </w:pPr>
            <w:proofErr w:type="spellStart"/>
            <w:r w:rsidRPr="00B173DB">
              <w:rPr>
                <w:rStyle w:val="kursiv"/>
                <w:rFonts w:eastAsia="Proxima Nova"/>
              </w:rPr>
              <w:t>Authorities</w:t>
            </w:r>
            <w:proofErr w:type="spellEnd"/>
          </w:p>
        </w:tc>
        <w:tc>
          <w:tcPr>
            <w:tcW w:w="2591" w:type="dxa"/>
            <w:shd w:val="clear" w:color="auto" w:fill="auto"/>
          </w:tcPr>
          <w:p w14:paraId="12D589AA" w14:textId="77777777" w:rsidR="00FA06AB" w:rsidRPr="00B173DB" w:rsidRDefault="00FA06AB" w:rsidP="00B173DB">
            <w:pPr>
              <w:pStyle w:val="TabellHode-kolonne"/>
              <w:rPr>
                <w:rStyle w:val="kursiv"/>
                <w:rFonts w:eastAsia="Proxima Nova"/>
              </w:rPr>
            </w:pPr>
            <w:proofErr w:type="spellStart"/>
            <w:r w:rsidRPr="00B173DB">
              <w:rPr>
                <w:rStyle w:val="kursiv"/>
                <w:rFonts w:eastAsia="Proxima Nova"/>
              </w:rPr>
              <w:t>Civil</w:t>
            </w:r>
            <w:proofErr w:type="spellEnd"/>
            <w:r w:rsidRPr="00B173DB">
              <w:rPr>
                <w:rStyle w:val="kursiv"/>
                <w:rFonts w:eastAsia="Proxima Nova"/>
              </w:rPr>
              <w:t xml:space="preserve"> </w:t>
            </w:r>
            <w:proofErr w:type="spellStart"/>
            <w:r w:rsidRPr="00B173DB">
              <w:rPr>
                <w:rStyle w:val="kursiv"/>
                <w:rFonts w:eastAsia="Proxima Nova"/>
              </w:rPr>
              <w:t>society</w:t>
            </w:r>
            <w:proofErr w:type="spellEnd"/>
          </w:p>
        </w:tc>
        <w:tc>
          <w:tcPr>
            <w:tcW w:w="2591" w:type="dxa"/>
            <w:shd w:val="clear" w:color="auto" w:fill="auto"/>
          </w:tcPr>
          <w:p w14:paraId="250EF755" w14:textId="77777777" w:rsidR="00FA06AB" w:rsidRPr="00B173DB" w:rsidRDefault="00FA06AB" w:rsidP="00B173DB">
            <w:pPr>
              <w:pStyle w:val="TabellHode-kolonne"/>
              <w:rPr>
                <w:rStyle w:val="kursiv"/>
                <w:rFonts w:eastAsia="Proxima Nova"/>
              </w:rPr>
            </w:pPr>
            <w:proofErr w:type="spellStart"/>
            <w:r w:rsidRPr="00B173DB">
              <w:rPr>
                <w:rStyle w:val="kursiv"/>
                <w:rFonts w:eastAsia="Proxima Nova"/>
              </w:rPr>
              <w:t>Others</w:t>
            </w:r>
            <w:proofErr w:type="spellEnd"/>
            <w:r w:rsidRPr="00B173DB">
              <w:rPr>
                <w:rStyle w:val="kursiv"/>
                <w:rFonts w:eastAsia="Proxima Nova"/>
              </w:rPr>
              <w:t xml:space="preserve"> (</w:t>
            </w:r>
            <w:proofErr w:type="spellStart"/>
            <w:r w:rsidRPr="00B173DB">
              <w:rPr>
                <w:rStyle w:val="kursiv"/>
                <w:rFonts w:eastAsia="Proxima Nova"/>
              </w:rPr>
              <w:t>parliament</w:t>
            </w:r>
            <w:proofErr w:type="spellEnd"/>
            <w:r w:rsidRPr="00B173DB">
              <w:rPr>
                <w:rStyle w:val="kursiv"/>
                <w:rFonts w:eastAsia="Proxima Nova"/>
              </w:rPr>
              <w:t xml:space="preserve">, private </w:t>
            </w:r>
            <w:proofErr w:type="spellStart"/>
            <w:r w:rsidRPr="00B173DB">
              <w:rPr>
                <w:rStyle w:val="kursiv"/>
                <w:rFonts w:eastAsia="Proxima Nova"/>
              </w:rPr>
              <w:t>sector</w:t>
            </w:r>
            <w:proofErr w:type="spellEnd"/>
            <w:r w:rsidRPr="00B173DB">
              <w:rPr>
                <w:rStyle w:val="kursiv"/>
                <w:rFonts w:eastAsia="Proxima Nova"/>
              </w:rPr>
              <w:t>, etc.)</w:t>
            </w:r>
          </w:p>
        </w:tc>
      </w:tr>
      <w:tr w:rsidR="00FA06AB" w:rsidRPr="00BB441C" w14:paraId="4C5CC669" w14:textId="77777777" w:rsidTr="00182400">
        <w:trPr>
          <w:trHeight w:val="1494"/>
        </w:trPr>
        <w:tc>
          <w:tcPr>
            <w:tcW w:w="1702" w:type="dxa"/>
            <w:vMerge/>
            <w:shd w:val="clear" w:color="auto" w:fill="auto"/>
          </w:tcPr>
          <w:p w14:paraId="28DF2A8D" w14:textId="77777777" w:rsidR="00FA06AB" w:rsidRPr="00182400" w:rsidRDefault="00FA06AB" w:rsidP="00182400">
            <w:pPr>
              <w:widowControl w:val="0"/>
              <w:rPr>
                <w:rFonts w:eastAsia="Proxima Nova"/>
                <w:lang w:eastAsia="en-US"/>
              </w:rPr>
            </w:pPr>
          </w:p>
        </w:tc>
        <w:tc>
          <w:tcPr>
            <w:tcW w:w="2591" w:type="dxa"/>
            <w:shd w:val="clear" w:color="auto" w:fill="auto"/>
          </w:tcPr>
          <w:p w14:paraId="14702490" w14:textId="77777777" w:rsidR="00FA06AB" w:rsidRPr="00BB441C" w:rsidRDefault="00FA06AB" w:rsidP="00182400">
            <w:pPr>
              <w:spacing w:line="240" w:lineRule="auto"/>
              <w:rPr>
                <w:rFonts w:eastAsia="Calibri"/>
                <w:lang w:val="en-GB" w:eastAsia="en-US"/>
              </w:rPr>
            </w:pPr>
            <w:r w:rsidRPr="00BB441C">
              <w:rPr>
                <w:rFonts w:eastAsia="Calibri"/>
                <w:lang w:val="en-GB" w:eastAsia="en-US"/>
              </w:rPr>
              <w:t>All ministries with subordinate agencies</w:t>
            </w:r>
          </w:p>
          <w:p w14:paraId="2D376AC6" w14:textId="77777777" w:rsidR="00FA06AB" w:rsidRPr="00BB441C" w:rsidRDefault="00FA06AB" w:rsidP="00182400">
            <w:pPr>
              <w:spacing w:line="240" w:lineRule="auto"/>
              <w:rPr>
                <w:rFonts w:eastAsia="Proxima Nova"/>
                <w:lang w:val="en-GB" w:eastAsia="en-US"/>
              </w:rPr>
            </w:pPr>
            <w:r w:rsidRPr="00BB441C">
              <w:rPr>
                <w:rFonts w:eastAsia="Calibri"/>
                <w:lang w:val="en-GB" w:eastAsia="en-US"/>
              </w:rPr>
              <w:t>Municipalities and county authorities</w:t>
            </w:r>
          </w:p>
        </w:tc>
        <w:tc>
          <w:tcPr>
            <w:tcW w:w="2591" w:type="dxa"/>
            <w:shd w:val="clear" w:color="auto" w:fill="auto"/>
          </w:tcPr>
          <w:p w14:paraId="42080C31" w14:textId="77777777" w:rsidR="00FA06AB" w:rsidRPr="00182400" w:rsidRDefault="00FA06AB" w:rsidP="00182400">
            <w:pPr>
              <w:spacing w:line="240" w:lineRule="auto"/>
              <w:rPr>
                <w:rFonts w:eastAsia="Proxima Nova"/>
                <w:lang w:eastAsia="en-US"/>
              </w:rPr>
            </w:pPr>
            <w:r w:rsidRPr="00182400">
              <w:rPr>
                <w:rFonts w:eastAsia="Calibri"/>
                <w:lang w:eastAsia="en-US"/>
              </w:rPr>
              <w:t>Seniornett Norway</w:t>
            </w:r>
          </w:p>
        </w:tc>
        <w:tc>
          <w:tcPr>
            <w:tcW w:w="2591" w:type="dxa"/>
            <w:shd w:val="clear" w:color="auto" w:fill="auto"/>
          </w:tcPr>
          <w:p w14:paraId="49C87A9C" w14:textId="77777777" w:rsidR="00FA06AB" w:rsidRPr="00BB441C" w:rsidRDefault="00FA06AB" w:rsidP="00182400">
            <w:pPr>
              <w:spacing w:line="240" w:lineRule="auto"/>
              <w:rPr>
                <w:rFonts w:eastAsia="Calibri"/>
                <w:lang w:val="en-GB" w:eastAsia="en-US"/>
              </w:rPr>
            </w:pPr>
            <w:r w:rsidRPr="00BB441C">
              <w:rPr>
                <w:rFonts w:eastAsia="Calibri"/>
                <w:lang w:val="en-GB" w:eastAsia="en-US"/>
              </w:rPr>
              <w:t xml:space="preserve">Finance Norway, ICT Norway, the IT </w:t>
            </w:r>
            <w:proofErr w:type="gramStart"/>
            <w:r w:rsidRPr="00BB441C">
              <w:rPr>
                <w:rFonts w:eastAsia="Calibri"/>
                <w:lang w:val="en-GB" w:eastAsia="en-US"/>
              </w:rPr>
              <w:t>industry</w:t>
            </w:r>
            <w:proofErr w:type="gramEnd"/>
            <w:r w:rsidRPr="00BB441C">
              <w:rPr>
                <w:rFonts w:eastAsia="Calibri"/>
                <w:lang w:val="en-GB" w:eastAsia="en-US"/>
              </w:rPr>
              <w:t xml:space="preserve"> and the electronics industry.</w:t>
            </w:r>
          </w:p>
          <w:p w14:paraId="2B147F1A" w14:textId="77777777" w:rsidR="00FA06AB" w:rsidRPr="00BB441C" w:rsidRDefault="00FA06AB" w:rsidP="00182400">
            <w:pPr>
              <w:spacing w:line="240" w:lineRule="auto"/>
              <w:rPr>
                <w:rFonts w:eastAsia="Proxima Nova"/>
                <w:lang w:val="en-GB" w:eastAsia="en-US"/>
              </w:rPr>
            </w:pPr>
            <w:r w:rsidRPr="00BB441C">
              <w:rPr>
                <w:rFonts w:eastAsia="Calibri"/>
                <w:lang w:val="en-GB" w:eastAsia="en-US"/>
              </w:rPr>
              <w:t xml:space="preserve">Nordic Council of Ministers + the Baltic countries </w:t>
            </w:r>
          </w:p>
        </w:tc>
      </w:tr>
      <w:tr w:rsidR="00FA06AB" w:rsidRPr="00182400" w14:paraId="080D239A" w14:textId="77777777" w:rsidTr="00182400">
        <w:tc>
          <w:tcPr>
            <w:tcW w:w="1702" w:type="dxa"/>
            <w:shd w:val="clear" w:color="auto" w:fill="auto"/>
          </w:tcPr>
          <w:p w14:paraId="1E348C4E" w14:textId="77777777" w:rsidR="00FA06AB" w:rsidRPr="00642710" w:rsidRDefault="00FA06AB" w:rsidP="00182400">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r w:rsidRPr="00642710">
              <w:rPr>
                <w:rStyle w:val="kursiv"/>
                <w:rFonts w:eastAsia="Proxima Nova"/>
              </w:rPr>
              <w:t xml:space="preserve"> (to</w:t>
            </w:r>
            <w:r w:rsidR="00291078" w:rsidRPr="00642710">
              <w:rPr>
                <w:rStyle w:val="kursiv"/>
                <w:rFonts w:eastAsia="Proxima Nova"/>
              </w:rPr>
              <w:t xml:space="preserve"> – </w:t>
            </w:r>
            <w:r w:rsidRPr="00642710">
              <w:rPr>
                <w:rStyle w:val="kursiv"/>
                <w:rFonts w:eastAsia="Proxima Nova"/>
              </w:rPr>
              <w:t>from)</w:t>
            </w:r>
            <w:r w:rsidR="00291078" w:rsidRPr="00642710">
              <w:rPr>
                <w:rStyle w:val="kursiv"/>
                <w:rFonts w:eastAsia="Proxima Nova"/>
              </w:rPr>
              <w:t xml:space="preserve"> </w:t>
            </w:r>
          </w:p>
        </w:tc>
        <w:tc>
          <w:tcPr>
            <w:tcW w:w="7773" w:type="dxa"/>
            <w:gridSpan w:val="3"/>
            <w:shd w:val="clear" w:color="auto" w:fill="auto"/>
          </w:tcPr>
          <w:p w14:paraId="60F73DDD" w14:textId="1B1A2350" w:rsidR="00FA06AB" w:rsidRPr="00182400" w:rsidRDefault="00FA06AB" w:rsidP="00182400">
            <w:pPr>
              <w:spacing w:line="240" w:lineRule="auto"/>
              <w:rPr>
                <w:rFonts w:eastAsia="Proxima Nova"/>
                <w:lang w:eastAsia="en-US"/>
              </w:rPr>
            </w:pPr>
            <w:r w:rsidRPr="00182400">
              <w:rPr>
                <w:rFonts w:eastAsia="Proxima Nova"/>
                <w:lang w:eastAsia="en-US"/>
              </w:rPr>
              <w:t>1.1.2023–31.12.2025</w:t>
            </w:r>
          </w:p>
        </w:tc>
      </w:tr>
    </w:tbl>
    <w:p w14:paraId="7B1B7607" w14:textId="77777777" w:rsidR="00FA06AB" w:rsidRDefault="00FA06AB" w:rsidP="00FA06AB">
      <w:pPr>
        <w:rPr>
          <w:rStyle w:val="halvfet"/>
          <w:highlight w:val="yellow"/>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266AB3" w:rsidRPr="00182400" w14:paraId="7A863810" w14:textId="77777777" w:rsidTr="00182400">
        <w:trPr>
          <w:trHeight w:val="348"/>
        </w:trPr>
        <w:tc>
          <w:tcPr>
            <w:tcW w:w="9450" w:type="dxa"/>
            <w:shd w:val="clear" w:color="auto" w:fill="auto"/>
          </w:tcPr>
          <w:p w14:paraId="678BD563" w14:textId="77777777" w:rsidR="00266AB3" w:rsidRPr="00182400" w:rsidRDefault="00266AB3"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problem </w:t>
            </w:r>
          </w:p>
        </w:tc>
      </w:tr>
      <w:tr w:rsidR="00266AB3" w:rsidRPr="00BB441C" w14:paraId="6F530C09" w14:textId="77777777" w:rsidTr="00182400">
        <w:trPr>
          <w:trHeight w:val="2715"/>
        </w:trPr>
        <w:tc>
          <w:tcPr>
            <w:tcW w:w="9450" w:type="dxa"/>
            <w:shd w:val="clear" w:color="auto" w:fill="auto"/>
          </w:tcPr>
          <w:p w14:paraId="0A21BCBF" w14:textId="77777777" w:rsidR="00266AB3" w:rsidRPr="00182400" w:rsidRDefault="008B0AA1" w:rsidP="00182400">
            <w:pPr>
              <w:pStyle w:val="avsnitt-undertittel"/>
              <w:rPr>
                <w:lang w:val="en-GB" w:eastAsia="en-US"/>
              </w:rPr>
            </w:pPr>
            <w:r w:rsidRPr="00182400">
              <w:rPr>
                <w:bCs/>
                <w:lang w:val="en-GB" w:eastAsia="en-US"/>
              </w:rPr>
              <w:t>1.</w:t>
            </w:r>
            <w:r w:rsidRPr="00182400">
              <w:rPr>
                <w:bCs/>
                <w:lang w:val="en-GB" w:eastAsia="en-US"/>
              </w:rPr>
              <w:tab/>
            </w:r>
            <w:r w:rsidR="00266AB3" w:rsidRPr="00182400">
              <w:rPr>
                <w:lang w:val="en-GB" w:eastAsia="en-US"/>
              </w:rPr>
              <w:t>What problems will the commitment solve?</w:t>
            </w:r>
          </w:p>
          <w:p w14:paraId="4B529379" w14:textId="77777777" w:rsidR="00266AB3" w:rsidRPr="00182400" w:rsidRDefault="00266AB3" w:rsidP="00182400">
            <w:pPr>
              <w:rPr>
                <w:rFonts w:eastAsia="Calibri"/>
                <w:lang w:val="en-GB" w:eastAsia="en-US" w:bidi="en-GB"/>
              </w:rPr>
            </w:pPr>
            <w:r w:rsidRPr="00182400">
              <w:rPr>
                <w:rFonts w:eastAsia="Calibri"/>
                <w:lang w:val="en-GB" w:eastAsia="en-US" w:bidi="en-GB"/>
              </w:rPr>
              <w:t xml:space="preserve">Help prevent digital exclusion in all age </w:t>
            </w:r>
            <w:proofErr w:type="gramStart"/>
            <w:r w:rsidRPr="00182400">
              <w:rPr>
                <w:rFonts w:eastAsia="Calibri"/>
                <w:lang w:val="en-GB" w:eastAsia="en-US" w:bidi="en-GB"/>
              </w:rPr>
              <w:t>groups</w:t>
            </w:r>
            <w:proofErr w:type="gramEnd"/>
          </w:p>
          <w:p w14:paraId="39F0699D" w14:textId="77777777" w:rsidR="00266AB3" w:rsidRPr="00182400" w:rsidRDefault="00266AB3" w:rsidP="00182400">
            <w:pPr>
              <w:pStyle w:val="Liste"/>
              <w:rPr>
                <w:szCs w:val="22"/>
                <w:lang w:val="en-GB" w:eastAsia="en-US" w:bidi="en-GB"/>
              </w:rPr>
            </w:pPr>
            <w:r w:rsidRPr="00182400">
              <w:rPr>
                <w:szCs w:val="22"/>
                <w:lang w:val="en-GB" w:eastAsia="en-US" w:bidi="en-GB"/>
              </w:rPr>
              <w:t xml:space="preserve">Prevent people from being digitally </w:t>
            </w:r>
            <w:proofErr w:type="gramStart"/>
            <w:r w:rsidRPr="00182400">
              <w:rPr>
                <w:szCs w:val="22"/>
                <w:lang w:val="en-GB" w:eastAsia="en-US" w:bidi="en-GB"/>
              </w:rPr>
              <w:t>excluded</w:t>
            </w:r>
            <w:proofErr w:type="gramEnd"/>
          </w:p>
          <w:p w14:paraId="57109203" w14:textId="77777777" w:rsidR="00266AB3"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266AB3" w:rsidRPr="00182400">
              <w:rPr>
                <w:lang w:val="en-GB" w:eastAsia="en-US"/>
              </w:rPr>
              <w:t>What is the cause of the problem?</w:t>
            </w:r>
          </w:p>
          <w:p w14:paraId="31BE5F19" w14:textId="77777777" w:rsidR="00266AB3" w:rsidRPr="00182400" w:rsidRDefault="00266AB3" w:rsidP="00182400">
            <w:pPr>
              <w:rPr>
                <w:rFonts w:eastAsia="Proxima Nova"/>
                <w:lang w:val="en-US" w:eastAsia="en-US"/>
              </w:rPr>
            </w:pPr>
            <w:r w:rsidRPr="00182400">
              <w:rPr>
                <w:rFonts w:eastAsia="Proxima Nova"/>
                <w:lang w:val="en-GB" w:eastAsia="en-US" w:bidi="en-GB"/>
              </w:rPr>
              <w:t xml:space="preserve">Age, lack of knowledge, disability, lack of skills in dealing with public administration, low trust and language and cultural barriers. </w:t>
            </w:r>
          </w:p>
        </w:tc>
      </w:tr>
    </w:tbl>
    <w:p w14:paraId="600199D2" w14:textId="77777777" w:rsidR="00266AB3" w:rsidRPr="00266AB3" w:rsidRDefault="00266AB3" w:rsidP="00FA06AB">
      <w:pPr>
        <w:rPr>
          <w:rStyle w:val="halvfet"/>
          <w:highlight w:val="yellow"/>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266AB3" w:rsidRPr="00182400" w14:paraId="48F47BF7" w14:textId="77777777" w:rsidTr="00182400">
        <w:tc>
          <w:tcPr>
            <w:tcW w:w="9450" w:type="dxa"/>
            <w:shd w:val="clear" w:color="auto" w:fill="auto"/>
          </w:tcPr>
          <w:p w14:paraId="38770480" w14:textId="77777777" w:rsidR="00266AB3" w:rsidRPr="00182400" w:rsidRDefault="00266AB3"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266AB3" w:rsidRPr="00BB441C" w14:paraId="4FE83608" w14:textId="77777777" w:rsidTr="00182400">
        <w:trPr>
          <w:trHeight w:val="552"/>
        </w:trPr>
        <w:tc>
          <w:tcPr>
            <w:tcW w:w="9450" w:type="dxa"/>
            <w:shd w:val="clear" w:color="auto" w:fill="auto"/>
          </w:tcPr>
          <w:p w14:paraId="664487EC" w14:textId="77777777" w:rsidR="00266AB3"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266AB3" w:rsidRPr="00182400">
              <w:rPr>
                <w:lang w:val="en-GB" w:eastAsia="en-US"/>
              </w:rPr>
              <w:t>What has been done so far to solve the problem?</w:t>
            </w:r>
          </w:p>
          <w:p w14:paraId="6E1F56BA" w14:textId="77777777" w:rsidR="00266AB3" w:rsidRPr="00182400" w:rsidRDefault="00266AB3" w:rsidP="00182400">
            <w:pPr>
              <w:rPr>
                <w:rFonts w:eastAsia="Calibri"/>
                <w:lang w:val="en-GB" w:eastAsia="en-US" w:bidi="en-GB"/>
              </w:rPr>
            </w:pPr>
            <w:r w:rsidRPr="00182400">
              <w:rPr>
                <w:rFonts w:eastAsia="Calibri"/>
                <w:lang w:val="en-GB" w:eastAsia="en-US" w:bidi="en-GB"/>
              </w:rPr>
              <w:t xml:space="preserve">Since 1999, the Ministry has provided annual operating support to </w:t>
            </w:r>
            <w:proofErr w:type="spellStart"/>
            <w:r w:rsidRPr="00182400">
              <w:rPr>
                <w:rFonts w:eastAsia="Calibri"/>
                <w:lang w:val="en-GB" w:eastAsia="en-US" w:bidi="en-GB"/>
              </w:rPr>
              <w:t>Seniornett</w:t>
            </w:r>
            <w:proofErr w:type="spellEnd"/>
            <w:r w:rsidRPr="00182400">
              <w:rPr>
                <w:rFonts w:eastAsia="Calibri"/>
                <w:lang w:val="en-GB" w:eastAsia="en-US" w:bidi="en-GB"/>
              </w:rPr>
              <w:t xml:space="preserve"> Norway so that they can provide training for older people over the age of 65 who lack basic digital skills.</w:t>
            </w:r>
          </w:p>
          <w:p w14:paraId="434F1049" w14:textId="77777777" w:rsidR="00266AB3" w:rsidRPr="00182400" w:rsidRDefault="00266AB3" w:rsidP="00182400">
            <w:pPr>
              <w:rPr>
                <w:rFonts w:eastAsia="Calibri"/>
                <w:lang w:val="en-GB" w:eastAsia="en-US" w:bidi="en-GB"/>
              </w:rPr>
            </w:pPr>
            <w:r w:rsidRPr="00182400">
              <w:rPr>
                <w:rFonts w:eastAsia="Calibri"/>
                <w:lang w:val="en-GB" w:eastAsia="en-US" w:bidi="en-GB"/>
              </w:rPr>
              <w:t xml:space="preserve">Since 2012, the Ministry has announced grants for various initiatives related to digital skills in the population. In recent years, the grants have been targeted at municipalities with the aim of contributing to the establishment of local low-threshold assistance programmes. Around 70 municipalities currently report that they have established a </w:t>
            </w:r>
            <w:proofErr w:type="spellStart"/>
            <w:r w:rsidRPr="00182400">
              <w:rPr>
                <w:rFonts w:eastAsia="Calibri"/>
                <w:lang w:val="en-GB" w:eastAsia="en-US" w:bidi="en-GB"/>
              </w:rPr>
              <w:t>Digihjelpen</w:t>
            </w:r>
            <w:proofErr w:type="spellEnd"/>
            <w:r w:rsidRPr="00182400">
              <w:rPr>
                <w:rFonts w:eastAsia="Calibri"/>
                <w:lang w:val="en-GB" w:eastAsia="en-US" w:bidi="en-GB"/>
              </w:rPr>
              <w:t xml:space="preserve"> programme offering guidance on basic digital skills.</w:t>
            </w:r>
          </w:p>
          <w:p w14:paraId="4B309DF4" w14:textId="77777777" w:rsidR="00266AB3" w:rsidRPr="00182400" w:rsidRDefault="00266AB3" w:rsidP="00182400">
            <w:pPr>
              <w:rPr>
                <w:rFonts w:eastAsia="Calibri"/>
                <w:lang w:val="en-GB" w:eastAsia="en-US" w:bidi="en-GB"/>
              </w:rPr>
            </w:pPr>
            <w:r w:rsidRPr="00182400">
              <w:rPr>
                <w:rFonts w:eastAsia="Calibri"/>
                <w:lang w:val="en-GB" w:eastAsia="en-US" w:bidi="en-GB"/>
              </w:rPr>
              <w:t xml:space="preserve">In 2014, the Ministry organised several initiatives and activities aimed at citizens with low or inadequate digital skills, including in collaboration with </w:t>
            </w:r>
            <w:proofErr w:type="spellStart"/>
            <w:r w:rsidRPr="00182400">
              <w:rPr>
                <w:rFonts w:eastAsia="Calibri"/>
                <w:lang w:val="en-GB" w:eastAsia="en-US" w:bidi="en-GB"/>
              </w:rPr>
              <w:t>Seniornett</w:t>
            </w:r>
            <w:proofErr w:type="spellEnd"/>
            <w:r w:rsidRPr="00182400">
              <w:rPr>
                <w:rFonts w:eastAsia="Calibri"/>
                <w:lang w:val="en-GB" w:eastAsia="en-US" w:bidi="en-GB"/>
              </w:rPr>
              <w:t>, the Norwegian Directorate for Higher Education and Skills (HK-</w:t>
            </w:r>
            <w:proofErr w:type="spellStart"/>
            <w:r w:rsidRPr="00182400">
              <w:rPr>
                <w:rFonts w:eastAsia="Calibri"/>
                <w:lang w:val="en-GB" w:eastAsia="en-US" w:bidi="en-GB"/>
              </w:rPr>
              <w:t>dir</w:t>
            </w:r>
            <w:proofErr w:type="spellEnd"/>
            <w:r w:rsidRPr="00182400">
              <w:rPr>
                <w:rFonts w:eastAsia="Calibri"/>
                <w:lang w:val="en-GB" w:eastAsia="en-US" w:bidi="en-GB"/>
              </w:rPr>
              <w:t>) and KS.</w:t>
            </w:r>
          </w:p>
          <w:p w14:paraId="232886E3" w14:textId="77777777" w:rsidR="00266AB3" w:rsidRPr="00182400" w:rsidRDefault="00266AB3" w:rsidP="00182400">
            <w:pPr>
              <w:rPr>
                <w:rFonts w:eastAsia="Calibri"/>
                <w:lang w:val="en-GB" w:eastAsia="en-US" w:bidi="en-GB"/>
              </w:rPr>
            </w:pPr>
            <w:r w:rsidRPr="00182400">
              <w:rPr>
                <w:rFonts w:eastAsia="Calibri"/>
                <w:lang w:val="en-GB" w:eastAsia="en-US" w:bidi="en-GB"/>
              </w:rPr>
              <w:t>On behalf of DFD, HK-</w:t>
            </w:r>
            <w:proofErr w:type="spellStart"/>
            <w:r w:rsidRPr="00182400">
              <w:rPr>
                <w:rFonts w:eastAsia="Calibri"/>
                <w:lang w:val="en-GB" w:eastAsia="en-US" w:bidi="en-GB"/>
              </w:rPr>
              <w:t>dir</w:t>
            </w:r>
            <w:proofErr w:type="spellEnd"/>
            <w:r w:rsidRPr="00182400">
              <w:rPr>
                <w:rFonts w:eastAsia="Calibri"/>
                <w:lang w:val="en-GB" w:eastAsia="en-US" w:bidi="en-GB"/>
              </w:rPr>
              <w:t xml:space="preserve"> operates and furthers the development of various training resources that can be used free of charge by anyone offering courses and training in basic digital skills. In March 2022, DFD and KS entered into a new cooperation agreement on the establishment of municipal assistance programmes to increase citizens’ digital skills. The agreement lasts until 2025. The Ministry manages a grant programme that aims to contribute to increased digital participation and skills in the population. The grant was increased from NOK 2 to 8 million in 2022.</w:t>
            </w:r>
          </w:p>
          <w:p w14:paraId="64CB85DC" w14:textId="77777777" w:rsidR="00266AB3"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266AB3" w:rsidRPr="00182400">
              <w:rPr>
                <w:lang w:val="en-GB" w:eastAsia="en-US"/>
              </w:rPr>
              <w:t>What kind of solution is proposed?</w:t>
            </w:r>
          </w:p>
          <w:p w14:paraId="6EDB2921" w14:textId="77777777" w:rsidR="00266AB3" w:rsidRPr="00182400" w:rsidRDefault="00266AB3" w:rsidP="00182400">
            <w:pPr>
              <w:pStyle w:val="Liste"/>
              <w:rPr>
                <w:szCs w:val="22"/>
                <w:lang w:val="en-GB" w:eastAsia="en-US" w:bidi="en-GB"/>
              </w:rPr>
            </w:pPr>
            <w:r w:rsidRPr="00182400">
              <w:rPr>
                <w:szCs w:val="22"/>
                <w:lang w:val="en-GB" w:eastAsia="en-US" w:bidi="en-GB"/>
              </w:rPr>
              <w:t xml:space="preserve">facilitate quality-assured and free assistance programmes for citizens with low or inadequate digital </w:t>
            </w:r>
            <w:proofErr w:type="gramStart"/>
            <w:r w:rsidRPr="00182400">
              <w:rPr>
                <w:szCs w:val="22"/>
                <w:lang w:val="en-GB" w:eastAsia="en-US" w:bidi="en-GB"/>
              </w:rPr>
              <w:t>skills</w:t>
            </w:r>
            <w:proofErr w:type="gramEnd"/>
          </w:p>
          <w:p w14:paraId="68C5B984" w14:textId="77777777" w:rsidR="00266AB3" w:rsidRPr="00182400" w:rsidRDefault="00266AB3" w:rsidP="00182400">
            <w:pPr>
              <w:pStyle w:val="Liste"/>
              <w:rPr>
                <w:szCs w:val="22"/>
                <w:lang w:val="en-GB" w:eastAsia="en-US" w:bidi="en-GB"/>
              </w:rPr>
            </w:pPr>
            <w:r w:rsidRPr="00182400">
              <w:rPr>
                <w:szCs w:val="22"/>
                <w:lang w:val="en-GB" w:eastAsia="en-US" w:bidi="en-GB"/>
              </w:rPr>
              <w:t xml:space="preserve">further develop cooperation with the municipalities’ KS organisation to facilitate the development of good local guidance services throughout the </w:t>
            </w:r>
            <w:proofErr w:type="gramStart"/>
            <w:r w:rsidRPr="00182400">
              <w:rPr>
                <w:szCs w:val="22"/>
                <w:lang w:val="en-GB" w:eastAsia="en-US" w:bidi="en-GB"/>
              </w:rPr>
              <w:t>country</w:t>
            </w:r>
            <w:proofErr w:type="gramEnd"/>
          </w:p>
          <w:p w14:paraId="046AF7C4" w14:textId="77777777" w:rsidR="00266AB3" w:rsidRPr="00182400" w:rsidRDefault="00266AB3" w:rsidP="00182400">
            <w:pPr>
              <w:pStyle w:val="Liste"/>
              <w:rPr>
                <w:szCs w:val="22"/>
                <w:lang w:val="en-GB" w:eastAsia="en-US" w:bidi="en-GB"/>
              </w:rPr>
            </w:pPr>
            <w:r w:rsidRPr="00182400">
              <w:rPr>
                <w:szCs w:val="22"/>
                <w:lang w:val="en-GB" w:eastAsia="en-US" w:bidi="en-GB"/>
              </w:rPr>
              <w:t xml:space="preserve">work to make businesses more responsible for including all citizens in their digital service </w:t>
            </w:r>
            <w:proofErr w:type="gramStart"/>
            <w:r w:rsidRPr="00182400">
              <w:rPr>
                <w:szCs w:val="22"/>
                <w:lang w:val="en-GB" w:eastAsia="en-US" w:bidi="en-GB"/>
              </w:rPr>
              <w:t>offerings</w:t>
            </w:r>
            <w:proofErr w:type="gramEnd"/>
          </w:p>
          <w:p w14:paraId="16AFC284" w14:textId="77777777" w:rsidR="00266AB3" w:rsidRPr="00182400" w:rsidRDefault="00266AB3" w:rsidP="00182400">
            <w:pPr>
              <w:pStyle w:val="Liste"/>
              <w:rPr>
                <w:szCs w:val="22"/>
                <w:lang w:val="en-GB" w:eastAsia="en-US" w:bidi="en-GB"/>
              </w:rPr>
            </w:pPr>
            <w:r w:rsidRPr="00182400">
              <w:rPr>
                <w:szCs w:val="22"/>
                <w:lang w:val="en-GB" w:eastAsia="en-US" w:bidi="en-GB"/>
              </w:rPr>
              <w:t xml:space="preserve">facilitate that participation in publicly subsidised low-threshold offerings aimed at those with insufficient or low digital skills should, </w:t>
            </w:r>
            <w:proofErr w:type="gramStart"/>
            <w:r w:rsidRPr="00182400">
              <w:rPr>
                <w:szCs w:val="22"/>
                <w:lang w:val="en-GB" w:eastAsia="en-US" w:bidi="en-GB"/>
              </w:rPr>
              <w:t>as a general rule</w:t>
            </w:r>
            <w:proofErr w:type="gramEnd"/>
            <w:r w:rsidRPr="00182400">
              <w:rPr>
                <w:szCs w:val="22"/>
                <w:lang w:val="en-GB" w:eastAsia="en-US" w:bidi="en-GB"/>
              </w:rPr>
              <w:t>, be free of charge</w:t>
            </w:r>
          </w:p>
          <w:p w14:paraId="6FC61126" w14:textId="77777777" w:rsidR="00266AB3" w:rsidRPr="00182400" w:rsidRDefault="00266AB3" w:rsidP="00182400">
            <w:pPr>
              <w:pStyle w:val="Liste"/>
              <w:rPr>
                <w:szCs w:val="22"/>
                <w:lang w:val="en-GB" w:eastAsia="en-US" w:bidi="en-GB"/>
              </w:rPr>
            </w:pPr>
            <w:r w:rsidRPr="00182400">
              <w:rPr>
                <w:szCs w:val="22"/>
                <w:lang w:val="en-GB" w:eastAsia="en-US" w:bidi="en-GB"/>
              </w:rPr>
              <w:t xml:space="preserve">ensure that the population’s level of digital skills is regularly </w:t>
            </w:r>
            <w:proofErr w:type="gramStart"/>
            <w:r w:rsidRPr="00182400">
              <w:rPr>
                <w:szCs w:val="22"/>
                <w:lang w:val="en-GB" w:eastAsia="en-US" w:bidi="en-GB"/>
              </w:rPr>
              <w:t>surveyed</w:t>
            </w:r>
            <w:proofErr w:type="gramEnd"/>
          </w:p>
          <w:p w14:paraId="1C8CDEC9" w14:textId="77777777" w:rsidR="00266AB3" w:rsidRPr="00182400" w:rsidRDefault="00266AB3" w:rsidP="00182400">
            <w:pPr>
              <w:pStyle w:val="Liste"/>
              <w:rPr>
                <w:szCs w:val="22"/>
                <w:lang w:val="en-GB" w:eastAsia="en-US" w:bidi="en-GB"/>
              </w:rPr>
            </w:pPr>
            <w:r w:rsidRPr="00182400">
              <w:rPr>
                <w:szCs w:val="22"/>
                <w:lang w:val="en-GB" w:eastAsia="en-US" w:bidi="en-GB"/>
              </w:rPr>
              <w:t xml:space="preserve">collaborate with public, </w:t>
            </w:r>
            <w:proofErr w:type="gramStart"/>
            <w:r w:rsidRPr="00182400">
              <w:rPr>
                <w:szCs w:val="22"/>
                <w:lang w:val="en-GB" w:eastAsia="en-US" w:bidi="en-GB"/>
              </w:rPr>
              <w:t>private</w:t>
            </w:r>
            <w:proofErr w:type="gramEnd"/>
            <w:r w:rsidRPr="00182400">
              <w:rPr>
                <w:szCs w:val="22"/>
                <w:lang w:val="en-GB" w:eastAsia="en-US" w:bidi="en-GB"/>
              </w:rPr>
              <w:t xml:space="preserve"> and voluntary organisations to implement a campaign to motivate citizens who need digital skills training to sign up for courses.</w:t>
            </w:r>
          </w:p>
          <w:p w14:paraId="634B81C9" w14:textId="77777777" w:rsidR="00266AB3" w:rsidRPr="00182400" w:rsidRDefault="008B0AA1" w:rsidP="00182400">
            <w:pPr>
              <w:pStyle w:val="avsnitt-undertittel"/>
              <w:rPr>
                <w:lang w:val="en-GB" w:eastAsia="en-US"/>
              </w:rPr>
            </w:pPr>
            <w:r w:rsidRPr="00182400">
              <w:rPr>
                <w:bCs/>
                <w:lang w:val="en-GB" w:eastAsia="en-US"/>
              </w:rPr>
              <w:t>3.</w:t>
            </w:r>
            <w:r w:rsidRPr="00182400">
              <w:rPr>
                <w:bCs/>
                <w:lang w:val="en-GB" w:eastAsia="en-US"/>
              </w:rPr>
              <w:tab/>
            </w:r>
            <w:r w:rsidR="00266AB3" w:rsidRPr="00182400">
              <w:rPr>
                <w:lang w:val="en-GB" w:eastAsia="en-US"/>
              </w:rPr>
              <w:t>What results will be achieved by implementing the commitment?</w:t>
            </w:r>
          </w:p>
          <w:p w14:paraId="62BEE1C5" w14:textId="77777777" w:rsidR="00266AB3" w:rsidRPr="00182400" w:rsidRDefault="00266AB3" w:rsidP="00182400">
            <w:pPr>
              <w:rPr>
                <w:rFonts w:eastAsia="Calibri"/>
                <w:lang w:val="nn-NO" w:eastAsia="en-US"/>
              </w:rPr>
            </w:pPr>
            <w:r w:rsidRPr="00182400">
              <w:rPr>
                <w:rFonts w:eastAsia="Calibri"/>
                <w:lang w:val="en-GB" w:eastAsia="en-US" w:bidi="en-GB"/>
              </w:rPr>
              <w:lastRenderedPageBreak/>
              <w:t>A reduction in the number of citizens over the age of 16 with insufficient or weak basic digital skills from 14 per cent in 2021 to 10 per cent in 2025.</w:t>
            </w:r>
          </w:p>
        </w:tc>
      </w:tr>
    </w:tbl>
    <w:p w14:paraId="1A6DA73A" w14:textId="77777777" w:rsidR="00266AB3" w:rsidRPr="00266AB3" w:rsidRDefault="00266AB3" w:rsidP="00FA06AB">
      <w:pPr>
        <w:rPr>
          <w:rStyle w:val="halvfet"/>
          <w:highlight w:val="yellow"/>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266AB3" w:rsidRPr="00182400" w14:paraId="6D922EFA" w14:textId="77777777" w:rsidTr="00182400">
        <w:tc>
          <w:tcPr>
            <w:tcW w:w="9450" w:type="dxa"/>
            <w:gridSpan w:val="2"/>
            <w:shd w:val="clear" w:color="auto" w:fill="auto"/>
          </w:tcPr>
          <w:p w14:paraId="7BB51922" w14:textId="77777777" w:rsidR="00266AB3" w:rsidRPr="00182400" w:rsidRDefault="00266AB3"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266AB3" w:rsidRPr="00BB441C" w14:paraId="7CE2B6E0" w14:textId="77777777" w:rsidTr="00182400">
        <w:trPr>
          <w:trHeight w:val="200"/>
        </w:trPr>
        <w:tc>
          <w:tcPr>
            <w:tcW w:w="3810" w:type="dxa"/>
            <w:shd w:val="clear" w:color="auto" w:fill="auto"/>
          </w:tcPr>
          <w:p w14:paraId="1C210FF4" w14:textId="77777777" w:rsidR="00266AB3" w:rsidRPr="00182400" w:rsidRDefault="00266AB3" w:rsidP="00182400">
            <w:pPr>
              <w:pStyle w:val="TabellHode-kolonne"/>
              <w:rPr>
                <w:rStyle w:val="kursiv"/>
                <w:rFonts w:eastAsia="Proxima Nova"/>
                <w:lang w:eastAsia="en-US"/>
              </w:rPr>
            </w:pPr>
            <w:r w:rsidRPr="00182400">
              <w:rPr>
                <w:rStyle w:val="kursiv"/>
                <w:rFonts w:eastAsia="Proxima Nova"/>
                <w:lang w:eastAsia="en-US"/>
              </w:rPr>
              <w:t>Question</w:t>
            </w:r>
          </w:p>
        </w:tc>
        <w:tc>
          <w:tcPr>
            <w:tcW w:w="5640" w:type="dxa"/>
            <w:shd w:val="clear" w:color="auto" w:fill="auto"/>
          </w:tcPr>
          <w:p w14:paraId="3B6DC31B" w14:textId="77777777" w:rsidR="00266AB3" w:rsidRPr="00182400" w:rsidRDefault="00266AB3" w:rsidP="00182400">
            <w:pPr>
              <w:pStyle w:val="TabellHode-kolonne"/>
              <w:rPr>
                <w:rStyle w:val="kursiv"/>
                <w:rFonts w:eastAsia="Proxima Nova"/>
                <w:lang w:val="en-GB" w:eastAsia="en-US"/>
              </w:rPr>
            </w:pPr>
            <w:r w:rsidRPr="00182400">
              <w:rPr>
                <w:rStyle w:val="kursiv"/>
                <w:rFonts w:eastAsia="Proxima Nova"/>
                <w:lang w:val="en-GB" w:eastAsia="en-US"/>
              </w:rPr>
              <w:t xml:space="preserve">Answer (answer </w:t>
            </w:r>
            <w:r w:rsidR="00642710">
              <w:rPr>
                <w:rStyle w:val="kursiv"/>
                <w:rFonts w:eastAsia="Proxima Nova"/>
                <w:lang w:val="en-GB" w:eastAsia="en-US"/>
              </w:rPr>
              <w:t>“</w:t>
            </w:r>
            <w:r w:rsidRPr="00182400">
              <w:rPr>
                <w:rStyle w:val="kursiv"/>
                <w:rFonts w:eastAsia="Proxima Nova"/>
                <w:lang w:val="en-GB" w:eastAsia="en-US"/>
              </w:rPr>
              <w:t>not applicable</w:t>
            </w:r>
            <w:r w:rsidR="00642710">
              <w:rPr>
                <w:rStyle w:val="kursiv"/>
                <w:rFonts w:eastAsia="Proxima Nova"/>
                <w:lang w:val="en-GB" w:eastAsia="en-US"/>
              </w:rPr>
              <w:t>”</w:t>
            </w:r>
            <w:r w:rsidRPr="00182400">
              <w:rPr>
                <w:rStyle w:val="kursiv"/>
                <w:rFonts w:eastAsia="Proxima Nova"/>
                <w:lang w:val="en-GB" w:eastAsia="en-US"/>
              </w:rPr>
              <w:t xml:space="preserve"> if most appropriate)</w:t>
            </w:r>
          </w:p>
        </w:tc>
      </w:tr>
      <w:tr w:rsidR="00266AB3" w:rsidRPr="00182400" w14:paraId="30DD5B1A" w14:textId="77777777" w:rsidTr="00182400">
        <w:trPr>
          <w:trHeight w:val="200"/>
        </w:trPr>
        <w:tc>
          <w:tcPr>
            <w:tcW w:w="3810" w:type="dxa"/>
            <w:shd w:val="clear" w:color="auto" w:fill="auto"/>
          </w:tcPr>
          <w:p w14:paraId="208EA7F0" w14:textId="3FEEEB05" w:rsidR="00266AB3" w:rsidRPr="00182400" w:rsidRDefault="00534E36" w:rsidP="00BB441C">
            <w:pPr>
              <w:pStyle w:val="friliste"/>
              <w:rPr>
                <w:lang w:val="en-US" w:eastAsia="en-US"/>
              </w:rPr>
            </w:pPr>
            <w:r w:rsidRPr="00182400">
              <w:rPr>
                <w:lang w:val="en-US" w:eastAsia="en-US"/>
              </w:rPr>
              <w:t>1.</w:t>
            </w:r>
            <w:r w:rsidRPr="00182400">
              <w:rPr>
                <w:lang w:val="en-US" w:eastAsia="en-US"/>
              </w:rPr>
              <w:tab/>
            </w:r>
            <w:r w:rsidR="00266AB3" w:rsidRPr="00182400">
              <w:rPr>
                <w:lang w:val="en-GB" w:eastAsia="en-US" w:bidi="en-GB"/>
              </w:rPr>
              <w:t xml:space="preserve">How will the commitment promote openness? </w:t>
            </w:r>
          </w:p>
        </w:tc>
        <w:tc>
          <w:tcPr>
            <w:tcW w:w="5640" w:type="dxa"/>
            <w:shd w:val="clear" w:color="auto" w:fill="auto"/>
          </w:tcPr>
          <w:p w14:paraId="1BCD5FB5" w14:textId="77777777" w:rsidR="00266AB3" w:rsidRPr="00182400" w:rsidRDefault="00266AB3" w:rsidP="00182400">
            <w:pPr>
              <w:rPr>
                <w:rFonts w:eastAsia="Proxima Nova"/>
                <w:bCs/>
                <w:lang w:val="nn-NO" w:eastAsia="en-US"/>
              </w:rPr>
            </w:pPr>
            <w:r w:rsidRPr="00182400">
              <w:rPr>
                <w:rFonts w:eastAsia="Proxima Nova"/>
                <w:lang w:val="en-GB" w:eastAsia="en-US" w:bidi="en-GB"/>
              </w:rPr>
              <w:t xml:space="preserve">Through increased understanding of how public administration works. Digital training increases trust and understanding. </w:t>
            </w:r>
          </w:p>
        </w:tc>
      </w:tr>
      <w:tr w:rsidR="00266AB3" w:rsidRPr="00BB441C" w14:paraId="62DF5FEE" w14:textId="77777777" w:rsidTr="00182400">
        <w:trPr>
          <w:trHeight w:val="200"/>
        </w:trPr>
        <w:tc>
          <w:tcPr>
            <w:tcW w:w="3810" w:type="dxa"/>
            <w:shd w:val="clear" w:color="auto" w:fill="auto"/>
          </w:tcPr>
          <w:p w14:paraId="36FCBEB3" w14:textId="51338129" w:rsidR="00266AB3" w:rsidRPr="00182400" w:rsidRDefault="00534E36" w:rsidP="00BB441C">
            <w:pPr>
              <w:pStyle w:val="friliste"/>
              <w:rPr>
                <w:rStyle w:val="kursiv"/>
                <w:lang w:val="en-GB" w:eastAsia="en-US"/>
              </w:rPr>
            </w:pPr>
            <w:r w:rsidRPr="00182400">
              <w:rPr>
                <w:rStyle w:val="kursiv"/>
                <w:lang w:val="en-GB" w:eastAsia="en-US"/>
              </w:rPr>
              <w:t>2.</w:t>
            </w:r>
            <w:r w:rsidRPr="00182400">
              <w:rPr>
                <w:rStyle w:val="kursiv"/>
                <w:lang w:val="en-GB" w:eastAsia="en-US"/>
              </w:rPr>
              <w:tab/>
            </w:r>
            <w:r w:rsidR="00266AB3" w:rsidRPr="00182400">
              <w:rPr>
                <w:lang w:val="en-GB" w:eastAsia="en-US" w:bidi="en-GB"/>
              </w:rPr>
              <w:t>How will the commitment contribute to greater predictability?</w:t>
            </w:r>
          </w:p>
        </w:tc>
        <w:tc>
          <w:tcPr>
            <w:tcW w:w="5640" w:type="dxa"/>
            <w:shd w:val="clear" w:color="auto" w:fill="auto"/>
          </w:tcPr>
          <w:p w14:paraId="192CB318" w14:textId="77777777" w:rsidR="00266AB3" w:rsidRPr="00182400" w:rsidRDefault="00266AB3" w:rsidP="00182400">
            <w:pPr>
              <w:rPr>
                <w:rFonts w:eastAsia="Proxima Nova"/>
                <w:lang w:val="en-US" w:eastAsia="en-US"/>
              </w:rPr>
            </w:pPr>
            <w:r w:rsidRPr="00182400">
              <w:rPr>
                <w:rFonts w:eastAsia="Proxima Nova"/>
                <w:lang w:val="en-GB" w:eastAsia="en-US" w:bidi="en-GB"/>
              </w:rPr>
              <w:t xml:space="preserve">Citizens gain insight into and an understanding of their duties and rights. More people can </w:t>
            </w:r>
            <w:r w:rsidR="00642710">
              <w:rPr>
                <w:rFonts w:eastAsia="Proxima Nova"/>
                <w:lang w:val="en-GB" w:eastAsia="en-US" w:bidi="en-GB"/>
              </w:rPr>
              <w:t>“</w:t>
            </w:r>
            <w:r w:rsidRPr="00182400">
              <w:rPr>
                <w:rFonts w:eastAsia="Proxima Nova"/>
                <w:lang w:val="en-GB" w:eastAsia="en-US" w:bidi="en-GB"/>
              </w:rPr>
              <w:t>scrutinise the public administration</w:t>
            </w:r>
            <w:r w:rsidR="00642710">
              <w:rPr>
                <w:rFonts w:eastAsia="Proxima Nova"/>
                <w:lang w:val="en-GB" w:eastAsia="en-US" w:bidi="en-GB"/>
              </w:rPr>
              <w:t>”</w:t>
            </w:r>
            <w:r w:rsidRPr="00182400">
              <w:rPr>
                <w:rFonts w:eastAsia="Proxima Nova"/>
                <w:lang w:val="en-GB" w:eastAsia="en-US" w:bidi="en-GB"/>
              </w:rPr>
              <w:t xml:space="preserve">. Increases transparency and openness. </w:t>
            </w:r>
          </w:p>
        </w:tc>
      </w:tr>
      <w:tr w:rsidR="00266AB3" w:rsidRPr="00182400" w14:paraId="586C2E0C" w14:textId="77777777" w:rsidTr="00182400">
        <w:trPr>
          <w:trHeight w:val="200"/>
        </w:trPr>
        <w:tc>
          <w:tcPr>
            <w:tcW w:w="3810" w:type="dxa"/>
            <w:shd w:val="clear" w:color="auto" w:fill="auto"/>
          </w:tcPr>
          <w:p w14:paraId="2E7020DA" w14:textId="54C97FAA" w:rsidR="00266AB3" w:rsidRPr="00182400" w:rsidRDefault="00534E36" w:rsidP="00BB441C">
            <w:pPr>
              <w:pStyle w:val="friliste"/>
              <w:rPr>
                <w:rStyle w:val="kursiv"/>
                <w:lang w:val="en-GB" w:eastAsia="en-US"/>
              </w:rPr>
            </w:pPr>
            <w:r w:rsidRPr="00182400">
              <w:rPr>
                <w:rStyle w:val="kursiv"/>
                <w:lang w:val="en-GB" w:eastAsia="en-US"/>
              </w:rPr>
              <w:t>3.</w:t>
            </w:r>
            <w:r w:rsidRPr="00182400">
              <w:rPr>
                <w:rStyle w:val="kursiv"/>
                <w:lang w:val="en-GB" w:eastAsia="en-US"/>
              </w:rPr>
              <w:tab/>
            </w:r>
            <w:r w:rsidR="00266AB3" w:rsidRPr="00182400">
              <w:rPr>
                <w:lang w:val="en-GB" w:eastAsia="en-US" w:bidi="en-GB"/>
              </w:rPr>
              <w:t xml:space="preserve">How will the commitment improve the opportunity for citizens to participate by publicising, </w:t>
            </w:r>
            <w:proofErr w:type="gramStart"/>
            <w:r w:rsidR="00266AB3" w:rsidRPr="00182400">
              <w:rPr>
                <w:lang w:val="en-GB" w:eastAsia="en-US" w:bidi="en-GB"/>
              </w:rPr>
              <w:t>implementing</w:t>
            </w:r>
            <w:proofErr w:type="gramEnd"/>
            <w:r w:rsidR="00266AB3" w:rsidRPr="00182400">
              <w:rPr>
                <w:lang w:val="en-GB" w:eastAsia="en-US" w:bidi="en-GB"/>
              </w:rPr>
              <w:t xml:space="preserve"> and monitoring the solutions? </w:t>
            </w:r>
          </w:p>
        </w:tc>
        <w:tc>
          <w:tcPr>
            <w:tcW w:w="5640" w:type="dxa"/>
            <w:shd w:val="clear" w:color="auto" w:fill="auto"/>
          </w:tcPr>
          <w:p w14:paraId="1EA91A8C" w14:textId="77777777" w:rsidR="00266AB3" w:rsidRPr="00182400" w:rsidRDefault="00266AB3" w:rsidP="00182400">
            <w:pPr>
              <w:spacing w:line="240" w:lineRule="auto"/>
              <w:ind w:left="475" w:hanging="720"/>
              <w:jc w:val="both"/>
              <w:rPr>
                <w:rStyle w:val="halvfet"/>
                <w:rFonts w:eastAsia="Proxima Nova"/>
                <w:lang w:eastAsia="en-US"/>
              </w:rPr>
            </w:pPr>
            <w:r w:rsidRPr="00182400">
              <w:rPr>
                <w:rStyle w:val="halvfet"/>
                <w:rFonts w:eastAsia="Proxima Nova"/>
                <w:lang w:eastAsia="en-US"/>
              </w:rPr>
              <w:t>S</w:t>
            </w:r>
          </w:p>
        </w:tc>
      </w:tr>
    </w:tbl>
    <w:p w14:paraId="492F5D3F" w14:textId="77777777" w:rsidR="00266AB3" w:rsidRDefault="00266AB3" w:rsidP="00FA06AB">
      <w:pPr>
        <w:rPr>
          <w:rStyle w:val="halvfet"/>
          <w:highlight w:val="yellow"/>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6"/>
        <w:gridCol w:w="2410"/>
        <w:gridCol w:w="1559"/>
        <w:gridCol w:w="3828"/>
      </w:tblGrid>
      <w:tr w:rsidR="00EE73CE" w:rsidRPr="00182400" w14:paraId="7A4CB7A4" w14:textId="77777777" w:rsidTr="005258C8">
        <w:trPr>
          <w:trHeight w:val="210"/>
        </w:trPr>
        <w:tc>
          <w:tcPr>
            <w:tcW w:w="9493" w:type="dxa"/>
            <w:gridSpan w:val="4"/>
            <w:shd w:val="clear" w:color="auto" w:fill="auto"/>
          </w:tcPr>
          <w:p w14:paraId="29E96822" w14:textId="77777777" w:rsidR="00EE73CE" w:rsidRPr="00182400" w:rsidRDefault="00EE73CE" w:rsidP="005258C8">
            <w:pPr>
              <w:pStyle w:val="TabellHode-kolonne"/>
              <w:rPr>
                <w:rFonts w:eastAsia="Proxima Nova" w:cs="Arial"/>
                <w:color w:val="FFFFFF"/>
                <w:lang w:val="nn-NO" w:eastAsia="en-US"/>
              </w:rPr>
            </w:pPr>
            <w:r w:rsidRPr="00182400">
              <w:rPr>
                <w:rStyle w:val="halvfet"/>
                <w:rFonts w:eastAsia="Proxima Nova"/>
                <w:lang w:eastAsia="en-US"/>
              </w:rPr>
              <w:t>Plan for</w:t>
            </w:r>
            <w:r w:rsidRPr="00182400">
              <w:rPr>
                <w:rFonts w:eastAsia="Proxima Nova" w:cs="Arial"/>
                <w:color w:val="FFFFFF"/>
                <w:lang w:eastAsia="en-US" w:bidi="en-GB"/>
              </w:rPr>
              <w:t xml:space="preserve"> </w:t>
            </w:r>
            <w:proofErr w:type="spellStart"/>
            <w:r w:rsidRPr="00182400">
              <w:rPr>
                <w:rStyle w:val="halvfet"/>
                <w:rFonts w:eastAsia="Proxima Nova"/>
                <w:lang w:eastAsia="en-US"/>
              </w:rPr>
              <w:t>commitment</w:t>
            </w:r>
            <w:proofErr w:type="spellEnd"/>
          </w:p>
        </w:tc>
      </w:tr>
      <w:tr w:rsidR="00EE73CE" w:rsidRPr="00182400" w14:paraId="3E1FD797" w14:textId="77777777" w:rsidTr="005258C8">
        <w:trPr>
          <w:trHeight w:val="200"/>
        </w:trPr>
        <w:tc>
          <w:tcPr>
            <w:tcW w:w="1696" w:type="dxa"/>
            <w:shd w:val="clear" w:color="auto" w:fill="auto"/>
          </w:tcPr>
          <w:p w14:paraId="6C2DFFDE" w14:textId="77777777" w:rsidR="00EE73CE" w:rsidRPr="00182400" w:rsidRDefault="00EE73CE" w:rsidP="005258C8">
            <w:pPr>
              <w:pStyle w:val="TabellHode-kolonne"/>
              <w:rPr>
                <w:rStyle w:val="kursiv"/>
                <w:rFonts w:eastAsia="Proxima Nova"/>
                <w:lang w:eastAsia="en-US"/>
              </w:rPr>
            </w:pPr>
            <w:r w:rsidRPr="00182400">
              <w:rPr>
                <w:rStyle w:val="kursiv"/>
                <w:rFonts w:eastAsia="Proxima Nova"/>
                <w:lang w:eastAsia="en-US"/>
              </w:rPr>
              <w:t>Milestones</w:t>
            </w:r>
          </w:p>
        </w:tc>
        <w:tc>
          <w:tcPr>
            <w:tcW w:w="2410" w:type="dxa"/>
            <w:shd w:val="clear" w:color="auto" w:fill="auto"/>
          </w:tcPr>
          <w:p w14:paraId="3BBDDA11" w14:textId="77777777" w:rsidR="00EE73CE" w:rsidRPr="00182400" w:rsidRDefault="00EE73CE"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outcome</w:t>
            </w:r>
            <w:proofErr w:type="spellEnd"/>
          </w:p>
        </w:tc>
        <w:tc>
          <w:tcPr>
            <w:tcW w:w="1559" w:type="dxa"/>
            <w:shd w:val="clear" w:color="auto" w:fill="auto"/>
          </w:tcPr>
          <w:p w14:paraId="7D637FBC" w14:textId="77777777" w:rsidR="00EE73CE" w:rsidRPr="00182400" w:rsidRDefault="00EE73CE"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completion</w:t>
            </w:r>
            <w:proofErr w:type="spellEnd"/>
            <w:r w:rsidRPr="00182400">
              <w:rPr>
                <w:rStyle w:val="kursiv"/>
                <w:rFonts w:eastAsia="Proxima Nova"/>
                <w:lang w:eastAsia="en-US"/>
              </w:rPr>
              <w:t xml:space="preserve"> date</w:t>
            </w:r>
          </w:p>
        </w:tc>
        <w:tc>
          <w:tcPr>
            <w:tcW w:w="3828" w:type="dxa"/>
            <w:shd w:val="clear" w:color="auto" w:fill="auto"/>
          </w:tcPr>
          <w:p w14:paraId="6D284D06" w14:textId="77777777" w:rsidR="00EE73CE" w:rsidRPr="00182400" w:rsidRDefault="00EE73CE" w:rsidP="005258C8">
            <w:pPr>
              <w:pStyle w:val="TabellHode-kolonne"/>
              <w:rPr>
                <w:rStyle w:val="kursiv"/>
                <w:rFonts w:eastAsia="Proxima Nova"/>
                <w:lang w:eastAsia="en-US"/>
              </w:rPr>
            </w:pPr>
            <w:r w:rsidRPr="00182400">
              <w:rPr>
                <w:rStyle w:val="kursiv"/>
                <w:rFonts w:eastAsia="Proxima Nova"/>
                <w:lang w:eastAsia="en-US"/>
              </w:rPr>
              <w:t xml:space="preserve">Stakeholders </w:t>
            </w:r>
          </w:p>
        </w:tc>
      </w:tr>
      <w:tr w:rsidR="00EE73CE" w:rsidRPr="00EE73CE" w14:paraId="57961A86" w14:textId="77777777" w:rsidTr="00D73230">
        <w:trPr>
          <w:trHeight w:val="3816"/>
        </w:trPr>
        <w:tc>
          <w:tcPr>
            <w:tcW w:w="1696" w:type="dxa"/>
            <w:shd w:val="clear" w:color="auto" w:fill="auto"/>
          </w:tcPr>
          <w:p w14:paraId="669E91CC" w14:textId="77777777" w:rsidR="00EE73CE" w:rsidRPr="00642710" w:rsidRDefault="00EE73CE" w:rsidP="005258C8">
            <w:pPr>
              <w:pStyle w:val="TabellHode-rad"/>
              <w:rPr>
                <w:rStyle w:val="kursiv"/>
                <w:rFonts w:eastAsia="Proxima Nova"/>
              </w:rPr>
            </w:pPr>
            <w:r w:rsidRPr="00642710">
              <w:rPr>
                <w:rStyle w:val="kursiv"/>
                <w:rFonts w:eastAsia="Proxima Nova"/>
              </w:rPr>
              <w:lastRenderedPageBreak/>
              <w:t>31.12.2023</w:t>
            </w:r>
          </w:p>
          <w:p w14:paraId="6C4C260F" w14:textId="77777777" w:rsidR="00EE73CE" w:rsidRPr="00182400" w:rsidRDefault="00EE73CE" w:rsidP="005258C8">
            <w:pPr>
              <w:pStyle w:val="TabellHode-rad"/>
              <w:rPr>
                <w:rFonts w:eastAsia="Proxima Nova"/>
                <w:iCs/>
                <w:lang w:val="nn-NO" w:eastAsia="en-US"/>
              </w:rPr>
            </w:pPr>
            <w:r w:rsidRPr="00642710">
              <w:rPr>
                <w:rStyle w:val="kursiv"/>
                <w:rFonts w:eastAsia="Proxima Nova"/>
              </w:rPr>
              <w:t>31.12.2025</w:t>
            </w:r>
          </w:p>
        </w:tc>
        <w:tc>
          <w:tcPr>
            <w:tcW w:w="2410" w:type="dxa"/>
            <w:shd w:val="clear" w:color="auto" w:fill="auto"/>
          </w:tcPr>
          <w:p w14:paraId="405CFD51" w14:textId="77777777" w:rsidR="00EE73CE" w:rsidRPr="00182400" w:rsidRDefault="00EE73CE" w:rsidP="005258C8">
            <w:pPr>
              <w:rPr>
                <w:rFonts w:eastAsia="Proxima Nova"/>
                <w:iCs/>
                <w:lang w:val="en-US" w:eastAsia="en-US"/>
              </w:rPr>
            </w:pPr>
            <w:r w:rsidRPr="00182400">
              <w:rPr>
                <w:rFonts w:eastAsia="Proxima Nova"/>
                <w:lang w:val="en-GB" w:eastAsia="en-US" w:bidi="en-GB"/>
              </w:rPr>
              <w:t>Action plan with 29 initiatives</w:t>
            </w:r>
          </w:p>
          <w:p w14:paraId="4A6EED9C" w14:textId="77777777" w:rsidR="00EE73CE" w:rsidRPr="00182400" w:rsidRDefault="00EE73CE" w:rsidP="005258C8">
            <w:pPr>
              <w:rPr>
                <w:rFonts w:eastAsia="Proxima Nova"/>
                <w:iCs/>
                <w:lang w:val="en-US" w:eastAsia="en-US"/>
              </w:rPr>
            </w:pPr>
            <w:r w:rsidRPr="00182400">
              <w:rPr>
                <w:rFonts w:eastAsia="Proxima Nova"/>
                <w:lang w:val="en-GB" w:eastAsia="en-US" w:bidi="en-GB"/>
              </w:rPr>
              <w:t xml:space="preserve">Establish a cooperation forum for digital </w:t>
            </w:r>
            <w:proofErr w:type="gramStart"/>
            <w:r w:rsidRPr="00182400">
              <w:rPr>
                <w:rFonts w:eastAsia="Proxima Nova"/>
                <w:lang w:val="en-GB" w:eastAsia="en-US" w:bidi="en-GB"/>
              </w:rPr>
              <w:t>inclusion</w:t>
            </w:r>
            <w:proofErr w:type="gramEnd"/>
          </w:p>
          <w:p w14:paraId="1C9E43B4" w14:textId="77777777" w:rsidR="00EE73CE" w:rsidRPr="00182400" w:rsidRDefault="00EE73CE" w:rsidP="005258C8">
            <w:pPr>
              <w:rPr>
                <w:rFonts w:eastAsia="Proxima Nova"/>
                <w:lang w:val="en-US" w:eastAsia="en-US"/>
              </w:rPr>
            </w:pPr>
            <w:r w:rsidRPr="00182400">
              <w:rPr>
                <w:rFonts w:eastAsia="Proxima Nova"/>
                <w:lang w:val="en-GB" w:eastAsia="en-US" w:bidi="en-GB"/>
              </w:rPr>
              <w:t>Grant programme for increased digital participation and skills</w:t>
            </w:r>
          </w:p>
        </w:tc>
        <w:tc>
          <w:tcPr>
            <w:tcW w:w="1559" w:type="dxa"/>
            <w:shd w:val="clear" w:color="auto" w:fill="auto"/>
          </w:tcPr>
          <w:p w14:paraId="7E98158C" w14:textId="77777777" w:rsidR="00EE73CE" w:rsidRPr="00182400" w:rsidRDefault="00EE73CE" w:rsidP="005258C8">
            <w:pPr>
              <w:rPr>
                <w:rFonts w:eastAsia="Proxima Nova"/>
                <w:lang w:val="nn-NO" w:eastAsia="en-US"/>
              </w:rPr>
            </w:pPr>
            <w:r w:rsidRPr="00182400">
              <w:rPr>
                <w:rFonts w:eastAsia="Proxima Nova"/>
                <w:lang w:eastAsia="en-US" w:bidi="en-GB"/>
              </w:rPr>
              <w:t xml:space="preserve">All </w:t>
            </w:r>
            <w:proofErr w:type="spellStart"/>
            <w:r w:rsidRPr="00182400">
              <w:rPr>
                <w:rFonts w:eastAsia="Proxima Nova"/>
                <w:lang w:eastAsia="en-US" w:bidi="en-GB"/>
              </w:rPr>
              <w:t>milestones</w:t>
            </w:r>
            <w:proofErr w:type="spellEnd"/>
            <w:r w:rsidRPr="00182400">
              <w:rPr>
                <w:rFonts w:eastAsia="Proxima Nova"/>
                <w:lang w:eastAsia="en-US" w:bidi="en-GB"/>
              </w:rPr>
              <w:t xml:space="preserve"> </w:t>
            </w:r>
            <w:proofErr w:type="spellStart"/>
            <w:r w:rsidRPr="00182400">
              <w:rPr>
                <w:rFonts w:eastAsia="Proxima Nova"/>
                <w:lang w:eastAsia="en-US" w:bidi="en-GB"/>
              </w:rPr>
              <w:t>completed</w:t>
            </w:r>
            <w:proofErr w:type="spellEnd"/>
          </w:p>
        </w:tc>
        <w:tc>
          <w:tcPr>
            <w:tcW w:w="3828" w:type="dxa"/>
            <w:shd w:val="clear" w:color="auto" w:fill="auto"/>
          </w:tcPr>
          <w:tbl>
            <w:tblPr>
              <w:tblStyle w:val="StandardTabell"/>
              <w:tblW w:w="0" w:type="auto"/>
              <w:tblLayout w:type="fixed"/>
              <w:tblLook w:val="04A0" w:firstRow="1" w:lastRow="0" w:firstColumn="1" w:lastColumn="0" w:noHBand="0" w:noVBand="1"/>
            </w:tblPr>
            <w:tblGrid>
              <w:gridCol w:w="1200"/>
              <w:gridCol w:w="1201"/>
              <w:gridCol w:w="1201"/>
            </w:tblGrid>
            <w:tr w:rsidR="00EE73CE" w14:paraId="7FFC49BD" w14:textId="77777777" w:rsidTr="000567E1">
              <w:tc>
                <w:tcPr>
                  <w:tcW w:w="3602" w:type="dxa"/>
                  <w:gridSpan w:val="3"/>
                </w:tcPr>
                <w:p w14:paraId="142F91E2" w14:textId="6C40243B" w:rsidR="00EE73CE" w:rsidRDefault="00EE73CE" w:rsidP="005258C8">
                  <w:pPr>
                    <w:rPr>
                      <w:rFonts w:eastAsia="Proxima Nova"/>
                      <w:lang w:val="nn-NO"/>
                    </w:rPr>
                  </w:pPr>
                  <w:proofErr w:type="spellStart"/>
                  <w:r w:rsidRPr="00182400">
                    <w:rPr>
                      <w:rFonts w:eastAsia="Proxima Nova"/>
                      <w:lang w:bidi="en-GB"/>
                    </w:rPr>
                    <w:t>Responsible</w:t>
                  </w:r>
                  <w:proofErr w:type="spellEnd"/>
                  <w:r w:rsidRPr="00182400">
                    <w:rPr>
                      <w:rFonts w:eastAsia="Proxima Nova"/>
                      <w:lang w:bidi="en-GB"/>
                    </w:rPr>
                    <w:t>:</w:t>
                  </w:r>
                </w:p>
              </w:tc>
            </w:tr>
            <w:tr w:rsidR="00EE73CE" w14:paraId="60D4B565" w14:textId="77777777" w:rsidTr="009C449E">
              <w:tc>
                <w:tcPr>
                  <w:tcW w:w="3602" w:type="dxa"/>
                  <w:gridSpan w:val="3"/>
                </w:tcPr>
                <w:p w14:paraId="5667A293" w14:textId="7E2442E0" w:rsidR="00EE73CE" w:rsidRDefault="00EE73CE" w:rsidP="005258C8">
                  <w:pPr>
                    <w:rPr>
                      <w:rFonts w:eastAsia="Proxima Nova"/>
                      <w:lang w:val="nn-NO"/>
                    </w:rPr>
                  </w:pPr>
                  <w:r w:rsidRPr="00182400">
                    <w:rPr>
                      <w:rFonts w:eastAsia="Proxima Nova"/>
                      <w:lang w:bidi="en-GB"/>
                    </w:rPr>
                    <w:t>Stakeholders/supporters</w:t>
                  </w:r>
                </w:p>
              </w:tc>
            </w:tr>
            <w:tr w:rsidR="00EE73CE" w14:paraId="17157F89" w14:textId="77777777" w:rsidTr="00EE73CE">
              <w:tc>
                <w:tcPr>
                  <w:tcW w:w="1200" w:type="dxa"/>
                </w:tcPr>
                <w:p w14:paraId="5B3FD548" w14:textId="06ECA65A" w:rsidR="00EE73CE" w:rsidRDefault="00EE73CE" w:rsidP="00EE73CE">
                  <w:pPr>
                    <w:rPr>
                      <w:rFonts w:eastAsia="Proxima Nova"/>
                      <w:lang w:val="nn-NO"/>
                    </w:rPr>
                  </w:pPr>
                  <w:r w:rsidRPr="00182400">
                    <w:rPr>
                      <w:rFonts w:eastAsia="Proxima Nova"/>
                      <w:lang w:bidi="en-GB"/>
                    </w:rPr>
                    <w:t xml:space="preserve">Public </w:t>
                  </w:r>
                  <w:proofErr w:type="spellStart"/>
                  <w:r w:rsidRPr="00182400">
                    <w:rPr>
                      <w:rFonts w:eastAsia="Proxima Nova"/>
                      <w:lang w:bidi="en-GB"/>
                    </w:rPr>
                    <w:t>administration</w:t>
                  </w:r>
                  <w:proofErr w:type="spellEnd"/>
                  <w:r w:rsidRPr="00182400">
                    <w:rPr>
                      <w:rFonts w:eastAsia="Proxima Nova"/>
                      <w:lang w:bidi="en-GB"/>
                    </w:rPr>
                    <w:t xml:space="preserve"> </w:t>
                  </w:r>
                </w:p>
              </w:tc>
              <w:tc>
                <w:tcPr>
                  <w:tcW w:w="1201" w:type="dxa"/>
                </w:tcPr>
                <w:p w14:paraId="3AE61315" w14:textId="3FB672B5" w:rsidR="00EE73CE" w:rsidRDefault="00EE73CE" w:rsidP="00EE73CE">
                  <w:pPr>
                    <w:rPr>
                      <w:rFonts w:eastAsia="Proxima Nova"/>
                      <w:lang w:val="nn-NO"/>
                    </w:rPr>
                  </w:pPr>
                  <w:proofErr w:type="spellStart"/>
                  <w:r w:rsidRPr="00182400">
                    <w:rPr>
                      <w:rFonts w:eastAsia="Proxima Nova"/>
                      <w:lang w:bidi="en-GB"/>
                    </w:rPr>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r w:rsidRPr="00182400">
                    <w:rPr>
                      <w:rFonts w:eastAsia="Proxima Nova"/>
                      <w:lang w:bidi="en-GB"/>
                    </w:rPr>
                    <w:t xml:space="preserve"> </w:t>
                  </w:r>
                  <w:proofErr w:type="spellStart"/>
                  <w:r w:rsidRPr="00182400">
                    <w:rPr>
                      <w:rFonts w:eastAsia="Proxima Nova"/>
                      <w:lang w:bidi="en-GB"/>
                    </w:rPr>
                    <w:t>organisations</w:t>
                  </w:r>
                  <w:proofErr w:type="spellEnd"/>
                </w:p>
              </w:tc>
              <w:tc>
                <w:tcPr>
                  <w:tcW w:w="1201" w:type="dxa"/>
                </w:tcPr>
                <w:p w14:paraId="2776E3FF" w14:textId="555B6371" w:rsidR="00EE73CE" w:rsidRDefault="00EE73CE" w:rsidP="00EE73CE">
                  <w:pPr>
                    <w:rPr>
                      <w:rFonts w:eastAsia="Proxima Nova"/>
                      <w:lang w:val="nn-NO"/>
                    </w:rPr>
                  </w:pPr>
                  <w:r w:rsidRPr="00182400">
                    <w:rPr>
                      <w:rFonts w:eastAsia="Proxima Nova"/>
                      <w:lang w:val="en-GB" w:bidi="en-GB"/>
                    </w:rPr>
                    <w:t>Others (</w:t>
                  </w:r>
                  <w:proofErr w:type="gramStart"/>
                  <w:r w:rsidRPr="00182400">
                    <w:rPr>
                      <w:rFonts w:eastAsia="Proxima Nova"/>
                      <w:lang w:val="en-GB" w:bidi="en-GB"/>
                    </w:rPr>
                    <w:t>e.g.</w:t>
                  </w:r>
                  <w:proofErr w:type="gramEnd"/>
                  <w:r w:rsidRPr="00182400">
                    <w:rPr>
                      <w:rFonts w:eastAsia="Proxima Nova"/>
                      <w:lang w:val="en-GB" w:bidi="en-GB"/>
                    </w:rPr>
                    <w:t xml:space="preserve"> parliament, civil society, others)</w:t>
                  </w:r>
                </w:p>
              </w:tc>
            </w:tr>
            <w:tr w:rsidR="00EE73CE" w14:paraId="0010D231" w14:textId="77777777" w:rsidTr="00EE73CE">
              <w:tc>
                <w:tcPr>
                  <w:tcW w:w="1200" w:type="dxa"/>
                </w:tcPr>
                <w:p w14:paraId="2ECA72B4" w14:textId="1A81BA2C" w:rsidR="00EE73CE" w:rsidRDefault="00EE73CE" w:rsidP="00EE73CE">
                  <w:pPr>
                    <w:rPr>
                      <w:rFonts w:eastAsia="Proxima Nova"/>
                      <w:lang w:val="nn-NO"/>
                    </w:rPr>
                  </w:pPr>
                  <w:r w:rsidRPr="00182400">
                    <w:rPr>
                      <w:rFonts w:eastAsia="Proxima Nova"/>
                      <w:lang w:bidi="en-GB"/>
                    </w:rPr>
                    <w:t xml:space="preserve">Ministries, </w:t>
                  </w:r>
                  <w:proofErr w:type="spellStart"/>
                  <w:r w:rsidRPr="00182400">
                    <w:rPr>
                      <w:rFonts w:eastAsia="Proxima Nova"/>
                      <w:lang w:bidi="en-GB"/>
                    </w:rPr>
                    <w:t>subordinate</w:t>
                  </w:r>
                  <w:proofErr w:type="spellEnd"/>
                  <w:r w:rsidRPr="00182400">
                    <w:rPr>
                      <w:rFonts w:eastAsia="Proxima Nova"/>
                      <w:lang w:bidi="en-GB"/>
                    </w:rPr>
                    <w:t xml:space="preserve"> </w:t>
                  </w:r>
                  <w:proofErr w:type="spellStart"/>
                  <w:r w:rsidRPr="00182400">
                    <w:rPr>
                      <w:rFonts w:eastAsia="Proxima Nova"/>
                      <w:lang w:bidi="en-GB"/>
                    </w:rPr>
                    <w:t>agencies</w:t>
                  </w:r>
                  <w:proofErr w:type="spellEnd"/>
                  <w:r w:rsidRPr="00182400">
                    <w:rPr>
                      <w:rFonts w:eastAsia="Proxima Nova"/>
                      <w:lang w:bidi="en-GB"/>
                    </w:rPr>
                    <w:t xml:space="preserve">, </w:t>
                  </w:r>
                  <w:proofErr w:type="spellStart"/>
                  <w:r w:rsidRPr="00182400">
                    <w:rPr>
                      <w:rFonts w:eastAsia="Proxima Nova"/>
                      <w:lang w:bidi="en-GB"/>
                    </w:rPr>
                    <w:t>municipalities</w:t>
                  </w:r>
                  <w:proofErr w:type="spellEnd"/>
                </w:p>
              </w:tc>
              <w:tc>
                <w:tcPr>
                  <w:tcW w:w="1201" w:type="dxa"/>
                </w:tcPr>
                <w:p w14:paraId="279F2541" w14:textId="7DCFDDAE" w:rsidR="00EE73CE" w:rsidRDefault="00EE73CE" w:rsidP="00EE73CE">
                  <w:pPr>
                    <w:rPr>
                      <w:rFonts w:eastAsia="Proxima Nova"/>
                      <w:lang w:val="nn-NO"/>
                    </w:rPr>
                  </w:pPr>
                  <w:r w:rsidRPr="00182400">
                    <w:rPr>
                      <w:rFonts w:eastAsia="Proxima Nova"/>
                      <w:lang w:bidi="en-GB"/>
                    </w:rPr>
                    <w:t xml:space="preserve">Ref. </w:t>
                  </w:r>
                  <w:proofErr w:type="spellStart"/>
                  <w:r w:rsidRPr="00182400">
                    <w:rPr>
                      <w:rFonts w:eastAsia="Proxima Nova"/>
                      <w:lang w:bidi="en-GB"/>
                    </w:rPr>
                    <w:t>above</w:t>
                  </w:r>
                  <w:proofErr w:type="spellEnd"/>
                  <w:r w:rsidRPr="00182400">
                    <w:rPr>
                      <w:rFonts w:eastAsia="Proxima Nova"/>
                      <w:lang w:bidi="en-GB"/>
                    </w:rPr>
                    <w:t xml:space="preserve"> + </w:t>
                  </w:r>
                  <w:proofErr w:type="spellStart"/>
                  <w:r w:rsidRPr="00182400">
                    <w:rPr>
                      <w:rFonts w:eastAsia="Proxima Nova"/>
                      <w:lang w:bidi="en-GB"/>
                    </w:rPr>
                    <w:t>others</w:t>
                  </w:r>
                  <w:proofErr w:type="spellEnd"/>
                  <w:r w:rsidRPr="00182400">
                    <w:rPr>
                      <w:rFonts w:eastAsia="Proxima Nova"/>
                      <w:lang w:bidi="en-GB"/>
                    </w:rPr>
                    <w:t xml:space="preserve"> </w:t>
                  </w:r>
                </w:p>
              </w:tc>
              <w:tc>
                <w:tcPr>
                  <w:tcW w:w="1201" w:type="dxa"/>
                </w:tcPr>
                <w:p w14:paraId="1F64FB7E" w14:textId="77777777" w:rsidR="00EE73CE" w:rsidRDefault="00EE73CE" w:rsidP="00EE73CE">
                  <w:pPr>
                    <w:rPr>
                      <w:rFonts w:eastAsia="Proxima Nova"/>
                      <w:lang w:val="nn-NO"/>
                    </w:rPr>
                  </w:pPr>
                </w:p>
              </w:tc>
            </w:tr>
          </w:tbl>
          <w:p w14:paraId="2B7F8ECD" w14:textId="14DC3484" w:rsidR="00EE73CE" w:rsidRPr="00182400" w:rsidRDefault="00EE73CE" w:rsidP="005258C8">
            <w:pPr>
              <w:rPr>
                <w:rFonts w:eastAsia="Proxima Nova"/>
                <w:lang w:val="nn-NO" w:eastAsia="en-US"/>
              </w:rPr>
            </w:pPr>
          </w:p>
        </w:tc>
      </w:tr>
    </w:tbl>
    <w:p w14:paraId="6A718B10" w14:textId="77777777" w:rsidR="00266AB3" w:rsidRPr="0064546B" w:rsidRDefault="00266AB3" w:rsidP="00FA06AB">
      <w:pPr>
        <w:rPr>
          <w:rStyle w:val="halvfet"/>
          <w:highlight w:val="yellow"/>
        </w:rPr>
      </w:pPr>
    </w:p>
    <w:p w14:paraId="20F0D882" w14:textId="77777777" w:rsidR="00FA06AB" w:rsidRPr="00AC09F2" w:rsidRDefault="00FA06AB" w:rsidP="00291078">
      <w:pPr>
        <w:pStyle w:val="Overskrift2"/>
        <w:rPr>
          <w:lang w:val="nn-NO"/>
        </w:rPr>
      </w:pPr>
      <w:r w:rsidRPr="00AC09F2">
        <w:rPr>
          <w:lang w:bidi="en-GB"/>
        </w:rPr>
        <w:t xml:space="preserve">Evaluation </w:t>
      </w:r>
      <w:proofErr w:type="spellStart"/>
      <w:r w:rsidRPr="00AC09F2">
        <w:rPr>
          <w:lang w:bidi="en-GB"/>
        </w:rPr>
        <w:t>of</w:t>
      </w:r>
      <w:proofErr w:type="spellEnd"/>
      <w:r w:rsidRPr="00AC09F2">
        <w:rPr>
          <w:lang w:bidi="en-GB"/>
        </w:rPr>
        <w:t xml:space="preserve"> </w:t>
      </w:r>
      <w:proofErr w:type="spellStart"/>
      <w:r w:rsidRPr="00AC09F2">
        <w:rPr>
          <w:lang w:bidi="en-GB"/>
        </w:rPr>
        <w:t>eInnsyn</w:t>
      </w:r>
      <w:proofErr w:type="spellEnd"/>
    </w:p>
    <w:p w14:paraId="52AEA8B9" w14:textId="77777777" w:rsidR="00FA06AB" w:rsidRPr="0064546B" w:rsidRDefault="00FA06AB"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648"/>
        <w:gridCol w:w="2534"/>
      </w:tblGrid>
      <w:tr w:rsidR="00EF746F" w:rsidRPr="00BB441C" w14:paraId="153B9298" w14:textId="77777777" w:rsidTr="00182400">
        <w:tc>
          <w:tcPr>
            <w:tcW w:w="1702" w:type="dxa"/>
            <w:shd w:val="clear" w:color="auto" w:fill="auto"/>
          </w:tcPr>
          <w:p w14:paraId="118BB593" w14:textId="77777777" w:rsidR="00EF746F" w:rsidRPr="00642710" w:rsidRDefault="001A31DB" w:rsidP="00182400">
            <w:pPr>
              <w:pStyle w:val="TabellHode-rad"/>
              <w:rPr>
                <w:rStyle w:val="kursiv"/>
                <w:rFonts w:eastAsia="Proxima Nova"/>
              </w:rPr>
            </w:pPr>
            <w:proofErr w:type="spellStart"/>
            <w:r w:rsidRPr="00642710">
              <w:rPr>
                <w:rStyle w:val="kursiv"/>
                <w:rFonts w:eastAsia="Proxima Nova"/>
              </w:rPr>
              <w:t>Title</w:t>
            </w:r>
            <w:proofErr w:type="spellEnd"/>
          </w:p>
        </w:tc>
        <w:tc>
          <w:tcPr>
            <w:tcW w:w="7773" w:type="dxa"/>
            <w:gridSpan w:val="3"/>
            <w:shd w:val="clear" w:color="auto" w:fill="auto"/>
          </w:tcPr>
          <w:p w14:paraId="37C17F40" w14:textId="77777777" w:rsidR="00EF746F" w:rsidRPr="00BB441C" w:rsidRDefault="00EF746F" w:rsidP="008077C0">
            <w:pPr>
              <w:rPr>
                <w:rFonts w:eastAsia="Proxima Nova"/>
                <w:lang w:val="en-GB" w:eastAsia="en-US"/>
              </w:rPr>
            </w:pPr>
            <w:r w:rsidRPr="00BB441C">
              <w:rPr>
                <w:rFonts w:eastAsia="Calibri"/>
                <w:lang w:val="en-GB" w:eastAsia="en-US"/>
              </w:rPr>
              <w:t xml:space="preserve"> Evaluation of the </w:t>
            </w:r>
            <w:proofErr w:type="spellStart"/>
            <w:r w:rsidRPr="00BB441C">
              <w:rPr>
                <w:rFonts w:eastAsia="Calibri"/>
                <w:lang w:val="en-GB" w:eastAsia="en-US"/>
              </w:rPr>
              <w:t>eInnsyn</w:t>
            </w:r>
            <w:proofErr w:type="spellEnd"/>
            <w:r w:rsidRPr="00BB441C">
              <w:rPr>
                <w:rFonts w:eastAsia="Calibri"/>
                <w:lang w:val="en-GB" w:eastAsia="en-US"/>
              </w:rPr>
              <w:t xml:space="preserve"> publishing service</w:t>
            </w:r>
          </w:p>
        </w:tc>
      </w:tr>
      <w:tr w:rsidR="00EF746F" w:rsidRPr="00BB441C" w14:paraId="6E49E94B" w14:textId="77777777" w:rsidTr="00182400">
        <w:tc>
          <w:tcPr>
            <w:tcW w:w="1702" w:type="dxa"/>
            <w:shd w:val="clear" w:color="auto" w:fill="auto"/>
          </w:tcPr>
          <w:p w14:paraId="29738A9E" w14:textId="77777777" w:rsidR="00EF746F" w:rsidRPr="00642710" w:rsidRDefault="00EF746F" w:rsidP="00182400">
            <w:pPr>
              <w:pStyle w:val="TabellHode-rad"/>
              <w:rPr>
                <w:rStyle w:val="kursiv"/>
                <w:rFonts w:eastAsia="Proxima Nova"/>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73" w:type="dxa"/>
            <w:gridSpan w:val="3"/>
            <w:shd w:val="clear" w:color="auto" w:fill="auto"/>
          </w:tcPr>
          <w:p w14:paraId="5099881E" w14:textId="77777777" w:rsidR="00291078" w:rsidRPr="00BB441C" w:rsidRDefault="00EF746F" w:rsidP="008077C0">
            <w:pPr>
              <w:rPr>
                <w:rFonts w:eastAsia="Calibri"/>
                <w:lang w:val="en-GB" w:eastAsia="en-US"/>
              </w:rPr>
            </w:pPr>
            <w:r w:rsidRPr="00BB441C">
              <w:rPr>
                <w:rFonts w:eastAsia="Calibri"/>
                <w:lang w:val="en-GB" w:eastAsia="en-US"/>
              </w:rPr>
              <w:t>Evaluate the service to find out whether the goals set for the publishing service have been achieved and whether the service is being run and developed in an appropriate manner, including whether the security of the publishing service is adequately safeguarded.</w:t>
            </w:r>
          </w:p>
          <w:p w14:paraId="2D07D3FF" w14:textId="77777777" w:rsidR="00291078" w:rsidRPr="00BB441C" w:rsidRDefault="00EF746F" w:rsidP="008077C0">
            <w:pPr>
              <w:rPr>
                <w:rFonts w:eastAsia="Calibri"/>
                <w:lang w:val="en-GB" w:eastAsia="en-US"/>
              </w:rPr>
            </w:pPr>
            <w:proofErr w:type="spellStart"/>
            <w:r w:rsidRPr="00BB441C">
              <w:rPr>
                <w:rFonts w:eastAsia="Calibri"/>
                <w:lang w:val="en-GB" w:eastAsia="en-US"/>
              </w:rPr>
              <w:t>eInnsyn</w:t>
            </w:r>
            <w:proofErr w:type="spellEnd"/>
            <w:r w:rsidRPr="00BB441C">
              <w:rPr>
                <w:rFonts w:eastAsia="Calibri"/>
                <w:lang w:val="en-GB" w:eastAsia="en-US"/>
              </w:rPr>
              <w:t xml:space="preserve"> is a publicly available online publishing service for public agencies that are subject to the Freedom of Information Act. All citizens, the press and media organisations can search the records anonymously and free of charge and demand access to documents that have not been published.</w:t>
            </w:r>
          </w:p>
          <w:p w14:paraId="205CA319" w14:textId="77777777" w:rsidR="00291078" w:rsidRPr="00BB441C" w:rsidRDefault="00EF746F" w:rsidP="008077C0">
            <w:pPr>
              <w:rPr>
                <w:rFonts w:eastAsia="Calibri"/>
                <w:lang w:val="en-GB" w:eastAsia="en-US"/>
              </w:rPr>
            </w:pPr>
            <w:r w:rsidRPr="00BB441C">
              <w:rPr>
                <w:rFonts w:eastAsia="Calibri"/>
                <w:lang w:val="en-GB" w:eastAsia="en-US"/>
              </w:rPr>
              <w:t xml:space="preserve">When it was decided to establish </w:t>
            </w:r>
            <w:proofErr w:type="spellStart"/>
            <w:r w:rsidRPr="00BB441C">
              <w:rPr>
                <w:rFonts w:eastAsia="Calibri"/>
                <w:lang w:val="en-GB" w:eastAsia="en-US"/>
              </w:rPr>
              <w:t>eInnsyn</w:t>
            </w:r>
            <w:proofErr w:type="spellEnd"/>
            <w:r w:rsidRPr="00BB441C">
              <w:rPr>
                <w:rFonts w:eastAsia="Calibri"/>
                <w:lang w:val="en-GB" w:eastAsia="en-US"/>
              </w:rPr>
              <w:t xml:space="preserve"> as a replacement for the Public Electronic Mail Journal (OEP), four main goals were set for the project:</w:t>
            </w:r>
          </w:p>
          <w:p w14:paraId="1CE9B82C" w14:textId="77777777" w:rsidR="00291078" w:rsidRPr="00182400" w:rsidRDefault="00642710" w:rsidP="00182400">
            <w:pPr>
              <w:pStyle w:val="Liste"/>
              <w:rPr>
                <w:szCs w:val="22"/>
                <w:lang w:eastAsia="en-US"/>
              </w:rPr>
            </w:pPr>
            <w:r>
              <w:rPr>
                <w:szCs w:val="22"/>
                <w:lang w:eastAsia="en-US"/>
              </w:rPr>
              <w:lastRenderedPageBreak/>
              <w:t>“</w:t>
            </w:r>
            <w:proofErr w:type="spellStart"/>
            <w:r w:rsidR="00EF746F" w:rsidRPr="00182400">
              <w:rPr>
                <w:szCs w:val="22"/>
                <w:lang w:eastAsia="en-US"/>
              </w:rPr>
              <w:t>Improve</w:t>
            </w:r>
            <w:proofErr w:type="spellEnd"/>
            <w:r w:rsidR="00EF746F" w:rsidRPr="00182400">
              <w:rPr>
                <w:szCs w:val="22"/>
                <w:lang w:eastAsia="en-US"/>
              </w:rPr>
              <w:t xml:space="preserve"> </w:t>
            </w:r>
            <w:proofErr w:type="spellStart"/>
            <w:r w:rsidR="00EF746F" w:rsidRPr="00182400">
              <w:rPr>
                <w:szCs w:val="22"/>
                <w:lang w:eastAsia="en-US"/>
              </w:rPr>
              <w:t>security</w:t>
            </w:r>
            <w:proofErr w:type="spellEnd"/>
            <w:r w:rsidR="00EF746F" w:rsidRPr="00182400">
              <w:rPr>
                <w:szCs w:val="22"/>
                <w:lang w:eastAsia="en-US"/>
              </w:rPr>
              <w:t xml:space="preserve"> in OEP</w:t>
            </w:r>
          </w:p>
          <w:p w14:paraId="4D4B2B67" w14:textId="77777777" w:rsidR="00291078" w:rsidRPr="00BB441C" w:rsidRDefault="00EF746F" w:rsidP="00182400">
            <w:pPr>
              <w:pStyle w:val="Liste"/>
              <w:rPr>
                <w:szCs w:val="22"/>
                <w:lang w:val="en-GB" w:eastAsia="en-US"/>
              </w:rPr>
            </w:pPr>
            <w:r w:rsidRPr="00BB441C">
              <w:rPr>
                <w:szCs w:val="22"/>
                <w:lang w:val="en-GB" w:eastAsia="en-US"/>
              </w:rPr>
              <w:t xml:space="preserve">Good and rational solutions to ensure data </w:t>
            </w:r>
            <w:proofErr w:type="gramStart"/>
            <w:r w:rsidRPr="00BB441C">
              <w:rPr>
                <w:szCs w:val="22"/>
                <w:lang w:val="en-GB" w:eastAsia="en-US"/>
              </w:rPr>
              <w:t>protection</w:t>
            </w:r>
            <w:proofErr w:type="gramEnd"/>
          </w:p>
          <w:p w14:paraId="57CCE9D4" w14:textId="77777777" w:rsidR="00291078" w:rsidRPr="00BB441C" w:rsidRDefault="00EF746F" w:rsidP="00182400">
            <w:pPr>
              <w:pStyle w:val="Liste"/>
              <w:rPr>
                <w:szCs w:val="22"/>
                <w:lang w:val="en-GB" w:eastAsia="en-US"/>
              </w:rPr>
            </w:pPr>
            <w:r w:rsidRPr="00BB441C">
              <w:rPr>
                <w:szCs w:val="22"/>
                <w:lang w:val="en-GB" w:eastAsia="en-US"/>
              </w:rPr>
              <w:t xml:space="preserve">Streamline work processes in public </w:t>
            </w:r>
            <w:proofErr w:type="gramStart"/>
            <w:r w:rsidRPr="00BB441C">
              <w:rPr>
                <w:szCs w:val="22"/>
                <w:lang w:val="en-GB" w:eastAsia="en-US"/>
              </w:rPr>
              <w:t>administration</w:t>
            </w:r>
            <w:proofErr w:type="gramEnd"/>
          </w:p>
          <w:p w14:paraId="6B335AEE" w14:textId="77777777" w:rsidR="00EF746F" w:rsidRPr="00182400" w:rsidRDefault="00EF746F" w:rsidP="00182400">
            <w:pPr>
              <w:pStyle w:val="Liste"/>
              <w:rPr>
                <w:szCs w:val="22"/>
                <w:lang w:val="en-GB" w:eastAsia="en-US"/>
              </w:rPr>
            </w:pPr>
            <w:r w:rsidRPr="00182400">
              <w:rPr>
                <w:szCs w:val="22"/>
                <w:lang w:val="en-GB" w:eastAsia="en-US"/>
              </w:rPr>
              <w:t xml:space="preserve">Make public documents more easily accessible to the </w:t>
            </w:r>
            <w:proofErr w:type="gramStart"/>
            <w:r w:rsidRPr="00182400">
              <w:rPr>
                <w:szCs w:val="22"/>
                <w:lang w:val="en-GB" w:eastAsia="en-US"/>
              </w:rPr>
              <w:t>public</w:t>
            </w:r>
            <w:r w:rsidR="00642710">
              <w:rPr>
                <w:szCs w:val="22"/>
                <w:lang w:val="en-GB" w:eastAsia="en-US"/>
              </w:rPr>
              <w:t>”</w:t>
            </w:r>
            <w:proofErr w:type="gramEnd"/>
          </w:p>
          <w:p w14:paraId="2C345266" w14:textId="77777777" w:rsidR="00EF746F" w:rsidRPr="00BB441C" w:rsidRDefault="00EF746F" w:rsidP="00182400">
            <w:pPr>
              <w:spacing w:line="240" w:lineRule="auto"/>
              <w:jc w:val="both"/>
              <w:rPr>
                <w:rFonts w:eastAsia="Calibri"/>
                <w:lang w:val="en-GB" w:eastAsia="en-US"/>
              </w:rPr>
            </w:pPr>
            <w:r w:rsidRPr="00BB441C">
              <w:rPr>
                <w:rFonts w:eastAsia="Calibri"/>
                <w:lang w:val="en-GB" w:eastAsia="en-US"/>
              </w:rPr>
              <w:t xml:space="preserve">The </w:t>
            </w:r>
            <w:proofErr w:type="spellStart"/>
            <w:r w:rsidRPr="00BB441C">
              <w:rPr>
                <w:rFonts w:eastAsia="Calibri"/>
                <w:lang w:val="en-GB" w:eastAsia="en-US"/>
              </w:rPr>
              <w:t>eInnsyn</w:t>
            </w:r>
            <w:proofErr w:type="spellEnd"/>
            <w:r w:rsidRPr="00BB441C">
              <w:rPr>
                <w:rFonts w:eastAsia="Calibri"/>
                <w:lang w:val="en-GB" w:eastAsia="en-US"/>
              </w:rPr>
              <w:t xml:space="preserve"> publishing service should be evaluated based on the goal of the service. </w:t>
            </w:r>
          </w:p>
        </w:tc>
      </w:tr>
      <w:tr w:rsidR="00FA06AB" w:rsidRPr="00BB441C" w14:paraId="1D277A15" w14:textId="77777777" w:rsidTr="00182400">
        <w:tc>
          <w:tcPr>
            <w:tcW w:w="1702" w:type="dxa"/>
            <w:shd w:val="clear" w:color="auto" w:fill="auto"/>
          </w:tcPr>
          <w:p w14:paraId="2487E513" w14:textId="77777777" w:rsidR="00FA06AB" w:rsidRPr="00642710" w:rsidRDefault="00EF746F" w:rsidP="00182400">
            <w:pPr>
              <w:pStyle w:val="TabellHode-rad"/>
              <w:rPr>
                <w:rStyle w:val="kursiv"/>
                <w:rFonts w:eastAsia="Proxima Nova"/>
              </w:rPr>
            </w:pPr>
            <w:proofErr w:type="spellStart"/>
            <w:r w:rsidRPr="00642710">
              <w:rPr>
                <w:rStyle w:val="kursiv"/>
                <w:rFonts w:eastAsia="Proxima Nova"/>
              </w:rPr>
              <w:lastRenderedPageBreak/>
              <w:t>Responsible</w:t>
            </w:r>
            <w:proofErr w:type="spellEnd"/>
            <w:r w:rsidRPr="00642710">
              <w:rPr>
                <w:rStyle w:val="kursiv"/>
                <w:rFonts w:eastAsia="Proxima Nova"/>
              </w:rPr>
              <w:t xml:space="preserve"> for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73" w:type="dxa"/>
            <w:gridSpan w:val="3"/>
            <w:shd w:val="clear" w:color="auto" w:fill="auto"/>
          </w:tcPr>
          <w:p w14:paraId="0C6BC313" w14:textId="77777777" w:rsidR="00FA06AB" w:rsidRPr="00BB441C" w:rsidRDefault="00761949" w:rsidP="008077C0">
            <w:pPr>
              <w:rPr>
                <w:rFonts w:eastAsia="Proxima Nova"/>
                <w:lang w:val="en-GB" w:eastAsia="en-US"/>
              </w:rPr>
            </w:pPr>
            <w:r w:rsidRPr="00BB441C">
              <w:rPr>
                <w:rFonts w:eastAsia="Proxima Nova"/>
                <w:lang w:val="en-GB" w:eastAsia="en-US"/>
              </w:rPr>
              <w:t>The Ministry of Digitalisation and Public Governance (DFD) in cooperation with the Ministry of Justice and Public Security (JD) and the Ministry of Culture and Equality (KUD)</w:t>
            </w:r>
          </w:p>
        </w:tc>
      </w:tr>
      <w:tr w:rsidR="00FA06AB" w:rsidRPr="00182400" w14:paraId="25C56275" w14:textId="77777777" w:rsidTr="00182400">
        <w:trPr>
          <w:trHeight w:val="270"/>
        </w:trPr>
        <w:tc>
          <w:tcPr>
            <w:tcW w:w="1702" w:type="dxa"/>
            <w:vMerge w:val="restart"/>
            <w:shd w:val="clear" w:color="auto" w:fill="auto"/>
          </w:tcPr>
          <w:p w14:paraId="0E834ABA" w14:textId="77777777" w:rsidR="00FA06AB" w:rsidRPr="00642710" w:rsidRDefault="00FA06AB" w:rsidP="00182400">
            <w:pPr>
              <w:pStyle w:val="TabellHode-rad"/>
              <w:rPr>
                <w:rStyle w:val="kursiv"/>
                <w:rFonts w:eastAsia="Proxima Nova"/>
              </w:rPr>
            </w:pPr>
            <w:r w:rsidRPr="00642710">
              <w:rPr>
                <w:rStyle w:val="kursiv"/>
                <w:rFonts w:eastAsia="Proxima Nova"/>
              </w:rPr>
              <w:t>Stakeholders</w:t>
            </w:r>
          </w:p>
        </w:tc>
        <w:tc>
          <w:tcPr>
            <w:tcW w:w="2591" w:type="dxa"/>
            <w:shd w:val="clear" w:color="auto" w:fill="auto"/>
          </w:tcPr>
          <w:p w14:paraId="5DD685E7" w14:textId="77777777" w:rsidR="00FA06AB" w:rsidRPr="00182400" w:rsidRDefault="00EF746F" w:rsidP="00182400">
            <w:pPr>
              <w:pStyle w:val="TabellHode-kolonne"/>
              <w:rPr>
                <w:rStyle w:val="kursiv"/>
                <w:rFonts w:eastAsia="Proxima Nova"/>
                <w:lang w:eastAsia="en-US"/>
              </w:rPr>
            </w:pPr>
            <w:proofErr w:type="spellStart"/>
            <w:r w:rsidRPr="00182400">
              <w:rPr>
                <w:rStyle w:val="kursiv"/>
                <w:rFonts w:eastAsia="Proxima Nova"/>
                <w:lang w:eastAsia="en-US"/>
              </w:rPr>
              <w:t>Authorities</w:t>
            </w:r>
            <w:proofErr w:type="spellEnd"/>
          </w:p>
        </w:tc>
        <w:tc>
          <w:tcPr>
            <w:tcW w:w="2648" w:type="dxa"/>
            <w:shd w:val="clear" w:color="auto" w:fill="auto"/>
          </w:tcPr>
          <w:p w14:paraId="09DBE1F0" w14:textId="77777777" w:rsidR="00FA06AB" w:rsidRPr="00182400" w:rsidRDefault="00FA06AB" w:rsidP="00182400">
            <w:pPr>
              <w:pStyle w:val="TabellHode-kolonne"/>
              <w:rPr>
                <w:rStyle w:val="kursiv"/>
                <w:rFonts w:eastAsia="Proxima Nova"/>
                <w:lang w:eastAsia="en-US"/>
              </w:rPr>
            </w:pPr>
            <w:proofErr w:type="spellStart"/>
            <w:r w:rsidRPr="00182400">
              <w:rPr>
                <w:rStyle w:val="kursiv"/>
                <w:rFonts w:eastAsia="Proxima Nova"/>
                <w:lang w:eastAsia="en-US"/>
              </w:rPr>
              <w:t>Civil</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society</w:t>
            </w:r>
            <w:proofErr w:type="spellEnd"/>
          </w:p>
        </w:tc>
        <w:tc>
          <w:tcPr>
            <w:tcW w:w="2534" w:type="dxa"/>
            <w:shd w:val="clear" w:color="auto" w:fill="auto"/>
          </w:tcPr>
          <w:p w14:paraId="537760B2" w14:textId="77777777" w:rsidR="00FA06AB" w:rsidRPr="00182400" w:rsidRDefault="00FA06AB" w:rsidP="00182400">
            <w:pPr>
              <w:pStyle w:val="TabellHode-kolonne"/>
              <w:rPr>
                <w:rStyle w:val="kursiv"/>
                <w:rFonts w:eastAsia="Proxima Nova"/>
                <w:lang w:eastAsia="en-US"/>
              </w:rPr>
            </w:pPr>
            <w:proofErr w:type="spellStart"/>
            <w:r w:rsidRPr="00182400">
              <w:rPr>
                <w:rStyle w:val="kursiv"/>
                <w:rFonts w:eastAsia="Proxima Nova"/>
                <w:lang w:eastAsia="en-US"/>
              </w:rPr>
              <w:t>Others</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parliament</w:t>
            </w:r>
            <w:proofErr w:type="spellEnd"/>
            <w:r w:rsidRPr="00182400">
              <w:rPr>
                <w:rStyle w:val="kursiv"/>
                <w:rFonts w:eastAsia="Proxima Nova"/>
                <w:lang w:eastAsia="en-US"/>
              </w:rPr>
              <w:t xml:space="preserve">, private </w:t>
            </w:r>
            <w:proofErr w:type="spellStart"/>
            <w:r w:rsidRPr="00182400">
              <w:rPr>
                <w:rStyle w:val="kursiv"/>
                <w:rFonts w:eastAsia="Proxima Nova"/>
                <w:lang w:eastAsia="en-US"/>
              </w:rPr>
              <w:t>sector</w:t>
            </w:r>
            <w:proofErr w:type="spellEnd"/>
            <w:r w:rsidRPr="00182400">
              <w:rPr>
                <w:rStyle w:val="kursiv"/>
                <w:rFonts w:eastAsia="Proxima Nova"/>
                <w:lang w:eastAsia="en-US"/>
              </w:rPr>
              <w:t>, etc.)</w:t>
            </w:r>
          </w:p>
        </w:tc>
      </w:tr>
      <w:tr w:rsidR="00291078" w:rsidRPr="00BB441C" w14:paraId="3976260D" w14:textId="77777777" w:rsidTr="00182400">
        <w:trPr>
          <w:trHeight w:val="2100"/>
        </w:trPr>
        <w:tc>
          <w:tcPr>
            <w:tcW w:w="1702" w:type="dxa"/>
            <w:vMerge/>
            <w:shd w:val="clear" w:color="auto" w:fill="auto"/>
          </w:tcPr>
          <w:p w14:paraId="205EFB85" w14:textId="77777777" w:rsidR="00FA06AB" w:rsidRPr="00182400" w:rsidRDefault="00FA06AB" w:rsidP="00182400">
            <w:pPr>
              <w:widowControl w:val="0"/>
              <w:rPr>
                <w:rFonts w:eastAsia="Proxima Nova"/>
                <w:lang w:eastAsia="en-US"/>
              </w:rPr>
            </w:pPr>
          </w:p>
        </w:tc>
        <w:tc>
          <w:tcPr>
            <w:tcW w:w="2591" w:type="dxa"/>
            <w:shd w:val="clear" w:color="auto" w:fill="auto"/>
          </w:tcPr>
          <w:p w14:paraId="76E3EF0F" w14:textId="77777777" w:rsidR="00FA06AB" w:rsidRPr="00BB441C" w:rsidRDefault="00FA06AB" w:rsidP="008077C0">
            <w:pPr>
              <w:rPr>
                <w:rFonts w:eastAsia="Proxima Nova"/>
                <w:lang w:val="en-GB" w:eastAsia="en-US"/>
              </w:rPr>
            </w:pPr>
            <w:r w:rsidRPr="00BB441C">
              <w:rPr>
                <w:rFonts w:eastAsia="Proxima Nova"/>
                <w:lang w:val="en-GB" w:eastAsia="en-US"/>
              </w:rPr>
              <w:t>All entities that deliver or can deliver content (mail journals and links to full-text documents) to the publishing service.</w:t>
            </w:r>
          </w:p>
        </w:tc>
        <w:tc>
          <w:tcPr>
            <w:tcW w:w="2648" w:type="dxa"/>
            <w:shd w:val="clear" w:color="auto" w:fill="auto"/>
          </w:tcPr>
          <w:p w14:paraId="2157192C" w14:textId="77777777" w:rsidR="00291078" w:rsidRPr="00BB441C" w:rsidRDefault="00FA06AB" w:rsidP="00182400">
            <w:pPr>
              <w:spacing w:line="240" w:lineRule="auto"/>
              <w:rPr>
                <w:rFonts w:eastAsia="Proxima Nova"/>
                <w:lang w:val="en-GB" w:eastAsia="en-US"/>
              </w:rPr>
            </w:pPr>
            <w:r w:rsidRPr="00BB441C">
              <w:rPr>
                <w:rFonts w:eastAsia="Proxima Nova"/>
                <w:lang w:val="en-GB" w:eastAsia="en-US"/>
              </w:rPr>
              <w:t>General public. In addition, press and media organisations such as the Norwegian Press Association, Association of Norwegian Editors and Norwegian Union of Journalists.</w:t>
            </w:r>
          </w:p>
          <w:p w14:paraId="256D773E"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Other relevant interest organisations such as:</w:t>
            </w:r>
          </w:p>
          <w:p w14:paraId="73843939"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Norwegian Bar Association</w:t>
            </w:r>
          </w:p>
          <w:p w14:paraId="32942649"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Federation of Norwegian Professional Associations</w:t>
            </w:r>
          </w:p>
          <w:p w14:paraId="788D8B9E"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Amnesty International</w:t>
            </w:r>
          </w:p>
          <w:p w14:paraId="69322914"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Norwegian Directorate of Health</w:t>
            </w:r>
          </w:p>
          <w:p w14:paraId="445EC7B2"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Norwegian Society of Records Managers and Archivists</w:t>
            </w:r>
          </w:p>
          <w:p w14:paraId="031FD2EE"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Publish what you pay Norway</w:t>
            </w:r>
          </w:p>
        </w:tc>
        <w:tc>
          <w:tcPr>
            <w:tcW w:w="2534" w:type="dxa"/>
            <w:shd w:val="clear" w:color="auto" w:fill="auto"/>
          </w:tcPr>
          <w:p w14:paraId="76EBB113" w14:textId="77777777" w:rsidR="00FA06AB" w:rsidRPr="00BB441C" w:rsidRDefault="00FA06AB" w:rsidP="008077C0">
            <w:pPr>
              <w:rPr>
                <w:rFonts w:eastAsia="Proxima Nova"/>
                <w:lang w:val="en-GB" w:eastAsia="en-US"/>
              </w:rPr>
            </w:pPr>
            <w:r w:rsidRPr="00BB441C">
              <w:rPr>
                <w:rFonts w:eastAsia="Proxima Nova"/>
                <w:lang w:val="en-GB" w:eastAsia="en-US"/>
              </w:rPr>
              <w:t>KS</w:t>
            </w:r>
          </w:p>
          <w:p w14:paraId="4AF52415" w14:textId="77777777" w:rsidR="00FA06AB" w:rsidRPr="00BB441C" w:rsidRDefault="00FA06AB" w:rsidP="008077C0">
            <w:pPr>
              <w:rPr>
                <w:rFonts w:eastAsia="Proxima Nova"/>
                <w:lang w:val="en-GB" w:eastAsia="en-US"/>
              </w:rPr>
            </w:pPr>
            <w:r w:rsidRPr="00BB441C">
              <w:rPr>
                <w:rFonts w:eastAsia="Proxima Nova"/>
                <w:lang w:val="en-GB" w:eastAsia="en-US"/>
              </w:rPr>
              <w:t>Suppliers of other solutions for publishing public records</w:t>
            </w:r>
          </w:p>
        </w:tc>
      </w:tr>
      <w:tr w:rsidR="00FA06AB" w:rsidRPr="00182400" w14:paraId="62601F2D" w14:textId="77777777" w:rsidTr="00182400">
        <w:tc>
          <w:tcPr>
            <w:tcW w:w="1702" w:type="dxa"/>
            <w:shd w:val="clear" w:color="auto" w:fill="auto"/>
          </w:tcPr>
          <w:p w14:paraId="049E9432" w14:textId="77777777" w:rsidR="00291078" w:rsidRPr="00642710" w:rsidRDefault="00FA06AB" w:rsidP="00182400">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p>
          <w:p w14:paraId="52A802FA" w14:textId="77777777" w:rsidR="00FA06AB" w:rsidRPr="00182400" w:rsidRDefault="00FA06AB" w:rsidP="00182400">
            <w:pPr>
              <w:pStyle w:val="TabellHode-rad"/>
              <w:rPr>
                <w:rFonts w:eastAsia="Proxima Nova"/>
                <w:lang w:eastAsia="en-US"/>
              </w:rPr>
            </w:pPr>
            <w:r w:rsidRPr="00642710">
              <w:rPr>
                <w:rStyle w:val="kursiv"/>
                <w:rFonts w:eastAsia="Proxima Nova"/>
              </w:rPr>
              <w:lastRenderedPageBreak/>
              <w:t>(to</w:t>
            </w:r>
            <w:r w:rsidR="00291078" w:rsidRPr="00642710">
              <w:rPr>
                <w:rStyle w:val="kursiv"/>
                <w:rFonts w:eastAsia="Proxima Nova"/>
              </w:rPr>
              <w:t xml:space="preserve"> – </w:t>
            </w:r>
            <w:r w:rsidRPr="00642710">
              <w:rPr>
                <w:rStyle w:val="kursiv"/>
                <w:rFonts w:eastAsia="Proxima Nova"/>
              </w:rPr>
              <w:t>from)</w:t>
            </w:r>
            <w:r w:rsidR="00291078" w:rsidRPr="00642710">
              <w:rPr>
                <w:rStyle w:val="kursiv"/>
                <w:rFonts w:eastAsia="Proxima Nova"/>
              </w:rPr>
              <w:t xml:space="preserve"> </w:t>
            </w:r>
          </w:p>
        </w:tc>
        <w:tc>
          <w:tcPr>
            <w:tcW w:w="7773" w:type="dxa"/>
            <w:gridSpan w:val="3"/>
            <w:shd w:val="clear" w:color="auto" w:fill="auto"/>
          </w:tcPr>
          <w:p w14:paraId="12870F3C" w14:textId="77777777" w:rsidR="00FA06AB" w:rsidRPr="00182400" w:rsidRDefault="00FA06AB" w:rsidP="00182400">
            <w:pPr>
              <w:spacing w:line="240" w:lineRule="auto"/>
              <w:rPr>
                <w:rFonts w:eastAsia="Proxima Nova"/>
                <w:lang w:eastAsia="en-US"/>
              </w:rPr>
            </w:pPr>
            <w:r w:rsidRPr="00182400">
              <w:rPr>
                <w:rFonts w:eastAsia="Proxima Nova"/>
                <w:lang w:eastAsia="en-US"/>
              </w:rPr>
              <w:lastRenderedPageBreak/>
              <w:t>2023–2026</w:t>
            </w:r>
          </w:p>
        </w:tc>
      </w:tr>
    </w:tbl>
    <w:p w14:paraId="1C98EBE6" w14:textId="77777777" w:rsidR="00291078" w:rsidRDefault="00291078"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266AB3" w:rsidRPr="00182400" w14:paraId="2BD1532E" w14:textId="77777777" w:rsidTr="00182400">
        <w:trPr>
          <w:trHeight w:val="348"/>
        </w:trPr>
        <w:tc>
          <w:tcPr>
            <w:tcW w:w="9450" w:type="dxa"/>
            <w:shd w:val="clear" w:color="auto" w:fill="auto"/>
          </w:tcPr>
          <w:p w14:paraId="319E9545" w14:textId="77777777" w:rsidR="00266AB3" w:rsidRPr="00182400" w:rsidRDefault="00266AB3"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problem </w:t>
            </w:r>
          </w:p>
        </w:tc>
      </w:tr>
      <w:tr w:rsidR="00266AB3" w:rsidRPr="00BB441C" w14:paraId="02BF130A" w14:textId="77777777" w:rsidTr="00182400">
        <w:trPr>
          <w:trHeight w:val="2253"/>
        </w:trPr>
        <w:tc>
          <w:tcPr>
            <w:tcW w:w="9450" w:type="dxa"/>
            <w:shd w:val="clear" w:color="auto" w:fill="auto"/>
          </w:tcPr>
          <w:p w14:paraId="1870E0C2" w14:textId="77777777" w:rsidR="00266AB3"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266AB3" w:rsidRPr="00182400">
              <w:rPr>
                <w:lang w:val="en-GB" w:eastAsia="en-US"/>
              </w:rPr>
              <w:t>What problems will the commitment solve?</w:t>
            </w:r>
          </w:p>
          <w:p w14:paraId="3D6B2C2C" w14:textId="77777777" w:rsidR="00266AB3" w:rsidRPr="00182400" w:rsidRDefault="00266AB3" w:rsidP="00182400">
            <w:pPr>
              <w:pStyle w:val="Liste"/>
              <w:rPr>
                <w:szCs w:val="22"/>
                <w:lang w:val="en-GB" w:eastAsia="en-US" w:bidi="en-GB"/>
              </w:rPr>
            </w:pPr>
            <w:r w:rsidRPr="00182400">
              <w:rPr>
                <w:szCs w:val="22"/>
                <w:lang w:val="en-GB" w:eastAsia="en-US" w:bidi="en-GB"/>
              </w:rPr>
              <w:t>Evaluate whether the service supports the right of access in the Freedom of Information Act.</w:t>
            </w:r>
          </w:p>
          <w:p w14:paraId="538A6894" w14:textId="77777777" w:rsidR="00266AB3" w:rsidRPr="00182400" w:rsidRDefault="00266AB3" w:rsidP="00182400">
            <w:pPr>
              <w:pStyle w:val="Liste"/>
              <w:rPr>
                <w:bCs/>
                <w:szCs w:val="22"/>
                <w:lang w:val="en-US" w:eastAsia="en-US"/>
              </w:rPr>
            </w:pPr>
            <w:r w:rsidRPr="00182400">
              <w:rPr>
                <w:szCs w:val="22"/>
                <w:lang w:val="en-GB" w:eastAsia="en-US" w:bidi="en-GB"/>
              </w:rPr>
              <w:t>Evaluate whether the service supports the desire for more full-text publishing.</w:t>
            </w:r>
          </w:p>
          <w:p w14:paraId="7FDAD260" w14:textId="77777777" w:rsidR="00266AB3" w:rsidRPr="00182400" w:rsidRDefault="00266AB3" w:rsidP="00182400">
            <w:pPr>
              <w:pStyle w:val="Liste"/>
              <w:rPr>
                <w:szCs w:val="22"/>
                <w:lang w:val="en-GB" w:eastAsia="en-US" w:bidi="en-GB"/>
              </w:rPr>
            </w:pPr>
            <w:r w:rsidRPr="00182400">
              <w:rPr>
                <w:szCs w:val="22"/>
                <w:lang w:val="en-GB" w:eastAsia="en-US" w:bidi="en-GB"/>
              </w:rPr>
              <w:t>Evaluate whether the service’s funding model is sustainable and contributes to administrative efficiency.</w:t>
            </w:r>
          </w:p>
          <w:p w14:paraId="08C59A33" w14:textId="77777777" w:rsidR="00266AB3" w:rsidRPr="00182400" w:rsidRDefault="00266AB3" w:rsidP="00182400">
            <w:pPr>
              <w:pStyle w:val="Liste"/>
              <w:rPr>
                <w:szCs w:val="22"/>
                <w:lang w:val="en-GB" w:eastAsia="en-US" w:bidi="en-GB"/>
              </w:rPr>
            </w:pPr>
            <w:r w:rsidRPr="00182400">
              <w:rPr>
                <w:szCs w:val="22"/>
                <w:lang w:val="en-GB" w:eastAsia="en-US" w:bidi="en-GB"/>
              </w:rPr>
              <w:t>Evaluate whether the service has efficiency gains for administrative processes related to the handling of access requests.</w:t>
            </w:r>
          </w:p>
          <w:p w14:paraId="1FB94A9B" w14:textId="77777777" w:rsidR="00266AB3" w:rsidRPr="00182400" w:rsidRDefault="00266AB3" w:rsidP="00182400">
            <w:pPr>
              <w:rPr>
                <w:rStyle w:val="kursiv"/>
                <w:rFonts w:eastAsia="Proxima Nova"/>
                <w:lang w:val="en-GB" w:eastAsia="en-US"/>
              </w:rPr>
            </w:pPr>
            <w:r w:rsidRPr="00182400">
              <w:rPr>
                <w:rStyle w:val="kursiv"/>
                <w:rFonts w:eastAsia="Proxima Nova"/>
                <w:lang w:val="en-GB" w:eastAsia="en-US"/>
              </w:rPr>
              <w:t>Elaboration:</w:t>
            </w:r>
          </w:p>
          <w:p w14:paraId="226FD901" w14:textId="77777777" w:rsidR="00266AB3" w:rsidRPr="00182400" w:rsidRDefault="00266AB3" w:rsidP="00182400">
            <w:pPr>
              <w:rPr>
                <w:rFonts w:eastAsia="Calibri"/>
                <w:shd w:val="clear" w:color="auto" w:fill="FFFFFF"/>
                <w:lang w:val="en-US" w:eastAsia="en-US"/>
              </w:rPr>
            </w:pPr>
            <w:r w:rsidRPr="00182400">
              <w:rPr>
                <w:rFonts w:eastAsia="Calibri"/>
                <w:shd w:val="clear" w:color="auto" w:fill="FFFFFF"/>
                <w:lang w:val="en-GB" w:eastAsia="en-US" w:bidi="en-GB"/>
              </w:rPr>
              <w:t xml:space="preserve">The aim of the Open Government Partnership is to strengthen cooperation between citizens and the public administration because this cooperation is the very foundation of a good society. The OGP is based on the premise that the best way to create a more open, well-functioning and user-friendly administration is open, </w:t>
            </w:r>
            <w:proofErr w:type="gramStart"/>
            <w:r w:rsidRPr="00182400">
              <w:rPr>
                <w:rFonts w:eastAsia="Calibri"/>
                <w:shd w:val="clear" w:color="auto" w:fill="FFFFFF"/>
                <w:lang w:val="en-GB" w:eastAsia="en-US" w:bidi="en-GB"/>
              </w:rPr>
              <w:t>honest</w:t>
            </w:r>
            <w:proofErr w:type="gramEnd"/>
            <w:r w:rsidRPr="00182400">
              <w:rPr>
                <w:rFonts w:eastAsia="Calibri"/>
                <w:shd w:val="clear" w:color="auto" w:fill="FFFFFF"/>
                <w:lang w:val="en-GB" w:eastAsia="en-US" w:bidi="en-GB"/>
              </w:rPr>
              <w:t xml:space="preserve"> and extensive cooperation between the public sector and civil society.</w:t>
            </w:r>
          </w:p>
          <w:p w14:paraId="37E4B3C9" w14:textId="77777777" w:rsidR="00266AB3" w:rsidRPr="00182400" w:rsidRDefault="00266AB3" w:rsidP="00182400">
            <w:pPr>
              <w:rPr>
                <w:rFonts w:eastAsia="Calibri"/>
                <w:shd w:val="clear" w:color="auto" w:fill="FFFFFF"/>
                <w:lang w:val="en-US" w:eastAsia="en-US"/>
              </w:rPr>
            </w:pPr>
            <w:proofErr w:type="spellStart"/>
            <w:r w:rsidRPr="00182400">
              <w:rPr>
                <w:rFonts w:eastAsia="Calibri"/>
                <w:shd w:val="clear" w:color="auto" w:fill="FFFFFF"/>
                <w:lang w:val="en-GB" w:eastAsia="en-US" w:bidi="en-GB"/>
              </w:rPr>
              <w:t>eInnsyn</w:t>
            </w:r>
            <w:proofErr w:type="spellEnd"/>
            <w:r w:rsidRPr="00182400">
              <w:rPr>
                <w:rFonts w:eastAsia="Calibri"/>
                <w:shd w:val="clear" w:color="auto" w:fill="FFFFFF"/>
                <w:lang w:val="en-GB" w:eastAsia="en-US" w:bidi="en-GB"/>
              </w:rPr>
              <w:t xml:space="preserve"> is a publicly available publishing service for public mail journals, </w:t>
            </w:r>
            <w:proofErr w:type="gramStart"/>
            <w:r w:rsidRPr="00182400">
              <w:rPr>
                <w:rFonts w:eastAsia="Calibri"/>
                <w:shd w:val="clear" w:color="auto" w:fill="FFFFFF"/>
                <w:lang w:val="en-GB" w:eastAsia="en-US" w:bidi="en-GB"/>
              </w:rPr>
              <w:t>meetings</w:t>
            </w:r>
            <w:proofErr w:type="gramEnd"/>
            <w:r w:rsidRPr="00182400">
              <w:rPr>
                <w:rFonts w:eastAsia="Calibri"/>
                <w:shd w:val="clear" w:color="auto" w:fill="FFFFFF"/>
                <w:lang w:val="en-GB" w:eastAsia="en-US" w:bidi="en-GB"/>
              </w:rPr>
              <w:t xml:space="preserve"> and committees. Central government, as well as some county authority and municipal entities, publish mail journals and meeting and committee data on </w:t>
            </w:r>
            <w:proofErr w:type="spellStart"/>
            <w:r w:rsidRPr="00182400">
              <w:rPr>
                <w:rFonts w:eastAsia="Calibri"/>
                <w:shd w:val="clear" w:color="auto" w:fill="FFFFFF"/>
                <w:lang w:val="en-GB" w:eastAsia="en-US" w:bidi="en-GB"/>
              </w:rPr>
              <w:t>eInnsyn</w:t>
            </w:r>
            <w:proofErr w:type="spellEnd"/>
            <w:r w:rsidRPr="00182400">
              <w:rPr>
                <w:rFonts w:eastAsia="Calibri"/>
                <w:shd w:val="clear" w:color="auto" w:fill="FFFFFF"/>
                <w:lang w:val="en-GB" w:eastAsia="en-US" w:bidi="en-GB"/>
              </w:rPr>
              <w:t xml:space="preserve">, where citizens can search for and access documents. Public agencies can include a link to full-text published documents in the journal record or meeting to which the document belongs. By making journals accessible, </w:t>
            </w:r>
            <w:proofErr w:type="gramStart"/>
            <w:r w:rsidRPr="00182400">
              <w:rPr>
                <w:rFonts w:eastAsia="Calibri"/>
                <w:shd w:val="clear" w:color="auto" w:fill="FFFFFF"/>
                <w:lang w:val="en-GB" w:eastAsia="en-US" w:bidi="en-GB"/>
              </w:rPr>
              <w:t>searchable</w:t>
            </w:r>
            <w:proofErr w:type="gramEnd"/>
            <w:r w:rsidRPr="00182400">
              <w:rPr>
                <w:rFonts w:eastAsia="Calibri"/>
                <w:shd w:val="clear" w:color="auto" w:fill="FFFFFF"/>
                <w:lang w:val="en-GB" w:eastAsia="en-US" w:bidi="en-GB"/>
              </w:rPr>
              <w:t xml:space="preserve"> and orderable in one and the same place, </w:t>
            </w:r>
            <w:proofErr w:type="spellStart"/>
            <w:r w:rsidRPr="00182400">
              <w:rPr>
                <w:rFonts w:eastAsia="Calibri"/>
                <w:shd w:val="clear" w:color="auto" w:fill="FFFFFF"/>
                <w:lang w:val="en-GB" w:eastAsia="en-US" w:bidi="en-GB"/>
              </w:rPr>
              <w:t>eInnsyn</w:t>
            </w:r>
            <w:proofErr w:type="spellEnd"/>
            <w:r w:rsidRPr="00182400">
              <w:rPr>
                <w:rFonts w:eastAsia="Calibri"/>
                <w:shd w:val="clear" w:color="auto" w:fill="FFFFFF"/>
                <w:lang w:val="en-GB" w:eastAsia="en-US" w:bidi="en-GB"/>
              </w:rPr>
              <w:t xml:space="preserve"> makes it very easy for citizens and the business community to demand access to public documents based on the right of access they have through the Freedom of Information Act. The service is unique in a global context.</w:t>
            </w:r>
          </w:p>
          <w:p w14:paraId="5BD1F73E" w14:textId="77777777" w:rsidR="00266AB3" w:rsidRPr="00182400" w:rsidRDefault="00266AB3" w:rsidP="00182400">
            <w:pPr>
              <w:rPr>
                <w:rStyle w:val="kursiv"/>
                <w:rFonts w:eastAsia="Proxima Nova"/>
                <w:lang w:val="en-GB" w:eastAsia="en-US"/>
              </w:rPr>
            </w:pPr>
            <w:r w:rsidRPr="00182400">
              <w:rPr>
                <w:rStyle w:val="kursiv"/>
                <w:rFonts w:eastAsia="Proxima Nova"/>
                <w:lang w:val="en-GB" w:eastAsia="en-US"/>
              </w:rPr>
              <w:t>Objective of an evaluation:</w:t>
            </w:r>
          </w:p>
          <w:p w14:paraId="2106DB78" w14:textId="77777777" w:rsidR="00266AB3" w:rsidRPr="00182400" w:rsidRDefault="00266AB3" w:rsidP="00182400">
            <w:pPr>
              <w:rPr>
                <w:rFonts w:eastAsia="Proxima Nova"/>
                <w:bCs/>
                <w:lang w:val="en-US" w:eastAsia="en-US"/>
              </w:rPr>
            </w:pPr>
            <w:r w:rsidRPr="00182400">
              <w:rPr>
                <w:rFonts w:eastAsia="Proxima Nova"/>
                <w:lang w:val="en-GB" w:eastAsia="en-US" w:bidi="en-GB"/>
              </w:rPr>
              <w:t>After several years of operation, the service should be evaluated in terms of whether the service delivers on the goals for the service and whether it is operated in an appropriate and responsible manner.</w:t>
            </w:r>
          </w:p>
          <w:p w14:paraId="1F1E4B2F" w14:textId="77777777" w:rsidR="00266AB3" w:rsidRPr="00182400" w:rsidRDefault="00266AB3" w:rsidP="00182400">
            <w:pPr>
              <w:rPr>
                <w:rFonts w:eastAsia="Proxima Nova"/>
                <w:bCs/>
                <w:lang w:val="en-US" w:eastAsia="en-US"/>
              </w:rPr>
            </w:pPr>
            <w:r w:rsidRPr="00182400">
              <w:rPr>
                <w:rFonts w:eastAsia="Proxima Nova"/>
                <w:lang w:val="en-GB" w:eastAsia="en-US" w:bidi="en-GB"/>
              </w:rPr>
              <w:t>It should be evaluated whether the service is sufficiently user-friendly so that ordinary citizens without additional knowledge about the use of search parameters can find the information.</w:t>
            </w:r>
          </w:p>
          <w:p w14:paraId="68371394" w14:textId="77777777" w:rsidR="00266AB3" w:rsidRPr="00182400" w:rsidRDefault="00266AB3" w:rsidP="00182400">
            <w:pPr>
              <w:rPr>
                <w:rFonts w:eastAsia="Proxima Nova"/>
                <w:lang w:val="en-US" w:eastAsia="en-US"/>
              </w:rPr>
            </w:pPr>
            <w:r w:rsidRPr="00182400">
              <w:rPr>
                <w:rFonts w:eastAsia="Calibri"/>
                <w:color w:val="1E2B3C"/>
                <w:spacing w:val="2"/>
                <w:shd w:val="clear" w:color="auto" w:fill="FFFFFF"/>
                <w:lang w:val="en-GB" w:eastAsia="en-US" w:bidi="en-GB"/>
              </w:rPr>
              <w:t xml:space="preserve">The evaluation can be one of several knowledge bases for a new strategy for </w:t>
            </w:r>
            <w:proofErr w:type="spellStart"/>
            <w:r w:rsidRPr="00182400">
              <w:rPr>
                <w:rFonts w:eastAsia="Calibri"/>
                <w:color w:val="1E2B3C"/>
                <w:spacing w:val="2"/>
                <w:shd w:val="clear" w:color="auto" w:fill="FFFFFF"/>
                <w:lang w:val="en-GB" w:eastAsia="en-US" w:bidi="en-GB"/>
              </w:rPr>
              <w:t>eInnsyn</w:t>
            </w:r>
            <w:proofErr w:type="spellEnd"/>
            <w:r w:rsidRPr="00182400">
              <w:rPr>
                <w:rFonts w:eastAsia="Calibri"/>
                <w:color w:val="1E2B3C"/>
                <w:spacing w:val="2"/>
                <w:shd w:val="clear" w:color="auto" w:fill="FFFFFF"/>
                <w:lang w:val="en-GB" w:eastAsia="en-US" w:bidi="en-GB"/>
              </w:rPr>
              <w:t>.</w:t>
            </w:r>
          </w:p>
          <w:p w14:paraId="23F6F5E0" w14:textId="77777777" w:rsidR="00266AB3"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266AB3" w:rsidRPr="00182400">
              <w:rPr>
                <w:lang w:val="en-GB" w:eastAsia="en-US"/>
              </w:rPr>
              <w:t>What is the cause of the problem?</w:t>
            </w:r>
          </w:p>
          <w:p w14:paraId="5443556F" w14:textId="77777777" w:rsidR="00266AB3" w:rsidRPr="00182400" w:rsidRDefault="00266AB3" w:rsidP="00182400">
            <w:pPr>
              <w:pStyle w:val="Liste"/>
              <w:rPr>
                <w:szCs w:val="22"/>
                <w:lang w:val="en-GB" w:eastAsia="en-US" w:bidi="en-GB"/>
              </w:rPr>
            </w:pPr>
            <w:r w:rsidRPr="00182400">
              <w:rPr>
                <w:szCs w:val="22"/>
                <w:lang w:val="en-GB" w:eastAsia="en-US" w:bidi="en-GB"/>
              </w:rPr>
              <w:lastRenderedPageBreak/>
              <w:t xml:space="preserve">The use of </w:t>
            </w:r>
            <w:proofErr w:type="spellStart"/>
            <w:r w:rsidRPr="00182400">
              <w:rPr>
                <w:szCs w:val="22"/>
                <w:lang w:val="en-GB" w:eastAsia="en-US" w:bidi="en-GB"/>
              </w:rPr>
              <w:t>eInnsyn</w:t>
            </w:r>
            <w:proofErr w:type="spellEnd"/>
            <w:r w:rsidRPr="00182400">
              <w:rPr>
                <w:szCs w:val="22"/>
                <w:lang w:val="en-GB" w:eastAsia="en-US" w:bidi="en-GB"/>
              </w:rPr>
              <w:t xml:space="preserve"> is authorised in the Freedom of Information Regulations, but this only applies to the central government sector. The municipal sector is only covered by the provision in Section 7.</w:t>
            </w:r>
          </w:p>
          <w:p w14:paraId="363172F8" w14:textId="77777777" w:rsidR="00266AB3" w:rsidRPr="00182400" w:rsidRDefault="00266AB3" w:rsidP="00182400">
            <w:pPr>
              <w:pStyle w:val="Liste"/>
              <w:rPr>
                <w:szCs w:val="22"/>
                <w:lang w:val="en-GB" w:eastAsia="en-US" w:bidi="en-GB"/>
              </w:rPr>
            </w:pPr>
            <w:r w:rsidRPr="00182400">
              <w:rPr>
                <w:szCs w:val="22"/>
                <w:lang w:val="en-GB" w:eastAsia="en-US" w:bidi="en-GB"/>
              </w:rPr>
              <w:t xml:space="preserve">It can be very costly for the municipal sector to utilise </w:t>
            </w:r>
            <w:proofErr w:type="spellStart"/>
            <w:r w:rsidRPr="00182400">
              <w:rPr>
                <w:szCs w:val="22"/>
                <w:lang w:val="en-GB" w:eastAsia="en-US" w:bidi="en-GB"/>
              </w:rPr>
              <w:t>eInnsyn</w:t>
            </w:r>
            <w:proofErr w:type="spellEnd"/>
            <w:r w:rsidRPr="00182400">
              <w:rPr>
                <w:szCs w:val="22"/>
                <w:lang w:val="en-GB" w:eastAsia="en-US" w:bidi="en-GB"/>
              </w:rPr>
              <w:t xml:space="preserve"> as a publishing solution.</w:t>
            </w:r>
          </w:p>
          <w:p w14:paraId="2214604C" w14:textId="77777777" w:rsidR="00266AB3" w:rsidRPr="00182400" w:rsidRDefault="00266AB3" w:rsidP="00182400">
            <w:pPr>
              <w:pStyle w:val="Liste"/>
              <w:tabs>
                <w:tab w:val="num" w:pos="360"/>
              </w:tabs>
              <w:rPr>
                <w:szCs w:val="22"/>
                <w:lang w:val="en-US" w:eastAsia="en-US"/>
              </w:rPr>
            </w:pPr>
            <w:r w:rsidRPr="00182400">
              <w:rPr>
                <w:szCs w:val="22"/>
                <w:lang w:val="en-GB" w:eastAsia="en-US" w:bidi="en-GB"/>
              </w:rPr>
              <w:t>The solution has been exposed to security incidents on several occasions, and this may give rise to assessments of whether the service should be better protected against such incidents.</w:t>
            </w:r>
          </w:p>
        </w:tc>
      </w:tr>
    </w:tbl>
    <w:p w14:paraId="774A086C" w14:textId="77777777" w:rsidR="00266AB3" w:rsidRPr="00266AB3" w:rsidRDefault="00266AB3" w:rsidP="00FA06AB">
      <w:pPr>
        <w:rPr>
          <w:rStyle w:val="halvfet"/>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266AB3" w:rsidRPr="00182400" w14:paraId="124431BE" w14:textId="77777777" w:rsidTr="00182400">
        <w:trPr>
          <w:trHeight w:val="354"/>
        </w:trPr>
        <w:tc>
          <w:tcPr>
            <w:tcW w:w="9450" w:type="dxa"/>
            <w:shd w:val="clear" w:color="auto" w:fill="auto"/>
          </w:tcPr>
          <w:p w14:paraId="6E32145D" w14:textId="77777777" w:rsidR="00266AB3" w:rsidRPr="00182400" w:rsidRDefault="00266AB3"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p>
        </w:tc>
      </w:tr>
      <w:tr w:rsidR="00266AB3" w:rsidRPr="00BB441C" w14:paraId="0B37F74A" w14:textId="77777777" w:rsidTr="00182400">
        <w:trPr>
          <w:trHeight w:val="5685"/>
        </w:trPr>
        <w:tc>
          <w:tcPr>
            <w:tcW w:w="9450" w:type="dxa"/>
            <w:shd w:val="clear" w:color="auto" w:fill="auto"/>
          </w:tcPr>
          <w:p w14:paraId="5D350689" w14:textId="77777777" w:rsidR="00266AB3" w:rsidRPr="00182400" w:rsidRDefault="008B0AA1" w:rsidP="00182400">
            <w:pPr>
              <w:pStyle w:val="avsnitt-undertittel"/>
              <w:rPr>
                <w:lang w:val="en-GB" w:eastAsia="en-US"/>
              </w:rPr>
            </w:pPr>
            <w:r w:rsidRPr="00182400">
              <w:rPr>
                <w:bCs/>
                <w:lang w:val="en-GB" w:eastAsia="en-US"/>
              </w:rPr>
              <w:t>1.</w:t>
            </w:r>
            <w:r w:rsidRPr="00182400">
              <w:rPr>
                <w:bCs/>
                <w:lang w:val="en-GB" w:eastAsia="en-US"/>
              </w:rPr>
              <w:tab/>
            </w:r>
            <w:r w:rsidR="00266AB3" w:rsidRPr="00182400">
              <w:rPr>
                <w:lang w:val="en-GB" w:eastAsia="en-US"/>
              </w:rPr>
              <w:t>What has been done so far to address the problem?</w:t>
            </w:r>
          </w:p>
          <w:p w14:paraId="56489EAB" w14:textId="77777777" w:rsidR="00266AB3" w:rsidRPr="00182400" w:rsidRDefault="00266AB3" w:rsidP="00182400">
            <w:pPr>
              <w:rPr>
                <w:rStyle w:val="kursiv"/>
                <w:rFonts w:eastAsia="Proxima Nova"/>
                <w:lang w:val="en-GB" w:eastAsia="en-US"/>
              </w:rPr>
            </w:pPr>
            <w:r w:rsidRPr="00182400">
              <w:rPr>
                <w:rFonts w:eastAsia="Proxima Nova"/>
                <w:lang w:val="en-GB" w:eastAsia="en-US" w:bidi="en-GB"/>
              </w:rPr>
              <w:t xml:space="preserve">The publishing service has not been evaluated since the start of OEP </w:t>
            </w:r>
            <w:proofErr w:type="gramStart"/>
            <w:r w:rsidRPr="00182400">
              <w:rPr>
                <w:rFonts w:eastAsia="Proxima Nova"/>
                <w:lang w:val="en-GB" w:eastAsia="en-US" w:bidi="en-GB"/>
              </w:rPr>
              <w:t>with regard to</w:t>
            </w:r>
            <w:proofErr w:type="gramEnd"/>
            <w:r w:rsidRPr="00182400">
              <w:rPr>
                <w:rFonts w:eastAsia="Proxima Nova"/>
                <w:lang w:val="en-GB" w:eastAsia="en-US" w:bidi="en-GB"/>
              </w:rPr>
              <w:t xml:space="preserve"> how the service delivers in relation to the goals for the service. OEP/</w:t>
            </w:r>
            <w:proofErr w:type="spellStart"/>
            <w:r w:rsidRPr="00182400">
              <w:rPr>
                <w:rFonts w:eastAsia="Proxima Nova"/>
                <w:lang w:val="en-GB" w:eastAsia="en-US" w:bidi="en-GB"/>
              </w:rPr>
              <w:t>eInnsyn</w:t>
            </w:r>
            <w:proofErr w:type="spellEnd"/>
            <w:r w:rsidRPr="00182400">
              <w:rPr>
                <w:rFonts w:eastAsia="Proxima Nova"/>
                <w:lang w:val="en-GB" w:eastAsia="en-US" w:bidi="en-GB"/>
              </w:rPr>
              <w:t xml:space="preserve"> has received considerable international attention and positive publicity as the first of its </w:t>
            </w:r>
            <w:proofErr w:type="gramStart"/>
            <w:r w:rsidRPr="00182400">
              <w:rPr>
                <w:rFonts w:eastAsia="Proxima Nova"/>
                <w:lang w:val="en-GB" w:eastAsia="en-US" w:bidi="en-GB"/>
              </w:rPr>
              <w:t>kind, but</w:t>
            </w:r>
            <w:proofErr w:type="gramEnd"/>
            <w:r w:rsidRPr="00182400">
              <w:rPr>
                <w:rFonts w:eastAsia="Proxima Nova"/>
                <w:lang w:val="en-GB" w:eastAsia="en-US" w:bidi="en-GB"/>
              </w:rPr>
              <w:t xml:space="preserve"> has never been externally evaluated against its objectives.</w:t>
            </w:r>
          </w:p>
          <w:p w14:paraId="3AFBEB5A" w14:textId="77777777" w:rsidR="00266AB3"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266AB3" w:rsidRPr="00182400">
              <w:rPr>
                <w:lang w:val="en-GB" w:eastAsia="en-US"/>
              </w:rPr>
              <w:t>What kind of solution is proposed?</w:t>
            </w:r>
          </w:p>
          <w:p w14:paraId="6D809E61" w14:textId="77777777" w:rsidR="00266AB3" w:rsidRPr="00182400" w:rsidRDefault="00266AB3" w:rsidP="00182400">
            <w:pPr>
              <w:rPr>
                <w:rFonts w:eastAsia="Proxima Nova"/>
                <w:lang w:val="en-GB" w:eastAsia="en-US" w:bidi="en-GB"/>
              </w:rPr>
            </w:pPr>
            <w:r w:rsidRPr="00182400">
              <w:rPr>
                <w:rFonts w:eastAsia="Proxima Nova"/>
                <w:lang w:val="en-GB" w:eastAsia="en-US" w:bidi="en-GB"/>
              </w:rPr>
              <w:t xml:space="preserve">An external evaluation of </w:t>
            </w:r>
            <w:proofErr w:type="spellStart"/>
            <w:r w:rsidRPr="00182400">
              <w:rPr>
                <w:rFonts w:eastAsia="Proxima Nova"/>
                <w:lang w:val="en-GB" w:eastAsia="en-US" w:bidi="en-GB"/>
              </w:rPr>
              <w:t>eInnsyn</w:t>
            </w:r>
            <w:proofErr w:type="spellEnd"/>
            <w:r w:rsidRPr="00182400">
              <w:rPr>
                <w:rFonts w:eastAsia="Proxima Nova"/>
                <w:lang w:val="en-GB" w:eastAsia="en-US" w:bidi="en-GB"/>
              </w:rPr>
              <w:t xml:space="preserve"> is therefore proposed. An external evaluation must, among other things, gather feedback and input from representatives from public administration, civil </w:t>
            </w:r>
            <w:proofErr w:type="gramStart"/>
            <w:r w:rsidRPr="00182400">
              <w:rPr>
                <w:rFonts w:eastAsia="Proxima Nova"/>
                <w:lang w:val="en-GB" w:eastAsia="en-US" w:bidi="en-GB"/>
              </w:rPr>
              <w:t>society</w:t>
            </w:r>
            <w:proofErr w:type="gramEnd"/>
            <w:r w:rsidRPr="00182400">
              <w:rPr>
                <w:rFonts w:eastAsia="Proxima Nova"/>
                <w:lang w:val="en-GB" w:eastAsia="en-US" w:bidi="en-GB"/>
              </w:rPr>
              <w:t xml:space="preserve"> and the media.</w:t>
            </w:r>
          </w:p>
          <w:p w14:paraId="7A48E266" w14:textId="77777777" w:rsidR="00266AB3" w:rsidRPr="00182400" w:rsidRDefault="008B0AA1" w:rsidP="00182400">
            <w:pPr>
              <w:pStyle w:val="avsnitt-undertittel"/>
              <w:rPr>
                <w:lang w:val="en-GB" w:eastAsia="en-US"/>
              </w:rPr>
            </w:pPr>
            <w:r w:rsidRPr="00182400">
              <w:rPr>
                <w:bCs/>
                <w:lang w:val="en-GB" w:eastAsia="en-US"/>
              </w:rPr>
              <w:t>3.</w:t>
            </w:r>
            <w:r w:rsidRPr="00182400">
              <w:rPr>
                <w:bCs/>
                <w:lang w:val="en-GB" w:eastAsia="en-US"/>
              </w:rPr>
              <w:tab/>
            </w:r>
            <w:r w:rsidR="00266AB3" w:rsidRPr="00182400">
              <w:rPr>
                <w:lang w:val="en-GB" w:eastAsia="en-US"/>
              </w:rPr>
              <w:t>What results will be achieved by implementing the commitment?</w:t>
            </w:r>
          </w:p>
          <w:p w14:paraId="59226A4D" w14:textId="77777777" w:rsidR="00266AB3" w:rsidRPr="00182400" w:rsidRDefault="00266AB3" w:rsidP="00182400">
            <w:pPr>
              <w:rPr>
                <w:rFonts w:eastAsia="Proxima Nova"/>
                <w:bCs/>
                <w:lang w:val="en-US" w:eastAsia="en-US"/>
              </w:rPr>
            </w:pPr>
            <w:r w:rsidRPr="00182400">
              <w:rPr>
                <w:rFonts w:eastAsia="Proxima Nova"/>
                <w:lang w:val="en-GB" w:eastAsia="en-US" w:bidi="en-GB"/>
              </w:rPr>
              <w:t>Improvements to the service related to better goal achievement and an appropriate (sustainable) technical and organisational solution for the operation of the service.</w:t>
            </w:r>
          </w:p>
          <w:p w14:paraId="1854E092" w14:textId="77777777" w:rsidR="00266AB3" w:rsidRPr="00182400" w:rsidRDefault="00266AB3" w:rsidP="00182400">
            <w:pPr>
              <w:rPr>
                <w:rStyle w:val="kursiv"/>
                <w:rFonts w:eastAsia="Proxima Nova"/>
                <w:lang w:val="en-GB" w:eastAsia="en-US"/>
              </w:rPr>
            </w:pPr>
            <w:r w:rsidRPr="00182400">
              <w:rPr>
                <w:rFonts w:eastAsia="Proxima Nova"/>
                <w:lang w:val="en-GB" w:eastAsia="en-US" w:bidi="en-GB"/>
              </w:rPr>
              <w:t xml:space="preserve">A possible adjustment of goals for further development and operation of </w:t>
            </w:r>
            <w:proofErr w:type="spellStart"/>
            <w:r w:rsidRPr="00182400">
              <w:rPr>
                <w:rFonts w:eastAsia="Proxima Nova"/>
                <w:lang w:val="en-GB" w:eastAsia="en-US" w:bidi="en-GB"/>
              </w:rPr>
              <w:t>eInnsyn</w:t>
            </w:r>
            <w:proofErr w:type="spellEnd"/>
            <w:r w:rsidRPr="00182400">
              <w:rPr>
                <w:rFonts w:eastAsia="Proxima Nova"/>
                <w:lang w:val="en-GB" w:eastAsia="en-US" w:bidi="en-GB"/>
              </w:rPr>
              <w:t>.</w:t>
            </w:r>
          </w:p>
        </w:tc>
      </w:tr>
    </w:tbl>
    <w:p w14:paraId="7D1698D6" w14:textId="77777777" w:rsidR="00266AB3" w:rsidRPr="00266AB3" w:rsidRDefault="00266AB3" w:rsidP="00FA06AB">
      <w:pPr>
        <w:rPr>
          <w:rStyle w:val="halvfet"/>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266AB3" w:rsidRPr="00182400" w14:paraId="781FB9D4" w14:textId="77777777" w:rsidTr="00182400">
        <w:tc>
          <w:tcPr>
            <w:tcW w:w="9450" w:type="dxa"/>
            <w:gridSpan w:val="2"/>
            <w:shd w:val="clear" w:color="auto" w:fill="auto"/>
          </w:tcPr>
          <w:p w14:paraId="66F24A78" w14:textId="77777777" w:rsidR="00266AB3" w:rsidRPr="00182400" w:rsidRDefault="00266AB3"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266AB3" w:rsidRPr="00182400" w14:paraId="44274F13" w14:textId="77777777" w:rsidTr="00182400">
        <w:trPr>
          <w:trHeight w:val="200"/>
        </w:trPr>
        <w:tc>
          <w:tcPr>
            <w:tcW w:w="3810" w:type="dxa"/>
            <w:shd w:val="clear" w:color="auto" w:fill="auto"/>
          </w:tcPr>
          <w:p w14:paraId="7428EADB" w14:textId="77777777" w:rsidR="00266AB3" w:rsidRPr="00182400" w:rsidRDefault="00266AB3" w:rsidP="00182400">
            <w:pPr>
              <w:pStyle w:val="TabellHode-kolonne"/>
              <w:rPr>
                <w:rStyle w:val="kursiv"/>
                <w:rFonts w:eastAsia="Proxima Nova"/>
                <w:lang w:eastAsia="en-US"/>
              </w:rPr>
            </w:pPr>
            <w:r w:rsidRPr="00182400">
              <w:rPr>
                <w:rStyle w:val="kursiv"/>
                <w:rFonts w:eastAsia="Proxima Nova"/>
                <w:lang w:eastAsia="en-US"/>
              </w:rPr>
              <w:t>Question</w:t>
            </w:r>
          </w:p>
        </w:tc>
        <w:tc>
          <w:tcPr>
            <w:tcW w:w="5640" w:type="dxa"/>
            <w:shd w:val="clear" w:color="auto" w:fill="auto"/>
          </w:tcPr>
          <w:p w14:paraId="60C6C2AD" w14:textId="77777777" w:rsidR="00266AB3" w:rsidRPr="00182400" w:rsidRDefault="00266AB3" w:rsidP="00182400">
            <w:pPr>
              <w:pStyle w:val="TabellHode-kolonne"/>
              <w:rPr>
                <w:rStyle w:val="kursiv"/>
                <w:rFonts w:eastAsia="Proxima Nova"/>
                <w:lang w:eastAsia="en-US"/>
              </w:rPr>
            </w:pPr>
            <w:proofErr w:type="spellStart"/>
            <w:r w:rsidRPr="00182400">
              <w:rPr>
                <w:rStyle w:val="kursiv"/>
                <w:rFonts w:eastAsia="Proxima Nova"/>
                <w:lang w:eastAsia="en-US"/>
              </w:rPr>
              <w:t>Answer</w:t>
            </w:r>
            <w:proofErr w:type="spellEnd"/>
            <w:r w:rsidRPr="00182400">
              <w:rPr>
                <w:rStyle w:val="kursiv"/>
                <w:rFonts w:eastAsia="Proxima Nova"/>
                <w:lang w:eastAsia="en-US"/>
              </w:rPr>
              <w:t xml:space="preserve"> </w:t>
            </w:r>
          </w:p>
        </w:tc>
      </w:tr>
      <w:tr w:rsidR="00266AB3" w:rsidRPr="00BB441C" w14:paraId="7608753B" w14:textId="77777777" w:rsidTr="00182400">
        <w:trPr>
          <w:trHeight w:val="200"/>
        </w:trPr>
        <w:tc>
          <w:tcPr>
            <w:tcW w:w="3810" w:type="dxa"/>
            <w:shd w:val="clear" w:color="auto" w:fill="auto"/>
          </w:tcPr>
          <w:p w14:paraId="331158C8" w14:textId="0C0F3C9E" w:rsidR="00266AB3" w:rsidRPr="00182400" w:rsidRDefault="00BB441C" w:rsidP="00BB441C">
            <w:pPr>
              <w:pStyle w:val="friliste"/>
              <w:rPr>
                <w:color w:val="434343"/>
                <w:lang w:val="en-US" w:eastAsia="en-US"/>
              </w:rPr>
            </w:pPr>
            <w:r w:rsidRPr="00182400">
              <w:rPr>
                <w:color w:val="434343"/>
                <w:lang w:val="en-US" w:eastAsia="en-US"/>
              </w:rPr>
              <w:t>1.</w:t>
            </w:r>
            <w:r w:rsidRPr="00182400">
              <w:rPr>
                <w:color w:val="434343"/>
                <w:lang w:val="en-US" w:eastAsia="en-US"/>
              </w:rPr>
              <w:tab/>
            </w:r>
            <w:r w:rsidR="00266AB3" w:rsidRPr="00182400">
              <w:rPr>
                <w:lang w:val="en-GB" w:eastAsia="en-US" w:bidi="en-GB"/>
              </w:rPr>
              <w:t xml:space="preserve">How will the commitment promote openness? </w:t>
            </w:r>
          </w:p>
        </w:tc>
        <w:tc>
          <w:tcPr>
            <w:tcW w:w="5640" w:type="dxa"/>
            <w:shd w:val="clear" w:color="auto" w:fill="auto"/>
          </w:tcPr>
          <w:p w14:paraId="3B87B212" w14:textId="77777777" w:rsidR="00266AB3" w:rsidRPr="00182400" w:rsidRDefault="00266AB3" w:rsidP="00182400">
            <w:pPr>
              <w:rPr>
                <w:rFonts w:eastAsia="Proxima Nova"/>
                <w:lang w:val="en-GB" w:eastAsia="en-US" w:bidi="en-GB"/>
              </w:rPr>
            </w:pPr>
            <w:r w:rsidRPr="00182400">
              <w:rPr>
                <w:rFonts w:eastAsia="Proxima Nova"/>
                <w:lang w:val="en-GB" w:eastAsia="en-US" w:bidi="en-GB"/>
              </w:rPr>
              <w:t xml:space="preserve">Contribute to the service continuing to be a good, </w:t>
            </w:r>
            <w:proofErr w:type="gramStart"/>
            <w:r w:rsidRPr="00182400">
              <w:rPr>
                <w:rFonts w:eastAsia="Proxima Nova"/>
                <w:lang w:val="en-GB" w:eastAsia="en-US" w:bidi="en-GB"/>
              </w:rPr>
              <w:t>secure</w:t>
            </w:r>
            <w:proofErr w:type="gramEnd"/>
            <w:r w:rsidRPr="00182400">
              <w:rPr>
                <w:rFonts w:eastAsia="Proxima Nova"/>
                <w:lang w:val="en-GB" w:eastAsia="en-US" w:bidi="en-GB"/>
              </w:rPr>
              <w:t xml:space="preserve"> and cost-effective tool for providing access to public documents.</w:t>
            </w:r>
          </w:p>
          <w:p w14:paraId="5FC725F8" w14:textId="77777777" w:rsidR="00266AB3" w:rsidRPr="00182400" w:rsidRDefault="00266AB3" w:rsidP="00182400">
            <w:pPr>
              <w:rPr>
                <w:rFonts w:eastAsia="Proxima Nova"/>
                <w:bCs/>
                <w:lang w:val="en-US" w:eastAsia="en-US"/>
              </w:rPr>
            </w:pPr>
            <w:r w:rsidRPr="00182400">
              <w:rPr>
                <w:rFonts w:eastAsia="Proxima Nova"/>
                <w:lang w:val="en-GB" w:eastAsia="en-US" w:bidi="en-GB"/>
              </w:rPr>
              <w:lastRenderedPageBreak/>
              <w:t>Increase confidence that we are managing and further developing the best possible solution. Public authorities have access to a secure and efficient way of ensuring openness.</w:t>
            </w:r>
          </w:p>
        </w:tc>
      </w:tr>
      <w:tr w:rsidR="00266AB3" w:rsidRPr="00BB441C" w14:paraId="58B82013" w14:textId="77777777" w:rsidTr="00182400">
        <w:trPr>
          <w:trHeight w:val="200"/>
        </w:trPr>
        <w:tc>
          <w:tcPr>
            <w:tcW w:w="3810" w:type="dxa"/>
            <w:shd w:val="clear" w:color="auto" w:fill="auto"/>
          </w:tcPr>
          <w:p w14:paraId="3D8645FB" w14:textId="7621DC59" w:rsidR="00266AB3" w:rsidRPr="00182400" w:rsidRDefault="00BB441C" w:rsidP="00BB441C">
            <w:pPr>
              <w:pStyle w:val="friliste"/>
              <w:rPr>
                <w:color w:val="434343"/>
                <w:lang w:val="en-US" w:eastAsia="en-US"/>
              </w:rPr>
            </w:pPr>
            <w:r w:rsidRPr="00182400">
              <w:rPr>
                <w:color w:val="434343"/>
                <w:lang w:val="en-US" w:eastAsia="en-US"/>
              </w:rPr>
              <w:lastRenderedPageBreak/>
              <w:t>2.</w:t>
            </w:r>
            <w:r w:rsidRPr="00182400">
              <w:rPr>
                <w:color w:val="434343"/>
                <w:lang w:val="en-US" w:eastAsia="en-US"/>
              </w:rPr>
              <w:tab/>
            </w:r>
            <w:r w:rsidR="00266AB3" w:rsidRPr="00182400">
              <w:rPr>
                <w:lang w:val="en-GB" w:eastAsia="en-US" w:bidi="en-GB"/>
              </w:rPr>
              <w:t xml:space="preserve">How will the commitment contribute to greater predictability? </w:t>
            </w:r>
          </w:p>
        </w:tc>
        <w:tc>
          <w:tcPr>
            <w:tcW w:w="5640" w:type="dxa"/>
            <w:shd w:val="clear" w:color="auto" w:fill="auto"/>
          </w:tcPr>
          <w:p w14:paraId="6337773D" w14:textId="77777777" w:rsidR="00266AB3" w:rsidRPr="00182400" w:rsidRDefault="00266AB3" w:rsidP="00182400">
            <w:pPr>
              <w:rPr>
                <w:rFonts w:eastAsia="Proxima Nova"/>
                <w:lang w:val="en-GB" w:eastAsia="en-US" w:bidi="en-GB"/>
              </w:rPr>
            </w:pPr>
            <w:r w:rsidRPr="00182400">
              <w:rPr>
                <w:rFonts w:eastAsia="Proxima Nova"/>
                <w:lang w:val="en-GB" w:eastAsia="en-US" w:bidi="en-GB"/>
              </w:rPr>
              <w:t>Improved access to public documents.</w:t>
            </w:r>
          </w:p>
          <w:p w14:paraId="61E63CD2" w14:textId="77777777" w:rsidR="00266AB3" w:rsidRPr="00182400" w:rsidRDefault="00266AB3" w:rsidP="00182400">
            <w:pPr>
              <w:rPr>
                <w:rFonts w:eastAsia="Proxima Nova"/>
                <w:lang w:val="en-US" w:eastAsia="en-US"/>
              </w:rPr>
            </w:pPr>
            <w:r w:rsidRPr="00182400">
              <w:rPr>
                <w:rFonts w:eastAsia="Proxima Nova"/>
                <w:lang w:val="en-GB" w:eastAsia="en-US" w:bidi="en-GB"/>
              </w:rPr>
              <w:t>The extent to which the current solution is geared towards the most user-friendly and comprehensive access to information from public agencies will be examined.</w:t>
            </w:r>
          </w:p>
        </w:tc>
      </w:tr>
      <w:tr w:rsidR="00266AB3" w:rsidRPr="00BB441C" w14:paraId="2042BF85" w14:textId="77777777" w:rsidTr="00182400">
        <w:trPr>
          <w:trHeight w:val="200"/>
        </w:trPr>
        <w:tc>
          <w:tcPr>
            <w:tcW w:w="3810" w:type="dxa"/>
            <w:shd w:val="clear" w:color="auto" w:fill="auto"/>
          </w:tcPr>
          <w:p w14:paraId="2AB3664D" w14:textId="1B53BA61" w:rsidR="00266AB3" w:rsidRPr="00182400" w:rsidRDefault="00BB441C" w:rsidP="00BB441C">
            <w:pPr>
              <w:pStyle w:val="friliste"/>
              <w:rPr>
                <w:color w:val="434343"/>
                <w:lang w:val="en-US" w:eastAsia="en-US"/>
              </w:rPr>
            </w:pPr>
            <w:r w:rsidRPr="00182400">
              <w:rPr>
                <w:color w:val="434343"/>
                <w:lang w:val="en-US" w:eastAsia="en-US"/>
              </w:rPr>
              <w:t>3.</w:t>
            </w:r>
            <w:r w:rsidRPr="00182400">
              <w:rPr>
                <w:color w:val="434343"/>
                <w:lang w:val="en-US" w:eastAsia="en-US"/>
              </w:rPr>
              <w:tab/>
            </w:r>
            <w:r w:rsidR="00266AB3" w:rsidRPr="00182400">
              <w:rPr>
                <w:lang w:val="en-GB" w:eastAsia="en-US" w:bidi="en-GB"/>
              </w:rPr>
              <w:t xml:space="preserve">How will the commitment improve the opportunity for citizens to participate by publicising, </w:t>
            </w:r>
            <w:proofErr w:type="gramStart"/>
            <w:r w:rsidR="00266AB3" w:rsidRPr="00182400">
              <w:rPr>
                <w:lang w:val="en-GB" w:eastAsia="en-US" w:bidi="en-GB"/>
              </w:rPr>
              <w:t>implementing</w:t>
            </w:r>
            <w:proofErr w:type="gramEnd"/>
            <w:r w:rsidR="00266AB3" w:rsidRPr="00182400">
              <w:rPr>
                <w:lang w:val="en-GB" w:eastAsia="en-US" w:bidi="en-GB"/>
              </w:rPr>
              <w:t xml:space="preserve"> and monitoring the solutions? </w:t>
            </w:r>
          </w:p>
        </w:tc>
        <w:tc>
          <w:tcPr>
            <w:tcW w:w="5640" w:type="dxa"/>
            <w:shd w:val="clear" w:color="auto" w:fill="auto"/>
          </w:tcPr>
          <w:p w14:paraId="3F6852F1" w14:textId="77777777" w:rsidR="00266AB3" w:rsidRPr="00182400" w:rsidRDefault="00266AB3" w:rsidP="00182400">
            <w:pPr>
              <w:rPr>
                <w:rFonts w:eastAsia="Proxima Nova"/>
                <w:bCs/>
                <w:lang w:val="en-US" w:eastAsia="en-US"/>
              </w:rPr>
            </w:pPr>
            <w:r w:rsidRPr="00182400">
              <w:rPr>
                <w:rFonts w:eastAsia="Proxima Nova"/>
                <w:lang w:val="en-GB" w:eastAsia="en-US" w:bidi="en-GB"/>
              </w:rPr>
              <w:t xml:space="preserve">An evaluated service will give citizens, the </w:t>
            </w:r>
            <w:proofErr w:type="gramStart"/>
            <w:r w:rsidRPr="00182400">
              <w:rPr>
                <w:rFonts w:eastAsia="Proxima Nova"/>
                <w:lang w:val="en-GB" w:eastAsia="en-US" w:bidi="en-GB"/>
              </w:rPr>
              <w:t>media</w:t>
            </w:r>
            <w:proofErr w:type="gramEnd"/>
            <w:r w:rsidRPr="00182400">
              <w:rPr>
                <w:rFonts w:eastAsia="Proxima Nova"/>
                <w:lang w:val="en-GB" w:eastAsia="en-US" w:bidi="en-GB"/>
              </w:rPr>
              <w:t xml:space="preserve"> and the press greater confidence that the service will provide the best possible overview of public documents for which access can be requested. A commitment to evaluating the service can make an important contribution to improving the service.</w:t>
            </w:r>
          </w:p>
        </w:tc>
      </w:tr>
    </w:tbl>
    <w:p w14:paraId="3BBA0E3C" w14:textId="77777777" w:rsidR="00266AB3" w:rsidRDefault="00266AB3" w:rsidP="00FA06AB">
      <w:pPr>
        <w:rPr>
          <w:rStyle w:val="halvfet"/>
          <w:lang w:val="en-GB"/>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6"/>
        <w:gridCol w:w="2410"/>
        <w:gridCol w:w="1559"/>
        <w:gridCol w:w="3828"/>
      </w:tblGrid>
      <w:tr w:rsidR="00EE73CE" w:rsidRPr="00182400" w14:paraId="7B816682" w14:textId="77777777" w:rsidTr="005258C8">
        <w:trPr>
          <w:trHeight w:val="210"/>
        </w:trPr>
        <w:tc>
          <w:tcPr>
            <w:tcW w:w="9493" w:type="dxa"/>
            <w:gridSpan w:val="4"/>
            <w:shd w:val="clear" w:color="auto" w:fill="auto"/>
          </w:tcPr>
          <w:p w14:paraId="7A1E67CF" w14:textId="77777777" w:rsidR="00EE73CE" w:rsidRPr="00182400" w:rsidRDefault="00EE73CE" w:rsidP="005258C8">
            <w:pPr>
              <w:pStyle w:val="TabellHode-kolonne"/>
              <w:rPr>
                <w:rStyle w:val="halvfet"/>
                <w:rFonts w:eastAsia="Proxima Nova"/>
                <w:lang w:eastAsia="en-US"/>
              </w:rPr>
            </w:pPr>
            <w:r w:rsidRPr="00182400">
              <w:rPr>
                <w:rStyle w:val="halvfet"/>
                <w:rFonts w:eastAsia="Proxima Nova"/>
                <w:lang w:eastAsia="en-US"/>
              </w:rPr>
              <w:t xml:space="preserve">Plan for </w:t>
            </w:r>
            <w:proofErr w:type="spellStart"/>
            <w:r w:rsidRPr="00182400">
              <w:rPr>
                <w:rStyle w:val="halvfet"/>
                <w:rFonts w:eastAsia="Proxima Nova"/>
                <w:lang w:eastAsia="en-US"/>
              </w:rPr>
              <w:t>commitment</w:t>
            </w:r>
            <w:proofErr w:type="spellEnd"/>
          </w:p>
        </w:tc>
      </w:tr>
      <w:tr w:rsidR="00EE73CE" w:rsidRPr="00182400" w14:paraId="38A1B831" w14:textId="77777777" w:rsidTr="005258C8">
        <w:trPr>
          <w:trHeight w:val="200"/>
        </w:trPr>
        <w:tc>
          <w:tcPr>
            <w:tcW w:w="1696" w:type="dxa"/>
            <w:shd w:val="clear" w:color="auto" w:fill="auto"/>
          </w:tcPr>
          <w:p w14:paraId="2E46823D" w14:textId="77777777" w:rsidR="00EE73CE" w:rsidRPr="00182400" w:rsidRDefault="00EE73CE" w:rsidP="005258C8">
            <w:pPr>
              <w:pStyle w:val="TabellHode-kolonne"/>
              <w:rPr>
                <w:rStyle w:val="kursiv"/>
                <w:rFonts w:eastAsia="Proxima Nova"/>
                <w:lang w:eastAsia="en-US"/>
              </w:rPr>
            </w:pPr>
            <w:r w:rsidRPr="00182400">
              <w:rPr>
                <w:rStyle w:val="kursiv"/>
                <w:rFonts w:eastAsia="Proxima Nova"/>
                <w:lang w:eastAsia="en-US"/>
              </w:rPr>
              <w:t>Milestones</w:t>
            </w:r>
          </w:p>
        </w:tc>
        <w:tc>
          <w:tcPr>
            <w:tcW w:w="2410" w:type="dxa"/>
            <w:shd w:val="clear" w:color="auto" w:fill="auto"/>
          </w:tcPr>
          <w:p w14:paraId="61FF1F1F" w14:textId="77777777" w:rsidR="00EE73CE" w:rsidRPr="00182400" w:rsidRDefault="00EE73CE"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outcome</w:t>
            </w:r>
            <w:proofErr w:type="spellEnd"/>
          </w:p>
        </w:tc>
        <w:tc>
          <w:tcPr>
            <w:tcW w:w="1559" w:type="dxa"/>
            <w:shd w:val="clear" w:color="auto" w:fill="auto"/>
          </w:tcPr>
          <w:p w14:paraId="1359D49C" w14:textId="77777777" w:rsidR="00EE73CE" w:rsidRPr="00182400" w:rsidRDefault="00EE73CE"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p>
          <w:p w14:paraId="783E312C" w14:textId="77777777" w:rsidR="00EE73CE" w:rsidRPr="00182400" w:rsidRDefault="00EE73CE" w:rsidP="005258C8">
            <w:pPr>
              <w:pStyle w:val="TabellHode-kolonne"/>
              <w:rPr>
                <w:rStyle w:val="kursiv"/>
                <w:rFonts w:eastAsia="Proxima Nova"/>
                <w:lang w:eastAsia="en-US"/>
              </w:rPr>
            </w:pPr>
            <w:proofErr w:type="spellStart"/>
            <w:r w:rsidRPr="00182400">
              <w:rPr>
                <w:rStyle w:val="kursiv"/>
                <w:rFonts w:eastAsia="Proxima Nova"/>
                <w:lang w:eastAsia="en-US"/>
              </w:rPr>
              <w:t>completion</w:t>
            </w:r>
            <w:proofErr w:type="spellEnd"/>
            <w:r w:rsidRPr="00182400">
              <w:rPr>
                <w:rStyle w:val="kursiv"/>
                <w:rFonts w:eastAsia="Proxima Nova"/>
                <w:lang w:eastAsia="en-US"/>
              </w:rPr>
              <w:t xml:space="preserve"> date</w:t>
            </w:r>
          </w:p>
        </w:tc>
        <w:tc>
          <w:tcPr>
            <w:tcW w:w="3828" w:type="dxa"/>
            <w:shd w:val="clear" w:color="auto" w:fill="auto"/>
          </w:tcPr>
          <w:p w14:paraId="04F15049" w14:textId="77777777" w:rsidR="00EE73CE" w:rsidRPr="00182400" w:rsidRDefault="00EE73CE" w:rsidP="005258C8">
            <w:pPr>
              <w:pStyle w:val="TabellHode-kolonne"/>
              <w:rPr>
                <w:rStyle w:val="kursiv"/>
                <w:rFonts w:eastAsia="Proxima Nova"/>
                <w:lang w:eastAsia="en-US"/>
              </w:rPr>
            </w:pPr>
            <w:r w:rsidRPr="00182400">
              <w:rPr>
                <w:rStyle w:val="kursiv"/>
                <w:rFonts w:eastAsia="Proxima Nova"/>
                <w:lang w:eastAsia="en-US"/>
              </w:rPr>
              <w:t xml:space="preserve">Stakeholders </w:t>
            </w:r>
          </w:p>
        </w:tc>
      </w:tr>
      <w:tr w:rsidR="00EE73CE" w:rsidRPr="00BB441C" w14:paraId="27AD7618" w14:textId="77777777" w:rsidTr="00301062">
        <w:trPr>
          <w:trHeight w:val="2508"/>
        </w:trPr>
        <w:tc>
          <w:tcPr>
            <w:tcW w:w="1696" w:type="dxa"/>
            <w:shd w:val="clear" w:color="auto" w:fill="auto"/>
          </w:tcPr>
          <w:p w14:paraId="2F240811" w14:textId="77777777" w:rsidR="00EE73CE" w:rsidRPr="00182400" w:rsidRDefault="00EE73CE" w:rsidP="005258C8">
            <w:pPr>
              <w:rPr>
                <w:rFonts w:eastAsia="Proxima Nova"/>
                <w:lang w:eastAsia="en-US"/>
              </w:rPr>
            </w:pPr>
            <w:r w:rsidRPr="00182400">
              <w:rPr>
                <w:rFonts w:eastAsia="Proxima Nova"/>
                <w:lang w:eastAsia="en-US"/>
              </w:rPr>
              <w:t xml:space="preserve">Start an </w:t>
            </w:r>
            <w:proofErr w:type="spellStart"/>
            <w:r w:rsidRPr="00182400">
              <w:rPr>
                <w:rFonts w:eastAsia="Proxima Nova"/>
                <w:lang w:eastAsia="en-US"/>
              </w:rPr>
              <w:t>evaluation</w:t>
            </w:r>
            <w:proofErr w:type="spellEnd"/>
            <w:r w:rsidRPr="00182400">
              <w:rPr>
                <w:rFonts w:eastAsia="Proxima Nova"/>
                <w:lang w:eastAsia="en-US"/>
              </w:rPr>
              <w:t>:</w:t>
            </w:r>
          </w:p>
          <w:p w14:paraId="14564CF8" w14:textId="77777777" w:rsidR="00EE73CE" w:rsidRPr="00182400" w:rsidRDefault="00EE73CE" w:rsidP="005258C8">
            <w:pPr>
              <w:rPr>
                <w:rFonts w:eastAsia="Proxima Nova"/>
                <w:lang w:eastAsia="en-US"/>
              </w:rPr>
            </w:pPr>
            <w:r w:rsidRPr="00182400">
              <w:rPr>
                <w:rFonts w:eastAsia="Proxima Nova"/>
                <w:lang w:eastAsia="en-US"/>
              </w:rPr>
              <w:t>2023–2026</w:t>
            </w:r>
          </w:p>
        </w:tc>
        <w:tc>
          <w:tcPr>
            <w:tcW w:w="2410" w:type="dxa"/>
            <w:shd w:val="clear" w:color="auto" w:fill="auto"/>
          </w:tcPr>
          <w:p w14:paraId="4DD382EF" w14:textId="77777777" w:rsidR="00EE73CE" w:rsidRPr="00182400" w:rsidRDefault="00EE73CE" w:rsidP="005258C8">
            <w:pPr>
              <w:rPr>
                <w:rFonts w:eastAsia="Proxima Nova"/>
                <w:lang w:val="en-GB" w:eastAsia="en-US"/>
              </w:rPr>
            </w:pPr>
            <w:r w:rsidRPr="00182400">
              <w:rPr>
                <w:rFonts w:eastAsia="Proxima Nova"/>
                <w:lang w:val="en-GB" w:eastAsia="en-US"/>
              </w:rPr>
              <w:t xml:space="preserve">Receive a report from the evaluation </w:t>
            </w:r>
          </w:p>
        </w:tc>
        <w:tc>
          <w:tcPr>
            <w:tcW w:w="1559" w:type="dxa"/>
            <w:shd w:val="clear" w:color="auto" w:fill="auto"/>
          </w:tcPr>
          <w:p w14:paraId="4652F78C" w14:textId="77777777" w:rsidR="00EE73CE" w:rsidRPr="00182400" w:rsidRDefault="00EE73CE" w:rsidP="005258C8">
            <w:pPr>
              <w:rPr>
                <w:rFonts w:eastAsia="Proxima Nova"/>
                <w:lang w:eastAsia="en-US"/>
              </w:rPr>
            </w:pPr>
            <w:r w:rsidRPr="00182400">
              <w:rPr>
                <w:rFonts w:eastAsia="Proxima Nova"/>
                <w:lang w:eastAsia="en-US"/>
              </w:rPr>
              <w:t>2026</w:t>
            </w:r>
          </w:p>
        </w:tc>
        <w:tc>
          <w:tcPr>
            <w:tcW w:w="3828" w:type="dxa"/>
            <w:shd w:val="clear" w:color="auto" w:fill="auto"/>
          </w:tcPr>
          <w:tbl>
            <w:tblPr>
              <w:tblStyle w:val="StandardTabell"/>
              <w:tblW w:w="0" w:type="auto"/>
              <w:tblLayout w:type="fixed"/>
              <w:tblLook w:val="04A0" w:firstRow="1" w:lastRow="0" w:firstColumn="1" w:lastColumn="0" w:noHBand="0" w:noVBand="1"/>
            </w:tblPr>
            <w:tblGrid>
              <w:gridCol w:w="1200"/>
              <w:gridCol w:w="1201"/>
              <w:gridCol w:w="1201"/>
            </w:tblGrid>
            <w:tr w:rsidR="00EE73CE" w14:paraId="6D63CA50" w14:textId="77777777" w:rsidTr="006D203F">
              <w:tc>
                <w:tcPr>
                  <w:tcW w:w="3602" w:type="dxa"/>
                  <w:gridSpan w:val="3"/>
                </w:tcPr>
                <w:p w14:paraId="1354EB15" w14:textId="77777777" w:rsidR="00EE73CE" w:rsidRPr="00182400" w:rsidRDefault="00EE73CE" w:rsidP="00EE73CE">
                  <w:pPr>
                    <w:rPr>
                      <w:rFonts w:eastAsia="Proxima Nova"/>
                      <w:lang w:val="en-GB"/>
                    </w:rPr>
                  </w:pPr>
                  <w:r w:rsidRPr="00182400">
                    <w:rPr>
                      <w:rFonts w:eastAsia="Proxima Nova"/>
                      <w:lang w:val="en-GB"/>
                    </w:rPr>
                    <w:t>Responsible:</w:t>
                  </w:r>
                </w:p>
                <w:p w14:paraId="42AC7726" w14:textId="3BCB461E" w:rsidR="00EE73CE" w:rsidRDefault="00EE73CE" w:rsidP="00EE73CE">
                  <w:pPr>
                    <w:rPr>
                      <w:rFonts w:eastAsia="Proxima Nova"/>
                      <w:lang w:val="en-GB"/>
                    </w:rPr>
                  </w:pPr>
                  <w:r w:rsidRPr="00182400">
                    <w:rPr>
                      <w:rFonts w:eastAsia="Proxima Nova"/>
                      <w:lang w:val="en-GB"/>
                    </w:rPr>
                    <w:t>Department of National IT Policy and Public Governance</w:t>
                  </w:r>
                </w:p>
              </w:tc>
            </w:tr>
            <w:tr w:rsidR="00EE73CE" w14:paraId="65E58186" w14:textId="77777777" w:rsidTr="004D38EC">
              <w:tc>
                <w:tcPr>
                  <w:tcW w:w="3602" w:type="dxa"/>
                  <w:gridSpan w:val="3"/>
                </w:tcPr>
                <w:p w14:paraId="03EE3EA2" w14:textId="2FFA020C" w:rsidR="00EE73CE" w:rsidRDefault="00EE73CE" w:rsidP="005258C8">
                  <w:pPr>
                    <w:rPr>
                      <w:rFonts w:eastAsia="Proxima Nova"/>
                      <w:lang w:val="en-GB"/>
                    </w:rPr>
                  </w:pPr>
                  <w:r w:rsidRPr="00182400">
                    <w:rPr>
                      <w:rFonts w:eastAsia="Proxima Nova"/>
                    </w:rPr>
                    <w:t>Stakeholders/supporters</w:t>
                  </w:r>
                </w:p>
              </w:tc>
            </w:tr>
            <w:tr w:rsidR="00EE73CE" w14:paraId="25E1552F" w14:textId="77777777" w:rsidTr="00EE73CE">
              <w:tc>
                <w:tcPr>
                  <w:tcW w:w="1200" w:type="dxa"/>
                </w:tcPr>
                <w:p w14:paraId="32C029C0" w14:textId="77777777" w:rsidR="00EE73CE" w:rsidRPr="00182400" w:rsidRDefault="00EE73CE" w:rsidP="00EE73CE">
                  <w:pPr>
                    <w:rPr>
                      <w:rFonts w:eastAsia="Proxima Nova"/>
                    </w:rPr>
                  </w:pPr>
                  <w:r w:rsidRPr="00182400">
                    <w:rPr>
                      <w:rFonts w:eastAsia="Proxima Nova"/>
                    </w:rPr>
                    <w:t xml:space="preserve">Public </w:t>
                  </w:r>
                  <w:proofErr w:type="spellStart"/>
                  <w:r w:rsidRPr="00182400">
                    <w:rPr>
                      <w:rFonts w:eastAsia="Proxima Nova"/>
                    </w:rPr>
                    <w:t>administration</w:t>
                  </w:r>
                  <w:proofErr w:type="spellEnd"/>
                </w:p>
                <w:p w14:paraId="110E8484" w14:textId="77777777" w:rsidR="00EE73CE" w:rsidRPr="00182400" w:rsidRDefault="00EE73CE" w:rsidP="00EE73CE">
                  <w:pPr>
                    <w:rPr>
                      <w:rFonts w:eastAsia="Proxima Nova"/>
                    </w:rPr>
                  </w:pPr>
                  <w:proofErr w:type="spellStart"/>
                  <w:r w:rsidRPr="00182400">
                    <w:rPr>
                      <w:rFonts w:eastAsia="Proxima Nova"/>
                    </w:rPr>
                    <w:t>Digdir</w:t>
                  </w:r>
                  <w:proofErr w:type="spellEnd"/>
                </w:p>
                <w:p w14:paraId="30A6E61F" w14:textId="74FE86A7" w:rsidR="00EE73CE" w:rsidRDefault="00EE73CE" w:rsidP="00EE73CE">
                  <w:pPr>
                    <w:rPr>
                      <w:rFonts w:eastAsia="Proxima Nova"/>
                      <w:lang w:val="en-GB"/>
                    </w:rPr>
                  </w:pPr>
                  <w:r w:rsidRPr="00182400">
                    <w:rPr>
                      <w:rFonts w:eastAsia="Proxima Nova"/>
                    </w:rPr>
                    <w:lastRenderedPageBreak/>
                    <w:t>Ministries etc.</w:t>
                  </w:r>
                </w:p>
              </w:tc>
              <w:tc>
                <w:tcPr>
                  <w:tcW w:w="1201" w:type="dxa"/>
                </w:tcPr>
                <w:p w14:paraId="0DD6F115" w14:textId="6380B88A" w:rsidR="00EE73CE" w:rsidRDefault="00EE73CE" w:rsidP="00EE73CE">
                  <w:pPr>
                    <w:rPr>
                      <w:rFonts w:eastAsia="Proxima Nova"/>
                      <w:lang w:val="en-GB"/>
                    </w:rPr>
                  </w:pPr>
                  <w:proofErr w:type="spellStart"/>
                  <w:r w:rsidRPr="00182400">
                    <w:rPr>
                      <w:rFonts w:eastAsia="Proxima Nova"/>
                    </w:rPr>
                    <w:lastRenderedPageBreak/>
                    <w:t>Civil</w:t>
                  </w:r>
                  <w:proofErr w:type="spellEnd"/>
                  <w:r w:rsidRPr="00182400">
                    <w:rPr>
                      <w:rFonts w:eastAsia="Proxima Nova"/>
                    </w:rPr>
                    <w:t xml:space="preserve"> </w:t>
                  </w:r>
                  <w:proofErr w:type="spellStart"/>
                  <w:r w:rsidRPr="00182400">
                    <w:rPr>
                      <w:rFonts w:eastAsia="Proxima Nova"/>
                    </w:rPr>
                    <w:t>society</w:t>
                  </w:r>
                  <w:proofErr w:type="spellEnd"/>
                  <w:r w:rsidRPr="00182400">
                    <w:rPr>
                      <w:rFonts w:eastAsia="Proxima Nova"/>
                    </w:rPr>
                    <w:t xml:space="preserve"> </w:t>
                  </w:r>
                  <w:proofErr w:type="spellStart"/>
                  <w:r w:rsidRPr="00182400">
                    <w:rPr>
                      <w:rFonts w:eastAsia="Proxima Nova"/>
                    </w:rPr>
                    <w:t>organisations</w:t>
                  </w:r>
                  <w:proofErr w:type="spellEnd"/>
                </w:p>
              </w:tc>
              <w:tc>
                <w:tcPr>
                  <w:tcW w:w="1201" w:type="dxa"/>
                </w:tcPr>
                <w:p w14:paraId="09EB607D" w14:textId="5C347A58" w:rsidR="00EE73CE" w:rsidRDefault="00EE73CE" w:rsidP="00EE73CE">
                  <w:pPr>
                    <w:rPr>
                      <w:rFonts w:eastAsia="Proxima Nova"/>
                      <w:lang w:val="en-GB"/>
                    </w:rPr>
                  </w:pPr>
                  <w:r w:rsidRPr="00182400">
                    <w:rPr>
                      <w:rFonts w:eastAsia="Proxima Nova"/>
                      <w:lang w:val="en-GB"/>
                    </w:rPr>
                    <w:t>Others (</w:t>
                  </w:r>
                  <w:proofErr w:type="gramStart"/>
                  <w:r w:rsidRPr="00182400">
                    <w:rPr>
                      <w:rFonts w:eastAsia="Proxima Nova"/>
                      <w:lang w:val="en-GB"/>
                    </w:rPr>
                    <w:t>e.g.</w:t>
                  </w:r>
                  <w:proofErr w:type="gramEnd"/>
                  <w:r w:rsidRPr="00182400">
                    <w:rPr>
                      <w:rFonts w:eastAsia="Proxima Nova"/>
                      <w:lang w:val="en-GB"/>
                    </w:rPr>
                    <w:t xml:space="preserve"> parliament, civil </w:t>
                  </w:r>
                  <w:r w:rsidRPr="00182400">
                    <w:rPr>
                      <w:rFonts w:eastAsia="Proxima Nova"/>
                      <w:lang w:val="en-GB"/>
                    </w:rPr>
                    <w:lastRenderedPageBreak/>
                    <w:t>society, others)</w:t>
                  </w:r>
                </w:p>
              </w:tc>
            </w:tr>
            <w:tr w:rsidR="00EE73CE" w14:paraId="76A9B604" w14:textId="77777777" w:rsidTr="00EE73CE">
              <w:tc>
                <w:tcPr>
                  <w:tcW w:w="1200" w:type="dxa"/>
                </w:tcPr>
                <w:p w14:paraId="508DA146" w14:textId="77777777" w:rsidR="00EE73CE" w:rsidRDefault="00EE73CE" w:rsidP="00EE73CE">
                  <w:pPr>
                    <w:rPr>
                      <w:rFonts w:eastAsia="Proxima Nova"/>
                      <w:lang w:val="en-GB"/>
                    </w:rPr>
                  </w:pPr>
                </w:p>
              </w:tc>
              <w:tc>
                <w:tcPr>
                  <w:tcW w:w="1201" w:type="dxa"/>
                </w:tcPr>
                <w:p w14:paraId="35C11DFA" w14:textId="77777777" w:rsidR="00EE73CE" w:rsidRPr="00182400" w:rsidRDefault="00EE73CE" w:rsidP="00EE73CE">
                  <w:pPr>
                    <w:rPr>
                      <w:rFonts w:eastAsia="Proxima Nova"/>
                      <w:lang w:val="en-GB"/>
                    </w:rPr>
                  </w:pPr>
                  <w:r w:rsidRPr="00182400">
                    <w:rPr>
                      <w:rFonts w:eastAsia="Proxima Nova"/>
                      <w:lang w:val="en-GB"/>
                    </w:rPr>
                    <w:t>Press</w:t>
                  </w:r>
                </w:p>
                <w:p w14:paraId="4CA7CC66" w14:textId="77777777" w:rsidR="00EE73CE" w:rsidRPr="00182400" w:rsidRDefault="00EE73CE" w:rsidP="00EE73CE">
                  <w:pPr>
                    <w:rPr>
                      <w:rFonts w:eastAsia="Proxima Nova"/>
                      <w:lang w:val="en-GB"/>
                    </w:rPr>
                  </w:pPr>
                  <w:r w:rsidRPr="00182400">
                    <w:rPr>
                      <w:rFonts w:eastAsia="Proxima Nova"/>
                      <w:lang w:val="en-GB"/>
                    </w:rPr>
                    <w:t>Media</w:t>
                  </w:r>
                </w:p>
                <w:p w14:paraId="6470D2EB" w14:textId="5C5930F5" w:rsidR="00EE73CE" w:rsidRDefault="00EE73CE" w:rsidP="00EE73CE">
                  <w:pPr>
                    <w:rPr>
                      <w:rFonts w:eastAsia="Proxima Nova"/>
                      <w:lang w:val="en-GB"/>
                    </w:rPr>
                  </w:pPr>
                  <w:r w:rsidRPr="00182400">
                    <w:rPr>
                      <w:rFonts w:eastAsia="Proxima Nova"/>
                      <w:lang w:val="en-GB"/>
                    </w:rPr>
                    <w:t xml:space="preserve">Norwegian Society of Records Managers and Archivists </w:t>
                  </w:r>
                </w:p>
              </w:tc>
              <w:tc>
                <w:tcPr>
                  <w:tcW w:w="1201" w:type="dxa"/>
                </w:tcPr>
                <w:p w14:paraId="57586F11" w14:textId="77777777" w:rsidR="00EE73CE" w:rsidRDefault="00EE73CE" w:rsidP="00EE73CE">
                  <w:pPr>
                    <w:rPr>
                      <w:rFonts w:eastAsia="Proxima Nova"/>
                      <w:lang w:val="en-GB"/>
                    </w:rPr>
                  </w:pPr>
                </w:p>
              </w:tc>
            </w:tr>
          </w:tbl>
          <w:p w14:paraId="39E1D4CC" w14:textId="081457BC" w:rsidR="00EE73CE" w:rsidRPr="00182400" w:rsidRDefault="00EE73CE" w:rsidP="005258C8">
            <w:pPr>
              <w:rPr>
                <w:rFonts w:eastAsia="Proxima Nova"/>
                <w:lang w:val="en-GB" w:eastAsia="en-US"/>
              </w:rPr>
            </w:pPr>
          </w:p>
        </w:tc>
      </w:tr>
    </w:tbl>
    <w:p w14:paraId="47BE8B0F" w14:textId="77777777" w:rsidR="00266AB3" w:rsidRPr="00266AB3" w:rsidRDefault="00266AB3" w:rsidP="00FA06AB">
      <w:pPr>
        <w:rPr>
          <w:rStyle w:val="halvfet"/>
          <w:lang w:val="en-GB"/>
        </w:rPr>
      </w:pPr>
    </w:p>
    <w:p w14:paraId="73E98D59" w14:textId="77777777" w:rsidR="00FA06AB" w:rsidRPr="00A931A6" w:rsidRDefault="00FA06AB" w:rsidP="00291078">
      <w:pPr>
        <w:pStyle w:val="Overskrift2"/>
        <w:rPr>
          <w:rFonts w:eastAsia="Proxima Nova"/>
          <w:lang w:val="en-US"/>
        </w:rPr>
      </w:pPr>
      <w:r w:rsidRPr="00291078">
        <w:rPr>
          <w:rFonts w:eastAsia="Proxima Nova"/>
          <w:lang w:val="en-GB" w:bidi="en-GB"/>
        </w:rPr>
        <w:t xml:space="preserve">Develop a more strategic approach to anti-corruption </w:t>
      </w:r>
      <w:proofErr w:type="gramStart"/>
      <w:r w:rsidRPr="00291078">
        <w:rPr>
          <w:rFonts w:eastAsia="Proxima Nova"/>
          <w:lang w:val="en-GB" w:bidi="en-GB"/>
        </w:rPr>
        <w:t>work</w:t>
      </w:r>
      <w:proofErr w:type="gramEnd"/>
    </w:p>
    <w:p w14:paraId="61E07EE6" w14:textId="77777777" w:rsidR="00A14306" w:rsidRPr="00A931A6" w:rsidRDefault="00A14306" w:rsidP="00A14306">
      <w:pPr>
        <w:rPr>
          <w:lang w:val="en-US"/>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0"/>
        <w:gridCol w:w="2589"/>
        <w:gridCol w:w="2589"/>
      </w:tblGrid>
      <w:tr w:rsidR="00225303" w:rsidRPr="00BB441C" w14:paraId="7BB6EE26" w14:textId="77777777" w:rsidTr="00182400">
        <w:tc>
          <w:tcPr>
            <w:tcW w:w="1702" w:type="dxa"/>
            <w:shd w:val="clear" w:color="auto" w:fill="auto"/>
          </w:tcPr>
          <w:p w14:paraId="7C712939" w14:textId="77777777" w:rsidR="00225303" w:rsidRPr="00642710" w:rsidRDefault="001A31DB" w:rsidP="00182400">
            <w:pPr>
              <w:pStyle w:val="TabellHode-rad"/>
              <w:rPr>
                <w:rStyle w:val="kursiv"/>
                <w:rFonts w:eastAsia="Proxima Nova"/>
              </w:rPr>
            </w:pPr>
            <w:proofErr w:type="spellStart"/>
            <w:r w:rsidRPr="00642710">
              <w:rPr>
                <w:rStyle w:val="kursiv"/>
                <w:rFonts w:eastAsia="Proxima Nova"/>
              </w:rPr>
              <w:t>Title</w:t>
            </w:r>
            <w:proofErr w:type="spellEnd"/>
          </w:p>
        </w:tc>
        <w:tc>
          <w:tcPr>
            <w:tcW w:w="7768" w:type="dxa"/>
            <w:gridSpan w:val="3"/>
            <w:shd w:val="clear" w:color="auto" w:fill="auto"/>
          </w:tcPr>
          <w:p w14:paraId="1C477096" w14:textId="77777777" w:rsidR="00225303" w:rsidRPr="00BB441C" w:rsidRDefault="00225303" w:rsidP="00182400">
            <w:pPr>
              <w:spacing w:line="240" w:lineRule="auto"/>
              <w:rPr>
                <w:rFonts w:eastAsia="Proxima Nova"/>
                <w:lang w:val="en-GB" w:eastAsia="en-US"/>
              </w:rPr>
            </w:pPr>
            <w:r w:rsidRPr="00BB441C">
              <w:rPr>
                <w:rFonts w:eastAsia="Proxima Nova"/>
                <w:lang w:val="en-GB" w:eastAsia="en-US"/>
              </w:rPr>
              <w:t>Develop a more strategic approach to anti-corruption work</w:t>
            </w:r>
          </w:p>
        </w:tc>
      </w:tr>
      <w:tr w:rsidR="00225303" w:rsidRPr="00BB441C" w14:paraId="2330D9CE" w14:textId="77777777" w:rsidTr="00182400">
        <w:tc>
          <w:tcPr>
            <w:tcW w:w="1702" w:type="dxa"/>
            <w:shd w:val="clear" w:color="auto" w:fill="auto"/>
          </w:tcPr>
          <w:p w14:paraId="33DB28D5" w14:textId="77777777" w:rsidR="00225303" w:rsidRPr="00642710" w:rsidRDefault="00225303" w:rsidP="00182400">
            <w:pPr>
              <w:pStyle w:val="TabellHode-rad"/>
              <w:rPr>
                <w:rStyle w:val="kursiv"/>
                <w:rFonts w:eastAsia="Proxima Nova"/>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68" w:type="dxa"/>
            <w:gridSpan w:val="3"/>
            <w:shd w:val="clear" w:color="auto" w:fill="auto"/>
          </w:tcPr>
          <w:p w14:paraId="79BA451F" w14:textId="77777777" w:rsidR="00291078" w:rsidRPr="00BB441C" w:rsidRDefault="00225303">
            <w:pPr>
              <w:pStyle w:val="Nummerertliste"/>
              <w:numPr>
                <w:ilvl w:val="0"/>
                <w:numId w:val="41"/>
              </w:numPr>
              <w:rPr>
                <w:szCs w:val="22"/>
                <w:lang w:val="en-GB" w:eastAsia="en-US"/>
              </w:rPr>
            </w:pPr>
            <w:r w:rsidRPr="00BB441C">
              <w:rPr>
                <w:szCs w:val="22"/>
                <w:lang w:val="en-GB" w:eastAsia="en-US"/>
              </w:rPr>
              <w:t>The authorities shall develop a more strategic approach to anti-corruption work. Relevant initiatives will be addressed through the forthcoming white paper on economic crime and will be concretised in the follow-up of this report.</w:t>
            </w:r>
          </w:p>
          <w:p w14:paraId="79FABCFB" w14:textId="77777777" w:rsidR="00225303" w:rsidRPr="00BB441C" w:rsidRDefault="00225303">
            <w:pPr>
              <w:pStyle w:val="Nummerertliste"/>
              <w:numPr>
                <w:ilvl w:val="0"/>
                <w:numId w:val="41"/>
              </w:numPr>
              <w:rPr>
                <w:szCs w:val="22"/>
                <w:lang w:val="en-GB" w:eastAsia="en-US"/>
              </w:rPr>
            </w:pPr>
            <w:r w:rsidRPr="00BB441C">
              <w:rPr>
                <w:szCs w:val="22"/>
                <w:lang w:val="en-GB" w:eastAsia="en-US"/>
              </w:rPr>
              <w:t xml:space="preserve">The authorities will launch an anti-corruption website with information about the breadth of anti-corruption work in Norway. </w:t>
            </w:r>
          </w:p>
        </w:tc>
      </w:tr>
      <w:tr w:rsidR="00FA06AB" w:rsidRPr="00BB441C" w14:paraId="7D55623F" w14:textId="77777777" w:rsidTr="00182400">
        <w:tc>
          <w:tcPr>
            <w:tcW w:w="1702" w:type="dxa"/>
            <w:shd w:val="clear" w:color="auto" w:fill="auto"/>
          </w:tcPr>
          <w:p w14:paraId="2420679D" w14:textId="77777777" w:rsidR="00FA06AB" w:rsidRPr="00642710" w:rsidRDefault="00225303" w:rsidP="00182400">
            <w:pPr>
              <w:pStyle w:val="TabellHode-rad"/>
              <w:rPr>
                <w:rStyle w:val="kursiv"/>
                <w:rFonts w:eastAsia="Proxima Nova"/>
              </w:rPr>
            </w:pPr>
            <w:proofErr w:type="spellStart"/>
            <w:r w:rsidRPr="00642710">
              <w:rPr>
                <w:rStyle w:val="kursiv"/>
                <w:rFonts w:eastAsia="Proxima Nova"/>
              </w:rPr>
              <w:t>Responsible</w:t>
            </w:r>
            <w:proofErr w:type="spellEnd"/>
            <w:r w:rsidRPr="00642710">
              <w:rPr>
                <w:rStyle w:val="kursiv"/>
                <w:rFonts w:eastAsia="Proxima Nova"/>
              </w:rPr>
              <w:t xml:space="preserve"> for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68" w:type="dxa"/>
            <w:gridSpan w:val="3"/>
            <w:shd w:val="clear" w:color="auto" w:fill="auto"/>
          </w:tcPr>
          <w:p w14:paraId="0A33B938" w14:textId="77777777" w:rsidR="00FA06AB" w:rsidRPr="00BB441C" w:rsidRDefault="00FA06AB" w:rsidP="00182400">
            <w:pPr>
              <w:spacing w:line="240" w:lineRule="auto"/>
              <w:rPr>
                <w:rFonts w:eastAsia="Proxima Nova"/>
                <w:lang w:val="en-GB" w:eastAsia="en-US"/>
              </w:rPr>
            </w:pPr>
            <w:r w:rsidRPr="00BB441C">
              <w:rPr>
                <w:rFonts w:eastAsia="Proxima Nova"/>
                <w:lang w:val="en-GB" w:eastAsia="en-US"/>
              </w:rPr>
              <w:t>Ministry of Justice and Public Security</w:t>
            </w:r>
          </w:p>
        </w:tc>
      </w:tr>
      <w:tr w:rsidR="00FA06AB" w:rsidRPr="00182400" w14:paraId="74B90AA8" w14:textId="77777777" w:rsidTr="00182400">
        <w:trPr>
          <w:trHeight w:val="270"/>
        </w:trPr>
        <w:tc>
          <w:tcPr>
            <w:tcW w:w="1702" w:type="dxa"/>
            <w:vMerge w:val="restart"/>
            <w:shd w:val="clear" w:color="auto" w:fill="auto"/>
          </w:tcPr>
          <w:p w14:paraId="4FA700F9" w14:textId="77777777" w:rsidR="00FA06AB" w:rsidRPr="00642710" w:rsidRDefault="00FA06AB" w:rsidP="00182400">
            <w:pPr>
              <w:pStyle w:val="TabellHode-rad"/>
              <w:rPr>
                <w:rStyle w:val="kursiv"/>
                <w:rFonts w:eastAsia="Proxima Nova"/>
              </w:rPr>
            </w:pPr>
            <w:r w:rsidRPr="00642710">
              <w:rPr>
                <w:rStyle w:val="kursiv"/>
                <w:rFonts w:eastAsia="Proxima Nova"/>
              </w:rPr>
              <w:t>Stakeholders</w:t>
            </w:r>
          </w:p>
        </w:tc>
        <w:tc>
          <w:tcPr>
            <w:tcW w:w="2590" w:type="dxa"/>
            <w:shd w:val="clear" w:color="auto" w:fill="auto"/>
          </w:tcPr>
          <w:p w14:paraId="54DD347C" w14:textId="77777777" w:rsidR="00FA06AB" w:rsidRPr="00182400" w:rsidRDefault="00225303" w:rsidP="00182400">
            <w:pPr>
              <w:pStyle w:val="TabellHode-kolonne"/>
              <w:rPr>
                <w:rStyle w:val="kursiv"/>
                <w:rFonts w:eastAsia="Proxima Nova"/>
                <w:lang w:eastAsia="en-US"/>
              </w:rPr>
            </w:pPr>
            <w:proofErr w:type="spellStart"/>
            <w:r w:rsidRPr="00182400">
              <w:rPr>
                <w:rStyle w:val="kursiv"/>
                <w:rFonts w:eastAsia="Proxima Nova"/>
                <w:lang w:eastAsia="en-US"/>
              </w:rPr>
              <w:t>Authorities</w:t>
            </w:r>
            <w:proofErr w:type="spellEnd"/>
          </w:p>
        </w:tc>
        <w:tc>
          <w:tcPr>
            <w:tcW w:w="2589" w:type="dxa"/>
            <w:shd w:val="clear" w:color="auto" w:fill="auto"/>
          </w:tcPr>
          <w:p w14:paraId="453365B1" w14:textId="77777777" w:rsidR="00FA06AB" w:rsidRPr="00182400" w:rsidRDefault="00FA06AB" w:rsidP="00182400">
            <w:pPr>
              <w:pStyle w:val="TabellHode-kolonne"/>
              <w:rPr>
                <w:rStyle w:val="kursiv"/>
                <w:rFonts w:eastAsia="Proxima Nova"/>
                <w:lang w:eastAsia="en-US"/>
              </w:rPr>
            </w:pPr>
            <w:proofErr w:type="spellStart"/>
            <w:r w:rsidRPr="00182400">
              <w:rPr>
                <w:rStyle w:val="kursiv"/>
                <w:rFonts w:eastAsia="Proxima Nova"/>
                <w:lang w:eastAsia="en-US"/>
              </w:rPr>
              <w:t>Civil</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society</w:t>
            </w:r>
            <w:proofErr w:type="spellEnd"/>
          </w:p>
        </w:tc>
        <w:tc>
          <w:tcPr>
            <w:tcW w:w="2589" w:type="dxa"/>
            <w:shd w:val="clear" w:color="auto" w:fill="auto"/>
          </w:tcPr>
          <w:p w14:paraId="5FD11FAD" w14:textId="77777777" w:rsidR="00FA06AB" w:rsidRPr="00182400" w:rsidRDefault="00FA06AB" w:rsidP="00182400">
            <w:pPr>
              <w:pStyle w:val="TabellHode-kolonne"/>
              <w:rPr>
                <w:rStyle w:val="kursiv"/>
                <w:rFonts w:eastAsia="Proxima Nova"/>
                <w:lang w:eastAsia="en-US"/>
              </w:rPr>
            </w:pPr>
            <w:proofErr w:type="spellStart"/>
            <w:r w:rsidRPr="00182400">
              <w:rPr>
                <w:rStyle w:val="kursiv"/>
                <w:rFonts w:eastAsia="Proxima Nova"/>
                <w:lang w:eastAsia="en-US"/>
              </w:rPr>
              <w:t>Others</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parliament</w:t>
            </w:r>
            <w:proofErr w:type="spellEnd"/>
            <w:r w:rsidRPr="00182400">
              <w:rPr>
                <w:rStyle w:val="kursiv"/>
                <w:rFonts w:eastAsia="Proxima Nova"/>
                <w:lang w:eastAsia="en-US"/>
              </w:rPr>
              <w:t xml:space="preserve">, private </w:t>
            </w:r>
            <w:proofErr w:type="spellStart"/>
            <w:r w:rsidRPr="00182400">
              <w:rPr>
                <w:rStyle w:val="kursiv"/>
                <w:rFonts w:eastAsia="Proxima Nova"/>
                <w:lang w:eastAsia="en-US"/>
              </w:rPr>
              <w:t>sector</w:t>
            </w:r>
            <w:proofErr w:type="spellEnd"/>
            <w:r w:rsidRPr="00182400">
              <w:rPr>
                <w:rStyle w:val="kursiv"/>
                <w:rFonts w:eastAsia="Proxima Nova"/>
                <w:lang w:eastAsia="en-US"/>
              </w:rPr>
              <w:t>, etc.)</w:t>
            </w:r>
          </w:p>
        </w:tc>
      </w:tr>
      <w:tr w:rsidR="00FA06AB" w:rsidRPr="00182400" w14:paraId="732039E5" w14:textId="77777777" w:rsidTr="00182400">
        <w:trPr>
          <w:trHeight w:val="2100"/>
        </w:trPr>
        <w:tc>
          <w:tcPr>
            <w:tcW w:w="1702" w:type="dxa"/>
            <w:vMerge/>
            <w:shd w:val="clear" w:color="auto" w:fill="auto"/>
          </w:tcPr>
          <w:p w14:paraId="79DAD4ED" w14:textId="77777777" w:rsidR="00FA06AB" w:rsidRPr="00182400" w:rsidRDefault="00FA06AB" w:rsidP="00182400">
            <w:pPr>
              <w:widowControl w:val="0"/>
              <w:rPr>
                <w:rFonts w:eastAsia="Proxima Nova"/>
                <w:lang w:eastAsia="en-US"/>
              </w:rPr>
            </w:pPr>
          </w:p>
        </w:tc>
        <w:tc>
          <w:tcPr>
            <w:tcW w:w="2590" w:type="dxa"/>
            <w:shd w:val="clear" w:color="auto" w:fill="auto"/>
          </w:tcPr>
          <w:p w14:paraId="5B2778B7" w14:textId="77777777" w:rsidR="00FA06AB" w:rsidRPr="00BB441C" w:rsidRDefault="00FA06AB" w:rsidP="00182400">
            <w:pPr>
              <w:pStyle w:val="Liste"/>
              <w:rPr>
                <w:rStyle w:val="kursiv"/>
                <w:szCs w:val="22"/>
                <w:lang w:val="en-GB" w:eastAsia="en-US"/>
              </w:rPr>
            </w:pPr>
            <w:r w:rsidRPr="00BB441C">
              <w:rPr>
                <w:rStyle w:val="kursiv"/>
                <w:szCs w:val="22"/>
                <w:lang w:val="en-GB" w:eastAsia="en-US"/>
              </w:rPr>
              <w:t>Ministry of Justice</w:t>
            </w:r>
            <w:r w:rsidR="001A31DB" w:rsidRPr="00BB441C">
              <w:rPr>
                <w:rStyle w:val="kursiv"/>
                <w:szCs w:val="22"/>
                <w:lang w:val="en-GB" w:eastAsia="en-US"/>
              </w:rPr>
              <w:t xml:space="preserve"> and Public </w:t>
            </w:r>
            <w:r w:rsidR="006E6C8E" w:rsidRPr="00BB441C">
              <w:rPr>
                <w:rStyle w:val="kursiv"/>
                <w:szCs w:val="22"/>
                <w:lang w:val="en-GB" w:eastAsia="en-US"/>
              </w:rPr>
              <w:t>S</w:t>
            </w:r>
            <w:r w:rsidR="001A31DB" w:rsidRPr="00BB441C">
              <w:rPr>
                <w:rStyle w:val="kursiv"/>
                <w:szCs w:val="22"/>
                <w:lang w:val="en-GB" w:eastAsia="en-US"/>
              </w:rPr>
              <w:t>ecurity</w:t>
            </w:r>
          </w:p>
          <w:p w14:paraId="144EDE9F" w14:textId="77777777" w:rsidR="00FA06AB" w:rsidRPr="00BB441C" w:rsidRDefault="00ED2D25" w:rsidP="00182400">
            <w:pPr>
              <w:pStyle w:val="Liste"/>
              <w:rPr>
                <w:rStyle w:val="kursiv"/>
                <w:szCs w:val="22"/>
                <w:lang w:val="en-GB" w:eastAsia="en-US"/>
              </w:rPr>
            </w:pPr>
            <w:r w:rsidRPr="00BB441C">
              <w:rPr>
                <w:rStyle w:val="kursiv"/>
                <w:szCs w:val="22"/>
                <w:lang w:val="en-GB" w:eastAsia="en-US"/>
              </w:rPr>
              <w:t>Ministry of Digitisation and Public Governance</w:t>
            </w:r>
          </w:p>
          <w:p w14:paraId="30BF40F2" w14:textId="77777777" w:rsidR="00FA06AB" w:rsidRPr="00182400" w:rsidRDefault="00FA06AB" w:rsidP="00182400">
            <w:pPr>
              <w:pStyle w:val="Liste"/>
              <w:rPr>
                <w:rStyle w:val="kursiv"/>
                <w:szCs w:val="22"/>
                <w:lang w:eastAsia="en-US"/>
              </w:rPr>
            </w:pPr>
            <w:r w:rsidRPr="00182400">
              <w:rPr>
                <w:rStyle w:val="kursiv"/>
                <w:szCs w:val="22"/>
                <w:lang w:eastAsia="en-US"/>
              </w:rPr>
              <w:t xml:space="preserve">Ministry </w:t>
            </w:r>
            <w:proofErr w:type="spellStart"/>
            <w:r w:rsidRPr="00182400">
              <w:rPr>
                <w:rStyle w:val="kursiv"/>
                <w:szCs w:val="22"/>
                <w:lang w:eastAsia="en-US"/>
              </w:rPr>
              <w:t>of</w:t>
            </w:r>
            <w:proofErr w:type="spellEnd"/>
            <w:r w:rsidRPr="00182400">
              <w:rPr>
                <w:rStyle w:val="kursiv"/>
                <w:szCs w:val="22"/>
                <w:lang w:eastAsia="en-US"/>
              </w:rPr>
              <w:t xml:space="preserve"> Finance</w:t>
            </w:r>
          </w:p>
          <w:p w14:paraId="342B4CD2" w14:textId="77777777" w:rsidR="00FA06AB" w:rsidRPr="00BB441C" w:rsidRDefault="00FA06AB" w:rsidP="00182400">
            <w:pPr>
              <w:pStyle w:val="Liste"/>
              <w:rPr>
                <w:rStyle w:val="kursiv"/>
                <w:szCs w:val="22"/>
                <w:lang w:val="en-GB" w:eastAsia="en-US"/>
              </w:rPr>
            </w:pPr>
            <w:r w:rsidRPr="00BB441C">
              <w:rPr>
                <w:rStyle w:val="kursiv"/>
                <w:szCs w:val="22"/>
                <w:lang w:val="en-GB" w:eastAsia="en-US"/>
              </w:rPr>
              <w:t>Ministry of Trade, Industry and Fisheries</w:t>
            </w:r>
          </w:p>
          <w:p w14:paraId="7C2EE402" w14:textId="77777777" w:rsidR="00FA06AB" w:rsidRPr="00BB441C" w:rsidRDefault="00FA06AB" w:rsidP="00182400">
            <w:pPr>
              <w:pStyle w:val="Liste"/>
              <w:rPr>
                <w:rStyle w:val="kursiv"/>
                <w:szCs w:val="22"/>
                <w:lang w:val="en-GB" w:eastAsia="en-US"/>
              </w:rPr>
            </w:pPr>
            <w:r w:rsidRPr="00BB441C">
              <w:rPr>
                <w:rStyle w:val="kursiv"/>
                <w:szCs w:val="22"/>
                <w:lang w:val="en-GB" w:eastAsia="en-US"/>
              </w:rPr>
              <w:t>Ministry of Labour and Social Inclusion</w:t>
            </w:r>
          </w:p>
          <w:p w14:paraId="2DEE2B1F" w14:textId="77777777" w:rsidR="00291078" w:rsidRPr="00182400" w:rsidRDefault="00FA06AB" w:rsidP="00182400">
            <w:pPr>
              <w:pStyle w:val="Liste"/>
              <w:rPr>
                <w:rStyle w:val="kursiv"/>
                <w:szCs w:val="22"/>
                <w:lang w:eastAsia="en-US"/>
              </w:rPr>
            </w:pPr>
            <w:r w:rsidRPr="00182400">
              <w:rPr>
                <w:rStyle w:val="kursiv"/>
                <w:szCs w:val="22"/>
                <w:lang w:eastAsia="en-US"/>
              </w:rPr>
              <w:t xml:space="preserve">Ministry </w:t>
            </w:r>
            <w:proofErr w:type="spellStart"/>
            <w:r w:rsidRPr="00182400">
              <w:rPr>
                <w:rStyle w:val="kursiv"/>
                <w:szCs w:val="22"/>
                <w:lang w:eastAsia="en-US"/>
              </w:rPr>
              <w:t>of</w:t>
            </w:r>
            <w:proofErr w:type="spellEnd"/>
            <w:r w:rsidRPr="00182400">
              <w:rPr>
                <w:rStyle w:val="kursiv"/>
                <w:szCs w:val="22"/>
                <w:lang w:eastAsia="en-US"/>
              </w:rPr>
              <w:t xml:space="preserve"> Foreign </w:t>
            </w:r>
            <w:proofErr w:type="spellStart"/>
            <w:r w:rsidRPr="00182400">
              <w:rPr>
                <w:rStyle w:val="kursiv"/>
                <w:szCs w:val="22"/>
                <w:lang w:eastAsia="en-US"/>
              </w:rPr>
              <w:t>Affairs</w:t>
            </w:r>
            <w:proofErr w:type="spellEnd"/>
          </w:p>
          <w:p w14:paraId="24F90A9F" w14:textId="77777777" w:rsidR="00291078" w:rsidRPr="00BB441C" w:rsidRDefault="00ED2D25" w:rsidP="00707952">
            <w:pPr>
              <w:rPr>
                <w:rFonts w:eastAsia="Proxima Nova"/>
                <w:lang w:val="en-GB" w:eastAsia="en-US"/>
              </w:rPr>
            </w:pPr>
            <w:r w:rsidRPr="00BB441C">
              <w:rPr>
                <w:rFonts w:eastAsia="Proxima Nova"/>
                <w:lang w:val="en-GB" w:eastAsia="en-US"/>
              </w:rPr>
              <w:t>Subordinate agencies such as the Police/Norwegian National Authority for Investigation and Prosecution of Economic and Environmental Crime (</w:t>
            </w:r>
            <w:proofErr w:type="spellStart"/>
            <w:r w:rsidRPr="00BB441C">
              <w:rPr>
                <w:rFonts w:eastAsia="Proxima Nova"/>
                <w:lang w:val="en-GB" w:eastAsia="en-US"/>
              </w:rPr>
              <w:t>Økokrim</w:t>
            </w:r>
            <w:proofErr w:type="spellEnd"/>
            <w:r w:rsidRPr="00BB441C">
              <w:rPr>
                <w:rFonts w:eastAsia="Proxima Nova"/>
                <w:lang w:val="en-GB" w:eastAsia="en-US"/>
              </w:rPr>
              <w:t>)</w:t>
            </w:r>
          </w:p>
          <w:p w14:paraId="01193EBF" w14:textId="77777777" w:rsidR="00FA06AB" w:rsidRPr="00182400" w:rsidRDefault="00ED2D25" w:rsidP="00707952">
            <w:pPr>
              <w:rPr>
                <w:rFonts w:eastAsia="Proxima Nova"/>
                <w:lang w:eastAsia="en-US"/>
              </w:rPr>
            </w:pPr>
            <w:proofErr w:type="spellStart"/>
            <w:r w:rsidRPr="00182400">
              <w:rPr>
                <w:rFonts w:eastAsia="Proxima Nova"/>
                <w:lang w:eastAsia="en-US"/>
              </w:rPr>
              <w:t>Municipalities</w:t>
            </w:r>
            <w:proofErr w:type="spellEnd"/>
            <w:r w:rsidRPr="00182400">
              <w:rPr>
                <w:rFonts w:eastAsia="Proxima Nova"/>
                <w:lang w:eastAsia="en-US"/>
              </w:rPr>
              <w:t xml:space="preserve"> and </w:t>
            </w:r>
            <w:proofErr w:type="spellStart"/>
            <w:r w:rsidRPr="00182400">
              <w:rPr>
                <w:rFonts w:eastAsia="Proxima Nova"/>
                <w:lang w:eastAsia="en-US"/>
              </w:rPr>
              <w:t>county</w:t>
            </w:r>
            <w:proofErr w:type="spellEnd"/>
            <w:r w:rsidRPr="00182400">
              <w:rPr>
                <w:rFonts w:eastAsia="Proxima Nova"/>
                <w:lang w:eastAsia="en-US"/>
              </w:rPr>
              <w:t xml:space="preserve"> </w:t>
            </w:r>
            <w:proofErr w:type="spellStart"/>
            <w:r w:rsidRPr="00182400">
              <w:rPr>
                <w:rFonts w:eastAsia="Proxima Nova"/>
                <w:lang w:eastAsia="en-US"/>
              </w:rPr>
              <w:t>authorities</w:t>
            </w:r>
            <w:proofErr w:type="spellEnd"/>
          </w:p>
        </w:tc>
        <w:tc>
          <w:tcPr>
            <w:tcW w:w="2589" w:type="dxa"/>
            <w:shd w:val="clear" w:color="auto" w:fill="auto"/>
          </w:tcPr>
          <w:p w14:paraId="4088D5B7" w14:textId="77777777" w:rsidR="00FA06AB" w:rsidRPr="00182400" w:rsidRDefault="00FA06AB" w:rsidP="00707952">
            <w:pPr>
              <w:rPr>
                <w:rFonts w:eastAsia="Proxima Nova"/>
                <w:lang w:eastAsia="en-US"/>
              </w:rPr>
            </w:pPr>
            <w:proofErr w:type="spellStart"/>
            <w:r w:rsidRPr="00182400">
              <w:rPr>
                <w:rFonts w:eastAsia="Proxima Nova"/>
                <w:lang w:eastAsia="en-US"/>
              </w:rPr>
              <w:t>Transparency</w:t>
            </w:r>
            <w:proofErr w:type="spellEnd"/>
            <w:r w:rsidRPr="00182400">
              <w:rPr>
                <w:rFonts w:eastAsia="Proxima Nova"/>
                <w:lang w:eastAsia="en-US"/>
              </w:rPr>
              <w:t xml:space="preserve"> International (TI)</w:t>
            </w:r>
          </w:p>
        </w:tc>
        <w:tc>
          <w:tcPr>
            <w:tcW w:w="2589" w:type="dxa"/>
            <w:shd w:val="clear" w:color="auto" w:fill="auto"/>
          </w:tcPr>
          <w:p w14:paraId="5C7BAD63" w14:textId="77777777" w:rsidR="00FA06AB" w:rsidRPr="00182400" w:rsidRDefault="00FA06AB" w:rsidP="00707952">
            <w:pPr>
              <w:rPr>
                <w:rFonts w:eastAsia="Proxima Nova"/>
                <w:lang w:eastAsia="en-US"/>
              </w:rPr>
            </w:pPr>
            <w:r w:rsidRPr="00182400">
              <w:rPr>
                <w:rFonts w:eastAsia="Proxima Nova"/>
                <w:lang w:eastAsia="en-US"/>
              </w:rPr>
              <w:t xml:space="preserve">Private </w:t>
            </w:r>
            <w:proofErr w:type="spellStart"/>
            <w:r w:rsidRPr="00182400">
              <w:rPr>
                <w:rFonts w:eastAsia="Proxima Nova"/>
                <w:lang w:eastAsia="en-US"/>
              </w:rPr>
              <w:t>enterprises</w:t>
            </w:r>
            <w:proofErr w:type="spellEnd"/>
          </w:p>
          <w:p w14:paraId="0FB7A774" w14:textId="77777777" w:rsidR="00FA06AB" w:rsidRPr="00182400" w:rsidRDefault="00FA06AB" w:rsidP="00707952">
            <w:pPr>
              <w:rPr>
                <w:rFonts w:eastAsia="Proxima Nova"/>
                <w:lang w:eastAsia="en-US"/>
              </w:rPr>
            </w:pPr>
            <w:r w:rsidRPr="00182400">
              <w:rPr>
                <w:rFonts w:eastAsia="Proxima Nova"/>
                <w:lang w:eastAsia="en-US"/>
              </w:rPr>
              <w:t>Media</w:t>
            </w:r>
          </w:p>
          <w:p w14:paraId="139FC39E" w14:textId="77777777" w:rsidR="00FA06AB" w:rsidRPr="00182400" w:rsidRDefault="002701AE" w:rsidP="00707952">
            <w:pPr>
              <w:rPr>
                <w:rFonts w:eastAsia="Proxima Nova"/>
                <w:lang w:eastAsia="en-US"/>
              </w:rPr>
            </w:pPr>
            <w:proofErr w:type="spellStart"/>
            <w:r w:rsidRPr="00182400">
              <w:rPr>
                <w:rFonts w:eastAsia="Proxima Nova"/>
                <w:lang w:eastAsia="en-US"/>
              </w:rPr>
              <w:t>Whistle-blowers</w:t>
            </w:r>
            <w:proofErr w:type="spellEnd"/>
          </w:p>
        </w:tc>
      </w:tr>
      <w:tr w:rsidR="00FA06AB" w:rsidRPr="00182400" w14:paraId="2824A853" w14:textId="77777777" w:rsidTr="00182400">
        <w:tc>
          <w:tcPr>
            <w:tcW w:w="1702" w:type="dxa"/>
            <w:shd w:val="clear" w:color="auto" w:fill="auto"/>
          </w:tcPr>
          <w:p w14:paraId="3659FA8E" w14:textId="77777777" w:rsidR="00FA06AB" w:rsidRPr="00642710" w:rsidRDefault="00FA06AB" w:rsidP="00182400">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r w:rsidRPr="00642710">
              <w:rPr>
                <w:rStyle w:val="kursiv"/>
                <w:rFonts w:eastAsia="Proxima Nova"/>
              </w:rPr>
              <w:t xml:space="preserve"> (to</w:t>
            </w:r>
            <w:r w:rsidR="00291078" w:rsidRPr="00642710">
              <w:rPr>
                <w:rStyle w:val="kursiv"/>
                <w:rFonts w:eastAsia="Proxima Nova"/>
              </w:rPr>
              <w:t xml:space="preserve"> – </w:t>
            </w:r>
            <w:r w:rsidRPr="00642710">
              <w:rPr>
                <w:rStyle w:val="kursiv"/>
                <w:rFonts w:eastAsia="Proxima Nova"/>
              </w:rPr>
              <w:t xml:space="preserve">from) </w:t>
            </w:r>
          </w:p>
        </w:tc>
        <w:tc>
          <w:tcPr>
            <w:tcW w:w="7768" w:type="dxa"/>
            <w:gridSpan w:val="3"/>
            <w:shd w:val="clear" w:color="auto" w:fill="auto"/>
          </w:tcPr>
          <w:p w14:paraId="34EDF6DF" w14:textId="77777777" w:rsidR="00FA06AB" w:rsidRPr="00182400" w:rsidRDefault="00FA06AB" w:rsidP="00707952">
            <w:pPr>
              <w:rPr>
                <w:rFonts w:eastAsia="Proxima Nova"/>
                <w:lang w:eastAsia="en-US"/>
              </w:rPr>
            </w:pPr>
            <w:r w:rsidRPr="00182400">
              <w:rPr>
                <w:rFonts w:eastAsia="Proxima Nova"/>
                <w:lang w:eastAsia="en-US"/>
              </w:rPr>
              <w:t>2023</w:t>
            </w:r>
            <w:r w:rsidR="00642710">
              <w:rPr>
                <w:rFonts w:eastAsia="Proxima Nova"/>
                <w:lang w:eastAsia="en-US"/>
              </w:rPr>
              <w:t>–</w:t>
            </w:r>
            <w:r w:rsidRPr="00182400">
              <w:rPr>
                <w:rFonts w:eastAsia="Proxima Nova"/>
                <w:lang w:eastAsia="en-US"/>
              </w:rPr>
              <w:t>2027</w:t>
            </w:r>
          </w:p>
        </w:tc>
      </w:tr>
    </w:tbl>
    <w:p w14:paraId="215A2D6E" w14:textId="77777777" w:rsidR="00291078" w:rsidRDefault="00291078" w:rsidP="00FA06AB">
      <w:pPr>
        <w:rPr>
          <w:rStyle w:val="halvfet"/>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266AB3" w:rsidRPr="00182400" w14:paraId="208F98AA" w14:textId="77777777" w:rsidTr="00182400">
        <w:trPr>
          <w:trHeight w:val="348"/>
        </w:trPr>
        <w:tc>
          <w:tcPr>
            <w:tcW w:w="9445" w:type="dxa"/>
            <w:shd w:val="clear" w:color="auto" w:fill="auto"/>
          </w:tcPr>
          <w:p w14:paraId="1B8D8E0F" w14:textId="77777777" w:rsidR="00266AB3" w:rsidRPr="00182400" w:rsidRDefault="00266AB3" w:rsidP="00182400">
            <w:pPr>
              <w:pStyle w:val="TabellHode-kolonne"/>
              <w:rPr>
                <w:rStyle w:val="halvfet"/>
                <w:rFonts w:eastAsia="Proxima Nova"/>
                <w:lang w:eastAsia="en-US"/>
              </w:rPr>
            </w:pPr>
            <w:proofErr w:type="spellStart"/>
            <w:r w:rsidRPr="00182400">
              <w:rPr>
                <w:rStyle w:val="halvfet"/>
                <w:rFonts w:eastAsia="Proxima Nova"/>
                <w:lang w:eastAsia="en-US"/>
              </w:rPr>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problem </w:t>
            </w:r>
          </w:p>
        </w:tc>
      </w:tr>
      <w:tr w:rsidR="00266AB3" w:rsidRPr="00BB441C" w14:paraId="10C363FB" w14:textId="77777777" w:rsidTr="00182400">
        <w:trPr>
          <w:trHeight w:val="12601"/>
        </w:trPr>
        <w:tc>
          <w:tcPr>
            <w:tcW w:w="9445" w:type="dxa"/>
            <w:shd w:val="clear" w:color="auto" w:fill="auto"/>
          </w:tcPr>
          <w:p w14:paraId="3FE0629D" w14:textId="77777777" w:rsidR="00266AB3"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266AB3" w:rsidRPr="00182400">
              <w:rPr>
                <w:lang w:val="en-GB" w:eastAsia="en-US"/>
              </w:rPr>
              <w:t>What problems will the commitment solve?</w:t>
            </w:r>
          </w:p>
          <w:p w14:paraId="1E33E4FF" w14:textId="77777777" w:rsidR="00266AB3" w:rsidRPr="00182400" w:rsidRDefault="00266AB3" w:rsidP="00182400">
            <w:pPr>
              <w:rPr>
                <w:rFonts w:eastAsia="Calibri"/>
                <w:lang w:val="en-US" w:eastAsia="en-US"/>
              </w:rPr>
            </w:pPr>
            <w:r w:rsidRPr="00182400">
              <w:rPr>
                <w:rFonts w:eastAsia="Calibri"/>
                <w:lang w:val="en-GB" w:eastAsia="en-US" w:bidi="en-GB"/>
              </w:rPr>
              <w:t xml:space="preserve">Corruption is a threat to the rule of law, democracy, human </w:t>
            </w:r>
            <w:proofErr w:type="gramStart"/>
            <w:r w:rsidRPr="00182400">
              <w:rPr>
                <w:rFonts w:eastAsia="Calibri"/>
                <w:lang w:val="en-GB" w:eastAsia="en-US" w:bidi="en-GB"/>
              </w:rPr>
              <w:t>rights</w:t>
            </w:r>
            <w:proofErr w:type="gramEnd"/>
            <w:r w:rsidRPr="00182400">
              <w:rPr>
                <w:rFonts w:eastAsia="Calibri"/>
                <w:lang w:val="en-GB" w:eastAsia="en-US" w:bidi="en-GB"/>
              </w:rPr>
              <w:t xml:space="preserve"> and social justice, and can also hinder economic development and distort competition. International and national surveys show that the level of corruption in Norway is very low compared with most other countries. An established culture of openness and trust between authorities, </w:t>
            </w:r>
            <w:proofErr w:type="gramStart"/>
            <w:r w:rsidRPr="00182400">
              <w:rPr>
                <w:rFonts w:eastAsia="Calibri"/>
                <w:lang w:val="en-GB" w:eastAsia="en-US" w:bidi="en-GB"/>
              </w:rPr>
              <w:t>business</w:t>
            </w:r>
            <w:proofErr w:type="gramEnd"/>
            <w:r w:rsidRPr="00182400">
              <w:rPr>
                <w:rFonts w:eastAsia="Calibri"/>
                <w:lang w:val="en-GB" w:eastAsia="en-US" w:bidi="en-GB"/>
              </w:rPr>
              <w:t xml:space="preserve"> and civil society – together with clear zero tolerance for corruption – are important prerequisites for this low level. </w:t>
            </w:r>
            <w:proofErr w:type="gramStart"/>
            <w:r w:rsidRPr="00182400">
              <w:rPr>
                <w:rFonts w:eastAsia="Calibri"/>
                <w:color w:val="000000"/>
                <w:lang w:val="en-GB" w:eastAsia="en-US" w:bidi="en-GB"/>
              </w:rPr>
              <w:t>Despite the fact that</w:t>
            </w:r>
            <w:proofErr w:type="gramEnd"/>
            <w:r w:rsidRPr="00182400">
              <w:rPr>
                <w:rFonts w:eastAsia="Calibri"/>
                <w:color w:val="000000"/>
                <w:lang w:val="en-GB" w:eastAsia="en-US" w:bidi="en-GB"/>
              </w:rPr>
              <w:t xml:space="preserve"> there is little corruption in Norway, we know that corruption also exists here. Each year, judgments are handed down that show that corruption occurs in public administration and in private companies. </w:t>
            </w:r>
            <w:r w:rsidRPr="00182400">
              <w:rPr>
                <w:rFonts w:eastAsia="Calibri"/>
                <w:lang w:val="en-GB" w:eastAsia="en-US" w:bidi="en-GB"/>
              </w:rPr>
              <w:t>Many of the criminal cases of corruption that have been prosecuted in Norway are of a very serious nature. Furthermore, surveys, including the 2021 citizen survey, TI’s annual corruption index and the Global Corruption Barometer (2021), show that many citizens believe that corruption and nepotism exist in the central government and municipalities.</w:t>
            </w:r>
          </w:p>
          <w:p w14:paraId="47E4DACF" w14:textId="77777777" w:rsidR="00266AB3" w:rsidRPr="00182400" w:rsidRDefault="00266AB3" w:rsidP="00182400">
            <w:pPr>
              <w:rPr>
                <w:rFonts w:eastAsia="Calibri"/>
                <w:color w:val="000000"/>
                <w:lang w:val="en-GB" w:eastAsia="en-US" w:bidi="en-GB"/>
              </w:rPr>
            </w:pPr>
            <w:r w:rsidRPr="00182400">
              <w:rPr>
                <w:rFonts w:eastAsia="Calibri"/>
                <w:shd w:val="clear" w:color="auto" w:fill="FEFEFE"/>
                <w:lang w:val="en-GB" w:eastAsia="en-US" w:bidi="en-GB"/>
              </w:rPr>
              <w:t xml:space="preserve">Norwegian authorities prioritise active participation in international cooperation against corruption. </w:t>
            </w:r>
            <w:r w:rsidRPr="00182400">
              <w:rPr>
                <w:rFonts w:eastAsia="Calibri"/>
                <w:color w:val="000000"/>
                <w:lang w:val="en-GB" w:eastAsia="en-US" w:bidi="en-GB"/>
              </w:rPr>
              <w:t xml:space="preserve">Active participation in international forums helps us to assess where we stand in our anti-corruption efforts and what holes need to be filled at any time. </w:t>
            </w:r>
            <w:r w:rsidRPr="00182400">
              <w:rPr>
                <w:rFonts w:eastAsia="Calibri"/>
                <w:shd w:val="clear" w:color="auto" w:fill="FEFEFE"/>
                <w:lang w:val="en-GB" w:eastAsia="en-US" w:bidi="en-GB"/>
              </w:rPr>
              <w:t xml:space="preserve">The evaluations have revealed weaknesses in preventive measures, and Norway has received several recommendations from various international organisations such as the UN, </w:t>
            </w:r>
            <w:proofErr w:type="gramStart"/>
            <w:r w:rsidRPr="00182400">
              <w:rPr>
                <w:rFonts w:eastAsia="Calibri"/>
                <w:shd w:val="clear" w:color="auto" w:fill="FEFEFE"/>
                <w:lang w:val="en-GB" w:eastAsia="en-US" w:bidi="en-GB"/>
              </w:rPr>
              <w:t>GRECO</w:t>
            </w:r>
            <w:proofErr w:type="gramEnd"/>
            <w:r w:rsidRPr="00182400">
              <w:rPr>
                <w:rFonts w:eastAsia="Calibri"/>
                <w:shd w:val="clear" w:color="auto" w:fill="FEFEFE"/>
                <w:lang w:val="en-GB" w:eastAsia="en-US" w:bidi="en-GB"/>
              </w:rPr>
              <w:t xml:space="preserve"> and OECD. Norway is endeavouring </w:t>
            </w:r>
            <w:r w:rsidRPr="00182400">
              <w:rPr>
                <w:rFonts w:eastAsia="Calibri"/>
                <w:color w:val="000000"/>
                <w:lang w:val="en-GB" w:eastAsia="en-US" w:bidi="en-GB"/>
              </w:rPr>
              <w:t>to follow up on the advice we receive from the international organisations.</w:t>
            </w:r>
          </w:p>
          <w:p w14:paraId="31AB1EAD" w14:textId="77777777" w:rsidR="00266AB3" w:rsidRPr="00182400" w:rsidRDefault="00266AB3" w:rsidP="00182400">
            <w:pPr>
              <w:rPr>
                <w:rFonts w:eastAsia="Proxima Nova"/>
                <w:color w:val="000000"/>
                <w:lang w:val="en-GB" w:eastAsia="en-US" w:bidi="en-GB"/>
              </w:rPr>
            </w:pPr>
            <w:r w:rsidRPr="00182400">
              <w:rPr>
                <w:rFonts w:eastAsia="Proxima Nova"/>
                <w:color w:val="000000"/>
                <w:lang w:val="en-GB" w:eastAsia="en-US" w:bidi="en-GB"/>
              </w:rPr>
              <w:t>There is a need for continuous efforts to prevent corruption. Cooperation across sectors and between the public and private sectors is key to achieving effective prevention and combating corruption in Norway and internationally. It is also important to ensure that confidence in the democracy/authorities in Norway remains high in the future.</w:t>
            </w:r>
          </w:p>
          <w:p w14:paraId="0CC4A6C5" w14:textId="77777777" w:rsidR="00266AB3" w:rsidRPr="00182400" w:rsidRDefault="00266AB3" w:rsidP="00182400">
            <w:pPr>
              <w:rPr>
                <w:rFonts w:eastAsia="Calibri"/>
                <w:color w:val="000000"/>
                <w:lang w:val="en-US" w:eastAsia="en-US"/>
              </w:rPr>
            </w:pPr>
            <w:r w:rsidRPr="00182400">
              <w:rPr>
                <w:rFonts w:eastAsia="Calibri"/>
                <w:color w:val="000000"/>
                <w:lang w:val="en-GB" w:eastAsia="en-US" w:bidi="en-GB"/>
              </w:rPr>
              <w:t>A high standard of anti-corruption work and information about the breadth of the authorities’ efforts in this area could help to build such trust.</w:t>
            </w:r>
          </w:p>
          <w:p w14:paraId="6F3E97D3" w14:textId="77777777" w:rsidR="00266AB3"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266AB3" w:rsidRPr="00182400">
              <w:rPr>
                <w:lang w:val="en-GB" w:eastAsia="en-US"/>
              </w:rPr>
              <w:t>What is the cause of the problem?</w:t>
            </w:r>
          </w:p>
          <w:p w14:paraId="4F5365B3" w14:textId="77777777" w:rsidR="00266AB3" w:rsidRPr="00182400" w:rsidRDefault="00266AB3" w:rsidP="00182400">
            <w:pPr>
              <w:rPr>
                <w:rFonts w:eastAsia="Calibri"/>
                <w:lang w:val="en-GB" w:eastAsia="en-US" w:bidi="en-GB"/>
              </w:rPr>
            </w:pPr>
            <w:r w:rsidRPr="00182400">
              <w:rPr>
                <w:rFonts w:eastAsia="Calibri"/>
                <w:lang w:val="en-GB" w:eastAsia="en-US" w:bidi="en-GB"/>
              </w:rPr>
              <w:t xml:space="preserve">Authorities are more likely to be guilty of corruption when preventive efforts are inadequate, attitudes and awareness are low and acts of corruption are not sufficiently detected, </w:t>
            </w:r>
            <w:proofErr w:type="gramStart"/>
            <w:r w:rsidRPr="00182400">
              <w:rPr>
                <w:rFonts w:eastAsia="Calibri"/>
                <w:lang w:val="en-GB" w:eastAsia="en-US" w:bidi="en-GB"/>
              </w:rPr>
              <w:t>investigated</w:t>
            </w:r>
            <w:proofErr w:type="gramEnd"/>
            <w:r w:rsidRPr="00182400">
              <w:rPr>
                <w:rFonts w:eastAsia="Calibri"/>
                <w:lang w:val="en-GB" w:eastAsia="en-US" w:bidi="en-GB"/>
              </w:rPr>
              <w:t xml:space="preserve"> and prosecuted.</w:t>
            </w:r>
          </w:p>
          <w:p w14:paraId="4D715B2B" w14:textId="77777777" w:rsidR="00266AB3" w:rsidRPr="00182400" w:rsidRDefault="00266AB3" w:rsidP="00182400">
            <w:pPr>
              <w:rPr>
                <w:rFonts w:eastAsia="Calibri"/>
                <w:color w:val="000000"/>
                <w:lang w:val="en-US" w:eastAsia="en-US"/>
              </w:rPr>
            </w:pPr>
            <w:r w:rsidRPr="00182400">
              <w:rPr>
                <w:rFonts w:eastAsia="Calibri"/>
                <w:color w:val="31261D"/>
                <w:lang w:val="en-GB" w:eastAsia="en-US" w:bidi="en-GB"/>
              </w:rPr>
              <w:t xml:space="preserve">Critical diligence is needed between all actors in Norwegian society to prevent the risk of corruption from increasing. </w:t>
            </w:r>
          </w:p>
        </w:tc>
      </w:tr>
    </w:tbl>
    <w:p w14:paraId="32DF421E" w14:textId="77777777" w:rsidR="00266AB3" w:rsidRPr="00266AB3" w:rsidRDefault="00266AB3" w:rsidP="00FA06AB">
      <w:pPr>
        <w:rPr>
          <w:rStyle w:val="halvfet"/>
          <w:lang w:val="en-GB"/>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266AB3" w:rsidRPr="00182400" w14:paraId="02C7F9A9" w14:textId="77777777" w:rsidTr="00182400">
        <w:tc>
          <w:tcPr>
            <w:tcW w:w="9445" w:type="dxa"/>
            <w:shd w:val="clear" w:color="auto" w:fill="auto"/>
          </w:tcPr>
          <w:p w14:paraId="39F839A3" w14:textId="77777777" w:rsidR="00266AB3" w:rsidRPr="00182400" w:rsidRDefault="00266AB3" w:rsidP="00182400">
            <w:pPr>
              <w:pStyle w:val="TabellHode-kolonne"/>
              <w:rPr>
                <w:rStyle w:val="halvfet"/>
                <w:rFonts w:eastAsia="Proxima Nova"/>
                <w:lang w:eastAsia="en-US"/>
              </w:rPr>
            </w:pPr>
            <w:proofErr w:type="spellStart"/>
            <w:r w:rsidRPr="00182400">
              <w:rPr>
                <w:rStyle w:val="halvfet"/>
                <w:rFonts w:eastAsia="Proxima Nova"/>
                <w:lang w:eastAsia="en-US"/>
              </w:rPr>
              <w:lastRenderedPageBreak/>
              <w:t>Description</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266AB3" w:rsidRPr="00BB441C" w14:paraId="7E89C293" w14:textId="77777777" w:rsidTr="00182400">
        <w:trPr>
          <w:trHeight w:val="7782"/>
        </w:trPr>
        <w:tc>
          <w:tcPr>
            <w:tcW w:w="9445" w:type="dxa"/>
            <w:shd w:val="clear" w:color="auto" w:fill="auto"/>
          </w:tcPr>
          <w:p w14:paraId="4CC17AE5" w14:textId="77777777" w:rsidR="00266AB3" w:rsidRPr="00182400" w:rsidRDefault="008B0AA1" w:rsidP="00182400">
            <w:pPr>
              <w:pStyle w:val="avsnitt-undertittel"/>
              <w:rPr>
                <w:lang w:val="en-GB" w:eastAsia="en-US"/>
              </w:rPr>
            </w:pPr>
            <w:r w:rsidRPr="00182400">
              <w:rPr>
                <w:bCs/>
                <w:lang w:val="en-GB" w:eastAsia="en-US"/>
              </w:rPr>
              <w:lastRenderedPageBreak/>
              <w:t>1.</w:t>
            </w:r>
            <w:r w:rsidRPr="00182400">
              <w:rPr>
                <w:bCs/>
                <w:lang w:val="en-GB" w:eastAsia="en-US"/>
              </w:rPr>
              <w:tab/>
            </w:r>
            <w:r w:rsidR="00266AB3" w:rsidRPr="00182400">
              <w:rPr>
                <w:lang w:val="en-GB" w:eastAsia="en-US"/>
              </w:rPr>
              <w:t>What has been done so far to solve the problem?</w:t>
            </w:r>
          </w:p>
          <w:p w14:paraId="35948D5E" w14:textId="77777777" w:rsidR="00266AB3" w:rsidRPr="00182400" w:rsidRDefault="00266AB3" w:rsidP="00182400">
            <w:pPr>
              <w:rPr>
                <w:rFonts w:eastAsia="Proxima Nova"/>
                <w:lang w:val="en-US" w:eastAsia="en-US"/>
              </w:rPr>
            </w:pPr>
            <w:r w:rsidRPr="00182400">
              <w:rPr>
                <w:rFonts w:eastAsia="Proxima Nova"/>
                <w:lang w:val="en-GB" w:eastAsia="en-US" w:bidi="en-GB"/>
              </w:rPr>
              <w:t>The corruption provisions in the Penal Code were introduced in 2003 (Sections 387-389 of the new Penal Code continue the provisions of the Penal Code of 1902).</w:t>
            </w:r>
          </w:p>
          <w:p w14:paraId="1F002864" w14:textId="77777777" w:rsidR="00266AB3" w:rsidRPr="00182400" w:rsidRDefault="00266AB3" w:rsidP="00182400">
            <w:pPr>
              <w:rPr>
                <w:rFonts w:eastAsia="Proxima Nova"/>
                <w:lang w:val="en-US" w:eastAsia="en-US"/>
              </w:rPr>
            </w:pPr>
            <w:r w:rsidRPr="00182400">
              <w:rPr>
                <w:rFonts w:eastAsia="Proxima Nova"/>
                <w:lang w:val="en-GB" w:eastAsia="en-US" w:bidi="en-GB"/>
              </w:rPr>
              <w:t>Norway is a signatory to several anti-corruption conventions:</w:t>
            </w:r>
          </w:p>
          <w:p w14:paraId="641A449D" w14:textId="77777777" w:rsidR="00266AB3" w:rsidRPr="00182400" w:rsidRDefault="00266AB3" w:rsidP="00182400">
            <w:pPr>
              <w:pStyle w:val="Liste"/>
              <w:rPr>
                <w:szCs w:val="22"/>
                <w:lang w:val="en-US" w:eastAsia="en-US"/>
              </w:rPr>
            </w:pPr>
            <w:r w:rsidRPr="00182400">
              <w:rPr>
                <w:szCs w:val="22"/>
                <w:lang w:val="en-GB" w:eastAsia="en-US" w:bidi="en-GB"/>
              </w:rPr>
              <w:t>OECD Convention on Combating Bribery of Foreign Public Officials in International Business Transactions of 21 November 1997</w:t>
            </w:r>
          </w:p>
          <w:p w14:paraId="5EC73564" w14:textId="77777777" w:rsidR="00266AB3" w:rsidRPr="00182400" w:rsidRDefault="00266AB3" w:rsidP="00182400">
            <w:pPr>
              <w:pStyle w:val="Liste"/>
              <w:rPr>
                <w:szCs w:val="22"/>
                <w:lang w:val="en-US" w:eastAsia="en-US"/>
              </w:rPr>
            </w:pPr>
            <w:r w:rsidRPr="00182400">
              <w:rPr>
                <w:szCs w:val="22"/>
                <w:lang w:val="en-GB" w:eastAsia="en-US" w:bidi="en-GB"/>
              </w:rPr>
              <w:t>Council of Europe Criminal Law Convention on Corruption of 27 January 1999</w:t>
            </w:r>
          </w:p>
          <w:p w14:paraId="1B582EEC" w14:textId="77777777" w:rsidR="00266AB3" w:rsidRPr="00182400" w:rsidRDefault="00266AB3" w:rsidP="00182400">
            <w:pPr>
              <w:pStyle w:val="Liste"/>
              <w:rPr>
                <w:szCs w:val="22"/>
                <w:lang w:val="en-US" w:eastAsia="en-US"/>
              </w:rPr>
            </w:pPr>
            <w:r w:rsidRPr="00182400">
              <w:rPr>
                <w:szCs w:val="22"/>
                <w:lang w:val="en-GB" w:eastAsia="en-US" w:bidi="en-GB"/>
              </w:rPr>
              <w:t>United Nations Convention against Corruption of 31 October 2003.</w:t>
            </w:r>
          </w:p>
          <w:p w14:paraId="210CD54D" w14:textId="77777777" w:rsidR="00266AB3" w:rsidRPr="00182400" w:rsidRDefault="00266AB3" w:rsidP="00182400">
            <w:pPr>
              <w:rPr>
                <w:rFonts w:eastAsia="Proxima Nova"/>
                <w:lang w:val="en-US" w:eastAsia="en-US"/>
              </w:rPr>
            </w:pPr>
            <w:proofErr w:type="spellStart"/>
            <w:r w:rsidRPr="00182400">
              <w:rPr>
                <w:rFonts w:eastAsia="Proxima Nova"/>
                <w:lang w:val="en-GB" w:eastAsia="en-US" w:bidi="en-GB"/>
              </w:rPr>
              <w:t>Økokrim</w:t>
            </w:r>
            <w:proofErr w:type="spellEnd"/>
            <w:r w:rsidRPr="00182400">
              <w:rPr>
                <w:rFonts w:eastAsia="Proxima Nova"/>
                <w:lang w:val="en-GB" w:eastAsia="en-US" w:bidi="en-GB"/>
              </w:rPr>
              <w:t xml:space="preserve"> prepares annual threat assessments and in 2022 </w:t>
            </w:r>
            <w:proofErr w:type="spellStart"/>
            <w:r w:rsidRPr="00182400">
              <w:rPr>
                <w:rFonts w:eastAsia="Proxima Nova"/>
                <w:lang w:val="en-GB" w:eastAsia="en-US" w:bidi="en-GB"/>
              </w:rPr>
              <w:t>Økokrim</w:t>
            </w:r>
            <w:proofErr w:type="spellEnd"/>
            <w:r w:rsidRPr="00182400">
              <w:rPr>
                <w:rFonts w:eastAsia="Proxima Nova"/>
                <w:lang w:val="en-GB" w:eastAsia="en-US" w:bidi="en-GB"/>
              </w:rPr>
              <w:t xml:space="preserve"> published an indicator list of types of corruption. Inadequate follow-up of the threat assessments from </w:t>
            </w:r>
            <w:proofErr w:type="spellStart"/>
            <w:r w:rsidRPr="00182400">
              <w:rPr>
                <w:rFonts w:eastAsia="Proxima Nova"/>
                <w:lang w:val="en-GB" w:eastAsia="en-US" w:bidi="en-GB"/>
              </w:rPr>
              <w:t>Økokrim</w:t>
            </w:r>
            <w:proofErr w:type="spellEnd"/>
            <w:r w:rsidRPr="00182400">
              <w:rPr>
                <w:rFonts w:eastAsia="Proxima Nova"/>
                <w:lang w:val="en-GB" w:eastAsia="en-US" w:bidi="en-GB"/>
              </w:rPr>
              <w:t xml:space="preserve"> has been pointed out.</w:t>
            </w:r>
          </w:p>
          <w:p w14:paraId="045F9BFB" w14:textId="77777777" w:rsidR="00266AB3" w:rsidRPr="00182400" w:rsidRDefault="00266AB3" w:rsidP="00182400">
            <w:pPr>
              <w:rPr>
                <w:rFonts w:eastAsia="Proxima Nova"/>
                <w:lang w:val="en-GB" w:eastAsia="en-US" w:bidi="en-GB"/>
              </w:rPr>
            </w:pPr>
            <w:r w:rsidRPr="00182400">
              <w:rPr>
                <w:rFonts w:eastAsia="Proxima Nova"/>
                <w:lang w:val="en-GB" w:eastAsia="en-US" w:bidi="en-GB"/>
              </w:rPr>
              <w:t>While the business community/private enterprises prepare their own anti-corruption programmes, only a few municipalities have done the same. The scope, quality and effectiveness of anti-corruption programmes have not been systematically surveyed.</w:t>
            </w:r>
          </w:p>
          <w:p w14:paraId="62EF97B7" w14:textId="77777777" w:rsidR="00266AB3" w:rsidRPr="00182400" w:rsidRDefault="00266AB3" w:rsidP="00182400">
            <w:pPr>
              <w:rPr>
                <w:rFonts w:eastAsia="Proxima Nova"/>
                <w:lang w:val="en-US" w:eastAsia="en-US"/>
              </w:rPr>
            </w:pPr>
            <w:r w:rsidRPr="00182400">
              <w:rPr>
                <w:rFonts w:eastAsia="Proxima Nova"/>
                <w:lang w:val="en-GB" w:eastAsia="en-US" w:bidi="en-GB"/>
              </w:rPr>
              <w:t>An inter-ministerial cooperation forum has been established.</w:t>
            </w:r>
          </w:p>
          <w:p w14:paraId="1C9C35C7" w14:textId="77777777" w:rsidR="00266AB3" w:rsidRPr="00182400" w:rsidRDefault="00266AB3" w:rsidP="00182400">
            <w:pPr>
              <w:rPr>
                <w:rFonts w:eastAsia="Proxima Nova"/>
                <w:lang w:val="en-US" w:eastAsia="en-US"/>
              </w:rPr>
            </w:pPr>
            <w:r w:rsidRPr="00182400">
              <w:rPr>
                <w:rFonts w:eastAsia="Proxima Nova"/>
                <w:lang w:val="en-GB" w:eastAsia="en-US" w:bidi="en-GB"/>
              </w:rPr>
              <w:t>Citizen surveys are regularly conducted.</w:t>
            </w:r>
          </w:p>
          <w:p w14:paraId="2FC7D528" w14:textId="77777777" w:rsidR="00266AB3" w:rsidRPr="00182400" w:rsidRDefault="00266AB3" w:rsidP="00182400">
            <w:pPr>
              <w:rPr>
                <w:rFonts w:eastAsia="Proxima Nova"/>
                <w:lang w:val="en-GB" w:eastAsia="en-US" w:bidi="en-GB"/>
              </w:rPr>
            </w:pPr>
            <w:r w:rsidRPr="00182400">
              <w:rPr>
                <w:rFonts w:eastAsia="Proxima Nova"/>
                <w:lang w:val="en-GB" w:eastAsia="en-US" w:bidi="en-GB"/>
              </w:rPr>
              <w:t>A national scope survey on economic crime (aimed at agencies and municipalities) was conducted in 2022.</w:t>
            </w:r>
          </w:p>
          <w:p w14:paraId="20492C69" w14:textId="77777777" w:rsidR="00266AB3" w:rsidRPr="00182400" w:rsidRDefault="00266AB3" w:rsidP="00182400">
            <w:pPr>
              <w:rPr>
                <w:rFonts w:eastAsia="Proxima Nova"/>
                <w:lang w:val="en-GB" w:eastAsia="en-US" w:bidi="en-GB"/>
              </w:rPr>
            </w:pPr>
            <w:r w:rsidRPr="00182400">
              <w:rPr>
                <w:rFonts w:eastAsia="Proxima Nova"/>
                <w:lang w:val="en-GB" w:eastAsia="en-US" w:bidi="en-GB"/>
              </w:rPr>
              <w:t xml:space="preserve">The Government has decided to present a report to the </w:t>
            </w:r>
            <w:proofErr w:type="spellStart"/>
            <w:r w:rsidRPr="00182400">
              <w:rPr>
                <w:rFonts w:eastAsia="Proxima Nova"/>
                <w:lang w:val="en-GB" w:eastAsia="en-US" w:bidi="en-GB"/>
              </w:rPr>
              <w:t>Storting</w:t>
            </w:r>
            <w:proofErr w:type="spellEnd"/>
            <w:r w:rsidRPr="00182400">
              <w:rPr>
                <w:rFonts w:eastAsia="Proxima Nova"/>
                <w:lang w:val="en-GB" w:eastAsia="en-US" w:bidi="en-GB"/>
              </w:rPr>
              <w:t xml:space="preserve"> (white paper) on combating economic crime.</w:t>
            </w:r>
          </w:p>
          <w:p w14:paraId="3239798F" w14:textId="77777777" w:rsidR="00266AB3" w:rsidRPr="00182400" w:rsidRDefault="00266AB3" w:rsidP="00182400">
            <w:pPr>
              <w:rPr>
                <w:rFonts w:eastAsia="Proxima Nova"/>
                <w:lang w:val="en-US" w:eastAsia="en-US"/>
              </w:rPr>
            </w:pPr>
            <w:r w:rsidRPr="00182400">
              <w:rPr>
                <w:rFonts w:eastAsia="Calibri"/>
                <w:lang w:val="en-GB" w:eastAsia="en-US" w:bidi="en-GB"/>
              </w:rPr>
              <w:t xml:space="preserve">There is little binding follow-up in the form of national, </w:t>
            </w:r>
            <w:proofErr w:type="gramStart"/>
            <w:r w:rsidRPr="00182400">
              <w:rPr>
                <w:rFonts w:eastAsia="Calibri"/>
                <w:lang w:val="en-GB" w:eastAsia="en-US" w:bidi="en-GB"/>
              </w:rPr>
              <w:t>local</w:t>
            </w:r>
            <w:proofErr w:type="gramEnd"/>
            <w:r w:rsidRPr="00182400">
              <w:rPr>
                <w:rFonts w:eastAsia="Calibri"/>
                <w:lang w:val="en-GB" w:eastAsia="en-US" w:bidi="en-GB"/>
              </w:rPr>
              <w:t xml:space="preserve"> and sectoral plans within the public sector.</w:t>
            </w:r>
          </w:p>
          <w:p w14:paraId="61F92C61" w14:textId="77777777" w:rsidR="00266AB3" w:rsidRPr="00182400" w:rsidRDefault="008B0AA1" w:rsidP="00182400">
            <w:pPr>
              <w:pStyle w:val="avsnitt-undertittel"/>
              <w:rPr>
                <w:lang w:val="en-GB" w:eastAsia="en-US"/>
              </w:rPr>
            </w:pPr>
            <w:r w:rsidRPr="00182400">
              <w:rPr>
                <w:bCs/>
                <w:lang w:val="en-GB" w:eastAsia="en-US"/>
              </w:rPr>
              <w:t>2.</w:t>
            </w:r>
            <w:r w:rsidRPr="00182400">
              <w:rPr>
                <w:bCs/>
                <w:lang w:val="en-GB" w:eastAsia="en-US"/>
              </w:rPr>
              <w:tab/>
            </w:r>
            <w:r w:rsidR="00266AB3" w:rsidRPr="00182400">
              <w:rPr>
                <w:lang w:val="en-GB" w:eastAsia="en-US"/>
              </w:rPr>
              <w:t>What kind of solution is proposed?</w:t>
            </w:r>
          </w:p>
          <w:p w14:paraId="2F285F61" w14:textId="77777777" w:rsidR="00266AB3" w:rsidRPr="00182400" w:rsidRDefault="00266AB3" w:rsidP="00182400">
            <w:pPr>
              <w:rPr>
                <w:rFonts w:eastAsia="Calibri"/>
                <w:lang w:val="en-GB" w:eastAsia="en-US" w:bidi="en-GB"/>
              </w:rPr>
            </w:pPr>
            <w:r w:rsidRPr="00182400">
              <w:rPr>
                <w:rFonts w:eastAsia="Calibri"/>
                <w:lang w:val="en-GB" w:eastAsia="en-US" w:bidi="en-GB"/>
              </w:rPr>
              <w:t xml:space="preserve">The forthcoming white paper on economic crime emphasises a comprehensive approach to prevention and the fight against all economic crime, including corruption. </w:t>
            </w:r>
            <w:r w:rsidRPr="00182400">
              <w:rPr>
                <w:rFonts w:eastAsia="Calibri"/>
                <w:color w:val="000000"/>
                <w:lang w:val="en-GB" w:eastAsia="en-US" w:bidi="en-GB"/>
              </w:rPr>
              <w:t xml:space="preserve">Preventing and uncovering corruption takes place in cooperation with many different actors, such as the police, whistle-blowers, media, banks, etc. Cooperation between the public and private sectors is therefore essential to achieve effective prevention and battle corruption. </w:t>
            </w:r>
            <w:r w:rsidRPr="00182400">
              <w:rPr>
                <w:rFonts w:eastAsia="Calibri"/>
                <w:lang w:val="en-GB" w:eastAsia="en-US" w:bidi="en-GB"/>
              </w:rPr>
              <w:t xml:space="preserve">Among other things, the report will focus on the need for knowledge building, such as research and solutions that can ensure more effective prevention, </w:t>
            </w:r>
            <w:proofErr w:type="gramStart"/>
            <w:r w:rsidRPr="00182400">
              <w:rPr>
                <w:rFonts w:eastAsia="Calibri"/>
                <w:lang w:val="en-GB" w:eastAsia="en-US" w:bidi="en-GB"/>
              </w:rPr>
              <w:t>detection</w:t>
            </w:r>
            <w:proofErr w:type="gramEnd"/>
            <w:r w:rsidRPr="00182400">
              <w:rPr>
                <w:rFonts w:eastAsia="Calibri"/>
                <w:lang w:val="en-GB" w:eastAsia="en-US" w:bidi="en-GB"/>
              </w:rPr>
              <w:t xml:space="preserve"> and investigation of economic crime.</w:t>
            </w:r>
          </w:p>
          <w:p w14:paraId="3ADFD36C" w14:textId="77777777" w:rsidR="00266AB3" w:rsidRPr="00182400" w:rsidRDefault="00266AB3" w:rsidP="00182400">
            <w:pPr>
              <w:rPr>
                <w:rFonts w:eastAsia="Calibri"/>
                <w:color w:val="000000"/>
                <w:lang w:val="en-GB" w:eastAsia="en-US" w:bidi="en-GB"/>
              </w:rPr>
            </w:pPr>
            <w:proofErr w:type="gramStart"/>
            <w:r w:rsidRPr="00182400">
              <w:rPr>
                <w:rFonts w:eastAsia="Calibri"/>
                <w:color w:val="000000"/>
                <w:lang w:val="en-GB" w:eastAsia="en-US" w:bidi="en-GB"/>
              </w:rPr>
              <w:lastRenderedPageBreak/>
              <w:t>With regard to</w:t>
            </w:r>
            <w:proofErr w:type="gramEnd"/>
            <w:r w:rsidRPr="00182400">
              <w:rPr>
                <w:rFonts w:eastAsia="Calibri"/>
                <w:color w:val="000000"/>
                <w:lang w:val="en-GB" w:eastAsia="en-US" w:bidi="en-GB"/>
              </w:rPr>
              <w:t xml:space="preserve"> corruption in particular, the report could, for example, focus on the following initiatives:</w:t>
            </w:r>
          </w:p>
          <w:p w14:paraId="37BE9F24" w14:textId="77777777" w:rsidR="00266AB3" w:rsidRPr="00182400" w:rsidRDefault="00266AB3" w:rsidP="00182400">
            <w:pPr>
              <w:pStyle w:val="Liste"/>
              <w:rPr>
                <w:szCs w:val="22"/>
                <w:lang w:val="en-US" w:eastAsia="en-US"/>
              </w:rPr>
            </w:pPr>
            <w:r w:rsidRPr="00182400">
              <w:rPr>
                <w:szCs w:val="22"/>
                <w:lang w:val="en-GB" w:eastAsia="en-US" w:bidi="en-GB"/>
              </w:rPr>
              <w:t>Analysing risk areas and discussing the occurrence of risk factors</w:t>
            </w:r>
          </w:p>
          <w:p w14:paraId="26EBF7CE" w14:textId="77777777" w:rsidR="00266AB3" w:rsidRPr="00182400" w:rsidRDefault="00266AB3" w:rsidP="00182400">
            <w:pPr>
              <w:pStyle w:val="Liste"/>
              <w:rPr>
                <w:szCs w:val="22"/>
                <w:lang w:val="en-US" w:eastAsia="en-US"/>
              </w:rPr>
            </w:pPr>
            <w:r w:rsidRPr="00182400">
              <w:rPr>
                <w:szCs w:val="22"/>
                <w:lang w:val="en-GB" w:eastAsia="en-US" w:bidi="en-GB"/>
              </w:rPr>
              <w:t>Summarising knowledge about the prevalence of the problem in different areas of society</w:t>
            </w:r>
          </w:p>
          <w:p w14:paraId="458E5780" w14:textId="77777777" w:rsidR="00266AB3" w:rsidRPr="00182400" w:rsidRDefault="00266AB3" w:rsidP="00182400">
            <w:pPr>
              <w:pStyle w:val="Liste"/>
              <w:rPr>
                <w:szCs w:val="22"/>
                <w:lang w:val="en-US" w:eastAsia="en-US"/>
              </w:rPr>
            </w:pPr>
            <w:r w:rsidRPr="00182400">
              <w:rPr>
                <w:szCs w:val="22"/>
                <w:lang w:val="en-GB" w:eastAsia="en-US" w:bidi="en-GB"/>
              </w:rPr>
              <w:t>Recommending procedures and main elements in preventive work</w:t>
            </w:r>
          </w:p>
          <w:p w14:paraId="00BFB626" w14:textId="77777777" w:rsidR="00266AB3" w:rsidRPr="00182400" w:rsidRDefault="00266AB3" w:rsidP="00182400">
            <w:pPr>
              <w:pStyle w:val="Liste"/>
              <w:rPr>
                <w:szCs w:val="22"/>
                <w:lang w:val="en-US" w:eastAsia="en-US"/>
              </w:rPr>
            </w:pPr>
            <w:r w:rsidRPr="00182400">
              <w:rPr>
                <w:szCs w:val="22"/>
                <w:lang w:val="en-GB" w:eastAsia="en-US" w:bidi="en-GB"/>
              </w:rPr>
              <w:t>Formulating goals and expectations (requirements) for anti-corruption programmes in the public and private sectors (prepare guidelines, etc.)</w:t>
            </w:r>
          </w:p>
          <w:p w14:paraId="55BB91D1" w14:textId="77777777" w:rsidR="00266AB3" w:rsidRPr="00182400" w:rsidRDefault="00266AB3" w:rsidP="00182400">
            <w:pPr>
              <w:pStyle w:val="Liste"/>
              <w:rPr>
                <w:szCs w:val="22"/>
                <w:lang w:val="en-US" w:eastAsia="en-US"/>
              </w:rPr>
            </w:pPr>
            <w:r w:rsidRPr="00182400">
              <w:rPr>
                <w:szCs w:val="22"/>
                <w:lang w:val="en-GB" w:eastAsia="en-US" w:bidi="en-GB"/>
              </w:rPr>
              <w:t xml:space="preserve">Evaluating police investigations and criminal law enforcement of corruption in light of the fact that it is 20 years since the provisions came into </w:t>
            </w:r>
            <w:proofErr w:type="gramStart"/>
            <w:r w:rsidRPr="00182400">
              <w:rPr>
                <w:szCs w:val="22"/>
                <w:lang w:val="en-GB" w:eastAsia="en-US" w:bidi="en-GB"/>
              </w:rPr>
              <w:t>force</w:t>
            </w:r>
            <w:proofErr w:type="gramEnd"/>
          </w:p>
          <w:p w14:paraId="17D5D9BE" w14:textId="77777777" w:rsidR="00266AB3" w:rsidRPr="00182400" w:rsidRDefault="00266AB3" w:rsidP="00182400">
            <w:pPr>
              <w:pStyle w:val="Liste"/>
              <w:rPr>
                <w:szCs w:val="22"/>
                <w:lang w:val="en-GB" w:eastAsia="en-US" w:bidi="en-GB"/>
              </w:rPr>
            </w:pPr>
            <w:r w:rsidRPr="00182400">
              <w:rPr>
                <w:szCs w:val="22"/>
                <w:lang w:val="en-GB" w:eastAsia="en-US" w:bidi="en-GB"/>
              </w:rPr>
              <w:t xml:space="preserve">Identifying training needs and proposing training programmes that can help bolster expertise in anti-corruption </w:t>
            </w:r>
            <w:proofErr w:type="gramStart"/>
            <w:r w:rsidRPr="00182400">
              <w:rPr>
                <w:szCs w:val="22"/>
                <w:lang w:val="en-GB" w:eastAsia="en-US" w:bidi="en-GB"/>
              </w:rPr>
              <w:t>matters</w:t>
            </w:r>
            <w:proofErr w:type="gramEnd"/>
          </w:p>
          <w:p w14:paraId="020F12A9" w14:textId="77777777" w:rsidR="00266AB3" w:rsidRPr="00182400" w:rsidRDefault="00266AB3" w:rsidP="00182400">
            <w:pPr>
              <w:pStyle w:val="Liste"/>
              <w:rPr>
                <w:color w:val="31261D"/>
                <w:szCs w:val="22"/>
                <w:lang w:val="en-US" w:eastAsia="en-US"/>
              </w:rPr>
            </w:pPr>
            <w:r w:rsidRPr="00182400">
              <w:rPr>
                <w:szCs w:val="22"/>
                <w:lang w:val="en-GB" w:eastAsia="en-US" w:bidi="en-GB"/>
              </w:rPr>
              <w:t>Identifying potential weaknesses in existing legislation and considering legislative changes</w:t>
            </w:r>
          </w:p>
          <w:p w14:paraId="174B9F8F" w14:textId="77777777" w:rsidR="00266AB3" w:rsidRPr="00182400" w:rsidRDefault="00266AB3" w:rsidP="00182400">
            <w:pPr>
              <w:rPr>
                <w:rFonts w:eastAsia="Calibri"/>
                <w:lang w:val="en-GB" w:eastAsia="en-US" w:bidi="en-GB"/>
              </w:rPr>
            </w:pPr>
            <w:r w:rsidRPr="00182400">
              <w:rPr>
                <w:rFonts w:eastAsia="Calibri"/>
                <w:lang w:val="en-GB" w:eastAsia="en-US" w:bidi="en-GB"/>
              </w:rPr>
              <w:t>The Ministry of Justice will establish a website with information about the authorities’ anti-corruption efforts. The breadth of the anti-corruption work, where a very large number of ministries and agencies have responsibilities within their sectors, and where there are also many different national and international initiatives and follow-ups, will be visualised through the launch of such a website.</w:t>
            </w:r>
          </w:p>
          <w:p w14:paraId="4B34F356" w14:textId="77777777" w:rsidR="00266AB3" w:rsidRPr="00182400" w:rsidRDefault="008B0AA1" w:rsidP="00182400">
            <w:pPr>
              <w:pStyle w:val="avsnitt-undertittel"/>
              <w:rPr>
                <w:rStyle w:val="halvfet"/>
                <w:lang w:val="en-GB" w:eastAsia="en-US"/>
              </w:rPr>
            </w:pPr>
            <w:r w:rsidRPr="00182400">
              <w:rPr>
                <w:rStyle w:val="halvfet"/>
                <w:b w:val="0"/>
                <w:bCs/>
                <w:lang w:val="en-GB" w:eastAsia="en-US"/>
              </w:rPr>
              <w:t>3.</w:t>
            </w:r>
            <w:r w:rsidRPr="00182400">
              <w:rPr>
                <w:rStyle w:val="halvfet"/>
                <w:b w:val="0"/>
                <w:bCs/>
                <w:lang w:val="en-GB" w:eastAsia="en-US"/>
              </w:rPr>
              <w:tab/>
            </w:r>
            <w:r w:rsidR="00266AB3" w:rsidRPr="00182400">
              <w:rPr>
                <w:lang w:val="en-GB" w:eastAsia="en-US"/>
              </w:rPr>
              <w:t>What results will be achieved by implementing the commitment?</w:t>
            </w:r>
          </w:p>
          <w:p w14:paraId="49681889" w14:textId="77777777" w:rsidR="00266AB3" w:rsidRPr="00182400" w:rsidRDefault="00266AB3" w:rsidP="00182400">
            <w:pPr>
              <w:pStyle w:val="alfaliste"/>
              <w:rPr>
                <w:szCs w:val="22"/>
                <w:lang w:val="en-GB" w:eastAsia="en-US" w:bidi="en-GB"/>
              </w:rPr>
            </w:pPr>
            <w:r w:rsidRPr="00182400">
              <w:rPr>
                <w:szCs w:val="22"/>
                <w:lang w:val="en-GB" w:eastAsia="en-US" w:bidi="en-GB"/>
              </w:rPr>
              <w:t>Strengthen the ability to prevent, detect and fight corruption.</w:t>
            </w:r>
          </w:p>
          <w:p w14:paraId="398227FF" w14:textId="77777777" w:rsidR="00266AB3" w:rsidRPr="00182400" w:rsidRDefault="00266AB3" w:rsidP="00182400">
            <w:pPr>
              <w:pStyle w:val="alfaliste"/>
              <w:rPr>
                <w:szCs w:val="22"/>
                <w:lang w:val="en-US" w:eastAsia="en-US"/>
              </w:rPr>
            </w:pPr>
            <w:r w:rsidRPr="00182400">
              <w:rPr>
                <w:szCs w:val="22"/>
                <w:lang w:val="en-GB" w:eastAsia="en-US" w:bidi="en-GB"/>
              </w:rPr>
              <w:t>Contribute to lower corruption in Norway.</w:t>
            </w:r>
          </w:p>
          <w:p w14:paraId="51452E83" w14:textId="77777777" w:rsidR="00266AB3" w:rsidRPr="00182400" w:rsidRDefault="00266AB3" w:rsidP="00182400">
            <w:pPr>
              <w:pStyle w:val="alfaliste"/>
              <w:rPr>
                <w:szCs w:val="22"/>
                <w:lang w:val="en-US" w:eastAsia="en-US"/>
              </w:rPr>
            </w:pPr>
            <w:r w:rsidRPr="00182400">
              <w:rPr>
                <w:szCs w:val="22"/>
                <w:lang w:val="en-GB" w:eastAsia="en-US" w:bidi="en-GB"/>
              </w:rPr>
              <w:t>Raise awareness in the population, private business and the public sector.</w:t>
            </w:r>
          </w:p>
          <w:p w14:paraId="66163F5D" w14:textId="77777777" w:rsidR="00266AB3" w:rsidRPr="00182400" w:rsidRDefault="00266AB3" w:rsidP="00182400">
            <w:pPr>
              <w:pStyle w:val="alfaliste"/>
              <w:rPr>
                <w:szCs w:val="22"/>
                <w:lang w:val="en-US" w:eastAsia="en-US"/>
              </w:rPr>
            </w:pPr>
            <w:r w:rsidRPr="00182400">
              <w:rPr>
                <w:szCs w:val="22"/>
                <w:lang w:val="en-GB" w:eastAsia="en-US" w:bidi="en-GB"/>
              </w:rPr>
              <w:t>Improve the dialogue between authorities and the population to prevent corruption.</w:t>
            </w:r>
          </w:p>
        </w:tc>
      </w:tr>
    </w:tbl>
    <w:p w14:paraId="05FA81E9" w14:textId="77777777" w:rsidR="00266AB3" w:rsidRPr="00266AB3" w:rsidRDefault="00266AB3" w:rsidP="00FA06AB">
      <w:pPr>
        <w:rPr>
          <w:rStyle w:val="halvfet"/>
          <w:lang w:val="en-US"/>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19"/>
        <w:gridCol w:w="5651"/>
      </w:tblGrid>
      <w:tr w:rsidR="00266AB3" w:rsidRPr="00182400" w14:paraId="6BF54601" w14:textId="77777777" w:rsidTr="00182400">
        <w:tc>
          <w:tcPr>
            <w:tcW w:w="9445" w:type="dxa"/>
            <w:gridSpan w:val="2"/>
            <w:shd w:val="clear" w:color="auto" w:fill="auto"/>
          </w:tcPr>
          <w:p w14:paraId="76566889" w14:textId="77777777" w:rsidR="00266AB3" w:rsidRPr="00182400" w:rsidRDefault="00266AB3"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p>
        </w:tc>
      </w:tr>
      <w:tr w:rsidR="00266AB3" w:rsidRPr="00BB441C" w14:paraId="54975C26" w14:textId="77777777" w:rsidTr="00182400">
        <w:trPr>
          <w:trHeight w:val="200"/>
        </w:trPr>
        <w:tc>
          <w:tcPr>
            <w:tcW w:w="3809" w:type="dxa"/>
            <w:shd w:val="clear" w:color="auto" w:fill="auto"/>
          </w:tcPr>
          <w:p w14:paraId="3B8B867B" w14:textId="77777777" w:rsidR="00266AB3" w:rsidRPr="00182400" w:rsidRDefault="00266AB3" w:rsidP="00182400">
            <w:pPr>
              <w:pStyle w:val="TabellHode-kolonne"/>
              <w:rPr>
                <w:rStyle w:val="kursiv"/>
                <w:rFonts w:eastAsia="Proxima Nova"/>
                <w:lang w:eastAsia="en-US"/>
              </w:rPr>
            </w:pPr>
            <w:r w:rsidRPr="00182400">
              <w:rPr>
                <w:rStyle w:val="kursiv"/>
                <w:rFonts w:eastAsia="Proxima Nova"/>
                <w:lang w:eastAsia="en-US"/>
              </w:rPr>
              <w:t>Question</w:t>
            </w:r>
          </w:p>
        </w:tc>
        <w:tc>
          <w:tcPr>
            <w:tcW w:w="5636" w:type="dxa"/>
            <w:shd w:val="clear" w:color="auto" w:fill="auto"/>
          </w:tcPr>
          <w:p w14:paraId="72B2E8BC" w14:textId="77777777" w:rsidR="00266AB3" w:rsidRPr="00182400" w:rsidRDefault="00266AB3" w:rsidP="00182400">
            <w:pPr>
              <w:pStyle w:val="TabellHode-kolonne"/>
              <w:rPr>
                <w:rStyle w:val="kursiv"/>
                <w:rFonts w:eastAsia="Proxima Nova"/>
                <w:lang w:val="en-GB" w:eastAsia="en-US"/>
              </w:rPr>
            </w:pPr>
            <w:r w:rsidRPr="00182400">
              <w:rPr>
                <w:rStyle w:val="kursiv"/>
                <w:rFonts w:eastAsia="Proxima Nova"/>
                <w:lang w:val="en-GB" w:eastAsia="en-US"/>
              </w:rPr>
              <w:t xml:space="preserve">Answer (answer </w:t>
            </w:r>
            <w:r w:rsidR="008B0AA1" w:rsidRPr="00182400">
              <w:rPr>
                <w:rStyle w:val="kursiv"/>
                <w:rFonts w:eastAsia="Proxima Nova"/>
                <w:lang w:val="en-GB" w:eastAsia="en-US"/>
              </w:rPr>
              <w:t>"</w:t>
            </w:r>
            <w:r w:rsidRPr="00182400">
              <w:rPr>
                <w:rStyle w:val="kursiv"/>
                <w:rFonts w:eastAsia="Proxima Nova"/>
                <w:lang w:val="en-GB" w:eastAsia="en-US"/>
              </w:rPr>
              <w:t>not applicable</w:t>
            </w:r>
            <w:r w:rsidR="008B0AA1" w:rsidRPr="00182400">
              <w:rPr>
                <w:rStyle w:val="kursiv"/>
                <w:rFonts w:eastAsia="Proxima Nova"/>
                <w:lang w:val="en-GB" w:eastAsia="en-US"/>
              </w:rPr>
              <w:t>"</w:t>
            </w:r>
            <w:r w:rsidRPr="00182400">
              <w:rPr>
                <w:rStyle w:val="kursiv"/>
                <w:rFonts w:eastAsia="Proxima Nova"/>
                <w:lang w:val="en-GB" w:eastAsia="en-US"/>
              </w:rPr>
              <w:t xml:space="preserve"> if most appropriate)</w:t>
            </w:r>
          </w:p>
        </w:tc>
      </w:tr>
      <w:tr w:rsidR="00266AB3" w:rsidRPr="00BB441C" w14:paraId="0C4120C2" w14:textId="77777777" w:rsidTr="00182400">
        <w:trPr>
          <w:trHeight w:val="200"/>
        </w:trPr>
        <w:tc>
          <w:tcPr>
            <w:tcW w:w="3809" w:type="dxa"/>
            <w:shd w:val="clear" w:color="auto" w:fill="auto"/>
          </w:tcPr>
          <w:p w14:paraId="4DB6EE5A" w14:textId="50A84294" w:rsidR="00266AB3" w:rsidRPr="00182400" w:rsidRDefault="00534E36" w:rsidP="00BB441C">
            <w:pPr>
              <w:pStyle w:val="friliste"/>
              <w:rPr>
                <w:rStyle w:val="kursiv"/>
                <w:lang w:val="en-GB" w:eastAsia="en-US"/>
              </w:rPr>
            </w:pPr>
            <w:r w:rsidRPr="00182400">
              <w:rPr>
                <w:rStyle w:val="kursiv"/>
                <w:lang w:val="en-GB" w:eastAsia="en-US"/>
              </w:rPr>
              <w:t>1.</w:t>
            </w:r>
            <w:r w:rsidRPr="00182400">
              <w:rPr>
                <w:rStyle w:val="kursiv"/>
                <w:lang w:val="en-GB" w:eastAsia="en-US"/>
              </w:rPr>
              <w:tab/>
            </w:r>
            <w:r w:rsidR="00266AB3" w:rsidRPr="00182400">
              <w:rPr>
                <w:lang w:val="en-GB" w:eastAsia="en-US" w:bidi="en-GB"/>
              </w:rPr>
              <w:t xml:space="preserve">How will the commitment promote openness? </w:t>
            </w:r>
          </w:p>
        </w:tc>
        <w:tc>
          <w:tcPr>
            <w:tcW w:w="5636" w:type="dxa"/>
            <w:shd w:val="clear" w:color="auto" w:fill="auto"/>
          </w:tcPr>
          <w:p w14:paraId="7DE2D6A5" w14:textId="77777777" w:rsidR="00266AB3" w:rsidRPr="00182400" w:rsidRDefault="00266AB3" w:rsidP="00182400">
            <w:pPr>
              <w:rPr>
                <w:rFonts w:eastAsia="Calibri"/>
                <w:lang w:val="en-GB" w:eastAsia="en-US" w:bidi="en-GB"/>
              </w:rPr>
            </w:pPr>
            <w:r w:rsidRPr="00182400">
              <w:rPr>
                <w:rFonts w:eastAsia="Calibri"/>
                <w:lang w:val="en-GB" w:eastAsia="en-US" w:bidi="en-GB"/>
              </w:rPr>
              <w:t>Open dialogue between authorities and the population on anti-corruption efforts. This can also prevent corruption.</w:t>
            </w:r>
          </w:p>
          <w:p w14:paraId="025183FD" w14:textId="77777777" w:rsidR="00266AB3" w:rsidRPr="00182400" w:rsidRDefault="00266AB3" w:rsidP="00182400">
            <w:pPr>
              <w:rPr>
                <w:rStyle w:val="halvfet"/>
                <w:rFonts w:eastAsia="Proxima Nova"/>
                <w:lang w:val="en-GB" w:eastAsia="en-US"/>
              </w:rPr>
            </w:pPr>
            <w:r w:rsidRPr="00182400">
              <w:rPr>
                <w:rFonts w:eastAsia="Calibri"/>
                <w:lang w:val="en-GB" w:eastAsia="en-US" w:bidi="en-GB"/>
              </w:rPr>
              <w:t xml:space="preserve">A collective clarification of the authorities’ attitudes to corruption, various measures to prevent and </w:t>
            </w:r>
            <w:r w:rsidRPr="00182400">
              <w:rPr>
                <w:rFonts w:eastAsia="Calibri"/>
                <w:lang w:val="en-GB" w:eastAsia="en-US" w:bidi="en-GB"/>
              </w:rPr>
              <w:lastRenderedPageBreak/>
              <w:t>detect corruption, and the consequences of breaking the law, is expected to have a preventive effect on both the public and public authorities.</w:t>
            </w:r>
          </w:p>
        </w:tc>
      </w:tr>
      <w:tr w:rsidR="00266AB3" w:rsidRPr="00BB441C" w14:paraId="7951A0B1" w14:textId="77777777" w:rsidTr="00182400">
        <w:trPr>
          <w:trHeight w:val="200"/>
        </w:trPr>
        <w:tc>
          <w:tcPr>
            <w:tcW w:w="3809" w:type="dxa"/>
            <w:shd w:val="clear" w:color="auto" w:fill="auto"/>
          </w:tcPr>
          <w:p w14:paraId="39926D86" w14:textId="4268FC6A" w:rsidR="00266AB3" w:rsidRPr="00182400" w:rsidRDefault="00534E36" w:rsidP="00BB441C">
            <w:pPr>
              <w:pStyle w:val="friliste"/>
              <w:rPr>
                <w:rStyle w:val="kursiv"/>
                <w:lang w:val="en-GB" w:eastAsia="en-US"/>
              </w:rPr>
            </w:pPr>
            <w:r w:rsidRPr="00182400">
              <w:rPr>
                <w:rStyle w:val="kursiv"/>
                <w:lang w:val="en-GB" w:eastAsia="en-US"/>
              </w:rPr>
              <w:lastRenderedPageBreak/>
              <w:t>2.</w:t>
            </w:r>
            <w:r w:rsidRPr="00182400">
              <w:rPr>
                <w:rStyle w:val="kursiv"/>
                <w:lang w:val="en-GB" w:eastAsia="en-US"/>
              </w:rPr>
              <w:tab/>
            </w:r>
            <w:r w:rsidR="00266AB3" w:rsidRPr="00182400">
              <w:rPr>
                <w:lang w:val="en-GB" w:eastAsia="en-US" w:bidi="en-GB"/>
              </w:rPr>
              <w:t xml:space="preserve">How will the commitment contribute to greater predictability? </w:t>
            </w:r>
          </w:p>
        </w:tc>
        <w:tc>
          <w:tcPr>
            <w:tcW w:w="5636" w:type="dxa"/>
            <w:shd w:val="clear" w:color="auto" w:fill="auto"/>
          </w:tcPr>
          <w:p w14:paraId="41807D3F" w14:textId="77777777" w:rsidR="00266AB3" w:rsidRPr="00182400" w:rsidRDefault="00266AB3" w:rsidP="00182400">
            <w:pPr>
              <w:rPr>
                <w:rFonts w:eastAsia="Proxima Nova"/>
                <w:lang w:val="en-US" w:eastAsia="en-US"/>
              </w:rPr>
            </w:pPr>
            <w:r w:rsidRPr="00182400">
              <w:rPr>
                <w:rFonts w:eastAsia="Proxima Nova"/>
                <w:lang w:val="en-GB" w:eastAsia="en-US" w:bidi="en-GB"/>
              </w:rPr>
              <w:t xml:space="preserve">The strategy’s goals and measures will lead to greater assurance of equal treatment and legal safeguards by reducing the opportunity to carry out corrupt acts. </w:t>
            </w:r>
          </w:p>
        </w:tc>
      </w:tr>
      <w:tr w:rsidR="00266AB3" w:rsidRPr="00BB441C" w14:paraId="1DC57ABC" w14:textId="77777777" w:rsidTr="00182400">
        <w:trPr>
          <w:trHeight w:val="200"/>
        </w:trPr>
        <w:tc>
          <w:tcPr>
            <w:tcW w:w="3809" w:type="dxa"/>
            <w:shd w:val="clear" w:color="auto" w:fill="auto"/>
          </w:tcPr>
          <w:p w14:paraId="4B8E9917" w14:textId="26771B8F" w:rsidR="00266AB3" w:rsidRPr="00182400" w:rsidRDefault="00534E36" w:rsidP="00BB441C">
            <w:pPr>
              <w:pStyle w:val="friliste"/>
              <w:rPr>
                <w:rStyle w:val="kursiv"/>
                <w:lang w:val="en-GB" w:eastAsia="en-US"/>
              </w:rPr>
            </w:pPr>
            <w:r w:rsidRPr="00182400">
              <w:rPr>
                <w:rStyle w:val="kursiv"/>
                <w:lang w:val="en-GB" w:eastAsia="en-US"/>
              </w:rPr>
              <w:t>3.</w:t>
            </w:r>
            <w:r w:rsidRPr="00182400">
              <w:rPr>
                <w:rStyle w:val="kursiv"/>
                <w:lang w:val="en-GB" w:eastAsia="en-US"/>
              </w:rPr>
              <w:tab/>
            </w:r>
            <w:r w:rsidR="00266AB3" w:rsidRPr="00182400">
              <w:rPr>
                <w:lang w:val="en-GB" w:eastAsia="en-US" w:bidi="en-GB"/>
              </w:rPr>
              <w:t xml:space="preserve">How will the commitment improve the opportunity for citizens to participate by publicising, </w:t>
            </w:r>
            <w:proofErr w:type="gramStart"/>
            <w:r w:rsidR="00266AB3" w:rsidRPr="00182400">
              <w:rPr>
                <w:lang w:val="en-GB" w:eastAsia="en-US" w:bidi="en-GB"/>
              </w:rPr>
              <w:t>implementing</w:t>
            </w:r>
            <w:proofErr w:type="gramEnd"/>
            <w:r w:rsidR="00266AB3" w:rsidRPr="00182400">
              <w:rPr>
                <w:lang w:val="en-GB" w:eastAsia="en-US" w:bidi="en-GB"/>
              </w:rPr>
              <w:t xml:space="preserve"> and monitoring the solutions? </w:t>
            </w:r>
          </w:p>
        </w:tc>
        <w:tc>
          <w:tcPr>
            <w:tcW w:w="5636" w:type="dxa"/>
            <w:shd w:val="clear" w:color="auto" w:fill="auto"/>
          </w:tcPr>
          <w:p w14:paraId="3893EBAF" w14:textId="77777777" w:rsidR="00266AB3" w:rsidRPr="00182400" w:rsidRDefault="00266AB3" w:rsidP="00182400">
            <w:pPr>
              <w:rPr>
                <w:rFonts w:eastAsia="Proxima Nova"/>
                <w:bCs/>
                <w:lang w:val="en-US" w:eastAsia="en-US"/>
              </w:rPr>
            </w:pPr>
            <w:r w:rsidRPr="00182400">
              <w:rPr>
                <w:rFonts w:eastAsia="Proxima Nova"/>
                <w:lang w:val="en-GB" w:eastAsia="en-US" w:bidi="en-GB"/>
              </w:rPr>
              <w:t xml:space="preserve">The white paper and its follow-up will give citizens a more informed basis for participating in, </w:t>
            </w:r>
            <w:proofErr w:type="gramStart"/>
            <w:r w:rsidRPr="00182400">
              <w:rPr>
                <w:rFonts w:eastAsia="Proxima Nova"/>
                <w:lang w:val="en-GB" w:eastAsia="en-US" w:bidi="en-GB"/>
              </w:rPr>
              <w:t>influencing</w:t>
            </w:r>
            <w:proofErr w:type="gramEnd"/>
            <w:r w:rsidRPr="00182400">
              <w:rPr>
                <w:rFonts w:eastAsia="Proxima Nova"/>
                <w:lang w:val="en-GB" w:eastAsia="en-US" w:bidi="en-GB"/>
              </w:rPr>
              <w:t xml:space="preserve"> and following up public efforts in this area. The website will help to make access to information for citizens clearer and more effective, which in turn can provide greater opportunities for participation and monitoring of the authorities’ efforts in this area. </w:t>
            </w:r>
          </w:p>
        </w:tc>
      </w:tr>
    </w:tbl>
    <w:p w14:paraId="3C022FD3" w14:textId="77777777" w:rsidR="00266AB3" w:rsidRDefault="00266AB3" w:rsidP="00FA06AB">
      <w:pPr>
        <w:rPr>
          <w:rStyle w:val="halvfet"/>
          <w:lang w:val="en-GB"/>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65"/>
        <w:gridCol w:w="2016"/>
        <w:gridCol w:w="1468"/>
        <w:gridCol w:w="3644"/>
      </w:tblGrid>
      <w:tr w:rsidR="00BD01A9" w:rsidRPr="00182400" w14:paraId="404EA5AA" w14:textId="77777777" w:rsidTr="005258C8">
        <w:trPr>
          <w:trHeight w:val="210"/>
        </w:trPr>
        <w:tc>
          <w:tcPr>
            <w:tcW w:w="9493" w:type="dxa"/>
            <w:gridSpan w:val="4"/>
            <w:shd w:val="clear" w:color="auto" w:fill="auto"/>
          </w:tcPr>
          <w:p w14:paraId="18F9C030" w14:textId="77777777" w:rsidR="00BD01A9" w:rsidRPr="00182400" w:rsidRDefault="00BD01A9" w:rsidP="005258C8">
            <w:pPr>
              <w:pStyle w:val="TabellHode-kolonne"/>
              <w:rPr>
                <w:rStyle w:val="halvfet"/>
                <w:rFonts w:eastAsia="Proxima Nova"/>
                <w:lang w:eastAsia="en-US"/>
              </w:rPr>
            </w:pPr>
            <w:r w:rsidRPr="00182400">
              <w:rPr>
                <w:rStyle w:val="halvfet"/>
                <w:rFonts w:eastAsia="Proxima Nova"/>
                <w:lang w:eastAsia="en-US"/>
              </w:rPr>
              <w:t xml:space="preserve">Plan for </w:t>
            </w:r>
            <w:proofErr w:type="spellStart"/>
            <w:r w:rsidRPr="00182400">
              <w:rPr>
                <w:rStyle w:val="halvfet"/>
                <w:rFonts w:eastAsia="Proxima Nova"/>
                <w:lang w:eastAsia="en-US"/>
              </w:rPr>
              <w:t>commitment</w:t>
            </w:r>
            <w:proofErr w:type="spellEnd"/>
          </w:p>
        </w:tc>
      </w:tr>
      <w:tr w:rsidR="00BD01A9" w:rsidRPr="00182400" w14:paraId="7C5116B3" w14:textId="77777777" w:rsidTr="005258C8">
        <w:trPr>
          <w:trHeight w:val="200"/>
        </w:trPr>
        <w:tc>
          <w:tcPr>
            <w:tcW w:w="2365" w:type="dxa"/>
            <w:shd w:val="clear" w:color="auto" w:fill="auto"/>
          </w:tcPr>
          <w:p w14:paraId="24363563" w14:textId="77777777" w:rsidR="00BD01A9" w:rsidRPr="00182400" w:rsidRDefault="00BD01A9" w:rsidP="005258C8">
            <w:pPr>
              <w:pStyle w:val="TabellHode-kolonne"/>
              <w:rPr>
                <w:rStyle w:val="kursiv"/>
                <w:rFonts w:eastAsia="Proxima Nova"/>
                <w:lang w:eastAsia="en-US"/>
              </w:rPr>
            </w:pPr>
            <w:r w:rsidRPr="00182400">
              <w:rPr>
                <w:rStyle w:val="kursiv"/>
                <w:rFonts w:eastAsia="Proxima Nova"/>
                <w:lang w:eastAsia="en-US"/>
              </w:rPr>
              <w:t>Milestones</w:t>
            </w:r>
          </w:p>
        </w:tc>
        <w:tc>
          <w:tcPr>
            <w:tcW w:w="2016" w:type="dxa"/>
            <w:shd w:val="clear" w:color="auto" w:fill="auto"/>
          </w:tcPr>
          <w:p w14:paraId="4EAAED82" w14:textId="77777777" w:rsidR="00BD01A9" w:rsidRPr="00182400" w:rsidRDefault="00BD01A9"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outcome</w:t>
            </w:r>
            <w:proofErr w:type="spellEnd"/>
          </w:p>
        </w:tc>
        <w:tc>
          <w:tcPr>
            <w:tcW w:w="1468" w:type="dxa"/>
            <w:shd w:val="clear" w:color="auto" w:fill="auto"/>
          </w:tcPr>
          <w:p w14:paraId="0E666634" w14:textId="77777777" w:rsidR="00BD01A9" w:rsidRPr="00182400" w:rsidRDefault="00BD01A9"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date </w:t>
            </w:r>
            <w:proofErr w:type="spellStart"/>
            <w:r w:rsidRPr="00182400">
              <w:rPr>
                <w:rStyle w:val="kursiv"/>
                <w:rFonts w:eastAsia="Proxima Nova"/>
                <w:lang w:eastAsia="en-US"/>
              </w:rPr>
              <w:t>of</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realisation</w:t>
            </w:r>
            <w:proofErr w:type="spellEnd"/>
          </w:p>
        </w:tc>
        <w:tc>
          <w:tcPr>
            <w:tcW w:w="3644" w:type="dxa"/>
            <w:shd w:val="clear" w:color="auto" w:fill="auto"/>
          </w:tcPr>
          <w:p w14:paraId="096B816E" w14:textId="77777777" w:rsidR="00BD01A9" w:rsidRPr="00182400" w:rsidRDefault="00BD01A9" w:rsidP="005258C8">
            <w:pPr>
              <w:pStyle w:val="TabellHode-kolonne"/>
              <w:rPr>
                <w:rStyle w:val="kursiv"/>
                <w:rFonts w:eastAsia="Proxima Nova"/>
                <w:lang w:eastAsia="en-US"/>
              </w:rPr>
            </w:pPr>
            <w:r w:rsidRPr="00182400">
              <w:rPr>
                <w:rStyle w:val="kursiv"/>
                <w:rFonts w:eastAsia="Proxima Nova"/>
                <w:lang w:eastAsia="en-US"/>
              </w:rPr>
              <w:t xml:space="preserve">Stakeholders </w:t>
            </w:r>
          </w:p>
        </w:tc>
      </w:tr>
      <w:tr w:rsidR="00BD01A9" w:rsidRPr="00BD01A9" w14:paraId="2B368FF7" w14:textId="77777777" w:rsidTr="00586C02">
        <w:trPr>
          <w:trHeight w:val="2577"/>
        </w:trPr>
        <w:tc>
          <w:tcPr>
            <w:tcW w:w="2365" w:type="dxa"/>
            <w:shd w:val="clear" w:color="auto" w:fill="auto"/>
          </w:tcPr>
          <w:p w14:paraId="4DE0C4A4" w14:textId="77777777" w:rsidR="00BD01A9" w:rsidRPr="00BB441C" w:rsidRDefault="00BD01A9" w:rsidP="005258C8">
            <w:pPr>
              <w:pStyle w:val="TabellHode-rad"/>
              <w:rPr>
                <w:rStyle w:val="kursiv"/>
                <w:rFonts w:eastAsia="Proxima Nova"/>
                <w:lang w:val="en-GB"/>
              </w:rPr>
            </w:pPr>
            <w:r w:rsidRPr="00BB441C">
              <w:rPr>
                <w:rStyle w:val="kursiv"/>
                <w:rFonts w:eastAsia="Proxima Nova"/>
                <w:lang w:val="en-GB"/>
              </w:rPr>
              <w:t xml:space="preserve">Report to the </w:t>
            </w:r>
            <w:proofErr w:type="spellStart"/>
            <w:r w:rsidRPr="00BB441C">
              <w:rPr>
                <w:rStyle w:val="kursiv"/>
                <w:rFonts w:eastAsia="Proxima Nova"/>
                <w:lang w:val="en-GB"/>
              </w:rPr>
              <w:t>Storting</w:t>
            </w:r>
            <w:proofErr w:type="spellEnd"/>
            <w:r w:rsidRPr="00BB441C">
              <w:rPr>
                <w:rStyle w:val="kursiv"/>
                <w:rFonts w:eastAsia="Proxima Nova"/>
                <w:lang w:val="en-GB"/>
              </w:rPr>
              <w:t xml:space="preserve"> (white paper) on financial crime</w:t>
            </w:r>
          </w:p>
          <w:p w14:paraId="42E4ABE8" w14:textId="77777777" w:rsidR="00BD01A9" w:rsidRPr="00182400" w:rsidRDefault="00BD01A9" w:rsidP="005258C8">
            <w:pPr>
              <w:pStyle w:val="TabellHode-rad"/>
              <w:rPr>
                <w:rStyle w:val="kursiv"/>
                <w:rFonts w:eastAsia="Proxima Nova"/>
                <w:lang w:val="en-GB" w:eastAsia="en-US"/>
              </w:rPr>
            </w:pPr>
            <w:r w:rsidRPr="00BB441C">
              <w:rPr>
                <w:rStyle w:val="kursiv"/>
                <w:rFonts w:eastAsia="Proxima Nova"/>
                <w:lang w:val="en-GB"/>
              </w:rPr>
              <w:t>Follow up the white paper on economic crime</w:t>
            </w:r>
          </w:p>
        </w:tc>
        <w:tc>
          <w:tcPr>
            <w:tcW w:w="2016" w:type="dxa"/>
            <w:shd w:val="clear" w:color="auto" w:fill="auto"/>
          </w:tcPr>
          <w:p w14:paraId="59A3C570" w14:textId="77777777" w:rsidR="00BD01A9" w:rsidRPr="00182400" w:rsidRDefault="00BD01A9" w:rsidP="005258C8">
            <w:pPr>
              <w:rPr>
                <w:rFonts w:eastAsia="Proxima Nova"/>
                <w:lang w:val="en-US" w:eastAsia="en-US"/>
              </w:rPr>
            </w:pPr>
          </w:p>
        </w:tc>
        <w:tc>
          <w:tcPr>
            <w:tcW w:w="1468" w:type="dxa"/>
            <w:shd w:val="clear" w:color="auto" w:fill="auto"/>
          </w:tcPr>
          <w:p w14:paraId="7ADA3193" w14:textId="77777777" w:rsidR="00BD01A9" w:rsidRPr="00182400" w:rsidRDefault="00BD01A9" w:rsidP="005258C8">
            <w:pPr>
              <w:rPr>
                <w:rFonts w:eastAsia="Proxima Nova"/>
                <w:lang w:val="nn-NO" w:eastAsia="en-US"/>
              </w:rPr>
            </w:pPr>
            <w:r w:rsidRPr="00182400">
              <w:rPr>
                <w:rFonts w:eastAsia="Proxima Nova"/>
                <w:lang w:eastAsia="en-US" w:bidi="en-GB"/>
              </w:rPr>
              <w:t xml:space="preserve">End </w:t>
            </w:r>
            <w:proofErr w:type="spellStart"/>
            <w:r w:rsidRPr="00182400">
              <w:rPr>
                <w:rFonts w:eastAsia="Proxima Nova"/>
                <w:lang w:eastAsia="en-US" w:bidi="en-GB"/>
              </w:rPr>
              <w:t>of</w:t>
            </w:r>
            <w:proofErr w:type="spellEnd"/>
            <w:r w:rsidRPr="00182400">
              <w:rPr>
                <w:rFonts w:eastAsia="Proxima Nova"/>
                <w:lang w:eastAsia="en-US" w:bidi="en-GB"/>
              </w:rPr>
              <w:t xml:space="preserve"> 2023</w:t>
            </w:r>
          </w:p>
          <w:p w14:paraId="1FACD714" w14:textId="77777777" w:rsidR="00BD01A9" w:rsidRPr="00182400" w:rsidRDefault="00BD01A9" w:rsidP="005258C8">
            <w:pPr>
              <w:rPr>
                <w:rFonts w:eastAsia="Proxima Nova"/>
                <w:lang w:val="nn-NO" w:eastAsia="en-US"/>
              </w:rPr>
            </w:pPr>
            <w:r w:rsidRPr="00182400">
              <w:rPr>
                <w:rFonts w:eastAsia="Proxima Nova"/>
                <w:lang w:eastAsia="en-US" w:bidi="en-GB"/>
              </w:rPr>
              <w:t>2024-2027</w:t>
            </w:r>
          </w:p>
        </w:tc>
        <w:tc>
          <w:tcPr>
            <w:tcW w:w="3644" w:type="dxa"/>
            <w:shd w:val="clear" w:color="auto" w:fill="auto"/>
          </w:tcPr>
          <w:tbl>
            <w:tblPr>
              <w:tblStyle w:val="StandardTabell"/>
              <w:tblW w:w="0" w:type="auto"/>
              <w:tblLayout w:type="fixed"/>
              <w:tblLook w:val="04A0" w:firstRow="1" w:lastRow="0" w:firstColumn="1" w:lastColumn="0" w:noHBand="0" w:noVBand="1"/>
            </w:tblPr>
            <w:tblGrid>
              <w:gridCol w:w="1139"/>
              <w:gridCol w:w="1139"/>
              <w:gridCol w:w="1140"/>
            </w:tblGrid>
            <w:tr w:rsidR="00BD01A9" w14:paraId="7748B028" w14:textId="77777777" w:rsidTr="00896592">
              <w:tc>
                <w:tcPr>
                  <w:tcW w:w="3418" w:type="dxa"/>
                  <w:gridSpan w:val="3"/>
                </w:tcPr>
                <w:p w14:paraId="62CD4122" w14:textId="7078B5D9" w:rsidR="00BD01A9" w:rsidRDefault="00BD01A9" w:rsidP="005258C8">
                  <w:pPr>
                    <w:rPr>
                      <w:rFonts w:eastAsia="Proxima Nova"/>
                      <w:lang w:val="nn-NO"/>
                    </w:rPr>
                  </w:pPr>
                  <w:proofErr w:type="spellStart"/>
                  <w:r w:rsidRPr="00182400">
                    <w:rPr>
                      <w:rFonts w:eastAsia="Proxima Nova"/>
                      <w:lang w:bidi="en-GB"/>
                    </w:rPr>
                    <w:t>Responsible</w:t>
                  </w:r>
                  <w:proofErr w:type="spellEnd"/>
                  <w:r w:rsidRPr="00182400">
                    <w:rPr>
                      <w:rFonts w:eastAsia="Proxima Nova"/>
                      <w:lang w:bidi="en-GB"/>
                    </w:rPr>
                    <w:t>:</w:t>
                  </w:r>
                </w:p>
              </w:tc>
            </w:tr>
            <w:tr w:rsidR="00BD01A9" w14:paraId="0BCCEAD8" w14:textId="77777777" w:rsidTr="009B384B">
              <w:tc>
                <w:tcPr>
                  <w:tcW w:w="3418" w:type="dxa"/>
                  <w:gridSpan w:val="3"/>
                </w:tcPr>
                <w:p w14:paraId="5708E884" w14:textId="65854906" w:rsidR="00BD01A9" w:rsidRDefault="00BD01A9" w:rsidP="005258C8">
                  <w:pPr>
                    <w:rPr>
                      <w:rFonts w:eastAsia="Proxima Nova"/>
                      <w:lang w:val="nn-NO"/>
                    </w:rPr>
                  </w:pPr>
                  <w:r w:rsidRPr="00182400">
                    <w:rPr>
                      <w:rFonts w:eastAsia="Proxima Nova"/>
                      <w:lang w:bidi="en-GB"/>
                    </w:rPr>
                    <w:t>Stakeholders/supporters</w:t>
                  </w:r>
                </w:p>
              </w:tc>
            </w:tr>
            <w:tr w:rsidR="00BD01A9" w14:paraId="385BA198" w14:textId="77777777" w:rsidTr="00BD01A9">
              <w:tc>
                <w:tcPr>
                  <w:tcW w:w="1139" w:type="dxa"/>
                </w:tcPr>
                <w:p w14:paraId="4F5A209B" w14:textId="1E838EA8" w:rsidR="00BD01A9" w:rsidRDefault="00BD01A9" w:rsidP="00BD01A9">
                  <w:pPr>
                    <w:rPr>
                      <w:rFonts w:eastAsia="Proxima Nova"/>
                      <w:lang w:val="nn-NO"/>
                    </w:rPr>
                  </w:pPr>
                  <w:r w:rsidRPr="00182400">
                    <w:rPr>
                      <w:rFonts w:eastAsia="Proxima Nova"/>
                      <w:lang w:bidi="en-GB"/>
                    </w:rPr>
                    <w:t xml:space="preserve">Public </w:t>
                  </w:r>
                  <w:proofErr w:type="spellStart"/>
                  <w:r w:rsidRPr="00182400">
                    <w:rPr>
                      <w:rFonts w:eastAsia="Proxima Nova"/>
                      <w:lang w:bidi="en-GB"/>
                    </w:rPr>
                    <w:t>administration</w:t>
                  </w:r>
                  <w:proofErr w:type="spellEnd"/>
                  <w:r w:rsidRPr="00182400">
                    <w:rPr>
                      <w:rFonts w:eastAsia="Proxima Nova"/>
                      <w:lang w:bidi="en-GB"/>
                    </w:rPr>
                    <w:t xml:space="preserve"> </w:t>
                  </w:r>
                </w:p>
              </w:tc>
              <w:tc>
                <w:tcPr>
                  <w:tcW w:w="1139" w:type="dxa"/>
                </w:tcPr>
                <w:p w14:paraId="4FA1C6BB" w14:textId="38048545" w:rsidR="00BD01A9" w:rsidRDefault="00BD01A9" w:rsidP="00BD01A9">
                  <w:pPr>
                    <w:rPr>
                      <w:rFonts w:eastAsia="Proxima Nova"/>
                      <w:lang w:val="nn-NO"/>
                    </w:rPr>
                  </w:pPr>
                  <w:proofErr w:type="spellStart"/>
                  <w:r w:rsidRPr="00182400">
                    <w:rPr>
                      <w:rFonts w:eastAsia="Proxima Nova"/>
                      <w:lang w:bidi="en-GB"/>
                    </w:rPr>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r w:rsidRPr="00182400">
                    <w:rPr>
                      <w:rFonts w:eastAsia="Proxima Nova"/>
                      <w:lang w:bidi="en-GB"/>
                    </w:rPr>
                    <w:t xml:space="preserve"> </w:t>
                  </w:r>
                  <w:proofErr w:type="spellStart"/>
                  <w:r w:rsidRPr="00182400">
                    <w:rPr>
                      <w:rFonts w:eastAsia="Proxima Nova"/>
                      <w:lang w:bidi="en-GB"/>
                    </w:rPr>
                    <w:t>organisations</w:t>
                  </w:r>
                  <w:proofErr w:type="spellEnd"/>
                </w:p>
              </w:tc>
              <w:tc>
                <w:tcPr>
                  <w:tcW w:w="1140" w:type="dxa"/>
                </w:tcPr>
                <w:p w14:paraId="0C51C768" w14:textId="2079716C" w:rsidR="00BD01A9" w:rsidRDefault="00BD01A9" w:rsidP="00BD01A9">
                  <w:pPr>
                    <w:rPr>
                      <w:rFonts w:eastAsia="Proxima Nova"/>
                      <w:lang w:val="nn-NO"/>
                    </w:rPr>
                  </w:pPr>
                  <w:r w:rsidRPr="00182400">
                    <w:rPr>
                      <w:rFonts w:eastAsia="Proxima Nova"/>
                      <w:lang w:val="en-GB" w:bidi="en-GB"/>
                    </w:rPr>
                    <w:t>Others (</w:t>
                  </w:r>
                  <w:proofErr w:type="gramStart"/>
                  <w:r w:rsidRPr="00182400">
                    <w:rPr>
                      <w:rFonts w:eastAsia="Proxima Nova"/>
                      <w:lang w:val="en-GB" w:bidi="en-GB"/>
                    </w:rPr>
                    <w:t>e.g.</w:t>
                  </w:r>
                  <w:proofErr w:type="gramEnd"/>
                  <w:r w:rsidRPr="00182400">
                    <w:rPr>
                      <w:rFonts w:eastAsia="Proxima Nova"/>
                      <w:lang w:val="en-GB" w:bidi="en-GB"/>
                    </w:rPr>
                    <w:t xml:space="preserve"> parliament, civil society, others)</w:t>
                  </w:r>
                </w:p>
              </w:tc>
            </w:tr>
            <w:tr w:rsidR="00BD01A9" w14:paraId="0988EF38" w14:textId="77777777" w:rsidTr="00BD01A9">
              <w:tc>
                <w:tcPr>
                  <w:tcW w:w="1139" w:type="dxa"/>
                </w:tcPr>
                <w:p w14:paraId="5AA7DDF3" w14:textId="7D76923B" w:rsidR="00BD01A9" w:rsidRDefault="00BD01A9" w:rsidP="00BD01A9">
                  <w:pPr>
                    <w:rPr>
                      <w:rFonts w:eastAsia="Proxima Nova"/>
                      <w:lang w:val="nn-NO"/>
                    </w:rPr>
                  </w:pPr>
                  <w:r w:rsidRPr="00182400">
                    <w:rPr>
                      <w:rFonts w:eastAsia="Proxima Nova"/>
                      <w:lang w:val="en-GB" w:bidi="en-GB"/>
                    </w:rPr>
                    <w:t xml:space="preserve">Ministry of Justice and </w:t>
                  </w:r>
                  <w:r w:rsidRPr="00182400">
                    <w:rPr>
                      <w:rFonts w:eastAsia="Proxima Nova"/>
                      <w:lang w:val="en-GB" w:bidi="en-GB"/>
                    </w:rPr>
                    <w:lastRenderedPageBreak/>
                    <w:t xml:space="preserve">Public Security. </w:t>
                  </w:r>
                  <w:proofErr w:type="spellStart"/>
                  <w:r w:rsidRPr="00182400">
                    <w:rPr>
                      <w:rFonts w:eastAsia="Proxima Nova"/>
                      <w:lang w:bidi="en-GB"/>
                    </w:rPr>
                    <w:t>Other</w:t>
                  </w:r>
                  <w:proofErr w:type="spellEnd"/>
                  <w:r w:rsidRPr="00182400">
                    <w:rPr>
                      <w:rFonts w:eastAsia="Proxima Nova"/>
                      <w:lang w:bidi="en-GB"/>
                    </w:rPr>
                    <w:t xml:space="preserve"> </w:t>
                  </w:r>
                  <w:proofErr w:type="spellStart"/>
                  <w:r w:rsidRPr="00182400">
                    <w:rPr>
                      <w:rFonts w:eastAsia="Proxima Nova"/>
                      <w:lang w:bidi="en-GB"/>
                    </w:rPr>
                    <w:t>ministries</w:t>
                  </w:r>
                  <w:proofErr w:type="spellEnd"/>
                  <w:r w:rsidRPr="00182400">
                    <w:rPr>
                      <w:rFonts w:eastAsia="Proxima Nova"/>
                      <w:lang w:bidi="en-GB"/>
                    </w:rPr>
                    <w:t>/</w:t>
                  </w:r>
                  <w:proofErr w:type="spellStart"/>
                  <w:r w:rsidRPr="00182400">
                    <w:rPr>
                      <w:rFonts w:eastAsia="Proxima Nova"/>
                      <w:lang w:bidi="en-GB"/>
                    </w:rPr>
                    <w:t>agencies</w:t>
                  </w:r>
                  <w:proofErr w:type="spellEnd"/>
                </w:p>
              </w:tc>
              <w:tc>
                <w:tcPr>
                  <w:tcW w:w="1139" w:type="dxa"/>
                </w:tcPr>
                <w:p w14:paraId="48D4D3A0" w14:textId="77777777" w:rsidR="00BD01A9" w:rsidRPr="00182400" w:rsidRDefault="00BD01A9" w:rsidP="00BD01A9">
                  <w:pPr>
                    <w:rPr>
                      <w:rFonts w:eastAsia="Proxima Nova"/>
                      <w:lang w:val="nn-NO"/>
                    </w:rPr>
                  </w:pPr>
                  <w:proofErr w:type="spellStart"/>
                  <w:r w:rsidRPr="00182400">
                    <w:rPr>
                      <w:rFonts w:eastAsia="Proxima Nova"/>
                      <w:lang w:bidi="en-GB"/>
                    </w:rPr>
                    <w:lastRenderedPageBreak/>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p>
                <w:p w14:paraId="74FAA34B" w14:textId="27C77413" w:rsidR="00BD01A9" w:rsidRDefault="00BD01A9" w:rsidP="00BD01A9">
                  <w:pPr>
                    <w:rPr>
                      <w:rFonts w:eastAsia="Proxima Nova"/>
                      <w:lang w:val="nn-NO"/>
                    </w:rPr>
                  </w:pPr>
                  <w:r w:rsidRPr="00182400">
                    <w:rPr>
                      <w:rFonts w:eastAsia="Proxima Nova"/>
                      <w:lang w:bidi="en-GB"/>
                    </w:rPr>
                    <w:lastRenderedPageBreak/>
                    <w:t xml:space="preserve">Private </w:t>
                  </w:r>
                  <w:proofErr w:type="spellStart"/>
                  <w:r w:rsidRPr="00182400">
                    <w:rPr>
                      <w:rFonts w:eastAsia="Proxima Nova"/>
                      <w:lang w:bidi="en-GB"/>
                    </w:rPr>
                    <w:t>sector</w:t>
                  </w:r>
                  <w:proofErr w:type="spellEnd"/>
                  <w:r w:rsidRPr="00182400">
                    <w:rPr>
                      <w:rFonts w:eastAsia="Proxima Nova"/>
                      <w:lang w:bidi="en-GB"/>
                    </w:rPr>
                    <w:t xml:space="preserve"> </w:t>
                  </w:r>
                </w:p>
              </w:tc>
              <w:tc>
                <w:tcPr>
                  <w:tcW w:w="1140" w:type="dxa"/>
                </w:tcPr>
                <w:p w14:paraId="4E57634A" w14:textId="29BCB34D" w:rsidR="00BD01A9" w:rsidRDefault="00BD01A9" w:rsidP="00BD01A9">
                  <w:pPr>
                    <w:rPr>
                      <w:rFonts w:eastAsia="Proxima Nova"/>
                      <w:lang w:val="nn-NO"/>
                    </w:rPr>
                  </w:pPr>
                  <w:r w:rsidRPr="00182400">
                    <w:rPr>
                      <w:rFonts w:eastAsia="Proxima Nova"/>
                      <w:lang w:bidi="en-GB"/>
                    </w:rPr>
                    <w:lastRenderedPageBreak/>
                    <w:t>The Storting</w:t>
                  </w:r>
                </w:p>
              </w:tc>
            </w:tr>
          </w:tbl>
          <w:p w14:paraId="44C3EBB6" w14:textId="5D5F3901" w:rsidR="00BD01A9" w:rsidRPr="00182400" w:rsidRDefault="00BD01A9" w:rsidP="005258C8">
            <w:pPr>
              <w:rPr>
                <w:rFonts w:eastAsia="Proxima Nova"/>
                <w:lang w:val="nn-NO" w:eastAsia="en-US"/>
              </w:rPr>
            </w:pPr>
          </w:p>
        </w:tc>
      </w:tr>
      <w:tr w:rsidR="00BD01A9" w:rsidRPr="006A2753" w14:paraId="2205BA1D" w14:textId="77777777" w:rsidTr="0039365C">
        <w:trPr>
          <w:trHeight w:val="3313"/>
        </w:trPr>
        <w:tc>
          <w:tcPr>
            <w:tcW w:w="2365" w:type="dxa"/>
            <w:shd w:val="clear" w:color="auto" w:fill="auto"/>
          </w:tcPr>
          <w:p w14:paraId="7AA5D2F4" w14:textId="77777777" w:rsidR="00BD01A9" w:rsidRPr="00642710" w:rsidRDefault="00BD01A9" w:rsidP="005258C8">
            <w:pPr>
              <w:pStyle w:val="TabellHode-rad"/>
              <w:rPr>
                <w:rStyle w:val="kursiv"/>
                <w:rFonts w:eastAsia="Proxima Nova"/>
              </w:rPr>
            </w:pPr>
            <w:proofErr w:type="spellStart"/>
            <w:r w:rsidRPr="00642710">
              <w:rPr>
                <w:rStyle w:val="kursiv"/>
                <w:rFonts w:eastAsia="Proxima Nova"/>
              </w:rPr>
              <w:lastRenderedPageBreak/>
              <w:t>Create</w:t>
            </w:r>
            <w:proofErr w:type="spellEnd"/>
            <w:r w:rsidRPr="00642710">
              <w:rPr>
                <w:rStyle w:val="kursiv"/>
                <w:rFonts w:eastAsia="Proxima Nova"/>
              </w:rPr>
              <w:t xml:space="preserve"> a </w:t>
            </w:r>
            <w:proofErr w:type="gramStart"/>
            <w:r w:rsidRPr="00642710">
              <w:rPr>
                <w:rStyle w:val="kursiv"/>
                <w:rFonts w:eastAsia="Proxima Nova"/>
              </w:rPr>
              <w:t>website</w:t>
            </w:r>
            <w:proofErr w:type="gramEnd"/>
          </w:p>
        </w:tc>
        <w:tc>
          <w:tcPr>
            <w:tcW w:w="2016" w:type="dxa"/>
            <w:shd w:val="clear" w:color="auto" w:fill="auto"/>
          </w:tcPr>
          <w:p w14:paraId="469AD513" w14:textId="77777777" w:rsidR="00BD01A9" w:rsidRPr="00182400" w:rsidRDefault="00BD01A9" w:rsidP="005258C8">
            <w:pPr>
              <w:rPr>
                <w:rFonts w:eastAsia="Proxima Nova"/>
                <w:lang w:val="nn-NO" w:eastAsia="en-US"/>
              </w:rPr>
            </w:pPr>
          </w:p>
        </w:tc>
        <w:tc>
          <w:tcPr>
            <w:tcW w:w="1468" w:type="dxa"/>
            <w:shd w:val="clear" w:color="auto" w:fill="auto"/>
          </w:tcPr>
          <w:p w14:paraId="3CED0C40" w14:textId="77777777" w:rsidR="00BD01A9" w:rsidRPr="00182400" w:rsidRDefault="00BD01A9" w:rsidP="005258C8">
            <w:pPr>
              <w:rPr>
                <w:rFonts w:eastAsia="Proxima Nova"/>
                <w:lang w:val="nn-NO" w:eastAsia="en-US"/>
              </w:rPr>
            </w:pPr>
            <w:r w:rsidRPr="00182400">
              <w:rPr>
                <w:rFonts w:eastAsia="Proxima Nova"/>
                <w:lang w:val="en-GB" w:eastAsia="en-US" w:bidi="en-GB"/>
              </w:rPr>
              <w:t>June 2023</w:t>
            </w:r>
          </w:p>
          <w:p w14:paraId="6CFBBEA0" w14:textId="77777777" w:rsidR="00BD01A9" w:rsidRPr="00182400" w:rsidRDefault="00BD01A9" w:rsidP="005258C8">
            <w:pPr>
              <w:rPr>
                <w:rFonts w:eastAsia="Proxima Nova"/>
                <w:lang w:val="nn-NO" w:eastAsia="en-US"/>
              </w:rPr>
            </w:pPr>
            <w:r w:rsidRPr="00182400">
              <w:rPr>
                <w:rFonts w:eastAsia="Proxima Nova"/>
                <w:lang w:val="en-GB" w:eastAsia="en-US" w:bidi="en-GB"/>
              </w:rPr>
              <w:t>Need for regular updates</w:t>
            </w:r>
          </w:p>
        </w:tc>
        <w:tc>
          <w:tcPr>
            <w:tcW w:w="3644" w:type="dxa"/>
            <w:shd w:val="clear" w:color="auto" w:fill="auto"/>
          </w:tcPr>
          <w:tbl>
            <w:tblPr>
              <w:tblStyle w:val="StandardTabell"/>
              <w:tblW w:w="0" w:type="auto"/>
              <w:tblLayout w:type="fixed"/>
              <w:tblLook w:val="04A0" w:firstRow="1" w:lastRow="0" w:firstColumn="1" w:lastColumn="0" w:noHBand="0" w:noVBand="1"/>
            </w:tblPr>
            <w:tblGrid>
              <w:gridCol w:w="1139"/>
              <w:gridCol w:w="1139"/>
              <w:gridCol w:w="1140"/>
            </w:tblGrid>
            <w:tr w:rsidR="00BD01A9" w14:paraId="65E6C221" w14:textId="77777777" w:rsidTr="005258C8">
              <w:tc>
                <w:tcPr>
                  <w:tcW w:w="3418" w:type="dxa"/>
                  <w:gridSpan w:val="3"/>
                </w:tcPr>
                <w:p w14:paraId="5DAA3602" w14:textId="334BC7C5" w:rsidR="00BD01A9" w:rsidRDefault="00BD01A9" w:rsidP="00BD01A9">
                  <w:pPr>
                    <w:rPr>
                      <w:rFonts w:eastAsia="Proxima Nova"/>
                      <w:lang w:val="nn-NO"/>
                    </w:rPr>
                  </w:pPr>
                  <w:proofErr w:type="spellStart"/>
                  <w:r w:rsidRPr="00182400">
                    <w:rPr>
                      <w:rFonts w:eastAsia="Proxima Nova"/>
                      <w:lang w:bidi="en-GB"/>
                    </w:rPr>
                    <w:t>Responsible</w:t>
                  </w:r>
                  <w:proofErr w:type="spellEnd"/>
                  <w:r w:rsidRPr="00182400">
                    <w:rPr>
                      <w:rFonts w:eastAsia="Proxima Nova"/>
                      <w:lang w:bidi="en-GB"/>
                    </w:rPr>
                    <w:t>:</w:t>
                  </w:r>
                </w:p>
              </w:tc>
            </w:tr>
            <w:tr w:rsidR="00BD01A9" w14:paraId="3463EE36" w14:textId="77777777" w:rsidTr="005258C8">
              <w:tc>
                <w:tcPr>
                  <w:tcW w:w="3418" w:type="dxa"/>
                  <w:gridSpan w:val="3"/>
                </w:tcPr>
                <w:p w14:paraId="60B25496" w14:textId="1D14AC4F" w:rsidR="00BD01A9" w:rsidRDefault="00BD01A9" w:rsidP="00BD01A9">
                  <w:pPr>
                    <w:rPr>
                      <w:rFonts w:eastAsia="Proxima Nova"/>
                      <w:lang w:val="nn-NO"/>
                    </w:rPr>
                  </w:pPr>
                  <w:r w:rsidRPr="00182400">
                    <w:rPr>
                      <w:rFonts w:eastAsia="Proxima Nova"/>
                      <w:u w:val="single"/>
                      <w:lang w:bidi="en-GB"/>
                    </w:rPr>
                    <w:t>Stakeholders/supporters</w:t>
                  </w:r>
                </w:p>
              </w:tc>
            </w:tr>
            <w:tr w:rsidR="006A2753" w14:paraId="4E7AA6B6" w14:textId="77777777" w:rsidTr="005258C8">
              <w:tc>
                <w:tcPr>
                  <w:tcW w:w="1139" w:type="dxa"/>
                </w:tcPr>
                <w:p w14:paraId="78B660C9" w14:textId="569E8FB5" w:rsidR="006A2753" w:rsidRDefault="006A2753" w:rsidP="006A2753">
                  <w:pPr>
                    <w:rPr>
                      <w:rFonts w:eastAsia="Proxima Nova"/>
                      <w:lang w:val="nn-NO"/>
                    </w:rPr>
                  </w:pPr>
                  <w:r w:rsidRPr="00182400">
                    <w:rPr>
                      <w:rFonts w:eastAsia="Proxima Nova"/>
                      <w:lang w:bidi="en-GB"/>
                    </w:rPr>
                    <w:t xml:space="preserve">Public </w:t>
                  </w:r>
                  <w:proofErr w:type="spellStart"/>
                  <w:r w:rsidRPr="00182400">
                    <w:rPr>
                      <w:rFonts w:eastAsia="Proxima Nova"/>
                      <w:lang w:bidi="en-GB"/>
                    </w:rPr>
                    <w:t>administration</w:t>
                  </w:r>
                  <w:proofErr w:type="spellEnd"/>
                </w:p>
              </w:tc>
              <w:tc>
                <w:tcPr>
                  <w:tcW w:w="1139" w:type="dxa"/>
                </w:tcPr>
                <w:p w14:paraId="07ABF0B1" w14:textId="1BFBE4BA" w:rsidR="006A2753" w:rsidRDefault="006A2753" w:rsidP="006A2753">
                  <w:pPr>
                    <w:rPr>
                      <w:rFonts w:eastAsia="Proxima Nova"/>
                      <w:lang w:val="nn-NO"/>
                    </w:rPr>
                  </w:pPr>
                  <w:proofErr w:type="spellStart"/>
                  <w:r w:rsidRPr="00182400">
                    <w:rPr>
                      <w:rFonts w:eastAsia="Proxima Nova"/>
                      <w:lang w:bidi="en-GB"/>
                    </w:rPr>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r w:rsidRPr="00182400">
                    <w:rPr>
                      <w:rFonts w:eastAsia="Proxima Nova"/>
                      <w:lang w:bidi="en-GB"/>
                    </w:rPr>
                    <w:t xml:space="preserve"> </w:t>
                  </w:r>
                  <w:proofErr w:type="spellStart"/>
                  <w:r w:rsidRPr="00182400">
                    <w:rPr>
                      <w:rFonts w:eastAsia="Proxima Nova"/>
                      <w:lang w:bidi="en-GB"/>
                    </w:rPr>
                    <w:t>organisations</w:t>
                  </w:r>
                  <w:proofErr w:type="spellEnd"/>
                </w:p>
              </w:tc>
              <w:tc>
                <w:tcPr>
                  <w:tcW w:w="1140" w:type="dxa"/>
                </w:tcPr>
                <w:p w14:paraId="6A3D588A" w14:textId="29828279" w:rsidR="006A2753" w:rsidRDefault="006A2753" w:rsidP="006A2753">
                  <w:pPr>
                    <w:rPr>
                      <w:rFonts w:eastAsia="Proxima Nova"/>
                      <w:lang w:val="nn-NO"/>
                    </w:rPr>
                  </w:pPr>
                  <w:r w:rsidRPr="00182400">
                    <w:rPr>
                      <w:rFonts w:eastAsia="Proxima Nova"/>
                      <w:lang w:val="en-GB" w:bidi="en-GB"/>
                    </w:rPr>
                    <w:t>Others (</w:t>
                  </w:r>
                  <w:proofErr w:type="gramStart"/>
                  <w:r w:rsidRPr="00182400">
                    <w:rPr>
                      <w:rFonts w:eastAsia="Proxima Nova"/>
                      <w:lang w:val="en-GB" w:bidi="en-GB"/>
                    </w:rPr>
                    <w:t>e.g.</w:t>
                  </w:r>
                  <w:proofErr w:type="gramEnd"/>
                  <w:r w:rsidRPr="00182400">
                    <w:rPr>
                      <w:rFonts w:eastAsia="Proxima Nova"/>
                      <w:lang w:val="en-GB" w:bidi="en-GB"/>
                    </w:rPr>
                    <w:t xml:space="preserve"> parliament, civil society, others)</w:t>
                  </w:r>
                </w:p>
              </w:tc>
            </w:tr>
            <w:tr w:rsidR="006A2753" w14:paraId="618CC863" w14:textId="77777777" w:rsidTr="005258C8">
              <w:tc>
                <w:tcPr>
                  <w:tcW w:w="1139" w:type="dxa"/>
                </w:tcPr>
                <w:p w14:paraId="03316281" w14:textId="7CE4620D" w:rsidR="006A2753" w:rsidRDefault="006A2753" w:rsidP="006A2753">
                  <w:pPr>
                    <w:rPr>
                      <w:rFonts w:eastAsia="Proxima Nova"/>
                      <w:lang w:val="nn-NO"/>
                    </w:rPr>
                  </w:pPr>
                  <w:r w:rsidRPr="00182400">
                    <w:rPr>
                      <w:rFonts w:eastAsia="Proxima Nova"/>
                      <w:lang w:val="en-GB" w:bidi="en-GB"/>
                    </w:rPr>
                    <w:t>Ministry of Justice and Public Security</w:t>
                  </w:r>
                </w:p>
              </w:tc>
              <w:tc>
                <w:tcPr>
                  <w:tcW w:w="1139" w:type="dxa"/>
                </w:tcPr>
                <w:p w14:paraId="189CA184" w14:textId="77777777" w:rsidR="006A2753" w:rsidRDefault="006A2753" w:rsidP="006A2753">
                  <w:pPr>
                    <w:rPr>
                      <w:rFonts w:eastAsia="Proxima Nova"/>
                      <w:lang w:val="nn-NO"/>
                    </w:rPr>
                  </w:pPr>
                </w:p>
              </w:tc>
              <w:tc>
                <w:tcPr>
                  <w:tcW w:w="1140" w:type="dxa"/>
                </w:tcPr>
                <w:p w14:paraId="4BED16B4" w14:textId="77777777" w:rsidR="006A2753" w:rsidRDefault="006A2753" w:rsidP="006A2753">
                  <w:pPr>
                    <w:rPr>
                      <w:rFonts w:eastAsia="Proxima Nova"/>
                      <w:lang w:val="nn-NO"/>
                    </w:rPr>
                  </w:pPr>
                </w:p>
              </w:tc>
            </w:tr>
          </w:tbl>
          <w:p w14:paraId="10CCF5FE" w14:textId="60B9ABD1" w:rsidR="00BD01A9" w:rsidRPr="00182400" w:rsidRDefault="00BD01A9" w:rsidP="005258C8">
            <w:pPr>
              <w:rPr>
                <w:rFonts w:eastAsia="Proxima Nova"/>
                <w:lang w:val="nn-NO" w:eastAsia="en-US"/>
              </w:rPr>
            </w:pPr>
          </w:p>
        </w:tc>
      </w:tr>
    </w:tbl>
    <w:p w14:paraId="7102F38E" w14:textId="77777777" w:rsidR="004F2FC7" w:rsidRPr="00266AB3" w:rsidRDefault="004F2FC7" w:rsidP="00FA06AB">
      <w:pPr>
        <w:rPr>
          <w:rStyle w:val="halvfet"/>
          <w:lang w:val="en-US"/>
        </w:rPr>
      </w:pPr>
    </w:p>
    <w:p w14:paraId="19469084" w14:textId="77777777" w:rsidR="00FA06AB" w:rsidRPr="00A931A6" w:rsidRDefault="00AA4EFA" w:rsidP="00291078">
      <w:pPr>
        <w:pStyle w:val="Overskrift2"/>
        <w:rPr>
          <w:lang w:val="en-US"/>
        </w:rPr>
      </w:pPr>
      <w:r w:rsidRPr="00291078">
        <w:rPr>
          <w:lang w:val="en-GB" w:bidi="en-GB"/>
        </w:rPr>
        <w:t>B</w:t>
      </w:r>
      <w:r w:rsidR="00FA06AB" w:rsidRPr="00291078">
        <w:rPr>
          <w:lang w:val="en-GB" w:bidi="en-GB"/>
        </w:rPr>
        <w:t xml:space="preserve">etter access to criminal case documents to make the rules more consistent with prevailing </w:t>
      </w:r>
      <w:proofErr w:type="gramStart"/>
      <w:r w:rsidR="00FA06AB" w:rsidRPr="00291078">
        <w:rPr>
          <w:lang w:val="en-GB" w:bidi="en-GB"/>
        </w:rPr>
        <w:t>law</w:t>
      </w:r>
      <w:proofErr w:type="gramEnd"/>
    </w:p>
    <w:p w14:paraId="4322CA3B" w14:textId="77777777" w:rsidR="00A14306" w:rsidRPr="00A931A6" w:rsidRDefault="00A14306" w:rsidP="00A14306">
      <w:pPr>
        <w:rPr>
          <w:lang w:val="en-US"/>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F4718B" w:rsidRPr="00BB441C" w14:paraId="73AE2180" w14:textId="77777777" w:rsidTr="00182400">
        <w:tc>
          <w:tcPr>
            <w:tcW w:w="1702" w:type="dxa"/>
            <w:shd w:val="clear" w:color="auto" w:fill="auto"/>
          </w:tcPr>
          <w:p w14:paraId="28B50EB4" w14:textId="77777777" w:rsidR="00F4718B" w:rsidRPr="00BB441C" w:rsidRDefault="00F4718B" w:rsidP="00182400">
            <w:pPr>
              <w:pStyle w:val="TabellHode-rad"/>
              <w:rPr>
                <w:rStyle w:val="kursiv"/>
                <w:rFonts w:eastAsia="Proxima Nova"/>
                <w:lang w:val="en-GB"/>
              </w:rPr>
            </w:pPr>
            <w:r w:rsidRPr="00BB441C">
              <w:rPr>
                <w:rStyle w:val="kursiv"/>
                <w:rFonts w:eastAsia="Proxima Nova"/>
                <w:lang w:val="en-GB"/>
              </w:rPr>
              <w:t>Name and number of the commitment</w:t>
            </w:r>
          </w:p>
        </w:tc>
        <w:tc>
          <w:tcPr>
            <w:tcW w:w="7773" w:type="dxa"/>
            <w:gridSpan w:val="3"/>
            <w:shd w:val="clear" w:color="auto" w:fill="auto"/>
          </w:tcPr>
          <w:p w14:paraId="4501DDFE" w14:textId="77777777" w:rsidR="00F4718B" w:rsidRPr="00BB441C" w:rsidRDefault="00F4718B" w:rsidP="00492948">
            <w:pPr>
              <w:rPr>
                <w:rFonts w:eastAsia="Proxima Nova"/>
                <w:lang w:val="en-GB" w:eastAsia="en-US"/>
              </w:rPr>
            </w:pPr>
            <w:r w:rsidRPr="00BB441C">
              <w:rPr>
                <w:lang w:val="en-GB" w:eastAsia="en-US"/>
              </w:rPr>
              <w:t>Openness in the justice sector</w:t>
            </w:r>
            <w:r w:rsidR="00291078" w:rsidRPr="00BB441C">
              <w:rPr>
                <w:lang w:val="en-GB" w:eastAsia="en-US"/>
              </w:rPr>
              <w:t xml:space="preserve"> </w:t>
            </w:r>
          </w:p>
        </w:tc>
      </w:tr>
      <w:tr w:rsidR="00F4718B" w:rsidRPr="00BB441C" w14:paraId="265F2377" w14:textId="77777777" w:rsidTr="00182400">
        <w:tc>
          <w:tcPr>
            <w:tcW w:w="1702" w:type="dxa"/>
            <w:shd w:val="clear" w:color="auto" w:fill="auto"/>
          </w:tcPr>
          <w:p w14:paraId="7A482F98" w14:textId="77777777" w:rsidR="00F4718B" w:rsidRPr="00642710" w:rsidRDefault="00F4718B" w:rsidP="00182400">
            <w:pPr>
              <w:pStyle w:val="TabellHode-rad"/>
              <w:rPr>
                <w:rStyle w:val="kursiv"/>
                <w:rFonts w:eastAsia="Proxima Nova"/>
              </w:rPr>
            </w:pPr>
            <w:proofErr w:type="spellStart"/>
            <w:r w:rsidRPr="00642710">
              <w:rPr>
                <w:rStyle w:val="kursiv"/>
                <w:rFonts w:eastAsia="Proxima Nova"/>
              </w:rPr>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r w:rsidRPr="00642710">
              <w:rPr>
                <w:rStyle w:val="kursiv"/>
                <w:rFonts w:eastAsia="Proxima Nova"/>
              </w:rPr>
              <w:t xml:space="preserve"> </w:t>
            </w:r>
          </w:p>
        </w:tc>
        <w:tc>
          <w:tcPr>
            <w:tcW w:w="7773" w:type="dxa"/>
            <w:gridSpan w:val="3"/>
            <w:shd w:val="clear" w:color="auto" w:fill="auto"/>
          </w:tcPr>
          <w:p w14:paraId="3E56E36A" w14:textId="77777777" w:rsidR="00F4718B" w:rsidRPr="00BB441C" w:rsidRDefault="00F4718B" w:rsidP="00492948">
            <w:pPr>
              <w:rPr>
                <w:lang w:val="en-GB" w:eastAsia="en-US"/>
              </w:rPr>
            </w:pPr>
            <w:r w:rsidRPr="00BB441C">
              <w:rPr>
                <w:lang w:val="en-GB" w:eastAsia="en-US"/>
              </w:rPr>
              <w:t xml:space="preserve">Follow up work to improve access to criminal case documents to make the rules more consistent with prevailing law established by both the Supreme Court and the ECtHR, cf. Supreme Court rulings HR-2013-641-A, HR-2015-2536-A, HR-2021-526-A and Magyar Helsinki </w:t>
            </w:r>
            <w:proofErr w:type="spellStart"/>
            <w:r w:rsidRPr="00BB441C">
              <w:rPr>
                <w:lang w:val="en-GB" w:eastAsia="en-US"/>
              </w:rPr>
              <w:t>Bizottság</w:t>
            </w:r>
            <w:proofErr w:type="spellEnd"/>
            <w:r w:rsidRPr="00BB441C">
              <w:rPr>
                <w:lang w:val="en-GB" w:eastAsia="en-US"/>
              </w:rPr>
              <w:t xml:space="preserve"> v. </w:t>
            </w:r>
            <w:r w:rsidRPr="00BB441C">
              <w:rPr>
                <w:lang w:val="en-GB" w:eastAsia="en-US"/>
              </w:rPr>
              <w:lastRenderedPageBreak/>
              <w:t xml:space="preserve">Hungary (18030/11), 8 November 2016, and follow up the consultation round following the report on public access to documents in criminal cases, </w:t>
            </w:r>
            <w:proofErr w:type="spellStart"/>
            <w:r w:rsidRPr="00BB441C">
              <w:rPr>
                <w:lang w:val="en-GB" w:eastAsia="en-US"/>
              </w:rPr>
              <w:t>Aarli</w:t>
            </w:r>
            <w:proofErr w:type="spellEnd"/>
            <w:r w:rsidRPr="00BB441C">
              <w:rPr>
                <w:lang w:val="en-GB" w:eastAsia="en-US"/>
              </w:rPr>
              <w:t>, R. 2021</w:t>
            </w:r>
          </w:p>
        </w:tc>
      </w:tr>
      <w:tr w:rsidR="00FA06AB" w:rsidRPr="00BB441C" w14:paraId="394F595A" w14:textId="77777777" w:rsidTr="00182400">
        <w:trPr>
          <w:trHeight w:val="944"/>
        </w:trPr>
        <w:tc>
          <w:tcPr>
            <w:tcW w:w="1702" w:type="dxa"/>
            <w:shd w:val="clear" w:color="auto" w:fill="auto"/>
          </w:tcPr>
          <w:p w14:paraId="2AE04A6C" w14:textId="77777777" w:rsidR="00FA06AB" w:rsidRPr="00642710" w:rsidRDefault="00F4718B" w:rsidP="00182400">
            <w:pPr>
              <w:pStyle w:val="TabellHode-rad"/>
              <w:rPr>
                <w:rStyle w:val="kursiv"/>
                <w:rFonts w:eastAsia="Proxima Nova"/>
              </w:rPr>
            </w:pPr>
            <w:proofErr w:type="spellStart"/>
            <w:r w:rsidRPr="00642710">
              <w:rPr>
                <w:rStyle w:val="kursiv"/>
                <w:rFonts w:eastAsia="Proxima Nova"/>
              </w:rPr>
              <w:lastRenderedPageBreak/>
              <w:t>Responsible</w:t>
            </w:r>
            <w:proofErr w:type="spellEnd"/>
            <w:r w:rsidRPr="00642710">
              <w:rPr>
                <w:rStyle w:val="kursiv"/>
                <w:rFonts w:eastAsia="Proxima Nova"/>
              </w:rPr>
              <w:t xml:space="preserve"> for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73" w:type="dxa"/>
            <w:gridSpan w:val="3"/>
            <w:shd w:val="clear" w:color="auto" w:fill="auto"/>
          </w:tcPr>
          <w:p w14:paraId="7993E1EE" w14:textId="77777777" w:rsidR="00FA06AB" w:rsidRPr="00BB441C" w:rsidRDefault="00FA06AB" w:rsidP="00492948">
            <w:pPr>
              <w:rPr>
                <w:lang w:val="en-GB" w:eastAsia="en-US"/>
              </w:rPr>
            </w:pPr>
            <w:r w:rsidRPr="00BB441C">
              <w:rPr>
                <w:lang w:val="en-GB" w:eastAsia="en-US"/>
              </w:rPr>
              <w:t xml:space="preserve">Ministry of Justice and Public Security </w:t>
            </w:r>
          </w:p>
        </w:tc>
      </w:tr>
      <w:tr w:rsidR="00FA06AB" w:rsidRPr="00182400" w14:paraId="573FDA42" w14:textId="77777777" w:rsidTr="00182400">
        <w:trPr>
          <w:trHeight w:val="270"/>
        </w:trPr>
        <w:tc>
          <w:tcPr>
            <w:tcW w:w="1702" w:type="dxa"/>
            <w:vMerge w:val="restart"/>
            <w:shd w:val="clear" w:color="auto" w:fill="auto"/>
          </w:tcPr>
          <w:p w14:paraId="3423AF22" w14:textId="77777777" w:rsidR="00FA06AB" w:rsidRPr="00642710" w:rsidRDefault="00FA06AB" w:rsidP="00182400">
            <w:pPr>
              <w:pStyle w:val="TabellHode-rad"/>
              <w:rPr>
                <w:rStyle w:val="kursiv"/>
                <w:rFonts w:eastAsia="Proxima Nova"/>
              </w:rPr>
            </w:pPr>
            <w:r w:rsidRPr="00642710">
              <w:rPr>
                <w:rStyle w:val="kursiv"/>
                <w:rFonts w:eastAsia="Proxima Nova"/>
              </w:rPr>
              <w:t>Stakeholders</w:t>
            </w:r>
          </w:p>
        </w:tc>
        <w:tc>
          <w:tcPr>
            <w:tcW w:w="2591" w:type="dxa"/>
            <w:shd w:val="clear" w:color="auto" w:fill="auto"/>
          </w:tcPr>
          <w:p w14:paraId="5802723C" w14:textId="77777777" w:rsidR="00FA06AB" w:rsidRPr="00182400" w:rsidRDefault="00F4718B" w:rsidP="00182400">
            <w:pPr>
              <w:pStyle w:val="TabellHode-kolonne"/>
              <w:rPr>
                <w:rFonts w:eastAsia="Proxima Nova"/>
                <w:lang w:eastAsia="en-US"/>
              </w:rPr>
            </w:pPr>
            <w:proofErr w:type="spellStart"/>
            <w:r w:rsidRPr="00182400">
              <w:rPr>
                <w:rFonts w:eastAsia="Proxima Nova"/>
                <w:lang w:eastAsia="en-US"/>
              </w:rPr>
              <w:t>Authorities</w:t>
            </w:r>
            <w:proofErr w:type="spellEnd"/>
          </w:p>
        </w:tc>
        <w:tc>
          <w:tcPr>
            <w:tcW w:w="2591" w:type="dxa"/>
            <w:shd w:val="clear" w:color="auto" w:fill="auto"/>
          </w:tcPr>
          <w:p w14:paraId="70E53B30" w14:textId="77777777" w:rsidR="00FA06AB" w:rsidRPr="00182400" w:rsidRDefault="00FA06AB" w:rsidP="00182400">
            <w:pPr>
              <w:pStyle w:val="TabellHode-kolonne"/>
              <w:rPr>
                <w:rFonts w:eastAsia="Proxima Nova"/>
                <w:lang w:eastAsia="en-US"/>
              </w:rPr>
            </w:pPr>
            <w:proofErr w:type="spellStart"/>
            <w:r w:rsidRPr="00182400">
              <w:rPr>
                <w:rFonts w:eastAsia="Proxima Nova"/>
                <w:lang w:eastAsia="en-US"/>
              </w:rPr>
              <w:t>Civil</w:t>
            </w:r>
            <w:proofErr w:type="spellEnd"/>
            <w:r w:rsidRPr="00182400">
              <w:rPr>
                <w:rFonts w:eastAsia="Proxima Nova"/>
                <w:lang w:eastAsia="en-US"/>
              </w:rPr>
              <w:t xml:space="preserve"> </w:t>
            </w:r>
            <w:proofErr w:type="spellStart"/>
            <w:r w:rsidRPr="00182400">
              <w:rPr>
                <w:rFonts w:eastAsia="Proxima Nova"/>
                <w:lang w:eastAsia="en-US"/>
              </w:rPr>
              <w:t>society</w:t>
            </w:r>
            <w:proofErr w:type="spellEnd"/>
          </w:p>
        </w:tc>
        <w:tc>
          <w:tcPr>
            <w:tcW w:w="2591" w:type="dxa"/>
            <w:shd w:val="clear" w:color="auto" w:fill="auto"/>
          </w:tcPr>
          <w:p w14:paraId="251CA703" w14:textId="77777777" w:rsidR="00FA06AB" w:rsidRPr="00182400" w:rsidRDefault="00FA06AB" w:rsidP="00182400">
            <w:pPr>
              <w:pStyle w:val="TabellHode-kolonne"/>
              <w:rPr>
                <w:rFonts w:eastAsia="Proxima Nova"/>
                <w:lang w:eastAsia="en-US"/>
              </w:rPr>
            </w:pPr>
            <w:proofErr w:type="spellStart"/>
            <w:r w:rsidRPr="00182400">
              <w:rPr>
                <w:rFonts w:eastAsia="Proxima Nova"/>
                <w:lang w:eastAsia="en-US"/>
              </w:rPr>
              <w:t>Others</w:t>
            </w:r>
            <w:proofErr w:type="spellEnd"/>
            <w:r w:rsidRPr="00182400">
              <w:rPr>
                <w:rFonts w:eastAsia="Proxima Nova"/>
                <w:lang w:eastAsia="en-US"/>
              </w:rPr>
              <w:t xml:space="preserve"> (</w:t>
            </w:r>
            <w:proofErr w:type="spellStart"/>
            <w:r w:rsidRPr="00182400">
              <w:rPr>
                <w:rFonts w:eastAsia="Proxima Nova"/>
                <w:lang w:eastAsia="en-US"/>
              </w:rPr>
              <w:t>parliament</w:t>
            </w:r>
            <w:proofErr w:type="spellEnd"/>
            <w:r w:rsidRPr="00182400">
              <w:rPr>
                <w:rFonts w:eastAsia="Proxima Nova"/>
                <w:lang w:eastAsia="en-US"/>
              </w:rPr>
              <w:t xml:space="preserve">, private </w:t>
            </w:r>
            <w:proofErr w:type="spellStart"/>
            <w:r w:rsidRPr="00182400">
              <w:rPr>
                <w:rFonts w:eastAsia="Proxima Nova"/>
                <w:lang w:eastAsia="en-US"/>
              </w:rPr>
              <w:t>sector</w:t>
            </w:r>
            <w:proofErr w:type="spellEnd"/>
            <w:r w:rsidRPr="00182400">
              <w:rPr>
                <w:rFonts w:eastAsia="Proxima Nova"/>
                <w:lang w:eastAsia="en-US"/>
              </w:rPr>
              <w:t>, etc.)</w:t>
            </w:r>
          </w:p>
        </w:tc>
      </w:tr>
      <w:tr w:rsidR="00FA06AB" w:rsidRPr="00182400" w14:paraId="113BC578" w14:textId="77777777" w:rsidTr="00182400">
        <w:trPr>
          <w:trHeight w:val="314"/>
        </w:trPr>
        <w:tc>
          <w:tcPr>
            <w:tcW w:w="1702" w:type="dxa"/>
            <w:vMerge/>
            <w:shd w:val="clear" w:color="auto" w:fill="auto"/>
          </w:tcPr>
          <w:p w14:paraId="47A4EA58" w14:textId="77777777" w:rsidR="00FA06AB" w:rsidRPr="00182400" w:rsidRDefault="00FA06AB" w:rsidP="00492948">
            <w:pPr>
              <w:rPr>
                <w:rFonts w:eastAsia="Proxima Nova"/>
                <w:lang w:eastAsia="en-US"/>
              </w:rPr>
            </w:pPr>
          </w:p>
        </w:tc>
        <w:tc>
          <w:tcPr>
            <w:tcW w:w="2591" w:type="dxa"/>
            <w:shd w:val="clear" w:color="auto" w:fill="auto"/>
          </w:tcPr>
          <w:p w14:paraId="1CBF200A" w14:textId="77777777" w:rsidR="00FA06AB" w:rsidRPr="00182400" w:rsidRDefault="00FA06AB" w:rsidP="00492948">
            <w:pPr>
              <w:rPr>
                <w:rFonts w:eastAsia="Proxima Nova"/>
                <w:lang w:eastAsia="en-US"/>
              </w:rPr>
            </w:pPr>
          </w:p>
        </w:tc>
        <w:tc>
          <w:tcPr>
            <w:tcW w:w="2591" w:type="dxa"/>
            <w:shd w:val="clear" w:color="auto" w:fill="auto"/>
          </w:tcPr>
          <w:p w14:paraId="6B3CF2F3" w14:textId="77777777" w:rsidR="00FA06AB" w:rsidRPr="00182400" w:rsidRDefault="00FA06AB" w:rsidP="00492948">
            <w:pPr>
              <w:rPr>
                <w:rFonts w:eastAsia="Proxima Nova"/>
                <w:lang w:eastAsia="en-US"/>
              </w:rPr>
            </w:pPr>
            <w:r w:rsidRPr="00182400">
              <w:rPr>
                <w:rFonts w:eastAsia="Proxima Nova"/>
                <w:lang w:eastAsia="en-US"/>
              </w:rPr>
              <w:t xml:space="preserve">Media </w:t>
            </w:r>
            <w:proofErr w:type="spellStart"/>
            <w:r w:rsidRPr="00182400">
              <w:rPr>
                <w:rFonts w:eastAsia="Proxima Nova"/>
                <w:lang w:eastAsia="en-US"/>
              </w:rPr>
              <w:t>organisations</w:t>
            </w:r>
            <w:proofErr w:type="spellEnd"/>
            <w:r w:rsidRPr="00182400">
              <w:rPr>
                <w:rFonts w:eastAsia="Proxima Nova"/>
                <w:lang w:eastAsia="en-US"/>
              </w:rPr>
              <w:t xml:space="preserve"> </w:t>
            </w:r>
          </w:p>
        </w:tc>
        <w:tc>
          <w:tcPr>
            <w:tcW w:w="2591" w:type="dxa"/>
            <w:shd w:val="clear" w:color="auto" w:fill="auto"/>
          </w:tcPr>
          <w:p w14:paraId="1C4153E2" w14:textId="77777777" w:rsidR="00FA06AB" w:rsidRPr="00182400" w:rsidRDefault="00FA06AB" w:rsidP="00492948">
            <w:pPr>
              <w:rPr>
                <w:rFonts w:eastAsia="Proxima Nova"/>
                <w:lang w:eastAsia="en-US"/>
              </w:rPr>
            </w:pPr>
          </w:p>
        </w:tc>
      </w:tr>
      <w:tr w:rsidR="00FA06AB" w:rsidRPr="00BB441C" w14:paraId="69EA3EFE" w14:textId="77777777" w:rsidTr="00182400">
        <w:tc>
          <w:tcPr>
            <w:tcW w:w="1702" w:type="dxa"/>
            <w:shd w:val="clear" w:color="auto" w:fill="auto"/>
          </w:tcPr>
          <w:p w14:paraId="3D134132" w14:textId="77777777" w:rsidR="00FA06AB" w:rsidRPr="00642710" w:rsidRDefault="00FA06AB" w:rsidP="00182400">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r w:rsidRPr="00642710">
              <w:rPr>
                <w:rStyle w:val="kursiv"/>
                <w:rFonts w:eastAsia="Proxima Nova"/>
              </w:rPr>
              <w:t xml:space="preserve"> (to</w:t>
            </w:r>
            <w:r w:rsidR="00291078" w:rsidRPr="00642710">
              <w:rPr>
                <w:rStyle w:val="kursiv"/>
                <w:rFonts w:eastAsia="Proxima Nova"/>
              </w:rPr>
              <w:t xml:space="preserve"> – </w:t>
            </w:r>
            <w:r w:rsidRPr="00642710">
              <w:rPr>
                <w:rStyle w:val="kursiv"/>
                <w:rFonts w:eastAsia="Proxima Nova"/>
              </w:rPr>
              <w:t>from)</w:t>
            </w:r>
            <w:r w:rsidR="00291078" w:rsidRPr="00642710">
              <w:rPr>
                <w:rStyle w:val="kursiv"/>
                <w:rFonts w:eastAsia="Proxima Nova"/>
              </w:rPr>
              <w:t xml:space="preserve"> </w:t>
            </w:r>
          </w:p>
        </w:tc>
        <w:tc>
          <w:tcPr>
            <w:tcW w:w="7773" w:type="dxa"/>
            <w:gridSpan w:val="3"/>
            <w:shd w:val="clear" w:color="auto" w:fill="auto"/>
          </w:tcPr>
          <w:p w14:paraId="26B8E246" w14:textId="77777777" w:rsidR="0064546B" w:rsidRPr="00BB441C" w:rsidRDefault="00FA06AB" w:rsidP="00492948">
            <w:pPr>
              <w:rPr>
                <w:lang w:val="en-GB" w:eastAsia="en-US"/>
              </w:rPr>
            </w:pPr>
            <w:r w:rsidRPr="00BB441C">
              <w:rPr>
                <w:lang w:val="en-GB" w:eastAsia="en-US"/>
              </w:rPr>
              <w:t>Start-up 2023</w:t>
            </w:r>
          </w:p>
          <w:p w14:paraId="1DCD595E" w14:textId="77777777" w:rsidR="00FA06AB" w:rsidRPr="00182400" w:rsidRDefault="00FA06AB" w:rsidP="00492948">
            <w:pPr>
              <w:rPr>
                <w:lang w:val="en-GB" w:eastAsia="en-US"/>
              </w:rPr>
            </w:pPr>
            <w:r w:rsidRPr="00182400">
              <w:rPr>
                <w:lang w:val="en-GB" w:eastAsia="en-US"/>
              </w:rPr>
              <w:t>Completion during the first half of 2025.</w:t>
            </w:r>
            <w:r w:rsidR="00291078" w:rsidRPr="00182400">
              <w:rPr>
                <w:lang w:val="en-GB" w:eastAsia="en-US"/>
              </w:rPr>
              <w:t xml:space="preserve"> </w:t>
            </w:r>
          </w:p>
        </w:tc>
      </w:tr>
    </w:tbl>
    <w:p w14:paraId="5A7F79ED" w14:textId="77777777" w:rsidR="00291078" w:rsidRDefault="00291078" w:rsidP="00FA06AB">
      <w:pPr>
        <w:spacing w:line="259" w:lineRule="auto"/>
        <w:rPr>
          <w:rFonts w:cs="Arial"/>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4F2FC7" w:rsidRPr="00182400" w14:paraId="1E542C53" w14:textId="77777777" w:rsidTr="00182400">
        <w:trPr>
          <w:trHeight w:val="348"/>
        </w:trPr>
        <w:tc>
          <w:tcPr>
            <w:tcW w:w="9450" w:type="dxa"/>
            <w:shd w:val="clear" w:color="auto" w:fill="auto"/>
          </w:tcPr>
          <w:p w14:paraId="67756943" w14:textId="77777777" w:rsidR="004F2FC7" w:rsidRPr="00182400" w:rsidRDefault="004F2FC7" w:rsidP="003A562F">
            <w:pPr>
              <w:pStyle w:val="TabellHode-kolonne"/>
              <w:rPr>
                <w:rStyle w:val="halvfet"/>
                <w:rFonts w:eastAsia="Proxima Nova"/>
                <w:lang w:eastAsia="en-US"/>
              </w:rPr>
            </w:pPr>
            <w:proofErr w:type="spellStart"/>
            <w:r w:rsidRPr="00182400">
              <w:rPr>
                <w:rStyle w:val="halvfet"/>
                <w:rFonts w:eastAsia="Proxima Nova"/>
                <w:lang w:eastAsia="en-US"/>
              </w:rPr>
              <w:t>Review</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problem</w:t>
            </w:r>
          </w:p>
        </w:tc>
      </w:tr>
      <w:tr w:rsidR="004F2FC7" w:rsidRPr="00BB441C" w14:paraId="3685AF95" w14:textId="77777777" w:rsidTr="00182400">
        <w:trPr>
          <w:trHeight w:val="2715"/>
        </w:trPr>
        <w:tc>
          <w:tcPr>
            <w:tcW w:w="9450" w:type="dxa"/>
            <w:shd w:val="clear" w:color="auto" w:fill="auto"/>
          </w:tcPr>
          <w:p w14:paraId="1E351EBB" w14:textId="77777777" w:rsidR="004F2FC7" w:rsidRPr="00182400" w:rsidRDefault="003C67F8" w:rsidP="00182400">
            <w:pPr>
              <w:pStyle w:val="avsnitt-undertittel"/>
              <w:rPr>
                <w:rStyle w:val="halvfet"/>
                <w:lang w:val="en-GB" w:eastAsia="en-US"/>
              </w:rPr>
            </w:pPr>
            <w:r w:rsidRPr="00182400">
              <w:rPr>
                <w:rStyle w:val="halvfet"/>
                <w:b w:val="0"/>
                <w:bCs/>
                <w:lang w:val="en-GB" w:eastAsia="en-US"/>
              </w:rPr>
              <w:t>1.</w:t>
            </w:r>
            <w:r w:rsidRPr="00182400">
              <w:rPr>
                <w:rStyle w:val="halvfet"/>
                <w:b w:val="0"/>
                <w:bCs/>
                <w:lang w:val="en-GB" w:eastAsia="en-US"/>
              </w:rPr>
              <w:tab/>
            </w:r>
            <w:r w:rsidR="004F2FC7" w:rsidRPr="00182400">
              <w:rPr>
                <w:lang w:val="en-GB" w:eastAsia="en-US"/>
              </w:rPr>
              <w:t>What problems will the commitment solve?</w:t>
            </w:r>
          </w:p>
          <w:p w14:paraId="76E8B6B6" w14:textId="77777777" w:rsidR="004F2FC7" w:rsidRPr="00182400" w:rsidRDefault="004F2FC7" w:rsidP="00182400">
            <w:pPr>
              <w:rPr>
                <w:lang w:val="en-GB" w:eastAsia="en-US" w:bidi="en-GB"/>
              </w:rPr>
            </w:pPr>
            <w:r w:rsidRPr="00182400">
              <w:rPr>
                <w:lang w:val="en-GB" w:eastAsia="en-US" w:bidi="en-GB"/>
              </w:rPr>
              <w:t xml:space="preserve">The press finds it difficult to gain access to the police’s criminal case documents and that this makes it difficult for the media to exercise its role as a </w:t>
            </w:r>
            <w:r w:rsidR="008B0AA1" w:rsidRPr="00182400">
              <w:rPr>
                <w:lang w:val="en-GB" w:eastAsia="en-US" w:bidi="en-GB"/>
              </w:rPr>
              <w:t>"</w:t>
            </w:r>
            <w:r w:rsidRPr="00182400">
              <w:rPr>
                <w:rStyle w:val="kursiv"/>
                <w:lang w:val="en-GB" w:eastAsia="en-US"/>
              </w:rPr>
              <w:t>public watchdog</w:t>
            </w:r>
            <w:r w:rsidR="008B0AA1" w:rsidRPr="00182400">
              <w:rPr>
                <w:rStyle w:val="kursiv"/>
                <w:lang w:val="en-GB" w:eastAsia="en-US"/>
              </w:rPr>
              <w:t>"</w:t>
            </w:r>
            <w:r w:rsidRPr="00182400">
              <w:rPr>
                <w:lang w:val="en-GB" w:eastAsia="en-US" w:bidi="en-GB"/>
              </w:rPr>
              <w:t xml:space="preserve"> in an important area.</w:t>
            </w:r>
          </w:p>
          <w:p w14:paraId="58B64898" w14:textId="77777777" w:rsidR="004F2FC7" w:rsidRPr="00182400" w:rsidRDefault="003C67F8" w:rsidP="00182400">
            <w:pPr>
              <w:pStyle w:val="avsnitt-undertittel"/>
              <w:rPr>
                <w:lang w:val="en-GB" w:eastAsia="en-US"/>
              </w:rPr>
            </w:pPr>
            <w:r w:rsidRPr="00182400">
              <w:rPr>
                <w:bCs/>
                <w:lang w:val="en-GB" w:eastAsia="en-US"/>
              </w:rPr>
              <w:t>2.</w:t>
            </w:r>
            <w:r w:rsidRPr="00182400">
              <w:rPr>
                <w:bCs/>
                <w:lang w:val="en-GB" w:eastAsia="en-US"/>
              </w:rPr>
              <w:tab/>
            </w:r>
            <w:r w:rsidR="004F2FC7" w:rsidRPr="00182400">
              <w:rPr>
                <w:lang w:val="en-GB" w:eastAsia="en-US"/>
              </w:rPr>
              <w:t>What is the cause of the problem?</w:t>
            </w:r>
          </w:p>
          <w:p w14:paraId="640BDF62" w14:textId="77777777" w:rsidR="004F2FC7" w:rsidRPr="00182400" w:rsidRDefault="004F2FC7" w:rsidP="00182400">
            <w:pPr>
              <w:rPr>
                <w:rFonts w:eastAsia="Proxima Nova"/>
                <w:lang w:val="en-US" w:eastAsia="en-US"/>
              </w:rPr>
            </w:pPr>
            <w:r w:rsidRPr="00182400">
              <w:rPr>
                <w:lang w:val="en-GB" w:eastAsia="en-US" w:bidi="en-GB"/>
              </w:rPr>
              <w:t>The press is of the opinion that the regulations are outdated.</w:t>
            </w:r>
          </w:p>
        </w:tc>
      </w:tr>
    </w:tbl>
    <w:p w14:paraId="41ADC012" w14:textId="77777777" w:rsidR="004F2FC7" w:rsidRDefault="004F2FC7" w:rsidP="00FA06AB">
      <w:pPr>
        <w:spacing w:line="259" w:lineRule="auto"/>
        <w:rPr>
          <w:rFonts w:cs="Arial"/>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4F2FC7" w:rsidRPr="00182400" w14:paraId="547330E7" w14:textId="77777777" w:rsidTr="00182400">
        <w:tc>
          <w:tcPr>
            <w:tcW w:w="9450" w:type="dxa"/>
            <w:shd w:val="clear" w:color="auto" w:fill="auto"/>
          </w:tcPr>
          <w:p w14:paraId="41AE3D51" w14:textId="77777777" w:rsidR="004F2FC7" w:rsidRPr="00182400" w:rsidRDefault="004F2FC7" w:rsidP="00182400">
            <w:pPr>
              <w:pStyle w:val="TabellHode-kolonne"/>
              <w:rPr>
                <w:rStyle w:val="halvfet"/>
                <w:rFonts w:eastAsia="Proxima Nova"/>
                <w:lang w:eastAsia="en-US"/>
              </w:rPr>
            </w:pPr>
            <w:proofErr w:type="spellStart"/>
            <w:r w:rsidRPr="00182400">
              <w:rPr>
                <w:rStyle w:val="halvfet"/>
                <w:rFonts w:eastAsia="Proxima Nova"/>
                <w:lang w:eastAsia="en-US"/>
              </w:rPr>
              <w:t>Review</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4F2FC7" w:rsidRPr="00BB441C" w14:paraId="7A9B0446" w14:textId="77777777" w:rsidTr="00182400">
        <w:trPr>
          <w:trHeight w:val="4440"/>
        </w:trPr>
        <w:tc>
          <w:tcPr>
            <w:tcW w:w="9450" w:type="dxa"/>
            <w:shd w:val="clear" w:color="auto" w:fill="auto"/>
          </w:tcPr>
          <w:p w14:paraId="6227FE02" w14:textId="77777777" w:rsidR="004F2FC7" w:rsidRPr="00182400" w:rsidRDefault="003C67F8" w:rsidP="00182400">
            <w:pPr>
              <w:pStyle w:val="avsnitt-undertittel"/>
              <w:rPr>
                <w:lang w:val="en-GB" w:eastAsia="en-US"/>
              </w:rPr>
            </w:pPr>
            <w:r w:rsidRPr="00182400">
              <w:rPr>
                <w:bCs/>
                <w:lang w:val="en-GB" w:eastAsia="en-US"/>
              </w:rPr>
              <w:lastRenderedPageBreak/>
              <w:t>1.</w:t>
            </w:r>
            <w:r w:rsidRPr="00182400">
              <w:rPr>
                <w:bCs/>
                <w:lang w:val="en-GB" w:eastAsia="en-US"/>
              </w:rPr>
              <w:tab/>
            </w:r>
            <w:r w:rsidR="004F2FC7" w:rsidRPr="00182400">
              <w:rPr>
                <w:lang w:val="en-GB" w:eastAsia="en-US"/>
              </w:rPr>
              <w:t>What has been done to solve the problem?</w:t>
            </w:r>
          </w:p>
          <w:p w14:paraId="334888BD" w14:textId="77777777" w:rsidR="004F2FC7" w:rsidRPr="00182400" w:rsidRDefault="004F2FC7" w:rsidP="00182400">
            <w:pPr>
              <w:rPr>
                <w:lang w:val="en-GB" w:eastAsia="en-US" w:bidi="en-GB"/>
              </w:rPr>
            </w:pPr>
            <w:r w:rsidRPr="00182400">
              <w:rPr>
                <w:lang w:val="en-GB" w:eastAsia="en-US" w:bidi="en-GB"/>
              </w:rPr>
              <w:t>A report has been circulated for consultation.</w:t>
            </w:r>
          </w:p>
          <w:p w14:paraId="00B297BA" w14:textId="77777777" w:rsidR="004F2FC7" w:rsidRPr="00182400" w:rsidRDefault="003C67F8" w:rsidP="00182400">
            <w:pPr>
              <w:pStyle w:val="avsnitt-undertittel"/>
              <w:rPr>
                <w:lang w:val="en-GB" w:eastAsia="en-US"/>
              </w:rPr>
            </w:pPr>
            <w:r w:rsidRPr="00182400">
              <w:rPr>
                <w:bCs/>
                <w:lang w:val="en-GB" w:eastAsia="en-US"/>
              </w:rPr>
              <w:t>2.</w:t>
            </w:r>
            <w:r w:rsidRPr="00182400">
              <w:rPr>
                <w:bCs/>
                <w:lang w:val="en-GB" w:eastAsia="en-US"/>
              </w:rPr>
              <w:tab/>
            </w:r>
            <w:r w:rsidR="004F2FC7" w:rsidRPr="00182400">
              <w:rPr>
                <w:lang w:val="en-GB" w:eastAsia="en-US"/>
              </w:rPr>
              <w:t>What kind of solution is proposed?</w:t>
            </w:r>
          </w:p>
          <w:p w14:paraId="5E735E9C" w14:textId="77777777" w:rsidR="004F2FC7" w:rsidRPr="00182400" w:rsidRDefault="004F2FC7" w:rsidP="00182400">
            <w:pPr>
              <w:rPr>
                <w:rFonts w:eastAsia="Proxima Nova"/>
                <w:lang w:val="en-GB" w:eastAsia="en-US" w:bidi="en-GB"/>
              </w:rPr>
            </w:pPr>
            <w:r w:rsidRPr="00182400">
              <w:rPr>
                <w:rFonts w:eastAsia="Proxima Nova"/>
                <w:lang w:val="en-GB" w:eastAsia="en-US" w:bidi="en-GB"/>
              </w:rPr>
              <w:t>Follow up the report.</w:t>
            </w:r>
          </w:p>
          <w:p w14:paraId="0B016EAD" w14:textId="77777777" w:rsidR="004F2FC7" w:rsidRPr="00182400" w:rsidRDefault="003C67F8" w:rsidP="00182400">
            <w:pPr>
              <w:pStyle w:val="avsnitt-undertittel"/>
              <w:rPr>
                <w:lang w:val="en-GB" w:eastAsia="en-US"/>
              </w:rPr>
            </w:pPr>
            <w:r w:rsidRPr="00182400">
              <w:rPr>
                <w:bCs/>
                <w:lang w:val="en-GB" w:eastAsia="en-US"/>
              </w:rPr>
              <w:t>3.</w:t>
            </w:r>
            <w:r w:rsidRPr="00182400">
              <w:rPr>
                <w:bCs/>
                <w:lang w:val="en-GB" w:eastAsia="en-US"/>
              </w:rPr>
              <w:tab/>
            </w:r>
            <w:r w:rsidR="004F2FC7" w:rsidRPr="00182400">
              <w:rPr>
                <w:lang w:val="en-GB" w:eastAsia="en-US"/>
              </w:rPr>
              <w:t>What results will be achieved by implementing the commitment?</w:t>
            </w:r>
          </w:p>
          <w:p w14:paraId="50FFA648" w14:textId="77777777" w:rsidR="004F2FC7" w:rsidRPr="00182400" w:rsidRDefault="004F2FC7" w:rsidP="00182400">
            <w:pPr>
              <w:rPr>
                <w:rFonts w:eastAsia="Proxima Nova"/>
                <w:lang w:val="en-US" w:eastAsia="en-US"/>
              </w:rPr>
            </w:pPr>
            <w:r w:rsidRPr="00182400">
              <w:rPr>
                <w:lang w:val="en-GB" w:eastAsia="en-US" w:bidi="en-GB"/>
              </w:rPr>
              <w:t xml:space="preserve">The work on the commitment aims to have initiated an expedient process that will lead to updated regulations </w:t>
            </w:r>
            <w:proofErr w:type="gramStart"/>
            <w:r w:rsidRPr="00182400">
              <w:rPr>
                <w:lang w:val="en-GB" w:eastAsia="en-US" w:bidi="en-GB"/>
              </w:rPr>
              <w:t>on the basis of</w:t>
            </w:r>
            <w:proofErr w:type="gramEnd"/>
            <w:r w:rsidRPr="00182400">
              <w:rPr>
                <w:lang w:val="en-GB" w:eastAsia="en-US" w:bidi="en-GB"/>
              </w:rPr>
              <w:t xml:space="preserve"> </w:t>
            </w:r>
            <w:proofErr w:type="spellStart"/>
            <w:r w:rsidRPr="00182400">
              <w:rPr>
                <w:lang w:val="en-GB" w:eastAsia="en-US" w:bidi="en-GB"/>
              </w:rPr>
              <w:t>Aarli’s</w:t>
            </w:r>
            <w:proofErr w:type="spellEnd"/>
            <w:r w:rsidRPr="00182400">
              <w:rPr>
                <w:lang w:val="en-GB" w:eastAsia="en-US" w:bidi="en-GB"/>
              </w:rPr>
              <w:t xml:space="preserve"> report, for example by initiating further investigation work. It is natural that relevant stakeholders such as the media, representatives from the prosecution service, the legal profession and the courts are involved in the work of updating the legislation in an appropriate manner.</w:t>
            </w:r>
          </w:p>
        </w:tc>
      </w:tr>
    </w:tbl>
    <w:p w14:paraId="27FFF5C1" w14:textId="77777777" w:rsidR="004F2FC7" w:rsidRDefault="004F2FC7" w:rsidP="00FA06AB">
      <w:pPr>
        <w:spacing w:line="259" w:lineRule="auto"/>
        <w:rPr>
          <w:rFonts w:cs="Arial"/>
          <w:lang w:val="en-GB"/>
        </w:rPr>
      </w:pPr>
    </w:p>
    <w:tbl>
      <w:tblPr>
        <w:tblW w:w="94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10"/>
        <w:gridCol w:w="5640"/>
      </w:tblGrid>
      <w:tr w:rsidR="004F2FC7" w:rsidRPr="00182400" w14:paraId="56325ECC" w14:textId="77777777" w:rsidTr="00182400">
        <w:tc>
          <w:tcPr>
            <w:tcW w:w="9450" w:type="dxa"/>
            <w:gridSpan w:val="2"/>
            <w:shd w:val="clear" w:color="auto" w:fill="auto"/>
          </w:tcPr>
          <w:p w14:paraId="2183BE90" w14:textId="77777777" w:rsidR="004F2FC7" w:rsidRPr="00182400" w:rsidRDefault="004F2FC7"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4F2FC7" w:rsidRPr="00BB441C" w14:paraId="5417AE93" w14:textId="77777777" w:rsidTr="00182400">
        <w:trPr>
          <w:trHeight w:val="200"/>
        </w:trPr>
        <w:tc>
          <w:tcPr>
            <w:tcW w:w="3810" w:type="dxa"/>
            <w:shd w:val="clear" w:color="auto" w:fill="auto"/>
          </w:tcPr>
          <w:p w14:paraId="656B92B2" w14:textId="77777777" w:rsidR="004F2FC7" w:rsidRPr="00182400" w:rsidRDefault="004F2FC7" w:rsidP="00182400">
            <w:pPr>
              <w:pStyle w:val="TabellHode-kolonne"/>
              <w:rPr>
                <w:rStyle w:val="kursiv"/>
                <w:rFonts w:eastAsia="Proxima Nova"/>
                <w:lang w:eastAsia="en-US"/>
              </w:rPr>
            </w:pPr>
            <w:r w:rsidRPr="00182400">
              <w:rPr>
                <w:rStyle w:val="kursiv"/>
                <w:rFonts w:eastAsia="Proxima Nova"/>
                <w:lang w:eastAsia="en-US"/>
              </w:rPr>
              <w:t>Question</w:t>
            </w:r>
          </w:p>
        </w:tc>
        <w:tc>
          <w:tcPr>
            <w:tcW w:w="5640" w:type="dxa"/>
            <w:shd w:val="clear" w:color="auto" w:fill="auto"/>
          </w:tcPr>
          <w:p w14:paraId="6AE7A7A7" w14:textId="77777777" w:rsidR="004F2FC7" w:rsidRPr="00182400" w:rsidRDefault="004F2FC7" w:rsidP="00182400">
            <w:pPr>
              <w:pStyle w:val="TabellHode-kolonne"/>
              <w:rPr>
                <w:rStyle w:val="kursiv"/>
                <w:rFonts w:eastAsia="Proxima Nova"/>
                <w:lang w:val="en-GB" w:eastAsia="en-US"/>
              </w:rPr>
            </w:pPr>
            <w:r w:rsidRPr="00182400">
              <w:rPr>
                <w:rStyle w:val="kursiv"/>
                <w:rFonts w:eastAsia="Proxima Nova"/>
                <w:lang w:val="en-GB" w:eastAsia="en-US"/>
              </w:rPr>
              <w:t xml:space="preserve">Answer (answer </w:t>
            </w:r>
            <w:r w:rsidR="008B0AA1" w:rsidRPr="00182400">
              <w:rPr>
                <w:rStyle w:val="kursiv"/>
                <w:rFonts w:eastAsia="Proxima Nova"/>
                <w:lang w:val="en-GB" w:eastAsia="en-US"/>
              </w:rPr>
              <w:t>"</w:t>
            </w:r>
            <w:r w:rsidRPr="00182400">
              <w:rPr>
                <w:rStyle w:val="kursiv"/>
                <w:rFonts w:eastAsia="Proxima Nova"/>
                <w:lang w:val="en-GB" w:eastAsia="en-US"/>
              </w:rPr>
              <w:t>not applicable</w:t>
            </w:r>
            <w:r w:rsidR="008B0AA1" w:rsidRPr="00182400">
              <w:rPr>
                <w:rStyle w:val="kursiv"/>
                <w:rFonts w:eastAsia="Proxima Nova"/>
                <w:lang w:val="en-GB" w:eastAsia="en-US"/>
              </w:rPr>
              <w:t>"</w:t>
            </w:r>
            <w:r w:rsidRPr="00182400">
              <w:rPr>
                <w:rStyle w:val="kursiv"/>
                <w:rFonts w:eastAsia="Proxima Nova"/>
                <w:lang w:val="en-GB" w:eastAsia="en-US"/>
              </w:rPr>
              <w:t xml:space="preserve"> if most appropriate)</w:t>
            </w:r>
          </w:p>
        </w:tc>
      </w:tr>
      <w:tr w:rsidR="004F2FC7" w:rsidRPr="00BB441C" w14:paraId="698F8DEC" w14:textId="77777777" w:rsidTr="00182400">
        <w:trPr>
          <w:trHeight w:val="200"/>
        </w:trPr>
        <w:tc>
          <w:tcPr>
            <w:tcW w:w="3810" w:type="dxa"/>
            <w:shd w:val="clear" w:color="auto" w:fill="auto"/>
          </w:tcPr>
          <w:p w14:paraId="2B910F73" w14:textId="72D06D05" w:rsidR="004F2FC7" w:rsidRPr="00182400" w:rsidRDefault="00534E36" w:rsidP="00BB441C">
            <w:pPr>
              <w:pStyle w:val="friliste"/>
              <w:rPr>
                <w:rStyle w:val="kursiv"/>
                <w:lang w:val="en-GB" w:eastAsia="en-US"/>
              </w:rPr>
            </w:pPr>
            <w:r w:rsidRPr="00182400">
              <w:rPr>
                <w:rStyle w:val="kursiv"/>
                <w:lang w:val="en-GB" w:eastAsia="en-US"/>
              </w:rPr>
              <w:t>1.</w:t>
            </w:r>
            <w:r w:rsidRPr="00182400">
              <w:rPr>
                <w:rStyle w:val="kursiv"/>
                <w:lang w:val="en-GB" w:eastAsia="en-US"/>
              </w:rPr>
              <w:tab/>
            </w:r>
            <w:r w:rsidR="004F2FC7" w:rsidRPr="00182400">
              <w:rPr>
                <w:lang w:val="en-GB" w:eastAsia="en-US" w:bidi="en-GB"/>
              </w:rPr>
              <w:t xml:space="preserve">How will the commitment promote openness? </w:t>
            </w:r>
          </w:p>
        </w:tc>
        <w:tc>
          <w:tcPr>
            <w:tcW w:w="5640" w:type="dxa"/>
            <w:shd w:val="clear" w:color="auto" w:fill="auto"/>
          </w:tcPr>
          <w:p w14:paraId="770A84A4" w14:textId="77777777" w:rsidR="004F2FC7" w:rsidRPr="00182400" w:rsidRDefault="004F2FC7" w:rsidP="00182400">
            <w:pPr>
              <w:rPr>
                <w:rFonts w:eastAsia="Proxima Nova"/>
                <w:bCs/>
                <w:lang w:val="en-US" w:eastAsia="en-US"/>
              </w:rPr>
            </w:pPr>
            <w:r w:rsidRPr="00182400">
              <w:rPr>
                <w:rFonts w:eastAsia="Proxima Nova"/>
                <w:lang w:val="en-GB" w:eastAsia="en-US" w:bidi="en-GB"/>
              </w:rPr>
              <w:t xml:space="preserve">Better legal rules will force better practice and can, if properly formulated, help to simplify the access </w:t>
            </w:r>
            <w:proofErr w:type="gramStart"/>
            <w:r w:rsidRPr="00182400">
              <w:rPr>
                <w:rFonts w:eastAsia="Proxima Nova"/>
                <w:lang w:val="en-GB" w:eastAsia="en-US" w:bidi="en-GB"/>
              </w:rPr>
              <w:t>process</w:t>
            </w:r>
            <w:proofErr w:type="gramEnd"/>
            <w:r w:rsidRPr="00182400">
              <w:rPr>
                <w:rFonts w:eastAsia="Proxima Nova"/>
                <w:lang w:val="en-GB" w:eastAsia="en-US" w:bidi="en-GB"/>
              </w:rPr>
              <w:t xml:space="preserve"> and provide good guidance to those assessing access. </w:t>
            </w:r>
          </w:p>
        </w:tc>
      </w:tr>
      <w:tr w:rsidR="004F2FC7" w:rsidRPr="00BB441C" w14:paraId="4E9F3D06" w14:textId="77777777" w:rsidTr="00182400">
        <w:trPr>
          <w:trHeight w:val="200"/>
        </w:trPr>
        <w:tc>
          <w:tcPr>
            <w:tcW w:w="3810" w:type="dxa"/>
            <w:shd w:val="clear" w:color="auto" w:fill="auto"/>
          </w:tcPr>
          <w:p w14:paraId="43448ACC" w14:textId="2A1B426F" w:rsidR="004F2FC7" w:rsidRPr="00182400" w:rsidRDefault="00534E36" w:rsidP="00BB441C">
            <w:pPr>
              <w:pStyle w:val="friliste"/>
              <w:rPr>
                <w:rStyle w:val="kursiv"/>
                <w:lang w:val="en-GB" w:eastAsia="en-US"/>
              </w:rPr>
            </w:pPr>
            <w:r w:rsidRPr="00182400">
              <w:rPr>
                <w:rStyle w:val="kursiv"/>
                <w:lang w:val="en-GB" w:eastAsia="en-US"/>
              </w:rPr>
              <w:t>2.</w:t>
            </w:r>
            <w:r w:rsidRPr="00182400">
              <w:rPr>
                <w:rStyle w:val="kursiv"/>
                <w:lang w:val="en-GB" w:eastAsia="en-US"/>
              </w:rPr>
              <w:tab/>
            </w:r>
            <w:r w:rsidR="004F2FC7" w:rsidRPr="00182400">
              <w:rPr>
                <w:lang w:val="en-GB" w:eastAsia="en-US" w:bidi="en-GB"/>
              </w:rPr>
              <w:t xml:space="preserve">How will the commitment contribute to greater predictability? </w:t>
            </w:r>
          </w:p>
        </w:tc>
        <w:tc>
          <w:tcPr>
            <w:tcW w:w="5640" w:type="dxa"/>
            <w:shd w:val="clear" w:color="auto" w:fill="auto"/>
          </w:tcPr>
          <w:p w14:paraId="378D9BD0" w14:textId="77777777" w:rsidR="004F2FC7" w:rsidRPr="00182400" w:rsidRDefault="004F2FC7" w:rsidP="00182400">
            <w:pPr>
              <w:rPr>
                <w:rFonts w:eastAsia="Proxima Nova"/>
                <w:lang w:val="en-US" w:eastAsia="en-US"/>
              </w:rPr>
            </w:pPr>
            <w:r w:rsidRPr="00182400">
              <w:rPr>
                <w:color w:val="000000"/>
                <w:lang w:val="en-GB" w:eastAsia="en-US" w:bidi="en-GB"/>
              </w:rPr>
              <w:t xml:space="preserve">Better insight into events and institutions in society can make it easier to join debates and get involved. </w:t>
            </w:r>
          </w:p>
        </w:tc>
      </w:tr>
      <w:tr w:rsidR="004F2FC7" w:rsidRPr="00BB441C" w14:paraId="391D9A59" w14:textId="77777777" w:rsidTr="00182400">
        <w:trPr>
          <w:trHeight w:val="200"/>
        </w:trPr>
        <w:tc>
          <w:tcPr>
            <w:tcW w:w="3810" w:type="dxa"/>
            <w:shd w:val="clear" w:color="auto" w:fill="auto"/>
          </w:tcPr>
          <w:p w14:paraId="4DF4ED70" w14:textId="458C1555" w:rsidR="004F2FC7" w:rsidRPr="00182400" w:rsidRDefault="00534E36" w:rsidP="00BB441C">
            <w:pPr>
              <w:pStyle w:val="friliste"/>
              <w:rPr>
                <w:rStyle w:val="kursiv"/>
                <w:lang w:val="en-GB" w:eastAsia="en-US"/>
              </w:rPr>
            </w:pPr>
            <w:r w:rsidRPr="00182400">
              <w:rPr>
                <w:rStyle w:val="kursiv"/>
                <w:lang w:val="en-GB" w:eastAsia="en-US"/>
              </w:rPr>
              <w:t>3.</w:t>
            </w:r>
            <w:r w:rsidRPr="00182400">
              <w:rPr>
                <w:rStyle w:val="kursiv"/>
                <w:lang w:val="en-GB" w:eastAsia="en-US"/>
              </w:rPr>
              <w:tab/>
            </w:r>
            <w:r w:rsidR="004F2FC7" w:rsidRPr="00182400">
              <w:rPr>
                <w:lang w:val="en-GB" w:eastAsia="en-US" w:bidi="en-GB"/>
              </w:rPr>
              <w:t xml:space="preserve">How will the commitment improve the opportunity for citizens to participate by publicising, </w:t>
            </w:r>
            <w:proofErr w:type="gramStart"/>
            <w:r w:rsidR="004F2FC7" w:rsidRPr="00182400">
              <w:rPr>
                <w:lang w:val="en-GB" w:eastAsia="en-US" w:bidi="en-GB"/>
              </w:rPr>
              <w:t>implementing</w:t>
            </w:r>
            <w:proofErr w:type="gramEnd"/>
            <w:r w:rsidR="004F2FC7" w:rsidRPr="00182400">
              <w:rPr>
                <w:lang w:val="en-GB" w:eastAsia="en-US" w:bidi="en-GB"/>
              </w:rPr>
              <w:t xml:space="preserve"> and monitoring the solutions? </w:t>
            </w:r>
          </w:p>
        </w:tc>
        <w:tc>
          <w:tcPr>
            <w:tcW w:w="5640" w:type="dxa"/>
            <w:shd w:val="clear" w:color="auto" w:fill="auto"/>
          </w:tcPr>
          <w:p w14:paraId="4845CEDC" w14:textId="77777777" w:rsidR="004F2FC7" w:rsidRPr="00182400" w:rsidRDefault="004F2FC7" w:rsidP="00182400">
            <w:pPr>
              <w:rPr>
                <w:rStyle w:val="halvfet"/>
                <w:rFonts w:eastAsia="Proxima Nova"/>
                <w:lang w:val="en-GB" w:eastAsia="en-US"/>
              </w:rPr>
            </w:pPr>
          </w:p>
        </w:tc>
      </w:tr>
    </w:tbl>
    <w:p w14:paraId="3FB72CA9" w14:textId="77777777" w:rsidR="004F2FC7" w:rsidRDefault="004F2FC7" w:rsidP="00FA06AB">
      <w:pPr>
        <w:spacing w:line="259" w:lineRule="auto"/>
        <w:rPr>
          <w:rFonts w:cs="Arial"/>
          <w:lang w:val="en-GB"/>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6"/>
        <w:gridCol w:w="2410"/>
        <w:gridCol w:w="1559"/>
        <w:gridCol w:w="3828"/>
      </w:tblGrid>
      <w:tr w:rsidR="00BD01A9" w:rsidRPr="00182400" w14:paraId="54551991" w14:textId="77777777" w:rsidTr="005258C8">
        <w:trPr>
          <w:trHeight w:val="210"/>
        </w:trPr>
        <w:tc>
          <w:tcPr>
            <w:tcW w:w="9493" w:type="dxa"/>
            <w:gridSpan w:val="4"/>
            <w:shd w:val="clear" w:color="auto" w:fill="auto"/>
          </w:tcPr>
          <w:p w14:paraId="246F13BE" w14:textId="77777777" w:rsidR="00BD01A9" w:rsidRPr="00182400" w:rsidRDefault="00BD01A9" w:rsidP="005258C8">
            <w:pPr>
              <w:pStyle w:val="TabellHode-kolonne"/>
              <w:rPr>
                <w:rStyle w:val="halvfet"/>
                <w:rFonts w:eastAsia="Proxima Nova"/>
                <w:lang w:eastAsia="en-US"/>
              </w:rPr>
            </w:pPr>
            <w:r w:rsidRPr="00182400">
              <w:rPr>
                <w:rStyle w:val="halvfet"/>
                <w:rFonts w:eastAsia="Proxima Nova"/>
                <w:lang w:eastAsia="en-US"/>
              </w:rPr>
              <w:t xml:space="preserve">Plan for </w:t>
            </w:r>
            <w:proofErr w:type="spellStart"/>
            <w:r w:rsidRPr="00182400">
              <w:rPr>
                <w:rStyle w:val="halvfet"/>
                <w:rFonts w:eastAsia="Proxima Nova"/>
                <w:lang w:eastAsia="en-US"/>
              </w:rPr>
              <w:t>commitment</w:t>
            </w:r>
            <w:proofErr w:type="spellEnd"/>
          </w:p>
        </w:tc>
      </w:tr>
      <w:tr w:rsidR="00BD01A9" w:rsidRPr="00182400" w14:paraId="13CC2DEE" w14:textId="77777777" w:rsidTr="005258C8">
        <w:trPr>
          <w:trHeight w:val="200"/>
        </w:trPr>
        <w:tc>
          <w:tcPr>
            <w:tcW w:w="1696" w:type="dxa"/>
            <w:shd w:val="clear" w:color="auto" w:fill="auto"/>
          </w:tcPr>
          <w:p w14:paraId="5FC2BCB2" w14:textId="77777777" w:rsidR="00BD01A9" w:rsidRPr="00182400" w:rsidRDefault="00BD01A9" w:rsidP="005258C8">
            <w:pPr>
              <w:pStyle w:val="TabellHode-kolonne"/>
              <w:rPr>
                <w:rStyle w:val="kursiv"/>
                <w:rFonts w:eastAsia="Proxima Nova"/>
                <w:lang w:eastAsia="en-US"/>
              </w:rPr>
            </w:pPr>
            <w:r w:rsidRPr="00182400">
              <w:rPr>
                <w:rStyle w:val="kursiv"/>
                <w:rFonts w:eastAsia="Proxima Nova"/>
                <w:lang w:eastAsia="en-US"/>
              </w:rPr>
              <w:lastRenderedPageBreak/>
              <w:t>Milestones</w:t>
            </w:r>
          </w:p>
        </w:tc>
        <w:tc>
          <w:tcPr>
            <w:tcW w:w="2410" w:type="dxa"/>
            <w:shd w:val="clear" w:color="auto" w:fill="auto"/>
          </w:tcPr>
          <w:p w14:paraId="4CCDDD84" w14:textId="77777777" w:rsidR="00BD01A9" w:rsidRPr="00182400" w:rsidRDefault="00BD01A9"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outcome</w:t>
            </w:r>
            <w:proofErr w:type="spellEnd"/>
          </w:p>
        </w:tc>
        <w:tc>
          <w:tcPr>
            <w:tcW w:w="1559" w:type="dxa"/>
            <w:shd w:val="clear" w:color="auto" w:fill="auto"/>
          </w:tcPr>
          <w:p w14:paraId="10B7FD87" w14:textId="77777777" w:rsidR="00BD01A9" w:rsidRPr="00182400" w:rsidRDefault="00BD01A9" w:rsidP="005258C8">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completion</w:t>
            </w:r>
            <w:proofErr w:type="spellEnd"/>
            <w:r w:rsidRPr="00182400">
              <w:rPr>
                <w:rStyle w:val="kursiv"/>
                <w:rFonts w:eastAsia="Proxima Nova"/>
                <w:lang w:eastAsia="en-US"/>
              </w:rPr>
              <w:t xml:space="preserve"> date</w:t>
            </w:r>
          </w:p>
        </w:tc>
        <w:tc>
          <w:tcPr>
            <w:tcW w:w="3828" w:type="dxa"/>
            <w:shd w:val="clear" w:color="auto" w:fill="auto"/>
          </w:tcPr>
          <w:p w14:paraId="7D85DF15" w14:textId="77777777" w:rsidR="00BD01A9" w:rsidRPr="00182400" w:rsidRDefault="00BD01A9" w:rsidP="005258C8">
            <w:pPr>
              <w:pStyle w:val="TabellHode-kolonne"/>
              <w:rPr>
                <w:rStyle w:val="kursiv"/>
                <w:rFonts w:eastAsia="Proxima Nova"/>
                <w:lang w:eastAsia="en-US"/>
              </w:rPr>
            </w:pPr>
            <w:r w:rsidRPr="00182400">
              <w:rPr>
                <w:rStyle w:val="kursiv"/>
                <w:rFonts w:eastAsia="Proxima Nova"/>
                <w:lang w:eastAsia="en-US"/>
              </w:rPr>
              <w:t xml:space="preserve">Stakeholders </w:t>
            </w:r>
          </w:p>
        </w:tc>
      </w:tr>
      <w:tr w:rsidR="00BD01A9" w:rsidRPr="00BD01A9" w14:paraId="36EACB34" w14:textId="77777777" w:rsidTr="0069391A">
        <w:trPr>
          <w:trHeight w:val="1879"/>
        </w:trPr>
        <w:tc>
          <w:tcPr>
            <w:tcW w:w="1696" w:type="dxa"/>
            <w:shd w:val="clear" w:color="auto" w:fill="auto"/>
          </w:tcPr>
          <w:p w14:paraId="1B0ABC56" w14:textId="77777777" w:rsidR="00BD01A9" w:rsidRPr="00182400" w:rsidRDefault="00BD01A9" w:rsidP="005258C8">
            <w:pPr>
              <w:spacing w:line="240" w:lineRule="auto"/>
              <w:jc w:val="both"/>
              <w:rPr>
                <w:rStyle w:val="kursiv"/>
                <w:rFonts w:eastAsia="Proxima Nova"/>
                <w:lang w:eastAsia="en-US"/>
              </w:rPr>
            </w:pPr>
          </w:p>
        </w:tc>
        <w:tc>
          <w:tcPr>
            <w:tcW w:w="2410" w:type="dxa"/>
            <w:shd w:val="clear" w:color="auto" w:fill="auto"/>
          </w:tcPr>
          <w:p w14:paraId="05E7DD8D" w14:textId="77777777" w:rsidR="00BD01A9" w:rsidRPr="00182400" w:rsidRDefault="00BD01A9" w:rsidP="005258C8">
            <w:pPr>
              <w:spacing w:line="240" w:lineRule="auto"/>
              <w:jc w:val="both"/>
              <w:rPr>
                <w:rFonts w:eastAsia="Proxima Nova" w:cs="Arial"/>
                <w:lang w:val="nn-NO" w:eastAsia="en-US"/>
              </w:rPr>
            </w:pPr>
          </w:p>
        </w:tc>
        <w:tc>
          <w:tcPr>
            <w:tcW w:w="1559" w:type="dxa"/>
            <w:shd w:val="clear" w:color="auto" w:fill="auto"/>
          </w:tcPr>
          <w:p w14:paraId="2B2B2771" w14:textId="77777777" w:rsidR="00BD01A9" w:rsidRPr="00182400" w:rsidRDefault="00BD01A9" w:rsidP="005258C8">
            <w:pPr>
              <w:spacing w:line="240" w:lineRule="auto"/>
              <w:jc w:val="both"/>
              <w:rPr>
                <w:rFonts w:eastAsia="Proxima Nova" w:cs="Arial"/>
                <w:lang w:val="nn-NO" w:eastAsia="en-US"/>
              </w:rPr>
            </w:pPr>
          </w:p>
        </w:tc>
        <w:tc>
          <w:tcPr>
            <w:tcW w:w="3828" w:type="dxa"/>
            <w:shd w:val="clear" w:color="auto" w:fill="auto"/>
          </w:tcPr>
          <w:tbl>
            <w:tblPr>
              <w:tblStyle w:val="StandardTabell"/>
              <w:tblW w:w="0" w:type="auto"/>
              <w:tblLayout w:type="fixed"/>
              <w:tblLook w:val="04A0" w:firstRow="1" w:lastRow="0" w:firstColumn="1" w:lastColumn="0" w:noHBand="0" w:noVBand="1"/>
            </w:tblPr>
            <w:tblGrid>
              <w:gridCol w:w="1200"/>
              <w:gridCol w:w="1201"/>
              <w:gridCol w:w="1201"/>
            </w:tblGrid>
            <w:tr w:rsidR="00BD01A9" w14:paraId="6547CB7A" w14:textId="77777777" w:rsidTr="000A72DA">
              <w:tc>
                <w:tcPr>
                  <w:tcW w:w="3602" w:type="dxa"/>
                  <w:gridSpan w:val="3"/>
                </w:tcPr>
                <w:p w14:paraId="0430F586" w14:textId="7AFE81F4" w:rsidR="00BD01A9" w:rsidRDefault="00BD01A9" w:rsidP="005258C8">
                  <w:pPr>
                    <w:rPr>
                      <w:rFonts w:eastAsia="Proxima Nova"/>
                      <w:lang w:val="nn-NO"/>
                    </w:rPr>
                  </w:pPr>
                  <w:proofErr w:type="spellStart"/>
                  <w:r w:rsidRPr="00182400">
                    <w:rPr>
                      <w:rFonts w:eastAsia="Proxima Nova"/>
                      <w:lang w:bidi="en-GB"/>
                    </w:rPr>
                    <w:t>Responsible</w:t>
                  </w:r>
                  <w:proofErr w:type="spellEnd"/>
                  <w:r w:rsidRPr="00182400">
                    <w:rPr>
                      <w:rFonts w:eastAsia="Proxima Nova"/>
                      <w:lang w:bidi="en-GB"/>
                    </w:rPr>
                    <w:t>:</w:t>
                  </w:r>
                </w:p>
              </w:tc>
            </w:tr>
            <w:tr w:rsidR="00BD01A9" w14:paraId="7858B4CA" w14:textId="77777777" w:rsidTr="005D0866">
              <w:tc>
                <w:tcPr>
                  <w:tcW w:w="3602" w:type="dxa"/>
                  <w:gridSpan w:val="3"/>
                </w:tcPr>
                <w:p w14:paraId="77F11FAA" w14:textId="7C653154" w:rsidR="00BD01A9" w:rsidRDefault="00BD01A9" w:rsidP="005258C8">
                  <w:pPr>
                    <w:rPr>
                      <w:rFonts w:eastAsia="Proxima Nova"/>
                      <w:lang w:val="nn-NO"/>
                    </w:rPr>
                  </w:pPr>
                  <w:r w:rsidRPr="00182400">
                    <w:rPr>
                      <w:rFonts w:eastAsia="Proxima Nova"/>
                      <w:lang w:bidi="en-GB"/>
                    </w:rPr>
                    <w:t>Stakeholders/supporters</w:t>
                  </w:r>
                </w:p>
              </w:tc>
            </w:tr>
            <w:tr w:rsidR="00BD01A9" w14:paraId="60F3C47A" w14:textId="77777777" w:rsidTr="00BD01A9">
              <w:tc>
                <w:tcPr>
                  <w:tcW w:w="1200" w:type="dxa"/>
                </w:tcPr>
                <w:p w14:paraId="7E1CA948" w14:textId="4E6DE497" w:rsidR="00BD01A9" w:rsidRDefault="00BD01A9" w:rsidP="00BD01A9">
                  <w:pPr>
                    <w:rPr>
                      <w:rFonts w:eastAsia="Proxima Nova"/>
                      <w:lang w:val="nn-NO"/>
                    </w:rPr>
                  </w:pPr>
                  <w:r w:rsidRPr="00182400">
                    <w:rPr>
                      <w:rFonts w:eastAsia="Proxima Nova"/>
                      <w:lang w:bidi="en-GB"/>
                    </w:rPr>
                    <w:t xml:space="preserve">Public </w:t>
                  </w:r>
                  <w:proofErr w:type="spellStart"/>
                  <w:r w:rsidRPr="00182400">
                    <w:rPr>
                      <w:rFonts w:eastAsia="Proxima Nova"/>
                      <w:lang w:bidi="en-GB"/>
                    </w:rPr>
                    <w:t>administration</w:t>
                  </w:r>
                  <w:proofErr w:type="spellEnd"/>
                  <w:r w:rsidRPr="00182400">
                    <w:rPr>
                      <w:rFonts w:eastAsia="Proxima Nova"/>
                      <w:lang w:bidi="en-GB"/>
                    </w:rPr>
                    <w:t xml:space="preserve"> </w:t>
                  </w:r>
                </w:p>
              </w:tc>
              <w:tc>
                <w:tcPr>
                  <w:tcW w:w="1201" w:type="dxa"/>
                </w:tcPr>
                <w:p w14:paraId="2C9731C2" w14:textId="68E756EF" w:rsidR="00BD01A9" w:rsidRDefault="00BD01A9" w:rsidP="00BD01A9">
                  <w:pPr>
                    <w:rPr>
                      <w:rFonts w:eastAsia="Proxima Nova"/>
                      <w:lang w:val="nn-NO"/>
                    </w:rPr>
                  </w:pPr>
                  <w:proofErr w:type="spellStart"/>
                  <w:r w:rsidRPr="00182400">
                    <w:rPr>
                      <w:rFonts w:eastAsia="Proxima Nova"/>
                      <w:lang w:bidi="en-GB"/>
                    </w:rPr>
                    <w:t>Civil</w:t>
                  </w:r>
                  <w:proofErr w:type="spellEnd"/>
                  <w:r w:rsidRPr="00182400">
                    <w:rPr>
                      <w:rFonts w:eastAsia="Proxima Nova"/>
                      <w:lang w:bidi="en-GB"/>
                    </w:rPr>
                    <w:t xml:space="preserve"> </w:t>
                  </w:r>
                  <w:proofErr w:type="spellStart"/>
                  <w:r w:rsidRPr="00182400">
                    <w:rPr>
                      <w:rFonts w:eastAsia="Proxima Nova"/>
                      <w:lang w:bidi="en-GB"/>
                    </w:rPr>
                    <w:t>society</w:t>
                  </w:r>
                  <w:proofErr w:type="spellEnd"/>
                  <w:r w:rsidRPr="00182400">
                    <w:rPr>
                      <w:rFonts w:eastAsia="Proxima Nova"/>
                      <w:lang w:bidi="en-GB"/>
                    </w:rPr>
                    <w:t xml:space="preserve"> </w:t>
                  </w:r>
                  <w:proofErr w:type="spellStart"/>
                  <w:r w:rsidRPr="00182400">
                    <w:rPr>
                      <w:rFonts w:eastAsia="Proxima Nova"/>
                      <w:lang w:bidi="en-GB"/>
                    </w:rPr>
                    <w:t>organisations</w:t>
                  </w:r>
                  <w:proofErr w:type="spellEnd"/>
                </w:p>
              </w:tc>
              <w:tc>
                <w:tcPr>
                  <w:tcW w:w="1201" w:type="dxa"/>
                </w:tcPr>
                <w:p w14:paraId="3F5CAA08" w14:textId="0DFF061D" w:rsidR="00BD01A9" w:rsidRDefault="00BD01A9" w:rsidP="00BD01A9">
                  <w:pPr>
                    <w:rPr>
                      <w:rFonts w:eastAsia="Proxima Nova"/>
                      <w:lang w:val="nn-NO"/>
                    </w:rPr>
                  </w:pPr>
                  <w:r w:rsidRPr="00182400">
                    <w:rPr>
                      <w:rFonts w:eastAsia="Proxima Nova"/>
                      <w:lang w:val="en-GB" w:bidi="en-GB"/>
                    </w:rPr>
                    <w:t>Others (</w:t>
                  </w:r>
                  <w:proofErr w:type="gramStart"/>
                  <w:r w:rsidRPr="00182400">
                    <w:rPr>
                      <w:rFonts w:eastAsia="Proxima Nova"/>
                      <w:lang w:val="en-GB" w:bidi="en-GB"/>
                    </w:rPr>
                    <w:t>e.g.</w:t>
                  </w:r>
                  <w:proofErr w:type="gramEnd"/>
                  <w:r w:rsidRPr="00182400">
                    <w:rPr>
                      <w:rFonts w:eastAsia="Proxima Nova"/>
                      <w:lang w:val="en-GB" w:bidi="en-GB"/>
                    </w:rPr>
                    <w:t xml:space="preserve"> parliament, civil society, others)</w:t>
                  </w:r>
                </w:p>
              </w:tc>
            </w:tr>
          </w:tbl>
          <w:p w14:paraId="3194DCE3" w14:textId="1E3E1A6D" w:rsidR="00BD01A9" w:rsidRPr="00182400" w:rsidRDefault="00BD01A9" w:rsidP="005258C8">
            <w:pPr>
              <w:rPr>
                <w:rFonts w:eastAsia="Proxima Nova"/>
                <w:lang w:val="nn-NO" w:eastAsia="en-US"/>
              </w:rPr>
            </w:pPr>
          </w:p>
        </w:tc>
      </w:tr>
    </w:tbl>
    <w:p w14:paraId="5EA87693" w14:textId="77777777" w:rsidR="004F2FC7" w:rsidRPr="00291078" w:rsidRDefault="004F2FC7" w:rsidP="00FA06AB">
      <w:pPr>
        <w:spacing w:line="259" w:lineRule="auto"/>
        <w:rPr>
          <w:rFonts w:cs="Arial"/>
          <w:lang w:val="en-GB"/>
        </w:rPr>
      </w:pPr>
    </w:p>
    <w:p w14:paraId="7FD9C23C" w14:textId="77777777" w:rsidR="00291078" w:rsidRDefault="00FA06AB" w:rsidP="00291078">
      <w:pPr>
        <w:pStyle w:val="Overskrift1"/>
        <w:rPr>
          <w:lang w:val="en-US"/>
        </w:rPr>
      </w:pPr>
      <w:r w:rsidRPr="00291078">
        <w:rPr>
          <w:rStyle w:val="Overskrift1Tegn"/>
          <w:b/>
          <w:lang w:val="en-GB" w:bidi="en-GB"/>
        </w:rPr>
        <w:t>Annex: More about the process leading up to the Fifth Action Plan</w:t>
      </w:r>
    </w:p>
    <w:p w14:paraId="5FFD7A05" w14:textId="77777777" w:rsidR="00FA06AB" w:rsidRPr="00AC09F2" w:rsidRDefault="00FA06AB" w:rsidP="00291078">
      <w:pPr>
        <w:pStyle w:val="Overskrift2"/>
        <w:rPr>
          <w:lang w:val="nn-NO"/>
        </w:rPr>
      </w:pPr>
      <w:r w:rsidRPr="00AC09F2">
        <w:rPr>
          <w:lang w:bidi="en-GB"/>
        </w:rPr>
        <w:t>Stakeholders</w:t>
      </w:r>
      <w:r w:rsidR="0064546B">
        <w:rPr>
          <w:lang w:bidi="en-GB"/>
        </w:rPr>
        <w:t>’</w:t>
      </w:r>
      <w:r w:rsidRPr="00AC09F2">
        <w:rPr>
          <w:lang w:bidi="en-GB"/>
        </w:rPr>
        <w:t xml:space="preserve"> Forum </w:t>
      </w:r>
      <w:proofErr w:type="spellStart"/>
      <w:r w:rsidRPr="00AC09F2">
        <w:rPr>
          <w:lang w:bidi="en-GB"/>
        </w:rPr>
        <w:t>meeting</w:t>
      </w:r>
      <w:proofErr w:type="spellEnd"/>
      <w:r w:rsidRPr="00AC09F2">
        <w:rPr>
          <w:lang w:bidi="en-GB"/>
        </w:rPr>
        <w:t xml:space="preserve"> 23 June 2022</w:t>
      </w:r>
    </w:p>
    <w:p w14:paraId="1A3F0655" w14:textId="77777777" w:rsidR="00291078" w:rsidRPr="00291078" w:rsidRDefault="00FA06AB" w:rsidP="00FA06AB">
      <w:pPr>
        <w:rPr>
          <w:rFonts w:cs="Arial"/>
          <w:lang w:val="en-GB" w:bidi="en-GB"/>
        </w:rPr>
      </w:pPr>
      <w:r w:rsidRPr="00291078">
        <w:rPr>
          <w:rFonts w:cs="Arial"/>
          <w:lang w:val="en-GB" w:bidi="en-GB"/>
        </w:rPr>
        <w:t>Work on the Fifth Action Plan continued by letter to the Stakeholders</w:t>
      </w:r>
      <w:r w:rsidR="0064546B">
        <w:rPr>
          <w:rFonts w:cs="Arial"/>
          <w:lang w:val="en-GB" w:bidi="en-GB"/>
        </w:rPr>
        <w:t>’</w:t>
      </w:r>
      <w:r w:rsidRPr="00291078">
        <w:rPr>
          <w:rFonts w:cs="Arial"/>
          <w:lang w:val="en-GB" w:bidi="en-GB"/>
        </w:rPr>
        <w:t xml:space="preserve"> Forum on 3 June 2022. The letter included an invitation to a meeting on 23 June. The meeting was attended by participants from both public administration and civil society.</w:t>
      </w:r>
    </w:p>
    <w:p w14:paraId="7EE2AFA9" w14:textId="77777777" w:rsidR="00291078" w:rsidRPr="00291078" w:rsidRDefault="00FA06AB" w:rsidP="00FA06AB">
      <w:pPr>
        <w:rPr>
          <w:rFonts w:cs="Arial"/>
          <w:lang w:val="en-GB" w:bidi="en-GB"/>
        </w:rPr>
      </w:pPr>
      <w:r w:rsidRPr="00291078">
        <w:rPr>
          <w:rFonts w:cs="Arial"/>
          <w:lang w:val="en-GB" w:bidi="en-GB"/>
        </w:rPr>
        <w:t xml:space="preserve">Prior to the meeting, participants (from both public administration and civil society) were asked to provide input on possible commitments to the action plan. The letter outlined the seven areas that the Government had </w:t>
      </w:r>
      <w:r w:rsidR="00AA4EFA" w:rsidRPr="00291078">
        <w:rPr>
          <w:rFonts w:cs="Arial"/>
          <w:lang w:val="en-GB" w:bidi="en-GB"/>
        </w:rPr>
        <w:t>prioritised and</w:t>
      </w:r>
      <w:r w:rsidRPr="00291078">
        <w:rPr>
          <w:rFonts w:cs="Arial"/>
          <w:lang w:val="en-GB" w:bidi="en-GB"/>
        </w:rPr>
        <w:t xml:space="preserve"> invited civil society to make further suggestions.</w:t>
      </w:r>
    </w:p>
    <w:p w14:paraId="5979DCDB" w14:textId="77777777" w:rsidR="00291078" w:rsidRPr="00291078" w:rsidRDefault="00FA06AB" w:rsidP="00FA06AB">
      <w:pPr>
        <w:rPr>
          <w:rFonts w:cs="Arial"/>
          <w:lang w:val="en-GB" w:bidi="en-GB"/>
        </w:rPr>
      </w:pPr>
      <w:r w:rsidRPr="00291078">
        <w:rPr>
          <w:rFonts w:cs="Arial"/>
          <w:lang w:val="en-GB" w:bidi="en-GB"/>
        </w:rPr>
        <w:t>The meeting was chaired by the Ministry of Local Government and Regional Development.</w:t>
      </w:r>
    </w:p>
    <w:p w14:paraId="331A9E24" w14:textId="77777777" w:rsidR="00291078" w:rsidRDefault="00FA06AB" w:rsidP="00291078">
      <w:pPr>
        <w:pStyle w:val="Overskrift2"/>
        <w:rPr>
          <w:lang w:bidi="en-GB"/>
        </w:rPr>
      </w:pPr>
      <w:r w:rsidRPr="00AC09F2">
        <w:rPr>
          <w:lang w:bidi="en-GB"/>
        </w:rPr>
        <w:t xml:space="preserve">The </w:t>
      </w:r>
      <w:proofErr w:type="spellStart"/>
      <w:r w:rsidRPr="00AC09F2">
        <w:rPr>
          <w:lang w:bidi="en-GB"/>
        </w:rPr>
        <w:t>consultation</w:t>
      </w:r>
      <w:proofErr w:type="spellEnd"/>
      <w:r w:rsidRPr="00AC09F2">
        <w:rPr>
          <w:lang w:bidi="en-GB"/>
        </w:rPr>
        <w:t xml:space="preserve"> </w:t>
      </w:r>
      <w:proofErr w:type="spellStart"/>
      <w:r w:rsidRPr="00AC09F2">
        <w:rPr>
          <w:lang w:bidi="en-GB"/>
        </w:rPr>
        <w:t>round</w:t>
      </w:r>
      <w:proofErr w:type="spellEnd"/>
    </w:p>
    <w:p w14:paraId="1F31AA17" w14:textId="77777777" w:rsidR="00291078" w:rsidRPr="00BB441C" w:rsidRDefault="00FA06AB" w:rsidP="00291078">
      <w:pPr>
        <w:rPr>
          <w:lang w:val="en-GB" w:bidi="en-GB"/>
        </w:rPr>
      </w:pPr>
      <w:r w:rsidRPr="00BB441C">
        <w:rPr>
          <w:lang w:val="en-GB" w:bidi="en-GB"/>
        </w:rPr>
        <w:t xml:space="preserve">At the meeting on 23 June, there were discussions about spreading awareness of the OGP by inviting people to a major seminar on the OGP </w:t>
      </w:r>
      <w:proofErr w:type="gramStart"/>
      <w:r w:rsidRPr="00BB441C">
        <w:rPr>
          <w:lang w:val="en-GB" w:bidi="en-GB"/>
        </w:rPr>
        <w:t>in order to</w:t>
      </w:r>
      <w:proofErr w:type="gramEnd"/>
      <w:r w:rsidRPr="00BB441C">
        <w:rPr>
          <w:lang w:val="en-GB" w:bidi="en-GB"/>
        </w:rPr>
        <w:t xml:space="preserve"> get more input on the action plan, among other things. One of the measures would be a public consultation where everyone can contribute or comment on proposals. </w:t>
      </w:r>
      <w:r w:rsidRPr="0064546B">
        <w:rPr>
          <w:lang w:val="en-GB" w:bidi="en-GB"/>
        </w:rPr>
        <w:t xml:space="preserve">The case was posted under </w:t>
      </w:r>
      <w:r w:rsidR="008B0AA1">
        <w:rPr>
          <w:rStyle w:val="kursiv"/>
          <w:lang w:val="en-GB"/>
        </w:rPr>
        <w:t>"</w:t>
      </w:r>
      <w:r w:rsidRPr="0064546B">
        <w:rPr>
          <w:rStyle w:val="kursiv"/>
          <w:lang w:val="en-GB"/>
        </w:rPr>
        <w:t>Consultations</w:t>
      </w:r>
      <w:r w:rsidR="008B0AA1">
        <w:rPr>
          <w:rStyle w:val="kursiv"/>
          <w:lang w:val="en-GB"/>
        </w:rPr>
        <w:t>"</w:t>
      </w:r>
      <w:r w:rsidRPr="0064546B">
        <w:rPr>
          <w:lang w:val="en-GB" w:bidi="en-GB"/>
        </w:rPr>
        <w:t xml:space="preserve"> on regjeringa.no on 1 July 2022 with a deadline for input on 25 August </w:t>
      </w:r>
      <w:r w:rsidRPr="0064546B">
        <w:rPr>
          <w:lang w:val="en-GB" w:bidi="en-GB"/>
        </w:rPr>
        <w:lastRenderedPageBreak/>
        <w:t xml:space="preserve">2022. </w:t>
      </w:r>
      <w:r w:rsidRPr="00BB441C">
        <w:rPr>
          <w:lang w:val="en-GB" w:bidi="en-GB"/>
        </w:rPr>
        <w:t xml:space="preserve">By then, submissions had already been received from the </w:t>
      </w:r>
      <w:r w:rsidRPr="00BB441C">
        <w:rPr>
          <w:rStyle w:val="kursiv"/>
          <w:lang w:val="en-GB"/>
        </w:rPr>
        <w:t>Norwegian Children and Youth Council (LNU)</w:t>
      </w:r>
      <w:r w:rsidRPr="00BB441C">
        <w:rPr>
          <w:lang w:val="en-GB" w:bidi="en-GB"/>
        </w:rPr>
        <w:t xml:space="preserve">, </w:t>
      </w:r>
      <w:r w:rsidRPr="00BB441C">
        <w:rPr>
          <w:rStyle w:val="kursiv"/>
          <w:lang w:val="en-GB"/>
        </w:rPr>
        <w:t>Media companies, Publish What You Pay</w:t>
      </w:r>
      <w:r w:rsidRPr="00BB441C">
        <w:rPr>
          <w:lang w:val="en-GB" w:bidi="en-GB"/>
        </w:rPr>
        <w:t xml:space="preserve"> and </w:t>
      </w:r>
      <w:r w:rsidRPr="00BB441C">
        <w:rPr>
          <w:rStyle w:val="kursiv"/>
          <w:lang w:val="en-GB"/>
        </w:rPr>
        <w:t>Tax Justice</w:t>
      </w:r>
      <w:r w:rsidRPr="00BB441C">
        <w:rPr>
          <w:lang w:val="en-GB" w:bidi="en-GB"/>
        </w:rPr>
        <w:t>.</w:t>
      </w:r>
      <w:r w:rsidR="0064546B" w:rsidRPr="0064546B">
        <w:rPr>
          <w:rStyle w:val="Fotnotereferanse"/>
        </w:rPr>
        <w:footnoteReference w:id="5"/>
      </w:r>
    </w:p>
    <w:p w14:paraId="4F56F41E" w14:textId="77777777" w:rsidR="00291078" w:rsidRPr="00BB441C" w:rsidRDefault="004159CE" w:rsidP="00291078">
      <w:pPr>
        <w:rPr>
          <w:lang w:val="en-GB" w:bidi="en-GB"/>
        </w:rPr>
      </w:pPr>
      <w:r w:rsidRPr="00BB441C">
        <w:rPr>
          <w:lang w:val="en-GB" w:bidi="en-GB"/>
        </w:rPr>
        <w:t>Consultations give everyone the opportunity to make submissions and express their views. Participation is consequently not only limited to organised interests. It also provides an opportunity to gain access into what proposals are being put forward, since all contributions are open. Anyone can participate in the consultations, and all consultation documents and contributions to the consultations are registered and logged and are publicly available.</w:t>
      </w:r>
    </w:p>
    <w:p w14:paraId="55E012D7" w14:textId="77777777" w:rsidR="00291078" w:rsidRPr="00BB441C" w:rsidRDefault="00FA06AB" w:rsidP="00291078">
      <w:pPr>
        <w:rPr>
          <w:lang w:val="en-GB" w:bidi="en-GB"/>
        </w:rPr>
      </w:pPr>
      <w:r w:rsidRPr="00BB441C">
        <w:rPr>
          <w:lang w:val="en-GB" w:bidi="en-GB"/>
        </w:rPr>
        <w:t>In total, several submissions were received during the consultation, both from individuals and organisations. In addition, input came from the public administration itself. The contributions were successively posted on regjeringa.no.</w:t>
      </w:r>
    </w:p>
    <w:p w14:paraId="103FAA2F" w14:textId="77777777" w:rsidR="00291078" w:rsidRDefault="00FA06AB" w:rsidP="00291078">
      <w:pPr>
        <w:pStyle w:val="Overskrift2"/>
        <w:rPr>
          <w:lang w:bidi="en-GB"/>
        </w:rPr>
      </w:pPr>
      <w:r w:rsidRPr="00AC09F2">
        <w:rPr>
          <w:lang w:bidi="en-GB"/>
        </w:rPr>
        <w:t>Stakeholders</w:t>
      </w:r>
      <w:r w:rsidR="0064546B">
        <w:rPr>
          <w:lang w:bidi="en-GB"/>
        </w:rPr>
        <w:t>’</w:t>
      </w:r>
      <w:r w:rsidRPr="00AC09F2">
        <w:rPr>
          <w:lang w:bidi="en-GB"/>
        </w:rPr>
        <w:t xml:space="preserve"> Forum </w:t>
      </w:r>
      <w:proofErr w:type="spellStart"/>
      <w:r w:rsidRPr="00AC09F2">
        <w:rPr>
          <w:lang w:bidi="en-GB"/>
        </w:rPr>
        <w:t>meeting</w:t>
      </w:r>
      <w:proofErr w:type="spellEnd"/>
      <w:r w:rsidRPr="00AC09F2">
        <w:rPr>
          <w:lang w:bidi="en-GB"/>
        </w:rPr>
        <w:t xml:space="preserve"> on 20 </w:t>
      </w:r>
      <w:proofErr w:type="gramStart"/>
      <w:r w:rsidRPr="00AC09F2">
        <w:rPr>
          <w:lang w:bidi="en-GB"/>
        </w:rPr>
        <w:t>September</w:t>
      </w:r>
      <w:proofErr w:type="gramEnd"/>
      <w:r w:rsidRPr="00AC09F2">
        <w:rPr>
          <w:lang w:bidi="en-GB"/>
        </w:rPr>
        <w:t xml:space="preserve"> 2022</w:t>
      </w:r>
    </w:p>
    <w:p w14:paraId="75708C03" w14:textId="77777777" w:rsidR="00291078" w:rsidRPr="00291078" w:rsidRDefault="00FA06AB" w:rsidP="00FA06AB">
      <w:pPr>
        <w:spacing w:line="276" w:lineRule="auto"/>
        <w:rPr>
          <w:rFonts w:cs="Arial"/>
          <w:lang w:val="en-GB" w:bidi="en-GB"/>
        </w:rPr>
      </w:pPr>
      <w:r w:rsidRPr="00291078">
        <w:rPr>
          <w:rFonts w:cs="Arial"/>
          <w:lang w:val="en-GB" w:bidi="en-GB"/>
        </w:rPr>
        <w:t>In a letter dated 31 August, KDD, together with the OGP Council, invited participants to the second meeting of the Stakeholders</w:t>
      </w:r>
      <w:r w:rsidR="0064546B">
        <w:rPr>
          <w:rFonts w:cs="Arial"/>
          <w:lang w:val="en-GB" w:bidi="en-GB"/>
        </w:rPr>
        <w:t>’</w:t>
      </w:r>
      <w:r w:rsidRPr="00291078">
        <w:rPr>
          <w:rFonts w:cs="Arial"/>
          <w:lang w:val="en-GB" w:bidi="en-GB"/>
        </w:rPr>
        <w:t xml:space="preserve"> Forum on 20 September. The meeting took the form of a seminar on openness work in Norway: The questions we wanted to shed light on were:</w:t>
      </w:r>
    </w:p>
    <w:p w14:paraId="79B83F1B" w14:textId="77777777" w:rsidR="00291078" w:rsidRPr="00291078" w:rsidRDefault="00EB3309" w:rsidP="00291078">
      <w:pPr>
        <w:pStyle w:val="Liste"/>
        <w:rPr>
          <w:lang w:val="en-GB" w:bidi="en-GB"/>
        </w:rPr>
      </w:pPr>
      <w:r w:rsidRPr="00291078">
        <w:rPr>
          <w:lang w:val="en-GB" w:bidi="en-GB"/>
        </w:rPr>
        <w:t>How can we create a more efficient and user-friendly administration through greater openness in Norway?</w:t>
      </w:r>
    </w:p>
    <w:p w14:paraId="2C59DDEE" w14:textId="77777777" w:rsidR="00291078" w:rsidRPr="00291078" w:rsidRDefault="00EB3309" w:rsidP="00291078">
      <w:pPr>
        <w:pStyle w:val="Liste"/>
        <w:rPr>
          <w:lang w:val="en-GB" w:bidi="en-GB"/>
        </w:rPr>
      </w:pPr>
      <w:r w:rsidRPr="00291078">
        <w:rPr>
          <w:lang w:val="en-GB" w:bidi="en-GB"/>
        </w:rPr>
        <w:t>What should our joint openness work be about?</w:t>
      </w:r>
    </w:p>
    <w:p w14:paraId="0EA3B554" w14:textId="77777777" w:rsidR="00291078" w:rsidRPr="00291078" w:rsidRDefault="00EB3309" w:rsidP="00291078">
      <w:pPr>
        <w:pStyle w:val="Liste"/>
        <w:rPr>
          <w:lang w:val="en-GB" w:bidi="en-GB"/>
        </w:rPr>
      </w:pPr>
      <w:r w:rsidRPr="00291078">
        <w:rPr>
          <w:lang w:val="en-GB" w:bidi="en-GB"/>
        </w:rPr>
        <w:t>What is important to address in the coming years?</w:t>
      </w:r>
    </w:p>
    <w:p w14:paraId="396FFE08" w14:textId="77777777" w:rsidR="00291078" w:rsidRPr="00291078" w:rsidRDefault="00EB3309" w:rsidP="00FA06AB">
      <w:pPr>
        <w:spacing w:line="276" w:lineRule="auto"/>
        <w:rPr>
          <w:rFonts w:cs="Arial"/>
          <w:lang w:val="en-GB" w:bidi="en-GB"/>
        </w:rPr>
      </w:pPr>
      <w:r w:rsidRPr="00291078">
        <w:rPr>
          <w:rFonts w:cs="Arial"/>
          <w:lang w:val="en-GB" w:bidi="en-GB"/>
        </w:rPr>
        <w:t>The desire was to bring together people across sectors to inspire and chart the way forward in the coming years. This would give all sectors the opportunity to influence national developments and create new partnerships for the work in the years to come. The aim of the seminar was to raise awareness of the OGP/Partnership on Open Government in Norway</w:t>
      </w:r>
      <w:r w:rsidR="00291078" w:rsidRPr="00291078">
        <w:rPr>
          <w:rFonts w:cs="Arial"/>
          <w:lang w:val="en-GB" w:bidi="en-GB"/>
        </w:rPr>
        <w:t xml:space="preserve"> – </w:t>
      </w:r>
      <w:r w:rsidRPr="00291078">
        <w:rPr>
          <w:rFonts w:cs="Arial"/>
          <w:lang w:val="en-GB" w:bidi="en-GB"/>
        </w:rPr>
        <w:t>and to mutually inspire efforts by:</w:t>
      </w:r>
    </w:p>
    <w:p w14:paraId="18713A52" w14:textId="77777777" w:rsidR="00291078" w:rsidRDefault="00FA06AB" w:rsidP="00291078">
      <w:pPr>
        <w:pStyle w:val="Liste"/>
        <w:rPr>
          <w:lang w:bidi="en-GB"/>
        </w:rPr>
      </w:pPr>
      <w:proofErr w:type="spellStart"/>
      <w:r w:rsidRPr="00AC09F2">
        <w:rPr>
          <w:lang w:bidi="en-GB"/>
        </w:rPr>
        <w:t>bringing</w:t>
      </w:r>
      <w:proofErr w:type="spellEnd"/>
      <w:r w:rsidRPr="00AC09F2">
        <w:rPr>
          <w:lang w:bidi="en-GB"/>
        </w:rPr>
        <w:t xml:space="preserve"> </w:t>
      </w:r>
      <w:proofErr w:type="spellStart"/>
      <w:r w:rsidRPr="00AC09F2">
        <w:rPr>
          <w:lang w:bidi="en-GB"/>
        </w:rPr>
        <w:t>people</w:t>
      </w:r>
      <w:proofErr w:type="spellEnd"/>
      <w:r w:rsidRPr="00AC09F2">
        <w:rPr>
          <w:lang w:bidi="en-GB"/>
        </w:rPr>
        <w:t xml:space="preserve"> </w:t>
      </w:r>
      <w:proofErr w:type="spellStart"/>
      <w:r w:rsidRPr="00AC09F2">
        <w:rPr>
          <w:lang w:bidi="en-GB"/>
        </w:rPr>
        <w:t>together</w:t>
      </w:r>
      <w:proofErr w:type="spellEnd"/>
      <w:r w:rsidRPr="00AC09F2">
        <w:rPr>
          <w:lang w:bidi="en-GB"/>
        </w:rPr>
        <w:t xml:space="preserve"> </w:t>
      </w:r>
      <w:proofErr w:type="spellStart"/>
      <w:r w:rsidRPr="00AC09F2">
        <w:rPr>
          <w:lang w:bidi="en-GB"/>
        </w:rPr>
        <w:t>across</w:t>
      </w:r>
      <w:proofErr w:type="spellEnd"/>
      <w:r w:rsidRPr="00AC09F2">
        <w:rPr>
          <w:lang w:bidi="en-GB"/>
        </w:rPr>
        <w:t xml:space="preserve"> </w:t>
      </w:r>
      <w:proofErr w:type="spellStart"/>
      <w:r w:rsidRPr="00AC09F2">
        <w:rPr>
          <w:lang w:bidi="en-GB"/>
        </w:rPr>
        <w:t>sectors</w:t>
      </w:r>
      <w:proofErr w:type="spellEnd"/>
    </w:p>
    <w:p w14:paraId="4AD72538" w14:textId="77777777" w:rsidR="00291078" w:rsidRPr="00291078" w:rsidRDefault="00FA06AB" w:rsidP="00291078">
      <w:pPr>
        <w:pStyle w:val="Liste"/>
        <w:rPr>
          <w:lang w:val="en-GB" w:bidi="en-GB"/>
        </w:rPr>
      </w:pPr>
      <w:r w:rsidRPr="00291078">
        <w:rPr>
          <w:lang w:val="en-GB" w:bidi="en-GB"/>
        </w:rPr>
        <w:t>developing a more common standpoint/common understanding of the challenges in Norway</w:t>
      </w:r>
    </w:p>
    <w:p w14:paraId="3ABBAF7C" w14:textId="77777777" w:rsidR="00291078" w:rsidRDefault="00FA06AB" w:rsidP="00291078">
      <w:pPr>
        <w:pStyle w:val="Liste"/>
        <w:rPr>
          <w:lang w:val="en-US"/>
        </w:rPr>
      </w:pPr>
      <w:r w:rsidRPr="00291078">
        <w:rPr>
          <w:lang w:val="en-GB" w:bidi="en-GB"/>
        </w:rPr>
        <w:t>giving stakeholders a space to discuss, get to know each other better, develop relationships and possible cooperation and develop a basis for further work on the Fifth Action Plan.</w:t>
      </w:r>
    </w:p>
    <w:p w14:paraId="4D47EF3A" w14:textId="77777777" w:rsidR="00291078" w:rsidRPr="00291078" w:rsidRDefault="00FA06AB" w:rsidP="00FA06AB">
      <w:pPr>
        <w:spacing w:line="276" w:lineRule="auto"/>
        <w:rPr>
          <w:rFonts w:cs="Arial"/>
          <w:lang w:val="en-GB" w:bidi="en-GB"/>
        </w:rPr>
      </w:pPr>
      <w:r w:rsidRPr="00291078">
        <w:rPr>
          <w:rFonts w:cs="Arial"/>
          <w:lang w:val="en-GB" w:bidi="en-GB"/>
        </w:rPr>
        <w:lastRenderedPageBreak/>
        <w:t xml:space="preserve">The meeting was organised with introductions from, among others, former Norwegian IRM representative Pål W. </w:t>
      </w:r>
      <w:proofErr w:type="spellStart"/>
      <w:r w:rsidRPr="00291078">
        <w:rPr>
          <w:rFonts w:cs="Arial"/>
          <w:lang w:val="en-GB" w:bidi="en-GB"/>
        </w:rPr>
        <w:t>Skedsmo</w:t>
      </w:r>
      <w:proofErr w:type="spellEnd"/>
      <w:r w:rsidRPr="00291078">
        <w:rPr>
          <w:rFonts w:cs="Arial"/>
          <w:lang w:val="en-GB" w:bidi="en-GB"/>
        </w:rPr>
        <w:t>. After the introductions, the participants were divided into smaller groups with participation from both public administration and civil society, who discussed the contributions received while being asked to develop these into concrete commitments and to come up with new proposals.</w:t>
      </w:r>
      <w:r w:rsidR="00291078" w:rsidRPr="00291078">
        <w:rPr>
          <w:rFonts w:cs="Arial"/>
          <w:lang w:val="en-GB" w:bidi="en-GB"/>
        </w:rPr>
        <w:t xml:space="preserve"> </w:t>
      </w:r>
      <w:r w:rsidRPr="00291078">
        <w:rPr>
          <w:rFonts w:cs="Arial"/>
          <w:lang w:val="en-GB" w:bidi="en-GB"/>
        </w:rPr>
        <w:t xml:space="preserve">This meeting was chaired by State Secretary Gunn Karin </w:t>
      </w:r>
      <w:proofErr w:type="spellStart"/>
      <w:r w:rsidRPr="00291078">
        <w:rPr>
          <w:rFonts w:cs="Arial"/>
          <w:lang w:val="en-GB" w:bidi="en-GB"/>
        </w:rPr>
        <w:t>Gjul</w:t>
      </w:r>
      <w:proofErr w:type="spellEnd"/>
      <w:r w:rsidRPr="00291078">
        <w:rPr>
          <w:rFonts w:cs="Arial"/>
          <w:lang w:val="en-GB" w:bidi="en-GB"/>
        </w:rPr>
        <w:t xml:space="preserve"> of KDD, and she also participated in one of the groups.</w:t>
      </w:r>
    </w:p>
    <w:p w14:paraId="5BB17356" w14:textId="77777777" w:rsidR="00FA06AB" w:rsidRPr="00A931A6" w:rsidRDefault="00FA06AB" w:rsidP="00291078">
      <w:pPr>
        <w:pStyle w:val="Overskrift2"/>
        <w:rPr>
          <w:lang w:val="en-US"/>
        </w:rPr>
      </w:pPr>
      <w:r w:rsidRPr="00291078">
        <w:rPr>
          <w:lang w:val="en-GB" w:bidi="en-GB"/>
        </w:rPr>
        <w:t>Meeting with members of the Stakeholders</w:t>
      </w:r>
      <w:r w:rsidR="0064546B">
        <w:rPr>
          <w:lang w:val="en-GB" w:bidi="en-GB"/>
        </w:rPr>
        <w:t>’</w:t>
      </w:r>
      <w:r w:rsidRPr="00291078">
        <w:rPr>
          <w:lang w:val="en-GB" w:bidi="en-GB"/>
        </w:rPr>
        <w:t xml:space="preserve"> Forum on 13 and 16 January 2023</w:t>
      </w:r>
    </w:p>
    <w:p w14:paraId="41A2A054" w14:textId="77777777" w:rsidR="00291078" w:rsidRPr="00291078" w:rsidRDefault="00FA06AB" w:rsidP="00FA06AB">
      <w:pPr>
        <w:spacing w:line="276" w:lineRule="auto"/>
        <w:rPr>
          <w:rFonts w:cs="Arial"/>
          <w:lang w:val="en-GB" w:bidi="en-GB"/>
        </w:rPr>
      </w:pPr>
      <w:proofErr w:type="gramStart"/>
      <w:r w:rsidRPr="00291078">
        <w:rPr>
          <w:rFonts w:cs="Arial"/>
          <w:lang w:val="en-GB" w:bidi="en-GB"/>
        </w:rPr>
        <w:t>On the basis of</w:t>
      </w:r>
      <w:proofErr w:type="gramEnd"/>
      <w:r w:rsidRPr="00291078">
        <w:rPr>
          <w:rFonts w:cs="Arial"/>
          <w:lang w:val="en-GB" w:bidi="en-GB"/>
        </w:rPr>
        <w:t xml:space="preserve"> the consultation round and the outcome of the meeting in September, KDD sent out an overview of the input received for the action plan, both from public administration and from civil society. In total, this involved a list of around 25 different proposals for commitments. In consultation with the OGP Council, KDD proposed to proceed forward with a smaller number of commitments. KDD asked the relevant ministries and civil society organisations to jointly prepare commitments. The OGP</w:t>
      </w:r>
      <w:r w:rsidR="0064546B">
        <w:rPr>
          <w:rFonts w:cs="Arial"/>
          <w:lang w:val="en-GB" w:bidi="en-GB"/>
        </w:rPr>
        <w:t>’</w:t>
      </w:r>
      <w:r w:rsidRPr="00291078">
        <w:rPr>
          <w:rFonts w:cs="Arial"/>
          <w:lang w:val="en-GB" w:bidi="en-GB"/>
        </w:rPr>
        <w:t>s standard form for commitments was used as a template.</w:t>
      </w:r>
    </w:p>
    <w:p w14:paraId="16ED9A8C" w14:textId="77777777" w:rsidR="00291078" w:rsidRPr="00291078" w:rsidRDefault="00FA06AB" w:rsidP="00FA06AB">
      <w:pPr>
        <w:spacing w:line="276" w:lineRule="auto"/>
        <w:rPr>
          <w:rFonts w:cs="Arial"/>
          <w:lang w:val="en-GB" w:bidi="en-GB"/>
        </w:rPr>
      </w:pPr>
      <w:r w:rsidRPr="00291078">
        <w:rPr>
          <w:rFonts w:cs="Arial"/>
          <w:lang w:val="en-GB" w:bidi="en-GB"/>
        </w:rPr>
        <w:t>Two meetings were held on 13 and 16 January with participation from both public administration and civil society.</w:t>
      </w:r>
    </w:p>
    <w:p w14:paraId="344EB325" w14:textId="77777777" w:rsidR="00FA06AB" w:rsidRPr="00A931A6" w:rsidRDefault="00FA06AB" w:rsidP="00291078">
      <w:pPr>
        <w:pStyle w:val="Overskrift2"/>
        <w:rPr>
          <w:bCs/>
          <w:lang w:val="en-US"/>
        </w:rPr>
      </w:pPr>
      <w:r w:rsidRPr="00291078">
        <w:rPr>
          <w:lang w:val="en-GB" w:bidi="en-GB"/>
        </w:rPr>
        <w:t>Follow-up of the meetings in January 2023 – the process towards finalisation</w:t>
      </w:r>
    </w:p>
    <w:p w14:paraId="4A3B5474" w14:textId="77777777" w:rsidR="00291078" w:rsidRPr="00291078" w:rsidRDefault="00FA06AB" w:rsidP="00FA06AB">
      <w:pPr>
        <w:spacing w:line="276" w:lineRule="auto"/>
        <w:rPr>
          <w:rFonts w:cs="Arial"/>
          <w:lang w:val="en-GB" w:bidi="en-GB"/>
        </w:rPr>
      </w:pPr>
      <w:r w:rsidRPr="00291078">
        <w:rPr>
          <w:rFonts w:cs="Arial"/>
          <w:lang w:val="en-GB" w:bidi="en-GB"/>
        </w:rPr>
        <w:t>After the meetings in January, which were chaired by KDD, the public administration and civil society held a follow-up meeting to concretise the individual commitments. The overall action plan proposal was circulated for comment in mid-May 2023.</w:t>
      </w:r>
    </w:p>
    <w:p w14:paraId="6123C0F4" w14:textId="77777777" w:rsidR="00291078" w:rsidRPr="00291078" w:rsidRDefault="00FA06AB" w:rsidP="00FA06AB">
      <w:pPr>
        <w:rPr>
          <w:rFonts w:cs="Arial"/>
          <w:lang w:val="en-GB" w:bidi="en-GB"/>
        </w:rPr>
      </w:pPr>
      <w:r w:rsidRPr="00291078">
        <w:rPr>
          <w:rFonts w:cs="Arial"/>
          <w:lang w:val="en-GB" w:bidi="en-GB"/>
        </w:rPr>
        <w:t>KDD sent a letter to the Stakeholders</w:t>
      </w:r>
      <w:r w:rsidR="0064546B">
        <w:rPr>
          <w:rFonts w:cs="Arial"/>
          <w:lang w:val="en-GB" w:bidi="en-GB"/>
        </w:rPr>
        <w:t>’</w:t>
      </w:r>
      <w:r w:rsidRPr="00291078">
        <w:rPr>
          <w:rFonts w:cs="Arial"/>
          <w:lang w:val="en-GB" w:bidi="en-GB"/>
        </w:rPr>
        <w:t xml:space="preserve"> Forum on 16 November, later updated on 1 December, with a comprehensive overview of commitments received, totalling approx. 25 items. Several of the proposed commitments covered the same areas, so that the actual number of topics that could be included in the action plan was </w:t>
      </w:r>
      <w:r w:rsidR="00AA4EFA" w:rsidRPr="00291078">
        <w:rPr>
          <w:rFonts w:cs="Arial"/>
          <w:lang w:val="en-GB" w:bidi="en-GB"/>
        </w:rPr>
        <w:t>lower</w:t>
      </w:r>
      <w:r w:rsidRPr="00291078">
        <w:rPr>
          <w:rFonts w:cs="Arial"/>
          <w:lang w:val="en-GB" w:bidi="en-GB"/>
        </w:rPr>
        <w:t>. The OGP Council was consulted on the contents of the letter.</w:t>
      </w:r>
    </w:p>
    <w:p w14:paraId="33AE302D" w14:textId="77777777" w:rsidR="00291078" w:rsidRDefault="00FA06AB" w:rsidP="00FA06AB">
      <w:pPr>
        <w:rPr>
          <w:rFonts w:cs="Arial"/>
          <w:lang w:bidi="en-GB"/>
        </w:rPr>
      </w:pPr>
      <w:r w:rsidRPr="00291078">
        <w:rPr>
          <w:rFonts w:cs="Arial"/>
          <w:lang w:val="en-GB" w:bidi="en-GB"/>
        </w:rPr>
        <w:t xml:space="preserve">Based on the feedback on the submitted contributions, KDD drew up a list of topics that seemed particularly relevant for continued work. The list emphasised areas where there is room for improvement (where Norway did not come out well in comparisons, where we are not satisfied with our status and where there is room for </w:t>
      </w:r>
      <w:r w:rsidR="008B0AA1">
        <w:rPr>
          <w:rFonts w:cs="Arial"/>
          <w:lang w:val="en-GB" w:bidi="en-GB"/>
        </w:rPr>
        <w:t>"</w:t>
      </w:r>
      <w:r w:rsidRPr="00291078">
        <w:rPr>
          <w:rFonts w:cs="Arial"/>
          <w:lang w:val="en-GB" w:bidi="en-GB"/>
        </w:rPr>
        <w:t>stretch</w:t>
      </w:r>
      <w:r w:rsidR="008B0AA1">
        <w:rPr>
          <w:rFonts w:cs="Arial"/>
          <w:lang w:val="en-GB" w:bidi="en-GB"/>
        </w:rPr>
        <w:t>"</w:t>
      </w:r>
      <w:r w:rsidRPr="00291078">
        <w:rPr>
          <w:rFonts w:cs="Arial"/>
          <w:lang w:val="en-GB" w:bidi="en-GB"/>
        </w:rPr>
        <w:t xml:space="preserve">) and as a follow-up to the IRM comments. These were: anti-corruption, archives/journalling, public procurement, plain language, digital inclusion and combating digital exclusion. In some </w:t>
      </w:r>
      <w:r w:rsidRPr="00291078">
        <w:rPr>
          <w:rFonts w:cs="Arial"/>
          <w:lang w:val="en-GB" w:bidi="en-GB"/>
        </w:rPr>
        <w:lastRenderedPageBreak/>
        <w:t xml:space="preserve">of the areas the Government had prioritised, no input was received, neither from the public administration nor from civil society. </w:t>
      </w:r>
      <w:r w:rsidRPr="00AC09F2">
        <w:rPr>
          <w:rFonts w:cs="Arial"/>
          <w:lang w:bidi="en-GB"/>
        </w:rPr>
        <w:t xml:space="preserve">This </w:t>
      </w:r>
      <w:proofErr w:type="spellStart"/>
      <w:r w:rsidRPr="00AC09F2">
        <w:rPr>
          <w:rFonts w:cs="Arial"/>
          <w:lang w:bidi="en-GB"/>
        </w:rPr>
        <w:t>applied</w:t>
      </w:r>
      <w:proofErr w:type="spellEnd"/>
      <w:r w:rsidRPr="00AC09F2">
        <w:rPr>
          <w:rFonts w:cs="Arial"/>
          <w:lang w:bidi="en-GB"/>
        </w:rPr>
        <w:t xml:space="preserve">, for </w:t>
      </w:r>
      <w:proofErr w:type="spellStart"/>
      <w:r w:rsidRPr="00AC09F2">
        <w:rPr>
          <w:rFonts w:cs="Arial"/>
          <w:lang w:bidi="en-GB"/>
        </w:rPr>
        <w:t>example</w:t>
      </w:r>
      <w:proofErr w:type="spellEnd"/>
      <w:r w:rsidRPr="00AC09F2">
        <w:rPr>
          <w:rFonts w:cs="Arial"/>
          <w:lang w:bidi="en-GB"/>
        </w:rPr>
        <w:t xml:space="preserve">, to </w:t>
      </w:r>
      <w:proofErr w:type="spellStart"/>
      <w:r w:rsidRPr="00AC09F2">
        <w:rPr>
          <w:rFonts w:cs="Arial"/>
          <w:lang w:bidi="en-GB"/>
        </w:rPr>
        <w:t>chemistry</w:t>
      </w:r>
      <w:proofErr w:type="spellEnd"/>
      <w:r w:rsidRPr="00AC09F2">
        <w:rPr>
          <w:rFonts w:cs="Arial"/>
          <w:lang w:bidi="en-GB"/>
        </w:rPr>
        <w:t xml:space="preserve"> and </w:t>
      </w:r>
      <w:proofErr w:type="spellStart"/>
      <w:r w:rsidRPr="00AC09F2">
        <w:rPr>
          <w:rFonts w:cs="Arial"/>
          <w:lang w:bidi="en-GB"/>
        </w:rPr>
        <w:t>the</w:t>
      </w:r>
      <w:proofErr w:type="spellEnd"/>
      <w:r w:rsidRPr="00AC09F2">
        <w:rPr>
          <w:rFonts w:cs="Arial"/>
          <w:lang w:bidi="en-GB"/>
        </w:rPr>
        <w:t xml:space="preserve"> </w:t>
      </w:r>
      <w:proofErr w:type="spellStart"/>
      <w:r w:rsidRPr="00AC09F2">
        <w:rPr>
          <w:rFonts w:cs="Arial"/>
          <w:lang w:bidi="en-GB"/>
        </w:rPr>
        <w:t>environment</w:t>
      </w:r>
      <w:proofErr w:type="spellEnd"/>
      <w:r w:rsidRPr="00AC09F2">
        <w:rPr>
          <w:rFonts w:cs="Arial"/>
          <w:lang w:bidi="en-GB"/>
        </w:rPr>
        <w:t>.</w:t>
      </w:r>
    </w:p>
    <w:p w14:paraId="3C7AF887" w14:textId="77777777" w:rsidR="00291078" w:rsidRPr="00291078" w:rsidRDefault="002D3FF2" w:rsidP="00291078">
      <w:pPr>
        <w:pStyle w:val="Overskrift2"/>
        <w:rPr>
          <w:lang w:val="en-GB" w:bidi="en-GB"/>
        </w:rPr>
      </w:pPr>
      <w:r w:rsidRPr="00291078">
        <w:rPr>
          <w:lang w:val="en-GB" w:bidi="en-GB"/>
        </w:rPr>
        <w:t>Comments after the consultation process in June 2023</w:t>
      </w:r>
    </w:p>
    <w:p w14:paraId="549D2623" w14:textId="77777777" w:rsidR="00291078" w:rsidRPr="00291078" w:rsidRDefault="001838C1" w:rsidP="00FA06AB">
      <w:pPr>
        <w:spacing w:line="259" w:lineRule="auto"/>
        <w:rPr>
          <w:rFonts w:cs="Arial"/>
          <w:lang w:val="en-GB" w:bidi="en-GB"/>
        </w:rPr>
      </w:pPr>
      <w:r w:rsidRPr="00291078">
        <w:rPr>
          <w:rFonts w:cs="Arial"/>
          <w:lang w:val="en-GB" w:bidi="en-GB"/>
        </w:rPr>
        <w:t>From civil society, the action plan has been commented on by the Norwegian Communication Association, Norwegian Society of Records Managers and Archivists and Transparency International, Norway.</w:t>
      </w:r>
    </w:p>
    <w:p w14:paraId="2BCCF76A" w14:textId="77777777" w:rsidR="00291078" w:rsidRPr="00291078" w:rsidRDefault="001838C1" w:rsidP="00FA06AB">
      <w:pPr>
        <w:spacing w:line="259" w:lineRule="auto"/>
        <w:rPr>
          <w:rFonts w:cs="Arial"/>
          <w:lang w:val="en-GB" w:bidi="en-GB"/>
        </w:rPr>
      </w:pPr>
      <w:r w:rsidRPr="00291078">
        <w:rPr>
          <w:rFonts w:cs="Arial"/>
          <w:lang w:val="en-GB" w:bidi="en-GB"/>
        </w:rPr>
        <w:t xml:space="preserve">The </w:t>
      </w:r>
      <w:r w:rsidRPr="00BB441C">
        <w:rPr>
          <w:rStyle w:val="kursiv"/>
          <w:lang w:val="en-GB"/>
        </w:rPr>
        <w:t xml:space="preserve">Norwegian Communication Association </w:t>
      </w:r>
      <w:r w:rsidRPr="00291078">
        <w:rPr>
          <w:rFonts w:cs="Arial"/>
          <w:lang w:val="en-GB" w:bidi="en-GB"/>
        </w:rPr>
        <w:t>wishes to ask questions about how the enforcement of the regulations for universal design of ICT solutions will be followed up. The Association also emphasises the work on anti-corruption and the efforts to establish an open lobby register in Norway.</w:t>
      </w:r>
    </w:p>
    <w:p w14:paraId="713C6A28" w14:textId="77777777" w:rsidR="00291078" w:rsidRPr="00291078" w:rsidRDefault="00432DDB" w:rsidP="00FA06AB">
      <w:pPr>
        <w:spacing w:line="259" w:lineRule="auto"/>
        <w:rPr>
          <w:rFonts w:cs="Arial"/>
          <w:color w:val="000000"/>
          <w:lang w:val="en-GB" w:bidi="en-GB"/>
        </w:rPr>
      </w:pPr>
      <w:r w:rsidRPr="00291078">
        <w:rPr>
          <w:rFonts w:cs="Arial"/>
          <w:lang w:val="en-GB" w:bidi="en-GB"/>
        </w:rPr>
        <w:t>The Norwegian Society of Records Managers and Archivists has some suggestions for additions under initiative 5.5 (</w:t>
      </w:r>
      <w:r w:rsidR="008B0AA1">
        <w:rPr>
          <w:rFonts w:cs="Arial"/>
          <w:lang w:val="en-GB" w:bidi="en-GB"/>
        </w:rPr>
        <w:t>"</w:t>
      </w:r>
      <w:r w:rsidRPr="0064546B">
        <w:rPr>
          <w:rStyle w:val="kursiv"/>
          <w:lang w:val="en-GB"/>
        </w:rPr>
        <w:t xml:space="preserve">Evaluation of the publishing service </w:t>
      </w:r>
      <w:proofErr w:type="spellStart"/>
      <w:r w:rsidRPr="0064546B">
        <w:rPr>
          <w:rStyle w:val="kursiv"/>
          <w:lang w:val="en-GB"/>
        </w:rPr>
        <w:t>eInnsyn</w:t>
      </w:r>
      <w:proofErr w:type="spellEnd"/>
      <w:r w:rsidR="008B0AA1">
        <w:rPr>
          <w:rFonts w:cs="Arial"/>
          <w:color w:val="000000"/>
          <w:lang w:val="en-GB" w:bidi="en-GB"/>
        </w:rPr>
        <w:t>"</w:t>
      </w:r>
      <w:r w:rsidRPr="00291078">
        <w:rPr>
          <w:rFonts w:cs="Arial"/>
          <w:color w:val="000000"/>
          <w:lang w:val="en-GB" w:bidi="en-GB"/>
        </w:rPr>
        <w:t>).</w:t>
      </w:r>
    </w:p>
    <w:p w14:paraId="35C179C4" w14:textId="77777777" w:rsidR="00291078" w:rsidRPr="00291078" w:rsidRDefault="00FA06AB" w:rsidP="00291078">
      <w:pPr>
        <w:pStyle w:val="Overskrift1"/>
        <w:rPr>
          <w:lang w:val="en-GB" w:bidi="en-GB"/>
        </w:rPr>
      </w:pPr>
      <w:r w:rsidRPr="00291078">
        <w:rPr>
          <w:lang w:val="en-GB" w:bidi="en-GB"/>
        </w:rPr>
        <w:t>Submitted commitments that are not ready to be included in the plan at this time, but on which work can continue for up to one year after the action plan has been submitted:</w:t>
      </w:r>
    </w:p>
    <w:p w14:paraId="5A692A25" w14:textId="77777777" w:rsidR="00291078" w:rsidRPr="00291078" w:rsidRDefault="00911699" w:rsidP="00B8739B">
      <w:pPr>
        <w:spacing w:line="259" w:lineRule="auto"/>
        <w:rPr>
          <w:rFonts w:cs="Arial"/>
          <w:lang w:val="en-GB" w:bidi="en-GB"/>
        </w:rPr>
      </w:pPr>
      <w:r w:rsidRPr="00291078">
        <w:rPr>
          <w:rFonts w:cs="Arial"/>
          <w:lang w:val="en-GB" w:bidi="en-GB"/>
        </w:rPr>
        <w:t>The OGP allows for the action plan to also include proposals for commitments on which the individual countries are considering continuing work, but which are not yet so well developed that they are suitable for inclusion in the action plan. These can be included in the plan within one year of its implementation.</w:t>
      </w:r>
    </w:p>
    <w:p w14:paraId="0F82B465" w14:textId="77777777" w:rsidR="00291078" w:rsidRDefault="00911699" w:rsidP="00B8739B">
      <w:pPr>
        <w:spacing w:line="259" w:lineRule="auto"/>
        <w:rPr>
          <w:rFonts w:cs="Arial"/>
          <w:lang w:bidi="en-GB"/>
        </w:rPr>
      </w:pPr>
      <w:r w:rsidRPr="00291078">
        <w:rPr>
          <w:rFonts w:cs="Arial"/>
          <w:lang w:val="en-GB" w:bidi="en-GB"/>
        </w:rPr>
        <w:t xml:space="preserve">Three proposals for such commitments have been received. These have not been dealt with through the regular processes between the public administration and civil </w:t>
      </w:r>
      <w:r w:rsidR="00AA4EFA" w:rsidRPr="00291078">
        <w:rPr>
          <w:rFonts w:cs="Arial"/>
          <w:lang w:val="en-GB" w:bidi="en-GB"/>
        </w:rPr>
        <w:t>society but</w:t>
      </w:r>
      <w:r w:rsidRPr="00291078">
        <w:rPr>
          <w:rFonts w:cs="Arial"/>
          <w:lang w:val="en-GB" w:bidi="en-GB"/>
        </w:rPr>
        <w:t xml:space="preserve"> were submitted afterwards. </w:t>
      </w:r>
      <w:r w:rsidRPr="00AC09F2">
        <w:rPr>
          <w:rFonts w:cs="Arial"/>
          <w:lang w:bidi="en-GB"/>
        </w:rPr>
        <w:t xml:space="preserve">All </w:t>
      </w:r>
      <w:proofErr w:type="spellStart"/>
      <w:r w:rsidRPr="00AC09F2">
        <w:rPr>
          <w:rFonts w:cs="Arial"/>
          <w:lang w:bidi="en-GB"/>
        </w:rPr>
        <w:t>three</w:t>
      </w:r>
      <w:proofErr w:type="spellEnd"/>
      <w:r w:rsidRPr="00AC09F2">
        <w:rPr>
          <w:rFonts w:cs="Arial"/>
          <w:lang w:bidi="en-GB"/>
        </w:rPr>
        <w:t xml:space="preserve"> have </w:t>
      </w:r>
      <w:proofErr w:type="spellStart"/>
      <w:r w:rsidRPr="00AC09F2">
        <w:rPr>
          <w:rFonts w:cs="Arial"/>
          <w:lang w:bidi="en-GB"/>
        </w:rPr>
        <w:t>been</w:t>
      </w:r>
      <w:proofErr w:type="spellEnd"/>
      <w:r w:rsidRPr="00AC09F2">
        <w:rPr>
          <w:rFonts w:cs="Arial"/>
          <w:lang w:bidi="en-GB"/>
        </w:rPr>
        <w:t xml:space="preserve"> </w:t>
      </w:r>
      <w:proofErr w:type="spellStart"/>
      <w:r w:rsidRPr="00AC09F2">
        <w:rPr>
          <w:rFonts w:cs="Arial"/>
          <w:lang w:bidi="en-GB"/>
        </w:rPr>
        <w:t>put</w:t>
      </w:r>
      <w:proofErr w:type="spellEnd"/>
      <w:r w:rsidRPr="00AC09F2">
        <w:rPr>
          <w:rFonts w:cs="Arial"/>
          <w:lang w:bidi="en-GB"/>
        </w:rPr>
        <w:t xml:space="preserve"> forward by </w:t>
      </w:r>
      <w:proofErr w:type="spellStart"/>
      <w:r w:rsidRPr="00AC09F2">
        <w:rPr>
          <w:rFonts w:cs="Arial"/>
          <w:lang w:bidi="en-GB"/>
        </w:rPr>
        <w:t>ministries</w:t>
      </w:r>
      <w:proofErr w:type="spellEnd"/>
      <w:r w:rsidRPr="00AC09F2">
        <w:rPr>
          <w:rFonts w:cs="Arial"/>
          <w:lang w:bidi="en-GB"/>
        </w:rPr>
        <w:t>.</w:t>
      </w:r>
    </w:p>
    <w:p w14:paraId="244F5033" w14:textId="77777777" w:rsidR="00B8739B" w:rsidRPr="00AC09F2" w:rsidRDefault="0026426E" w:rsidP="00291078">
      <w:pPr>
        <w:pStyle w:val="Overskrift2"/>
        <w:rPr>
          <w:lang w:val="nn-NO"/>
        </w:rPr>
      </w:pPr>
      <w:proofErr w:type="spellStart"/>
      <w:r w:rsidRPr="00AC09F2">
        <w:rPr>
          <w:lang w:bidi="en-GB"/>
        </w:rPr>
        <w:t>Openness</w:t>
      </w:r>
      <w:proofErr w:type="spellEnd"/>
      <w:r w:rsidRPr="00AC09F2">
        <w:rPr>
          <w:lang w:bidi="en-GB"/>
        </w:rPr>
        <w:t xml:space="preserve"> and </w:t>
      </w:r>
      <w:proofErr w:type="spellStart"/>
      <w:r w:rsidRPr="00AC09F2">
        <w:rPr>
          <w:lang w:bidi="en-GB"/>
        </w:rPr>
        <w:t>integrity</w:t>
      </w:r>
      <w:proofErr w:type="spellEnd"/>
      <w:r w:rsidRPr="00AC09F2">
        <w:rPr>
          <w:lang w:bidi="en-GB"/>
        </w:rPr>
        <w:t xml:space="preserve"> in </w:t>
      </w:r>
      <w:proofErr w:type="spellStart"/>
      <w:r w:rsidRPr="00AC09F2">
        <w:rPr>
          <w:lang w:bidi="en-GB"/>
        </w:rPr>
        <w:t>lobbying</w:t>
      </w:r>
      <w:proofErr w:type="spellEnd"/>
    </w:p>
    <w:p w14:paraId="11C46F46" w14:textId="77777777" w:rsidR="00C6141B" w:rsidRPr="00AC09F2" w:rsidRDefault="00C6141B" w:rsidP="00C6141B">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531A29" w:rsidRPr="00BB441C" w14:paraId="25016F4A" w14:textId="77777777" w:rsidTr="00182400">
        <w:tc>
          <w:tcPr>
            <w:tcW w:w="1702" w:type="dxa"/>
            <w:shd w:val="clear" w:color="auto" w:fill="auto"/>
          </w:tcPr>
          <w:p w14:paraId="37ED937E" w14:textId="77777777" w:rsidR="00531A29" w:rsidRPr="00BB441C" w:rsidRDefault="00531A29" w:rsidP="00182400">
            <w:pPr>
              <w:pStyle w:val="TabellHode-rad"/>
              <w:rPr>
                <w:rStyle w:val="kursiv"/>
                <w:rFonts w:eastAsia="Proxima Nova"/>
                <w:lang w:val="en-GB"/>
              </w:rPr>
            </w:pPr>
            <w:r w:rsidRPr="00BB441C">
              <w:rPr>
                <w:rStyle w:val="kursiv"/>
                <w:rFonts w:eastAsia="Proxima Nova"/>
                <w:lang w:val="en-GB"/>
              </w:rPr>
              <w:t>Name and number of the commitment</w:t>
            </w:r>
          </w:p>
        </w:tc>
        <w:tc>
          <w:tcPr>
            <w:tcW w:w="7773" w:type="dxa"/>
            <w:gridSpan w:val="3"/>
            <w:shd w:val="clear" w:color="auto" w:fill="auto"/>
          </w:tcPr>
          <w:p w14:paraId="3040120E" w14:textId="77777777" w:rsidR="00531A29" w:rsidRPr="00BB441C" w:rsidRDefault="00291078" w:rsidP="00492948">
            <w:pPr>
              <w:rPr>
                <w:rFonts w:eastAsia="Proxima Nova"/>
                <w:lang w:val="en-GB" w:eastAsia="en-US"/>
              </w:rPr>
            </w:pPr>
            <w:r w:rsidRPr="00BB441C">
              <w:rPr>
                <w:rFonts w:eastAsia="Calibri"/>
                <w:lang w:val="en-GB" w:eastAsia="en-US"/>
              </w:rPr>
              <w:t xml:space="preserve"> </w:t>
            </w:r>
            <w:r w:rsidR="00531A29" w:rsidRPr="00BB441C">
              <w:rPr>
                <w:rFonts w:eastAsia="Calibri"/>
                <w:lang w:val="en-GB" w:eastAsia="en-US"/>
              </w:rPr>
              <w:t>Openness and integrity in lobbying</w:t>
            </w:r>
          </w:p>
        </w:tc>
      </w:tr>
      <w:tr w:rsidR="00531A29" w:rsidRPr="00BB441C" w14:paraId="54E2D742" w14:textId="77777777" w:rsidTr="00182400">
        <w:tc>
          <w:tcPr>
            <w:tcW w:w="1702" w:type="dxa"/>
            <w:shd w:val="clear" w:color="auto" w:fill="auto"/>
          </w:tcPr>
          <w:p w14:paraId="4317394F" w14:textId="77777777" w:rsidR="00531A29" w:rsidRPr="00642710" w:rsidRDefault="00531A29" w:rsidP="00182400">
            <w:pPr>
              <w:pStyle w:val="TabellHode-rad"/>
              <w:rPr>
                <w:rStyle w:val="kursiv"/>
                <w:rFonts w:eastAsia="Proxima Nova"/>
              </w:rPr>
            </w:pPr>
            <w:proofErr w:type="spellStart"/>
            <w:r w:rsidRPr="00642710">
              <w:rPr>
                <w:rStyle w:val="kursiv"/>
                <w:rFonts w:eastAsia="Proxima Nova"/>
              </w:rPr>
              <w:lastRenderedPageBreak/>
              <w:t>Summary</w:t>
            </w:r>
            <w:proofErr w:type="spellEnd"/>
            <w:r w:rsidRPr="00642710">
              <w:rPr>
                <w:rStyle w:val="kursiv"/>
                <w:rFonts w:eastAsia="Proxima Nova"/>
              </w:rPr>
              <w:t xml:space="preserve"> </w:t>
            </w:r>
            <w:proofErr w:type="spellStart"/>
            <w:r w:rsidRPr="00642710">
              <w:rPr>
                <w:rStyle w:val="kursiv"/>
                <w:rFonts w:eastAsia="Proxima Nova"/>
              </w:rPr>
              <w:t>of</w:t>
            </w:r>
            <w:proofErr w:type="spellEnd"/>
            <w:r w:rsidRPr="00642710">
              <w:rPr>
                <w:rStyle w:val="kursiv"/>
                <w:rFonts w:eastAsia="Proxima Nova"/>
              </w:rPr>
              <w:t xml:space="preserve">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73" w:type="dxa"/>
            <w:gridSpan w:val="3"/>
            <w:shd w:val="clear" w:color="auto" w:fill="auto"/>
          </w:tcPr>
          <w:p w14:paraId="6CFE53DA" w14:textId="77777777" w:rsidR="00291078" w:rsidRPr="00BB441C" w:rsidRDefault="00531A29" w:rsidP="00492948">
            <w:pPr>
              <w:rPr>
                <w:rFonts w:eastAsia="Proxima Nova"/>
                <w:lang w:val="en-GB" w:eastAsia="en-US"/>
              </w:rPr>
            </w:pPr>
            <w:r w:rsidRPr="00BB441C">
              <w:rPr>
                <w:rFonts w:eastAsia="Proxima Nova"/>
                <w:lang w:val="en-GB" w:eastAsia="en-US"/>
              </w:rPr>
              <w:t xml:space="preserve">More and more countries have been regulating lobbying for a long time. Norway has no such regulation, but we do have regulations on archiving, </w:t>
            </w:r>
            <w:proofErr w:type="gramStart"/>
            <w:r w:rsidRPr="00BB441C">
              <w:rPr>
                <w:rFonts w:eastAsia="Proxima Nova"/>
                <w:lang w:val="en-GB" w:eastAsia="en-US"/>
              </w:rPr>
              <w:t>journalling</w:t>
            </w:r>
            <w:proofErr w:type="gramEnd"/>
            <w:r w:rsidRPr="00BB441C">
              <w:rPr>
                <w:rFonts w:eastAsia="Proxima Nova"/>
                <w:lang w:val="en-GB" w:eastAsia="en-US"/>
              </w:rPr>
              <w:t xml:space="preserve"> and public access.</w:t>
            </w:r>
          </w:p>
          <w:p w14:paraId="73E3CF53" w14:textId="77777777" w:rsidR="00291078" w:rsidRPr="00BB441C" w:rsidRDefault="00531A29" w:rsidP="00492948">
            <w:pPr>
              <w:rPr>
                <w:rFonts w:eastAsia="Proxima Nova"/>
                <w:lang w:val="en-GB" w:eastAsia="en-US"/>
              </w:rPr>
            </w:pPr>
            <w:r w:rsidRPr="00BB441C">
              <w:rPr>
                <w:rFonts w:eastAsia="Proxima Nova"/>
                <w:lang w:val="en-GB" w:eastAsia="en-US"/>
              </w:rPr>
              <w:t>Assess whether Norway fulfils international recommendations on openness and integrity regarding lobbying.</w:t>
            </w:r>
          </w:p>
          <w:p w14:paraId="05958A2F" w14:textId="77777777" w:rsidR="00531A29" w:rsidRPr="00BB441C" w:rsidRDefault="00531A29" w:rsidP="00492948">
            <w:pPr>
              <w:rPr>
                <w:rFonts w:eastAsia="Proxima Nova"/>
                <w:lang w:val="en-GB" w:eastAsia="en-US"/>
              </w:rPr>
            </w:pPr>
            <w:r w:rsidRPr="00BB441C">
              <w:rPr>
                <w:rFonts w:eastAsia="Proxima Nova"/>
                <w:lang w:val="en-GB" w:eastAsia="en-US"/>
              </w:rPr>
              <w:t>In this context, it is relevant to consider the recommendations from the OECD, Council of Europe, IRM and GRECO.</w:t>
            </w:r>
          </w:p>
        </w:tc>
      </w:tr>
      <w:tr w:rsidR="00531A29" w:rsidRPr="00BB441C" w14:paraId="5549ED36" w14:textId="77777777" w:rsidTr="00182400">
        <w:tc>
          <w:tcPr>
            <w:tcW w:w="1702" w:type="dxa"/>
            <w:shd w:val="clear" w:color="auto" w:fill="auto"/>
          </w:tcPr>
          <w:p w14:paraId="1D68E2EF" w14:textId="77777777" w:rsidR="00531A29" w:rsidRPr="00642710" w:rsidRDefault="00531A29" w:rsidP="00182400">
            <w:pPr>
              <w:pStyle w:val="TabellHode-rad"/>
              <w:rPr>
                <w:rStyle w:val="kursiv"/>
                <w:rFonts w:eastAsia="Proxima Nova"/>
              </w:rPr>
            </w:pPr>
            <w:proofErr w:type="spellStart"/>
            <w:r w:rsidRPr="00642710">
              <w:rPr>
                <w:rStyle w:val="kursiv"/>
                <w:rFonts w:eastAsia="Proxima Nova"/>
              </w:rPr>
              <w:t>Responsible</w:t>
            </w:r>
            <w:proofErr w:type="spellEnd"/>
            <w:r w:rsidRPr="00642710">
              <w:rPr>
                <w:rStyle w:val="kursiv"/>
                <w:rFonts w:eastAsia="Proxima Nova"/>
              </w:rPr>
              <w:t xml:space="preserve"> for </w:t>
            </w:r>
            <w:proofErr w:type="spellStart"/>
            <w:r w:rsidRPr="00642710">
              <w:rPr>
                <w:rStyle w:val="kursiv"/>
                <w:rFonts w:eastAsia="Proxima Nova"/>
              </w:rPr>
              <w:t>the</w:t>
            </w:r>
            <w:proofErr w:type="spellEnd"/>
            <w:r w:rsidRPr="00642710">
              <w:rPr>
                <w:rStyle w:val="kursiv"/>
                <w:rFonts w:eastAsia="Proxima Nova"/>
              </w:rPr>
              <w:t xml:space="preserve"> </w:t>
            </w:r>
            <w:proofErr w:type="spellStart"/>
            <w:r w:rsidRPr="00642710">
              <w:rPr>
                <w:rStyle w:val="kursiv"/>
                <w:rFonts w:eastAsia="Proxima Nova"/>
              </w:rPr>
              <w:t>commitment</w:t>
            </w:r>
            <w:proofErr w:type="spellEnd"/>
          </w:p>
        </w:tc>
        <w:tc>
          <w:tcPr>
            <w:tcW w:w="7773" w:type="dxa"/>
            <w:gridSpan w:val="3"/>
            <w:shd w:val="clear" w:color="auto" w:fill="auto"/>
          </w:tcPr>
          <w:p w14:paraId="5BD6AA23" w14:textId="77777777" w:rsidR="00531A29" w:rsidRPr="00BB441C" w:rsidRDefault="00531A29" w:rsidP="00492948">
            <w:pPr>
              <w:rPr>
                <w:rFonts w:eastAsia="Proxima Nova"/>
                <w:lang w:val="en-GB" w:eastAsia="en-US"/>
              </w:rPr>
            </w:pPr>
            <w:r w:rsidRPr="00BB441C">
              <w:rPr>
                <w:rFonts w:eastAsia="Proxima Nova"/>
                <w:lang w:val="en-GB" w:eastAsia="en-US"/>
              </w:rPr>
              <w:t xml:space="preserve"> </w:t>
            </w:r>
            <w:r w:rsidR="00AA4EFA" w:rsidRPr="00BB441C">
              <w:rPr>
                <w:rFonts w:eastAsia="Proxima Nova"/>
                <w:lang w:val="en-GB" w:eastAsia="en-US"/>
              </w:rPr>
              <w:t>Norwegian Ministry of National IT Policy and Public Governance (Department of National IT Policy and Public Governance</w:t>
            </w:r>
            <w:r w:rsidRPr="00BB441C">
              <w:rPr>
                <w:rFonts w:eastAsia="Proxima Nova"/>
                <w:lang w:val="en-GB" w:eastAsia="en-US"/>
              </w:rPr>
              <w:t>)</w:t>
            </w:r>
          </w:p>
        </w:tc>
      </w:tr>
      <w:tr w:rsidR="00531A29" w:rsidRPr="00182400" w14:paraId="1539860B" w14:textId="77777777" w:rsidTr="00182400">
        <w:trPr>
          <w:trHeight w:val="270"/>
        </w:trPr>
        <w:tc>
          <w:tcPr>
            <w:tcW w:w="1702" w:type="dxa"/>
            <w:vMerge w:val="restart"/>
            <w:shd w:val="clear" w:color="auto" w:fill="auto"/>
          </w:tcPr>
          <w:p w14:paraId="101E0B0F" w14:textId="77777777" w:rsidR="00531A29" w:rsidRPr="00642710" w:rsidRDefault="00531A29" w:rsidP="00182400">
            <w:pPr>
              <w:pStyle w:val="TabellHode-rad"/>
              <w:rPr>
                <w:rStyle w:val="kursiv"/>
                <w:rFonts w:eastAsia="Proxima Nova"/>
              </w:rPr>
            </w:pPr>
            <w:r w:rsidRPr="00642710">
              <w:rPr>
                <w:rStyle w:val="kursiv"/>
                <w:rFonts w:eastAsia="Proxima Nova"/>
              </w:rPr>
              <w:t>Stakeholders</w:t>
            </w:r>
          </w:p>
        </w:tc>
        <w:tc>
          <w:tcPr>
            <w:tcW w:w="2591" w:type="dxa"/>
            <w:shd w:val="clear" w:color="auto" w:fill="auto"/>
          </w:tcPr>
          <w:p w14:paraId="6B9AFB24" w14:textId="77777777" w:rsidR="00531A29" w:rsidRPr="00182400" w:rsidRDefault="00531A29" w:rsidP="00182400">
            <w:pPr>
              <w:pStyle w:val="TabellHode-kolonne"/>
              <w:rPr>
                <w:rStyle w:val="kursiv"/>
                <w:rFonts w:eastAsia="Proxima Nova"/>
                <w:lang w:eastAsia="en-US"/>
              </w:rPr>
            </w:pPr>
            <w:proofErr w:type="spellStart"/>
            <w:r w:rsidRPr="00182400">
              <w:rPr>
                <w:rStyle w:val="kursiv"/>
                <w:rFonts w:eastAsia="Proxima Nova"/>
                <w:lang w:eastAsia="en-US"/>
              </w:rPr>
              <w:t>Authorities</w:t>
            </w:r>
            <w:proofErr w:type="spellEnd"/>
          </w:p>
        </w:tc>
        <w:tc>
          <w:tcPr>
            <w:tcW w:w="2591" w:type="dxa"/>
            <w:shd w:val="clear" w:color="auto" w:fill="auto"/>
          </w:tcPr>
          <w:p w14:paraId="33A172DD" w14:textId="77777777" w:rsidR="00531A29" w:rsidRPr="00182400" w:rsidRDefault="00531A29" w:rsidP="00182400">
            <w:pPr>
              <w:pStyle w:val="TabellHode-kolonne"/>
              <w:rPr>
                <w:rStyle w:val="kursiv"/>
                <w:rFonts w:eastAsia="Proxima Nova"/>
                <w:lang w:eastAsia="en-US"/>
              </w:rPr>
            </w:pPr>
            <w:proofErr w:type="spellStart"/>
            <w:r w:rsidRPr="00182400">
              <w:rPr>
                <w:rStyle w:val="kursiv"/>
                <w:rFonts w:eastAsia="Proxima Nova"/>
                <w:lang w:eastAsia="en-US"/>
              </w:rPr>
              <w:t>Civil</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society</w:t>
            </w:r>
            <w:proofErr w:type="spellEnd"/>
          </w:p>
        </w:tc>
        <w:tc>
          <w:tcPr>
            <w:tcW w:w="2591" w:type="dxa"/>
            <w:shd w:val="clear" w:color="auto" w:fill="auto"/>
          </w:tcPr>
          <w:p w14:paraId="53C05995" w14:textId="77777777" w:rsidR="00531A29" w:rsidRPr="00182400" w:rsidRDefault="00531A29" w:rsidP="00182400">
            <w:pPr>
              <w:pStyle w:val="TabellHode-kolonne"/>
              <w:rPr>
                <w:rStyle w:val="kursiv"/>
                <w:rFonts w:eastAsia="Proxima Nova"/>
                <w:lang w:eastAsia="en-US"/>
              </w:rPr>
            </w:pPr>
            <w:proofErr w:type="spellStart"/>
            <w:r w:rsidRPr="00182400">
              <w:rPr>
                <w:rStyle w:val="kursiv"/>
                <w:rFonts w:eastAsia="Proxima Nova"/>
                <w:lang w:eastAsia="en-US"/>
              </w:rPr>
              <w:t>Others</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parliament</w:t>
            </w:r>
            <w:proofErr w:type="spellEnd"/>
            <w:r w:rsidRPr="00182400">
              <w:rPr>
                <w:rStyle w:val="kursiv"/>
                <w:rFonts w:eastAsia="Proxima Nova"/>
                <w:lang w:eastAsia="en-US"/>
              </w:rPr>
              <w:t xml:space="preserve">, private </w:t>
            </w:r>
            <w:proofErr w:type="spellStart"/>
            <w:r w:rsidRPr="00182400">
              <w:rPr>
                <w:rStyle w:val="kursiv"/>
                <w:rFonts w:eastAsia="Proxima Nova"/>
                <w:lang w:eastAsia="en-US"/>
              </w:rPr>
              <w:t>sector</w:t>
            </w:r>
            <w:proofErr w:type="spellEnd"/>
            <w:r w:rsidRPr="00182400">
              <w:rPr>
                <w:rStyle w:val="kursiv"/>
                <w:rFonts w:eastAsia="Proxima Nova"/>
                <w:lang w:eastAsia="en-US"/>
              </w:rPr>
              <w:t>, etc.)</w:t>
            </w:r>
          </w:p>
        </w:tc>
      </w:tr>
      <w:tr w:rsidR="00531A29" w:rsidRPr="00182400" w14:paraId="54B90BC3" w14:textId="77777777" w:rsidTr="00182400">
        <w:trPr>
          <w:trHeight w:val="524"/>
        </w:trPr>
        <w:tc>
          <w:tcPr>
            <w:tcW w:w="1702" w:type="dxa"/>
            <w:vMerge/>
            <w:shd w:val="clear" w:color="auto" w:fill="auto"/>
          </w:tcPr>
          <w:p w14:paraId="5AD81076" w14:textId="77777777" w:rsidR="00531A29" w:rsidRPr="00182400" w:rsidRDefault="00531A29" w:rsidP="00492948">
            <w:pPr>
              <w:rPr>
                <w:rFonts w:eastAsia="Proxima Nova"/>
                <w:lang w:eastAsia="en-US"/>
              </w:rPr>
            </w:pPr>
          </w:p>
        </w:tc>
        <w:tc>
          <w:tcPr>
            <w:tcW w:w="2591" w:type="dxa"/>
            <w:shd w:val="clear" w:color="auto" w:fill="auto"/>
          </w:tcPr>
          <w:p w14:paraId="2DFC6F1C" w14:textId="77777777" w:rsidR="00531A29" w:rsidRPr="00182400" w:rsidRDefault="00531A29" w:rsidP="00492948">
            <w:pPr>
              <w:rPr>
                <w:rFonts w:eastAsia="Proxima Nova"/>
                <w:lang w:val="en-GB" w:eastAsia="en-US"/>
              </w:rPr>
            </w:pPr>
            <w:r w:rsidRPr="00182400">
              <w:rPr>
                <w:rFonts w:eastAsia="Proxima Nova"/>
                <w:lang w:val="en-GB" w:eastAsia="en-US"/>
              </w:rPr>
              <w:t>Ministry of Justice, Ministry of Trade, Industry and Fisheries and the Prime Minister</w:t>
            </w:r>
            <w:r w:rsidR="0064546B" w:rsidRPr="00182400">
              <w:rPr>
                <w:rFonts w:eastAsia="Proxima Nova"/>
                <w:lang w:val="en-GB" w:eastAsia="en-US"/>
              </w:rPr>
              <w:t>’</w:t>
            </w:r>
            <w:r w:rsidRPr="00182400">
              <w:rPr>
                <w:rFonts w:eastAsia="Proxima Nova"/>
                <w:lang w:val="en-GB" w:eastAsia="en-US"/>
              </w:rPr>
              <w:t xml:space="preserve">s Office </w:t>
            </w:r>
          </w:p>
        </w:tc>
        <w:tc>
          <w:tcPr>
            <w:tcW w:w="2591" w:type="dxa"/>
            <w:shd w:val="clear" w:color="auto" w:fill="auto"/>
          </w:tcPr>
          <w:p w14:paraId="483F62C2" w14:textId="77777777" w:rsidR="00531A29" w:rsidRPr="00182400" w:rsidRDefault="00531A29" w:rsidP="00492948">
            <w:pPr>
              <w:rPr>
                <w:rFonts w:eastAsia="Proxima Nova"/>
                <w:lang w:eastAsia="en-US"/>
              </w:rPr>
            </w:pPr>
            <w:r w:rsidRPr="00182400">
              <w:rPr>
                <w:rFonts w:eastAsia="Proxima Nova"/>
                <w:lang w:eastAsia="en-US"/>
              </w:rPr>
              <w:t xml:space="preserve">TI, Media </w:t>
            </w:r>
            <w:proofErr w:type="spellStart"/>
            <w:r w:rsidRPr="00182400">
              <w:rPr>
                <w:rFonts w:eastAsia="Proxima Nova"/>
                <w:lang w:eastAsia="en-US"/>
              </w:rPr>
              <w:t>industry</w:t>
            </w:r>
            <w:proofErr w:type="spellEnd"/>
            <w:r w:rsidRPr="00182400">
              <w:rPr>
                <w:rFonts w:eastAsia="Proxima Nova"/>
                <w:lang w:eastAsia="en-US"/>
              </w:rPr>
              <w:t xml:space="preserve"> </w:t>
            </w:r>
          </w:p>
        </w:tc>
        <w:tc>
          <w:tcPr>
            <w:tcW w:w="2591" w:type="dxa"/>
            <w:shd w:val="clear" w:color="auto" w:fill="auto"/>
          </w:tcPr>
          <w:p w14:paraId="42BC814C" w14:textId="77777777" w:rsidR="00531A29" w:rsidRPr="00182400" w:rsidRDefault="00531A29" w:rsidP="00492948">
            <w:pPr>
              <w:rPr>
                <w:rFonts w:eastAsia="Proxima Nova"/>
                <w:lang w:eastAsia="en-US"/>
              </w:rPr>
            </w:pPr>
            <w:r w:rsidRPr="00182400">
              <w:rPr>
                <w:rFonts w:eastAsia="Proxima Nova"/>
                <w:lang w:eastAsia="en-US"/>
              </w:rPr>
              <w:t xml:space="preserve">KS, </w:t>
            </w:r>
            <w:proofErr w:type="spellStart"/>
            <w:r w:rsidRPr="00182400">
              <w:rPr>
                <w:rFonts w:eastAsia="Proxima Nova"/>
                <w:lang w:eastAsia="en-US"/>
              </w:rPr>
              <w:t>the</w:t>
            </w:r>
            <w:proofErr w:type="spellEnd"/>
            <w:r w:rsidRPr="00182400">
              <w:rPr>
                <w:rFonts w:eastAsia="Proxima Nova"/>
                <w:lang w:eastAsia="en-US"/>
              </w:rPr>
              <w:t xml:space="preserve"> Storting</w:t>
            </w:r>
          </w:p>
        </w:tc>
      </w:tr>
      <w:tr w:rsidR="00531A29" w:rsidRPr="00182400" w14:paraId="44D0301B" w14:textId="77777777" w:rsidTr="00182400">
        <w:trPr>
          <w:trHeight w:val="825"/>
        </w:trPr>
        <w:tc>
          <w:tcPr>
            <w:tcW w:w="1702" w:type="dxa"/>
            <w:shd w:val="clear" w:color="auto" w:fill="auto"/>
          </w:tcPr>
          <w:p w14:paraId="5A0518CC" w14:textId="77777777" w:rsidR="00531A29" w:rsidRPr="00642710" w:rsidRDefault="00531A29" w:rsidP="00182400">
            <w:pPr>
              <w:pStyle w:val="TabellHode-rad"/>
              <w:rPr>
                <w:rStyle w:val="kursiv"/>
                <w:rFonts w:eastAsia="Proxima Nova"/>
              </w:rPr>
            </w:pPr>
            <w:r w:rsidRPr="00642710">
              <w:rPr>
                <w:rStyle w:val="kursiv"/>
                <w:rFonts w:eastAsia="Proxima Nova"/>
              </w:rPr>
              <w:t xml:space="preserve">Time </w:t>
            </w:r>
            <w:proofErr w:type="spellStart"/>
            <w:r w:rsidRPr="00642710">
              <w:rPr>
                <w:rStyle w:val="kursiv"/>
                <w:rFonts w:eastAsia="Proxima Nova"/>
              </w:rPr>
              <w:t>period</w:t>
            </w:r>
            <w:proofErr w:type="spellEnd"/>
            <w:r w:rsidRPr="00642710">
              <w:rPr>
                <w:rStyle w:val="kursiv"/>
                <w:rFonts w:eastAsia="Proxima Nova"/>
              </w:rPr>
              <w:t xml:space="preserve"> (to</w:t>
            </w:r>
            <w:r w:rsidR="00291078" w:rsidRPr="00642710">
              <w:rPr>
                <w:rStyle w:val="kursiv"/>
                <w:rFonts w:eastAsia="Proxima Nova"/>
              </w:rPr>
              <w:t xml:space="preserve"> – </w:t>
            </w:r>
            <w:r w:rsidRPr="00642710">
              <w:rPr>
                <w:rStyle w:val="kursiv"/>
                <w:rFonts w:eastAsia="Proxima Nova"/>
              </w:rPr>
              <w:t>from)</w:t>
            </w:r>
            <w:r w:rsidR="00291078" w:rsidRPr="00642710">
              <w:rPr>
                <w:rStyle w:val="kursiv"/>
                <w:rFonts w:eastAsia="Proxima Nova"/>
              </w:rPr>
              <w:t xml:space="preserve"> </w:t>
            </w:r>
          </w:p>
        </w:tc>
        <w:tc>
          <w:tcPr>
            <w:tcW w:w="7773" w:type="dxa"/>
            <w:gridSpan w:val="3"/>
            <w:shd w:val="clear" w:color="auto" w:fill="auto"/>
          </w:tcPr>
          <w:p w14:paraId="1095259A" w14:textId="77777777" w:rsidR="00531A29" w:rsidRPr="00182400" w:rsidRDefault="00531A29" w:rsidP="00492948">
            <w:pPr>
              <w:rPr>
                <w:rFonts w:eastAsia="Proxima Nova"/>
                <w:lang w:eastAsia="en-US"/>
              </w:rPr>
            </w:pPr>
            <w:r w:rsidRPr="00182400">
              <w:rPr>
                <w:rFonts w:eastAsia="Proxima Nova"/>
                <w:lang w:eastAsia="en-US"/>
              </w:rPr>
              <w:t>2024</w:t>
            </w:r>
            <w:r w:rsidR="00492948" w:rsidRPr="00182400">
              <w:rPr>
                <w:rFonts w:eastAsia="Proxima Nova"/>
                <w:lang w:eastAsia="en-US"/>
              </w:rPr>
              <w:t>–</w:t>
            </w:r>
            <w:r w:rsidRPr="00182400">
              <w:rPr>
                <w:rFonts w:eastAsia="Proxima Nova"/>
                <w:lang w:eastAsia="en-US"/>
              </w:rPr>
              <w:t>2027</w:t>
            </w:r>
          </w:p>
        </w:tc>
      </w:tr>
    </w:tbl>
    <w:p w14:paraId="01D24744" w14:textId="77777777" w:rsidR="00B8739B" w:rsidRDefault="00B8739B" w:rsidP="00FA06AB">
      <w:pPr>
        <w:spacing w:line="259" w:lineRule="auto"/>
        <w:rPr>
          <w:rFonts w:cs="Arial"/>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4F2FC7" w:rsidRPr="00182400" w14:paraId="7D3FEF34" w14:textId="77777777" w:rsidTr="00182400">
        <w:trPr>
          <w:trHeight w:val="348"/>
        </w:trPr>
        <w:tc>
          <w:tcPr>
            <w:tcW w:w="9450" w:type="dxa"/>
            <w:shd w:val="clear" w:color="auto" w:fill="auto"/>
          </w:tcPr>
          <w:p w14:paraId="7B04ABCE" w14:textId="77777777" w:rsidR="004F2FC7" w:rsidRPr="00182400" w:rsidRDefault="004F2FC7" w:rsidP="00182400">
            <w:pPr>
              <w:pStyle w:val="TabellHode-kolonne"/>
              <w:rPr>
                <w:rStyle w:val="halvfet"/>
                <w:rFonts w:eastAsia="Proxima Nova"/>
                <w:lang w:eastAsia="en-US"/>
              </w:rPr>
            </w:pPr>
            <w:proofErr w:type="spellStart"/>
            <w:r w:rsidRPr="00182400">
              <w:rPr>
                <w:rStyle w:val="halvfet"/>
                <w:rFonts w:eastAsia="Proxima Nova"/>
                <w:lang w:eastAsia="en-US"/>
              </w:rPr>
              <w:t>Review</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problem </w:t>
            </w:r>
          </w:p>
        </w:tc>
      </w:tr>
      <w:tr w:rsidR="004F2FC7" w:rsidRPr="00BB441C" w14:paraId="52BE0DDA" w14:textId="77777777" w:rsidTr="00182400">
        <w:trPr>
          <w:trHeight w:val="5685"/>
        </w:trPr>
        <w:tc>
          <w:tcPr>
            <w:tcW w:w="9450" w:type="dxa"/>
            <w:shd w:val="clear" w:color="auto" w:fill="auto"/>
          </w:tcPr>
          <w:p w14:paraId="18C887EB" w14:textId="77777777" w:rsidR="004F2FC7" w:rsidRPr="00182400" w:rsidRDefault="003C67F8" w:rsidP="00182400">
            <w:pPr>
              <w:pStyle w:val="avsnitt-undertittel"/>
              <w:rPr>
                <w:lang w:val="en-GB" w:eastAsia="en-US"/>
              </w:rPr>
            </w:pPr>
            <w:r w:rsidRPr="00182400">
              <w:rPr>
                <w:bCs/>
                <w:lang w:val="en-GB" w:eastAsia="en-US"/>
              </w:rPr>
              <w:lastRenderedPageBreak/>
              <w:t>1.</w:t>
            </w:r>
            <w:r w:rsidRPr="00182400">
              <w:rPr>
                <w:bCs/>
                <w:lang w:val="en-GB" w:eastAsia="en-US"/>
              </w:rPr>
              <w:tab/>
            </w:r>
            <w:r w:rsidR="004F2FC7" w:rsidRPr="00182400">
              <w:rPr>
                <w:lang w:val="en-GB" w:eastAsia="en-US"/>
              </w:rPr>
              <w:t>What problems will the commitment solve?</w:t>
            </w:r>
          </w:p>
          <w:p w14:paraId="6012F6BF" w14:textId="77777777" w:rsidR="004F2FC7" w:rsidRPr="00182400" w:rsidRDefault="004F2FC7" w:rsidP="00182400">
            <w:pPr>
              <w:pStyle w:val="Liste"/>
              <w:rPr>
                <w:szCs w:val="22"/>
                <w:lang w:val="en-GB" w:eastAsia="en-US" w:bidi="en-GB"/>
              </w:rPr>
            </w:pPr>
            <w:r w:rsidRPr="00182400">
              <w:rPr>
                <w:szCs w:val="22"/>
                <w:lang w:val="en-GB" w:eastAsia="en-US" w:bidi="en-GB"/>
              </w:rPr>
              <w:t>It is important to have openness and integrity in lobbying to ensure fair play when formulating public policy.</w:t>
            </w:r>
          </w:p>
          <w:p w14:paraId="5290D5F3" w14:textId="77777777" w:rsidR="004F2FC7" w:rsidRPr="00182400" w:rsidRDefault="004F2FC7" w:rsidP="00182400">
            <w:pPr>
              <w:pStyle w:val="Liste"/>
              <w:rPr>
                <w:szCs w:val="22"/>
                <w:lang w:val="en-GB" w:eastAsia="en-US" w:bidi="en-GB"/>
              </w:rPr>
            </w:pPr>
            <w:r w:rsidRPr="00182400">
              <w:rPr>
                <w:szCs w:val="22"/>
                <w:lang w:val="en-GB" w:eastAsia="en-US" w:bidi="en-GB"/>
              </w:rPr>
              <w:t>Openness and integrity can be ensured in various ways, for example through lobby registers.</w:t>
            </w:r>
          </w:p>
          <w:p w14:paraId="196CBFF2" w14:textId="77777777" w:rsidR="004F2FC7" w:rsidRPr="00182400" w:rsidRDefault="004F2FC7" w:rsidP="00182400">
            <w:pPr>
              <w:pStyle w:val="Liste"/>
              <w:rPr>
                <w:rFonts w:eastAsia="Proxima Nova"/>
                <w:szCs w:val="22"/>
                <w:lang w:val="en-US" w:eastAsia="en-US"/>
              </w:rPr>
            </w:pPr>
            <w:r w:rsidRPr="00182400">
              <w:rPr>
                <w:color w:val="000000"/>
                <w:szCs w:val="22"/>
                <w:lang w:val="en-GB" w:eastAsia="en-US" w:bidi="en-GB"/>
              </w:rPr>
              <w:t>The most important thing is that there is openness about who is attempting to influence the authorities, the nature of their input, who they are directing their input at and when they offer the input.</w:t>
            </w:r>
          </w:p>
          <w:p w14:paraId="7C0C5345" w14:textId="77777777" w:rsidR="004F2FC7" w:rsidRPr="00182400" w:rsidRDefault="003C67F8" w:rsidP="00182400">
            <w:pPr>
              <w:pStyle w:val="avsnitt-undertittel"/>
              <w:rPr>
                <w:lang w:val="en-GB" w:eastAsia="en-US"/>
              </w:rPr>
            </w:pPr>
            <w:r w:rsidRPr="00182400">
              <w:rPr>
                <w:bCs/>
                <w:lang w:val="en-GB" w:eastAsia="en-US"/>
              </w:rPr>
              <w:t>2.</w:t>
            </w:r>
            <w:r w:rsidRPr="00182400">
              <w:rPr>
                <w:bCs/>
                <w:lang w:val="en-GB" w:eastAsia="en-US"/>
              </w:rPr>
              <w:tab/>
            </w:r>
            <w:r w:rsidR="004F2FC7" w:rsidRPr="00182400">
              <w:rPr>
                <w:lang w:val="en-GB" w:eastAsia="en-US"/>
              </w:rPr>
              <w:t>What is the cause of the problem?</w:t>
            </w:r>
          </w:p>
          <w:p w14:paraId="7FE36C48" w14:textId="77777777" w:rsidR="004F2FC7" w:rsidRPr="00182400" w:rsidRDefault="004F2FC7" w:rsidP="00182400">
            <w:pPr>
              <w:rPr>
                <w:rFonts w:eastAsia="Proxima Nova"/>
                <w:lang w:val="en-US" w:eastAsia="en-US"/>
              </w:rPr>
            </w:pPr>
            <w:r w:rsidRPr="00182400">
              <w:rPr>
                <w:rFonts w:eastAsia="Proxima Nova"/>
                <w:lang w:val="en-GB" w:eastAsia="en-US" w:bidi="en-GB"/>
              </w:rPr>
              <w:t xml:space="preserve">Lack of openness and integrity in lobbying. The report on the status of Norwegian democracy </w:t>
            </w:r>
            <w:r w:rsidR="008B0AA1" w:rsidRPr="00182400">
              <w:rPr>
                <w:rFonts w:eastAsia="Proxima Nova"/>
                <w:lang w:val="en-GB" w:eastAsia="en-US" w:bidi="en-GB"/>
              </w:rPr>
              <w:t>"</w:t>
            </w:r>
            <w:proofErr w:type="spellStart"/>
            <w:r w:rsidRPr="00182400">
              <w:rPr>
                <w:rStyle w:val="kursiv"/>
                <w:rFonts w:eastAsia="Proxima Nova"/>
                <w:lang w:val="en-GB" w:eastAsia="en-US"/>
              </w:rPr>
              <w:t>Svært</w:t>
            </w:r>
            <w:proofErr w:type="spellEnd"/>
            <w:r w:rsidRPr="00182400">
              <w:rPr>
                <w:rStyle w:val="kursiv"/>
                <w:rFonts w:eastAsia="Proxima Nova"/>
                <w:lang w:val="en-GB" w:eastAsia="en-US"/>
              </w:rPr>
              <w:t xml:space="preserve"> </w:t>
            </w:r>
            <w:proofErr w:type="spellStart"/>
            <w:r w:rsidRPr="00182400">
              <w:rPr>
                <w:rStyle w:val="kursiv"/>
                <w:rFonts w:eastAsia="Proxima Nova"/>
                <w:lang w:val="en-GB" w:eastAsia="en-US"/>
              </w:rPr>
              <w:t>demokratisk</w:t>
            </w:r>
            <w:proofErr w:type="spellEnd"/>
            <w:r w:rsidRPr="00182400">
              <w:rPr>
                <w:rStyle w:val="kursiv"/>
                <w:rFonts w:eastAsia="Proxima Nova"/>
                <w:lang w:val="en-GB" w:eastAsia="en-US"/>
              </w:rPr>
              <w:t xml:space="preserve">, men </w:t>
            </w:r>
            <w:proofErr w:type="spellStart"/>
            <w:r w:rsidRPr="00182400">
              <w:rPr>
                <w:rStyle w:val="kursiv"/>
                <w:rFonts w:eastAsia="Proxima Nova"/>
                <w:lang w:val="en-GB" w:eastAsia="en-US"/>
              </w:rPr>
              <w:t>ikke</w:t>
            </w:r>
            <w:proofErr w:type="spellEnd"/>
            <w:r w:rsidRPr="00182400">
              <w:rPr>
                <w:rStyle w:val="kursiv"/>
                <w:rFonts w:eastAsia="Proxima Nova"/>
                <w:lang w:val="en-GB" w:eastAsia="en-US"/>
              </w:rPr>
              <w:t xml:space="preserve"> </w:t>
            </w:r>
            <w:proofErr w:type="spellStart"/>
            <w:r w:rsidRPr="00182400">
              <w:rPr>
                <w:rStyle w:val="kursiv"/>
                <w:rFonts w:eastAsia="Proxima Nova"/>
                <w:lang w:val="en-GB" w:eastAsia="en-US"/>
              </w:rPr>
              <w:t>demokratisk</w:t>
            </w:r>
            <w:proofErr w:type="spellEnd"/>
            <w:r w:rsidRPr="00182400">
              <w:rPr>
                <w:rStyle w:val="kursiv"/>
                <w:rFonts w:eastAsia="Proxima Nova"/>
                <w:lang w:val="en-GB" w:eastAsia="en-US"/>
              </w:rPr>
              <w:t xml:space="preserve"> </w:t>
            </w:r>
            <w:proofErr w:type="spellStart"/>
            <w:r w:rsidRPr="00182400">
              <w:rPr>
                <w:rStyle w:val="kursiv"/>
                <w:rFonts w:eastAsia="Proxima Nova"/>
                <w:lang w:val="en-GB" w:eastAsia="en-US"/>
              </w:rPr>
              <w:t>nok</w:t>
            </w:r>
            <w:proofErr w:type="spellEnd"/>
            <w:r w:rsidRPr="00182400">
              <w:rPr>
                <w:rStyle w:val="kursiv"/>
                <w:rFonts w:eastAsia="Proxima Nova"/>
                <w:lang w:val="en-GB" w:eastAsia="en-US"/>
              </w:rPr>
              <w:t xml:space="preserve">: En </w:t>
            </w:r>
            <w:proofErr w:type="spellStart"/>
            <w:r w:rsidRPr="00182400">
              <w:rPr>
                <w:rStyle w:val="kursiv"/>
                <w:rFonts w:eastAsia="Proxima Nova"/>
                <w:lang w:val="en-GB" w:eastAsia="en-US"/>
              </w:rPr>
              <w:t>tilstandsanalyse</w:t>
            </w:r>
            <w:proofErr w:type="spellEnd"/>
            <w:r w:rsidRPr="00182400">
              <w:rPr>
                <w:rStyle w:val="kursiv"/>
                <w:rFonts w:eastAsia="Proxima Nova"/>
                <w:lang w:val="en-GB" w:eastAsia="en-US"/>
              </w:rPr>
              <w:t xml:space="preserve"> </w:t>
            </w:r>
            <w:proofErr w:type="spellStart"/>
            <w:r w:rsidRPr="00182400">
              <w:rPr>
                <w:rStyle w:val="kursiv"/>
                <w:rFonts w:eastAsia="Proxima Nova"/>
                <w:lang w:val="en-GB" w:eastAsia="en-US"/>
              </w:rPr>
              <w:t>av</w:t>
            </w:r>
            <w:proofErr w:type="spellEnd"/>
            <w:r w:rsidRPr="00182400">
              <w:rPr>
                <w:rStyle w:val="kursiv"/>
                <w:rFonts w:eastAsia="Proxima Nova"/>
                <w:lang w:val="en-GB" w:eastAsia="en-US"/>
              </w:rPr>
              <w:t xml:space="preserve"> det </w:t>
            </w:r>
            <w:proofErr w:type="spellStart"/>
            <w:r w:rsidRPr="00182400">
              <w:rPr>
                <w:rStyle w:val="kursiv"/>
                <w:rFonts w:eastAsia="Proxima Nova"/>
                <w:lang w:val="en-GB" w:eastAsia="en-US"/>
              </w:rPr>
              <w:t>norske</w:t>
            </w:r>
            <w:proofErr w:type="spellEnd"/>
            <w:r w:rsidRPr="00182400">
              <w:rPr>
                <w:rStyle w:val="kursiv"/>
                <w:rFonts w:eastAsia="Proxima Nova"/>
                <w:lang w:val="en-GB" w:eastAsia="en-US"/>
              </w:rPr>
              <w:t xml:space="preserve"> </w:t>
            </w:r>
            <w:proofErr w:type="spellStart"/>
            <w:r w:rsidRPr="00182400">
              <w:rPr>
                <w:rStyle w:val="kursiv"/>
                <w:rFonts w:eastAsia="Proxima Nova"/>
                <w:lang w:val="en-GB" w:eastAsia="en-US"/>
              </w:rPr>
              <w:t>demokratiet</w:t>
            </w:r>
            <w:proofErr w:type="spellEnd"/>
            <w:r w:rsidRPr="00182400">
              <w:rPr>
                <w:rStyle w:val="kursiv"/>
                <w:rFonts w:eastAsia="Proxima Nova"/>
                <w:lang w:val="en-GB" w:eastAsia="en-US"/>
              </w:rPr>
              <w:t xml:space="preserve"> 2015-2021</w:t>
            </w:r>
            <w:r w:rsidR="008B0AA1" w:rsidRPr="00182400">
              <w:rPr>
                <w:rStyle w:val="kursiv"/>
                <w:rFonts w:eastAsia="Proxima Nova"/>
                <w:lang w:val="en-GB" w:eastAsia="en-US"/>
              </w:rPr>
              <w:t>"</w:t>
            </w:r>
            <w:r w:rsidRPr="00182400">
              <w:rPr>
                <w:rStyle w:val="kursiv"/>
                <w:rFonts w:eastAsia="Proxima Nova"/>
                <w:lang w:val="en-GB" w:eastAsia="en-US"/>
              </w:rPr>
              <w:t xml:space="preserve"> </w:t>
            </w:r>
            <w:r w:rsidRPr="00182400">
              <w:rPr>
                <w:rFonts w:eastAsia="Proxima Nova"/>
                <w:lang w:val="en-GB" w:eastAsia="en-US" w:bidi="en-GB"/>
              </w:rPr>
              <w:t xml:space="preserve">states, among other things, that resourceful lobby groups have great influence – not only in national politics, but also locally and regionally. This violates a democratic principle of political equality between </w:t>
            </w:r>
            <w:proofErr w:type="gramStart"/>
            <w:r w:rsidRPr="00182400">
              <w:rPr>
                <w:rFonts w:eastAsia="Proxima Nova"/>
                <w:lang w:val="en-GB" w:eastAsia="en-US" w:bidi="en-GB"/>
              </w:rPr>
              <w:t>citizens, since</w:t>
            </w:r>
            <w:proofErr w:type="gramEnd"/>
            <w:r w:rsidRPr="00182400">
              <w:rPr>
                <w:rFonts w:eastAsia="Proxima Nova"/>
                <w:lang w:val="en-GB" w:eastAsia="en-US" w:bidi="en-GB"/>
              </w:rPr>
              <w:t xml:space="preserve"> some resourceful citizens may in practice gain more political power than others. </w:t>
            </w:r>
          </w:p>
        </w:tc>
      </w:tr>
    </w:tbl>
    <w:p w14:paraId="60263C3C" w14:textId="77777777" w:rsidR="004F2FC7" w:rsidRDefault="004F2FC7" w:rsidP="00FA06AB">
      <w:pPr>
        <w:spacing w:line="259" w:lineRule="auto"/>
        <w:rPr>
          <w:rFonts w:cs="Arial"/>
          <w:lang w:val="en-GB"/>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4F2FC7" w:rsidRPr="00182400" w14:paraId="2EC4F991" w14:textId="77777777" w:rsidTr="00182400">
        <w:tc>
          <w:tcPr>
            <w:tcW w:w="9475" w:type="dxa"/>
            <w:shd w:val="clear" w:color="auto" w:fill="auto"/>
          </w:tcPr>
          <w:p w14:paraId="35E1B40C" w14:textId="77777777" w:rsidR="004F2FC7" w:rsidRPr="00182400" w:rsidRDefault="004F2FC7" w:rsidP="00182400">
            <w:pPr>
              <w:pStyle w:val="TabellHode-kolonne"/>
              <w:rPr>
                <w:rStyle w:val="halvfet"/>
                <w:rFonts w:eastAsia="Proxima Nova"/>
                <w:lang w:eastAsia="en-US"/>
              </w:rPr>
            </w:pPr>
            <w:proofErr w:type="spellStart"/>
            <w:r w:rsidRPr="00182400">
              <w:rPr>
                <w:rStyle w:val="halvfet"/>
                <w:rFonts w:eastAsia="Proxima Nova"/>
                <w:lang w:eastAsia="en-US"/>
              </w:rPr>
              <w:t>Review</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4F2FC7" w:rsidRPr="00BB441C" w14:paraId="0495FB2D" w14:textId="77777777" w:rsidTr="00182400">
        <w:trPr>
          <w:trHeight w:val="5933"/>
        </w:trPr>
        <w:tc>
          <w:tcPr>
            <w:tcW w:w="9475" w:type="dxa"/>
            <w:shd w:val="clear" w:color="auto" w:fill="auto"/>
          </w:tcPr>
          <w:p w14:paraId="55A6F4E9" w14:textId="77777777" w:rsidR="004F2FC7" w:rsidRPr="00182400" w:rsidRDefault="003C67F8" w:rsidP="00182400">
            <w:pPr>
              <w:pStyle w:val="avsnitt-undertittel"/>
              <w:rPr>
                <w:lang w:val="en-GB" w:eastAsia="en-US"/>
              </w:rPr>
            </w:pPr>
            <w:r w:rsidRPr="00182400">
              <w:rPr>
                <w:bCs/>
                <w:lang w:val="en-GB" w:eastAsia="en-US"/>
              </w:rPr>
              <w:lastRenderedPageBreak/>
              <w:t>1.</w:t>
            </w:r>
            <w:r w:rsidRPr="00182400">
              <w:rPr>
                <w:bCs/>
                <w:lang w:val="en-GB" w:eastAsia="en-US"/>
              </w:rPr>
              <w:tab/>
            </w:r>
            <w:r w:rsidR="004F2FC7" w:rsidRPr="00182400">
              <w:rPr>
                <w:lang w:val="en-GB" w:eastAsia="en-US"/>
              </w:rPr>
              <w:t>What has been done so far to solve the problem?</w:t>
            </w:r>
          </w:p>
          <w:p w14:paraId="010E6232" w14:textId="77777777" w:rsidR="004F2FC7" w:rsidRPr="00182400" w:rsidRDefault="004F2FC7" w:rsidP="00182400">
            <w:pPr>
              <w:rPr>
                <w:rFonts w:eastAsia="Proxima Nova"/>
                <w:iCs/>
                <w:lang w:val="en-US" w:eastAsia="en-US"/>
              </w:rPr>
            </w:pPr>
            <w:r w:rsidRPr="00182400">
              <w:rPr>
                <w:rFonts w:eastAsia="Proxima Nova"/>
                <w:lang w:val="en-GB" w:eastAsia="en-US" w:bidi="en-GB"/>
              </w:rPr>
              <w:t xml:space="preserve">Little. OGP action plans, surveys from TI and participation in work in the OECD and the Council of Europe. The issue of establishing a lobby register has been raised in the </w:t>
            </w:r>
            <w:proofErr w:type="spellStart"/>
            <w:r w:rsidRPr="00182400">
              <w:rPr>
                <w:rFonts w:eastAsia="Proxima Nova"/>
                <w:lang w:val="en-GB" w:eastAsia="en-US" w:bidi="en-GB"/>
              </w:rPr>
              <w:t>Storting</w:t>
            </w:r>
            <w:proofErr w:type="spellEnd"/>
            <w:r w:rsidRPr="00182400">
              <w:rPr>
                <w:rFonts w:eastAsia="Proxima Nova"/>
                <w:lang w:val="en-GB" w:eastAsia="en-US" w:bidi="en-GB"/>
              </w:rPr>
              <w:t xml:space="preserve"> several times and in some municipalities.</w:t>
            </w:r>
          </w:p>
          <w:p w14:paraId="1FD9B996" w14:textId="77777777" w:rsidR="004F2FC7" w:rsidRPr="00182400" w:rsidRDefault="003C67F8" w:rsidP="00182400">
            <w:pPr>
              <w:pStyle w:val="avsnitt-undertittel"/>
              <w:rPr>
                <w:lang w:val="en-GB" w:eastAsia="en-US"/>
              </w:rPr>
            </w:pPr>
            <w:r w:rsidRPr="00182400">
              <w:rPr>
                <w:bCs/>
                <w:lang w:val="en-GB" w:eastAsia="en-US"/>
              </w:rPr>
              <w:t>2.</w:t>
            </w:r>
            <w:r w:rsidRPr="00182400">
              <w:rPr>
                <w:bCs/>
                <w:lang w:val="en-GB" w:eastAsia="en-US"/>
              </w:rPr>
              <w:tab/>
            </w:r>
            <w:r w:rsidR="004F2FC7" w:rsidRPr="00182400">
              <w:rPr>
                <w:lang w:val="en-GB" w:eastAsia="en-US"/>
              </w:rPr>
              <w:t>What kind of solution is proposed?</w:t>
            </w:r>
          </w:p>
          <w:p w14:paraId="7EB1636A" w14:textId="77777777" w:rsidR="004F2FC7" w:rsidRPr="00182400" w:rsidRDefault="004F2FC7" w:rsidP="00182400">
            <w:pPr>
              <w:rPr>
                <w:rFonts w:eastAsia="Proxima Nova"/>
                <w:lang w:val="en-US" w:eastAsia="en-US"/>
              </w:rPr>
            </w:pPr>
            <w:r w:rsidRPr="00182400">
              <w:rPr>
                <w:rFonts w:eastAsia="Proxima Nova"/>
                <w:lang w:val="en-GB" w:eastAsia="en-US" w:bidi="en-GB"/>
              </w:rPr>
              <w:t xml:space="preserve">Investigation to assess whether Norway fulfils international recommendations on openness and integrity in lobbying. The investigation will also point out any measures that can increase the degree of openness and integrity in lobbying. One such measure could be a lobby register, but other alternative measures must also be considered. </w:t>
            </w:r>
          </w:p>
          <w:p w14:paraId="763FE07D" w14:textId="77777777" w:rsidR="004F2FC7" w:rsidRPr="00182400" w:rsidRDefault="003C67F8" w:rsidP="00182400">
            <w:pPr>
              <w:pStyle w:val="avsnitt-undertittel"/>
              <w:rPr>
                <w:lang w:val="en-GB" w:eastAsia="en-US"/>
              </w:rPr>
            </w:pPr>
            <w:r w:rsidRPr="00182400">
              <w:rPr>
                <w:bCs/>
                <w:lang w:val="en-GB" w:eastAsia="en-US"/>
              </w:rPr>
              <w:t>3.</w:t>
            </w:r>
            <w:r w:rsidRPr="00182400">
              <w:rPr>
                <w:bCs/>
                <w:lang w:val="en-GB" w:eastAsia="en-US"/>
              </w:rPr>
              <w:tab/>
            </w:r>
            <w:r w:rsidR="004F2FC7" w:rsidRPr="00182400">
              <w:rPr>
                <w:lang w:val="en-GB" w:eastAsia="en-US"/>
              </w:rPr>
              <w:t>What results will be achieved by implementing the commitment?</w:t>
            </w:r>
          </w:p>
          <w:p w14:paraId="0B941120" w14:textId="77777777" w:rsidR="004F2FC7" w:rsidRPr="00182400" w:rsidRDefault="004F2FC7" w:rsidP="00182400">
            <w:pPr>
              <w:pStyle w:val="Liste"/>
              <w:rPr>
                <w:szCs w:val="22"/>
                <w:lang w:val="en-GB" w:eastAsia="en-US" w:bidi="en-GB"/>
              </w:rPr>
            </w:pPr>
            <w:r w:rsidRPr="00182400">
              <w:rPr>
                <w:szCs w:val="22"/>
                <w:lang w:val="en-GB" w:eastAsia="en-US" w:bidi="en-GB"/>
              </w:rPr>
              <w:t>That input from lobbyists improves the quality of case management, for example through new and updated facts and other assessments.</w:t>
            </w:r>
          </w:p>
          <w:p w14:paraId="4A61B9E3" w14:textId="77777777" w:rsidR="004F2FC7" w:rsidRPr="00182400" w:rsidRDefault="004F2FC7" w:rsidP="00182400">
            <w:pPr>
              <w:pStyle w:val="Liste"/>
              <w:rPr>
                <w:szCs w:val="22"/>
                <w:lang w:val="en-GB" w:eastAsia="en-US" w:bidi="en-GB"/>
              </w:rPr>
            </w:pPr>
            <w:r w:rsidRPr="00182400">
              <w:rPr>
                <w:szCs w:val="22"/>
                <w:lang w:val="en-GB" w:eastAsia="en-US" w:bidi="en-GB"/>
              </w:rPr>
              <w:t xml:space="preserve">That input from lobbyists will not be </w:t>
            </w:r>
            <w:r w:rsidR="008B0AA1" w:rsidRPr="00182400">
              <w:rPr>
                <w:szCs w:val="22"/>
                <w:lang w:val="en-GB" w:eastAsia="en-US" w:bidi="en-GB"/>
              </w:rPr>
              <w:t>"</w:t>
            </w:r>
            <w:r w:rsidRPr="00182400">
              <w:rPr>
                <w:szCs w:val="22"/>
                <w:lang w:val="en-GB" w:eastAsia="en-US" w:bidi="en-GB"/>
              </w:rPr>
              <w:t>at the front of the queue</w:t>
            </w:r>
            <w:r w:rsidR="008B0AA1" w:rsidRPr="00182400">
              <w:rPr>
                <w:szCs w:val="22"/>
                <w:lang w:val="en-GB" w:eastAsia="en-US" w:bidi="en-GB"/>
              </w:rPr>
              <w:t>"</w:t>
            </w:r>
            <w:r w:rsidRPr="00182400">
              <w:rPr>
                <w:szCs w:val="22"/>
                <w:lang w:val="en-GB" w:eastAsia="en-US" w:bidi="en-GB"/>
              </w:rPr>
              <w:t>, and that their input will not be hidden from other parties or stakeholders in the cases.</w:t>
            </w:r>
          </w:p>
          <w:p w14:paraId="22251B53" w14:textId="77777777" w:rsidR="004F2FC7" w:rsidRPr="00182400" w:rsidRDefault="004F2FC7" w:rsidP="00182400">
            <w:pPr>
              <w:pStyle w:val="Liste"/>
              <w:rPr>
                <w:iCs/>
                <w:szCs w:val="22"/>
                <w:lang w:val="en-US" w:eastAsia="en-US"/>
              </w:rPr>
            </w:pPr>
            <w:r w:rsidRPr="00182400">
              <w:rPr>
                <w:szCs w:val="22"/>
                <w:lang w:val="en-GB" w:eastAsia="en-US" w:bidi="en-GB"/>
              </w:rPr>
              <w:t xml:space="preserve">That lobbying ensures fair play when formulating public policy. </w:t>
            </w:r>
          </w:p>
        </w:tc>
      </w:tr>
    </w:tbl>
    <w:p w14:paraId="08D18D6C" w14:textId="77777777" w:rsidR="004F2FC7" w:rsidRPr="004F2FC7" w:rsidRDefault="004F2FC7" w:rsidP="00FA06AB">
      <w:pPr>
        <w:spacing w:line="259" w:lineRule="auto"/>
        <w:rPr>
          <w:rFonts w:cs="Arial"/>
          <w:lang w:val="en-US"/>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4F2FC7" w:rsidRPr="00182400" w14:paraId="115777DD" w14:textId="77777777" w:rsidTr="00182400">
        <w:tc>
          <w:tcPr>
            <w:tcW w:w="9450" w:type="dxa"/>
            <w:gridSpan w:val="2"/>
            <w:shd w:val="clear" w:color="auto" w:fill="auto"/>
          </w:tcPr>
          <w:p w14:paraId="6A2B11D1" w14:textId="77777777" w:rsidR="004F2FC7" w:rsidRPr="00182400" w:rsidRDefault="004F2FC7" w:rsidP="00182400">
            <w:pPr>
              <w:pStyle w:val="TabellHode-kolonne"/>
              <w:rPr>
                <w:rStyle w:val="halvfet"/>
                <w:rFonts w:eastAsia="Proxima Nova"/>
                <w:lang w:eastAsia="en-US"/>
              </w:rPr>
            </w:pPr>
            <w:r w:rsidRPr="00182400">
              <w:rPr>
                <w:rStyle w:val="halvfet"/>
                <w:rFonts w:eastAsia="Proxima Nova"/>
                <w:lang w:eastAsia="en-US"/>
              </w:rPr>
              <w:t xml:space="preserve">Analysis </w:t>
            </w:r>
            <w:proofErr w:type="spellStart"/>
            <w:r w:rsidRPr="00182400">
              <w:rPr>
                <w:rStyle w:val="halvfet"/>
                <w:rFonts w:eastAsia="Proxima Nova"/>
                <w:lang w:eastAsia="en-US"/>
              </w:rPr>
              <w:t>of</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the</w:t>
            </w:r>
            <w:proofErr w:type="spellEnd"/>
            <w:r w:rsidRPr="00182400">
              <w:rPr>
                <w:rStyle w:val="halvfet"/>
                <w:rFonts w:eastAsia="Proxima Nova"/>
                <w:lang w:eastAsia="en-US"/>
              </w:rPr>
              <w:t xml:space="preserve"> </w:t>
            </w:r>
            <w:proofErr w:type="spellStart"/>
            <w:r w:rsidRPr="00182400">
              <w:rPr>
                <w:rStyle w:val="halvfet"/>
                <w:rFonts w:eastAsia="Proxima Nova"/>
                <w:lang w:eastAsia="en-US"/>
              </w:rPr>
              <w:t>commitment</w:t>
            </w:r>
            <w:proofErr w:type="spellEnd"/>
            <w:r w:rsidRPr="00182400">
              <w:rPr>
                <w:rStyle w:val="halvfet"/>
                <w:rFonts w:eastAsia="Proxima Nova"/>
                <w:lang w:eastAsia="en-US"/>
              </w:rPr>
              <w:t xml:space="preserve"> </w:t>
            </w:r>
          </w:p>
        </w:tc>
      </w:tr>
      <w:tr w:rsidR="004F2FC7" w:rsidRPr="00182400" w14:paraId="1C7D1B94" w14:textId="77777777" w:rsidTr="00182400">
        <w:trPr>
          <w:trHeight w:val="200"/>
        </w:trPr>
        <w:tc>
          <w:tcPr>
            <w:tcW w:w="3810" w:type="dxa"/>
            <w:shd w:val="clear" w:color="auto" w:fill="auto"/>
          </w:tcPr>
          <w:p w14:paraId="639E1334" w14:textId="77777777" w:rsidR="004F2FC7" w:rsidRPr="00182400" w:rsidRDefault="004F2FC7" w:rsidP="00182400">
            <w:pPr>
              <w:pStyle w:val="TabellHode-kolonne"/>
              <w:rPr>
                <w:rStyle w:val="kursiv"/>
                <w:rFonts w:eastAsia="Proxima Nova"/>
                <w:lang w:eastAsia="en-US"/>
              </w:rPr>
            </w:pPr>
            <w:r w:rsidRPr="00182400">
              <w:rPr>
                <w:rStyle w:val="kursiv"/>
                <w:rFonts w:eastAsia="Proxima Nova"/>
                <w:lang w:eastAsia="en-US"/>
              </w:rPr>
              <w:t>Question</w:t>
            </w:r>
          </w:p>
        </w:tc>
        <w:tc>
          <w:tcPr>
            <w:tcW w:w="5640" w:type="dxa"/>
            <w:shd w:val="clear" w:color="auto" w:fill="auto"/>
          </w:tcPr>
          <w:p w14:paraId="42539B64" w14:textId="77777777" w:rsidR="004F2FC7" w:rsidRPr="00182400" w:rsidRDefault="004F2FC7" w:rsidP="00182400">
            <w:pPr>
              <w:pStyle w:val="TabellHode-kolonne"/>
              <w:rPr>
                <w:rStyle w:val="kursiv"/>
                <w:rFonts w:eastAsia="Proxima Nova"/>
                <w:lang w:eastAsia="en-US"/>
              </w:rPr>
            </w:pPr>
            <w:proofErr w:type="spellStart"/>
            <w:r w:rsidRPr="00182400">
              <w:rPr>
                <w:rStyle w:val="kursiv"/>
                <w:rFonts w:eastAsia="Proxima Nova"/>
                <w:lang w:eastAsia="en-US"/>
              </w:rPr>
              <w:t>Answer</w:t>
            </w:r>
            <w:proofErr w:type="spellEnd"/>
            <w:r w:rsidRPr="00182400">
              <w:rPr>
                <w:rStyle w:val="kursiv"/>
                <w:rFonts w:eastAsia="Proxima Nova"/>
                <w:lang w:eastAsia="en-US"/>
              </w:rPr>
              <w:t xml:space="preserve"> </w:t>
            </w:r>
          </w:p>
        </w:tc>
      </w:tr>
      <w:tr w:rsidR="004F2FC7" w:rsidRPr="00BB441C" w14:paraId="29F1737D" w14:textId="77777777" w:rsidTr="00182400">
        <w:trPr>
          <w:trHeight w:val="200"/>
        </w:trPr>
        <w:tc>
          <w:tcPr>
            <w:tcW w:w="3810" w:type="dxa"/>
            <w:shd w:val="clear" w:color="auto" w:fill="auto"/>
          </w:tcPr>
          <w:p w14:paraId="0697C4DA" w14:textId="2589E724" w:rsidR="004F2FC7" w:rsidRPr="00182400" w:rsidRDefault="00D40FD0" w:rsidP="00BB441C">
            <w:pPr>
              <w:pStyle w:val="friliste"/>
              <w:rPr>
                <w:lang w:val="en-US" w:eastAsia="en-US"/>
              </w:rPr>
            </w:pPr>
            <w:r w:rsidRPr="00182400">
              <w:rPr>
                <w:lang w:val="en-US" w:eastAsia="en-US"/>
              </w:rPr>
              <w:t>1.</w:t>
            </w:r>
            <w:r w:rsidRPr="00182400">
              <w:rPr>
                <w:lang w:val="en-US" w:eastAsia="en-US"/>
              </w:rPr>
              <w:tab/>
            </w:r>
            <w:r w:rsidR="004F2FC7" w:rsidRPr="00182400">
              <w:rPr>
                <w:lang w:val="en-GB" w:eastAsia="en-US" w:bidi="en-GB"/>
              </w:rPr>
              <w:t xml:space="preserve">How will the commitment promote openness? </w:t>
            </w:r>
          </w:p>
        </w:tc>
        <w:tc>
          <w:tcPr>
            <w:tcW w:w="5640" w:type="dxa"/>
            <w:shd w:val="clear" w:color="auto" w:fill="auto"/>
          </w:tcPr>
          <w:p w14:paraId="076788A2" w14:textId="77777777" w:rsidR="004F2FC7" w:rsidRPr="00182400" w:rsidRDefault="004F2FC7" w:rsidP="00182400">
            <w:pPr>
              <w:rPr>
                <w:rFonts w:eastAsia="Proxima Nova"/>
                <w:bCs/>
                <w:lang w:val="en-US" w:eastAsia="en-US"/>
              </w:rPr>
            </w:pPr>
            <w:r w:rsidRPr="00182400">
              <w:rPr>
                <w:rFonts w:eastAsia="Proxima Nova"/>
                <w:lang w:val="en-GB" w:eastAsia="en-US" w:bidi="en-GB"/>
              </w:rPr>
              <w:t xml:space="preserve">Access will be gained into who the lobbyists are, the proposals they put forward and to whom the proposals are presented. In addition, others will have the opportunity to quality assure both facts and assessments from lobbyists. </w:t>
            </w:r>
          </w:p>
        </w:tc>
      </w:tr>
      <w:tr w:rsidR="004F2FC7" w:rsidRPr="00BB441C" w14:paraId="2B3585AD" w14:textId="77777777" w:rsidTr="00182400">
        <w:trPr>
          <w:trHeight w:val="200"/>
        </w:trPr>
        <w:tc>
          <w:tcPr>
            <w:tcW w:w="3810" w:type="dxa"/>
            <w:shd w:val="clear" w:color="auto" w:fill="auto"/>
          </w:tcPr>
          <w:p w14:paraId="2EE84493" w14:textId="4EB23436" w:rsidR="004F2FC7" w:rsidRPr="00182400" w:rsidRDefault="00D40FD0" w:rsidP="00BB441C">
            <w:pPr>
              <w:pStyle w:val="friliste"/>
              <w:rPr>
                <w:rStyle w:val="kursiv"/>
                <w:lang w:val="en-GB" w:eastAsia="en-US"/>
              </w:rPr>
            </w:pPr>
            <w:r w:rsidRPr="00182400">
              <w:rPr>
                <w:rStyle w:val="kursiv"/>
                <w:lang w:val="en-GB" w:eastAsia="en-US"/>
              </w:rPr>
              <w:t>2.</w:t>
            </w:r>
            <w:r w:rsidRPr="00182400">
              <w:rPr>
                <w:rStyle w:val="kursiv"/>
                <w:lang w:val="en-GB" w:eastAsia="en-US"/>
              </w:rPr>
              <w:tab/>
            </w:r>
            <w:r w:rsidR="004F2FC7" w:rsidRPr="00182400">
              <w:rPr>
                <w:lang w:val="en-GB" w:eastAsia="en-US" w:bidi="en-GB"/>
              </w:rPr>
              <w:t xml:space="preserve">How will the commitment contribute to greater predictability? </w:t>
            </w:r>
          </w:p>
        </w:tc>
        <w:tc>
          <w:tcPr>
            <w:tcW w:w="5640" w:type="dxa"/>
            <w:shd w:val="clear" w:color="auto" w:fill="auto"/>
          </w:tcPr>
          <w:p w14:paraId="1F9B7DCB" w14:textId="77777777" w:rsidR="004F2FC7" w:rsidRPr="00182400" w:rsidRDefault="004F2FC7" w:rsidP="00182400">
            <w:pPr>
              <w:rPr>
                <w:rFonts w:eastAsia="Proxima Nova"/>
                <w:lang w:val="en-US" w:eastAsia="en-US"/>
              </w:rPr>
            </w:pPr>
            <w:r w:rsidRPr="00182400">
              <w:rPr>
                <w:rFonts w:eastAsia="Proxima Nova"/>
                <w:lang w:val="en-GB" w:eastAsia="en-US" w:bidi="en-GB"/>
              </w:rPr>
              <w:t xml:space="preserve">Through better quality assurance of the development of public policy. </w:t>
            </w:r>
          </w:p>
        </w:tc>
      </w:tr>
      <w:tr w:rsidR="004F2FC7" w:rsidRPr="00BB441C" w14:paraId="037DC5D3" w14:textId="77777777" w:rsidTr="00182400">
        <w:trPr>
          <w:trHeight w:val="200"/>
        </w:trPr>
        <w:tc>
          <w:tcPr>
            <w:tcW w:w="3810" w:type="dxa"/>
            <w:shd w:val="clear" w:color="auto" w:fill="auto"/>
          </w:tcPr>
          <w:p w14:paraId="3F5608C7" w14:textId="4A4831FB" w:rsidR="004F2FC7" w:rsidRPr="00182400" w:rsidRDefault="00D40FD0" w:rsidP="00BB441C">
            <w:pPr>
              <w:pStyle w:val="friliste"/>
              <w:rPr>
                <w:rStyle w:val="kursiv"/>
                <w:lang w:val="en-GB" w:eastAsia="en-US"/>
              </w:rPr>
            </w:pPr>
            <w:r w:rsidRPr="00182400">
              <w:rPr>
                <w:rStyle w:val="kursiv"/>
                <w:lang w:val="en-GB" w:eastAsia="en-US"/>
              </w:rPr>
              <w:t>3.</w:t>
            </w:r>
            <w:r w:rsidRPr="00182400">
              <w:rPr>
                <w:rStyle w:val="kursiv"/>
                <w:lang w:val="en-GB" w:eastAsia="en-US"/>
              </w:rPr>
              <w:tab/>
            </w:r>
            <w:r w:rsidR="004F2FC7" w:rsidRPr="00182400">
              <w:rPr>
                <w:lang w:val="en-GB" w:eastAsia="en-US" w:bidi="en-GB"/>
              </w:rPr>
              <w:t xml:space="preserve">How will the commitment improve the opportunity for citizens to participate by publicising, </w:t>
            </w:r>
            <w:proofErr w:type="gramStart"/>
            <w:r w:rsidR="004F2FC7" w:rsidRPr="00182400">
              <w:rPr>
                <w:lang w:val="en-GB" w:eastAsia="en-US" w:bidi="en-GB"/>
              </w:rPr>
              <w:t>implementing</w:t>
            </w:r>
            <w:proofErr w:type="gramEnd"/>
            <w:r w:rsidR="004F2FC7" w:rsidRPr="00182400">
              <w:rPr>
                <w:lang w:val="en-GB" w:eastAsia="en-US" w:bidi="en-GB"/>
              </w:rPr>
              <w:t xml:space="preserve"> and monitoring the solutions? </w:t>
            </w:r>
          </w:p>
        </w:tc>
        <w:tc>
          <w:tcPr>
            <w:tcW w:w="5640" w:type="dxa"/>
            <w:shd w:val="clear" w:color="auto" w:fill="auto"/>
          </w:tcPr>
          <w:p w14:paraId="629B8658" w14:textId="77777777" w:rsidR="004F2FC7" w:rsidRPr="00182400" w:rsidRDefault="004F2FC7" w:rsidP="00182400">
            <w:pPr>
              <w:rPr>
                <w:rFonts w:eastAsia="Proxima Nova"/>
                <w:bCs/>
                <w:lang w:val="en-US" w:eastAsia="en-US"/>
              </w:rPr>
            </w:pPr>
            <w:r w:rsidRPr="00182400">
              <w:rPr>
                <w:rFonts w:eastAsia="Proxima Nova"/>
                <w:lang w:val="en-GB" w:eastAsia="en-US" w:bidi="en-GB"/>
              </w:rPr>
              <w:t xml:space="preserve">Anyone can submit lobbying proposals. These will be </w:t>
            </w:r>
            <w:proofErr w:type="gramStart"/>
            <w:r w:rsidRPr="00182400">
              <w:rPr>
                <w:rFonts w:eastAsia="Proxima Nova"/>
                <w:lang w:val="en-GB" w:eastAsia="en-US" w:bidi="en-GB"/>
              </w:rPr>
              <w:t>open</w:t>
            </w:r>
            <w:proofErr w:type="gramEnd"/>
            <w:r w:rsidRPr="00182400">
              <w:rPr>
                <w:rFonts w:eastAsia="Proxima Nova"/>
                <w:lang w:val="en-GB" w:eastAsia="en-US" w:bidi="en-GB"/>
              </w:rPr>
              <w:t xml:space="preserve"> and it will be possible to comment on them.</w:t>
            </w:r>
          </w:p>
        </w:tc>
      </w:tr>
    </w:tbl>
    <w:p w14:paraId="0B1AD9B1" w14:textId="77777777" w:rsidR="004F2FC7" w:rsidRDefault="004F2FC7" w:rsidP="00FA06AB">
      <w:pPr>
        <w:spacing w:line="259" w:lineRule="auto"/>
        <w:rPr>
          <w:rFonts w:cs="Arial"/>
          <w:lang w:val="en-GB"/>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6"/>
        <w:gridCol w:w="2410"/>
        <w:gridCol w:w="1559"/>
        <w:gridCol w:w="3828"/>
      </w:tblGrid>
      <w:tr w:rsidR="00DD195B" w:rsidRPr="00182400" w14:paraId="3B972090" w14:textId="77777777" w:rsidTr="00182400">
        <w:trPr>
          <w:trHeight w:val="210"/>
        </w:trPr>
        <w:tc>
          <w:tcPr>
            <w:tcW w:w="9493" w:type="dxa"/>
            <w:gridSpan w:val="4"/>
            <w:shd w:val="clear" w:color="auto" w:fill="auto"/>
          </w:tcPr>
          <w:p w14:paraId="201E0AF5" w14:textId="77777777" w:rsidR="00DD195B" w:rsidRPr="00182400" w:rsidRDefault="00DD195B" w:rsidP="00182400">
            <w:pPr>
              <w:pStyle w:val="TabellHode-kolonne"/>
              <w:rPr>
                <w:rStyle w:val="halvfet"/>
                <w:rFonts w:eastAsia="Proxima Nova"/>
                <w:lang w:eastAsia="en-US"/>
              </w:rPr>
            </w:pPr>
            <w:r w:rsidRPr="00182400">
              <w:rPr>
                <w:rStyle w:val="halvfet"/>
                <w:rFonts w:eastAsia="Proxima Nova"/>
                <w:lang w:eastAsia="en-US"/>
              </w:rPr>
              <w:t xml:space="preserve">Plan for </w:t>
            </w:r>
            <w:proofErr w:type="spellStart"/>
            <w:r w:rsidRPr="00182400">
              <w:rPr>
                <w:rStyle w:val="halvfet"/>
                <w:rFonts w:eastAsia="Proxima Nova"/>
                <w:lang w:eastAsia="en-US"/>
              </w:rPr>
              <w:t>commitment</w:t>
            </w:r>
            <w:proofErr w:type="spellEnd"/>
          </w:p>
        </w:tc>
      </w:tr>
      <w:tr w:rsidR="00DD195B" w:rsidRPr="00182400" w14:paraId="7704E1CD" w14:textId="77777777" w:rsidTr="00182400">
        <w:trPr>
          <w:trHeight w:val="200"/>
        </w:trPr>
        <w:tc>
          <w:tcPr>
            <w:tcW w:w="1696" w:type="dxa"/>
            <w:shd w:val="clear" w:color="auto" w:fill="auto"/>
          </w:tcPr>
          <w:p w14:paraId="2FC8F9B3" w14:textId="77777777" w:rsidR="00DD195B" w:rsidRPr="00182400" w:rsidRDefault="00DD195B" w:rsidP="00182400">
            <w:pPr>
              <w:pStyle w:val="TabellHode-kolonne"/>
              <w:rPr>
                <w:rStyle w:val="kursiv"/>
                <w:rFonts w:eastAsia="Proxima Nova"/>
                <w:lang w:eastAsia="en-US"/>
              </w:rPr>
            </w:pPr>
            <w:r w:rsidRPr="00182400">
              <w:rPr>
                <w:rStyle w:val="kursiv"/>
                <w:rFonts w:eastAsia="Proxima Nova"/>
                <w:lang w:eastAsia="en-US"/>
              </w:rPr>
              <w:t>Milestones</w:t>
            </w:r>
          </w:p>
        </w:tc>
        <w:tc>
          <w:tcPr>
            <w:tcW w:w="2410" w:type="dxa"/>
            <w:shd w:val="clear" w:color="auto" w:fill="auto"/>
          </w:tcPr>
          <w:p w14:paraId="4C200325" w14:textId="77777777" w:rsidR="00DD195B" w:rsidRPr="00182400" w:rsidRDefault="00DD195B" w:rsidP="00182400">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outcome</w:t>
            </w:r>
            <w:proofErr w:type="spellEnd"/>
          </w:p>
        </w:tc>
        <w:tc>
          <w:tcPr>
            <w:tcW w:w="1559" w:type="dxa"/>
            <w:shd w:val="clear" w:color="auto" w:fill="auto"/>
          </w:tcPr>
          <w:p w14:paraId="03258859" w14:textId="77777777" w:rsidR="00DD195B" w:rsidRPr="00182400" w:rsidRDefault="00DD195B" w:rsidP="00182400">
            <w:pPr>
              <w:pStyle w:val="TabellHode-kolonne"/>
              <w:rPr>
                <w:rStyle w:val="kursiv"/>
                <w:rFonts w:eastAsia="Proxima Nova"/>
                <w:lang w:eastAsia="en-US"/>
              </w:rPr>
            </w:pPr>
            <w:proofErr w:type="spellStart"/>
            <w:r w:rsidRPr="00182400">
              <w:rPr>
                <w:rStyle w:val="kursiv"/>
                <w:rFonts w:eastAsia="Proxima Nova"/>
                <w:lang w:eastAsia="en-US"/>
              </w:rPr>
              <w:t>Expected</w:t>
            </w:r>
            <w:proofErr w:type="spellEnd"/>
            <w:r w:rsidRPr="00182400">
              <w:rPr>
                <w:rStyle w:val="kursiv"/>
                <w:rFonts w:eastAsia="Proxima Nova"/>
                <w:lang w:eastAsia="en-US"/>
              </w:rPr>
              <w:t xml:space="preserve"> </w:t>
            </w:r>
            <w:proofErr w:type="spellStart"/>
            <w:r w:rsidRPr="00182400">
              <w:rPr>
                <w:rStyle w:val="kursiv"/>
                <w:rFonts w:eastAsia="Proxima Nova"/>
                <w:lang w:eastAsia="en-US"/>
              </w:rPr>
              <w:t>completion</w:t>
            </w:r>
            <w:proofErr w:type="spellEnd"/>
            <w:r w:rsidRPr="00182400">
              <w:rPr>
                <w:rStyle w:val="kursiv"/>
                <w:rFonts w:eastAsia="Proxima Nova"/>
                <w:lang w:eastAsia="en-US"/>
              </w:rPr>
              <w:t xml:space="preserve"> date</w:t>
            </w:r>
          </w:p>
        </w:tc>
        <w:tc>
          <w:tcPr>
            <w:tcW w:w="3828" w:type="dxa"/>
            <w:shd w:val="clear" w:color="auto" w:fill="auto"/>
          </w:tcPr>
          <w:p w14:paraId="51EC7301" w14:textId="77777777" w:rsidR="00DD195B" w:rsidRPr="00182400" w:rsidRDefault="00DD195B" w:rsidP="00182400">
            <w:pPr>
              <w:pStyle w:val="TabellHode-kolonne"/>
              <w:rPr>
                <w:rStyle w:val="kursiv"/>
                <w:rFonts w:eastAsia="Proxima Nova"/>
                <w:lang w:eastAsia="en-US"/>
              </w:rPr>
            </w:pPr>
            <w:r w:rsidRPr="00182400">
              <w:rPr>
                <w:rStyle w:val="kursiv"/>
                <w:rFonts w:eastAsia="Proxima Nova"/>
                <w:lang w:eastAsia="en-US"/>
              </w:rPr>
              <w:t>Stakeholders</w:t>
            </w:r>
          </w:p>
        </w:tc>
      </w:tr>
      <w:tr w:rsidR="00DD195B" w:rsidRPr="00182400" w14:paraId="1B916F70" w14:textId="77777777" w:rsidTr="00182400">
        <w:trPr>
          <w:trHeight w:val="200"/>
        </w:trPr>
        <w:tc>
          <w:tcPr>
            <w:tcW w:w="1696" w:type="dxa"/>
            <w:shd w:val="clear" w:color="auto" w:fill="auto"/>
          </w:tcPr>
          <w:p w14:paraId="115770A8" w14:textId="77777777" w:rsidR="00DD195B" w:rsidRPr="00182400" w:rsidRDefault="00DD195B" w:rsidP="00182400">
            <w:pPr>
              <w:rPr>
                <w:rFonts w:eastAsia="Proxima Nova"/>
                <w:lang w:val="en-GB" w:eastAsia="en-US"/>
              </w:rPr>
            </w:pPr>
            <w:r w:rsidRPr="00182400">
              <w:rPr>
                <w:rFonts w:eastAsia="Proxima Nova"/>
                <w:lang w:val="en-GB" w:eastAsia="en-US"/>
              </w:rPr>
              <w:t xml:space="preserve">Start report, </w:t>
            </w:r>
            <w:proofErr w:type="gramStart"/>
            <w:r w:rsidRPr="00182400">
              <w:rPr>
                <w:rFonts w:eastAsia="Proxima Nova"/>
                <w:lang w:val="en-GB" w:eastAsia="en-US"/>
              </w:rPr>
              <w:t>NOU</w:t>
            </w:r>
            <w:proofErr w:type="gramEnd"/>
          </w:p>
          <w:p w14:paraId="6289A82F" w14:textId="77777777" w:rsidR="00DD195B" w:rsidRPr="00182400" w:rsidRDefault="00DD195B" w:rsidP="00182400">
            <w:pPr>
              <w:rPr>
                <w:rFonts w:eastAsia="Proxima Nova"/>
                <w:lang w:val="en-GB" w:eastAsia="en-US"/>
              </w:rPr>
            </w:pPr>
            <w:r w:rsidRPr="00182400">
              <w:rPr>
                <w:rFonts w:eastAsia="Proxima Nova"/>
                <w:lang w:val="en-GB" w:eastAsia="en-US"/>
              </w:rPr>
              <w:t>Deliver report</w:t>
            </w:r>
          </w:p>
        </w:tc>
        <w:tc>
          <w:tcPr>
            <w:tcW w:w="2410" w:type="dxa"/>
            <w:shd w:val="clear" w:color="auto" w:fill="auto"/>
          </w:tcPr>
          <w:p w14:paraId="5605F408" w14:textId="77777777" w:rsidR="00DD195B" w:rsidRPr="00182400" w:rsidRDefault="00DD195B" w:rsidP="00182400">
            <w:pPr>
              <w:rPr>
                <w:rFonts w:eastAsia="Proxima Nova"/>
                <w:lang w:eastAsia="en-US"/>
              </w:rPr>
            </w:pPr>
            <w:r w:rsidRPr="00182400">
              <w:rPr>
                <w:rFonts w:eastAsia="Proxima Nova"/>
                <w:lang w:eastAsia="en-US"/>
              </w:rPr>
              <w:t xml:space="preserve">Report </w:t>
            </w:r>
            <w:proofErr w:type="spellStart"/>
            <w:r w:rsidRPr="00182400">
              <w:rPr>
                <w:rFonts w:eastAsia="Proxima Nova"/>
                <w:lang w:eastAsia="en-US"/>
              </w:rPr>
              <w:t>with</w:t>
            </w:r>
            <w:proofErr w:type="spellEnd"/>
            <w:r w:rsidRPr="00182400">
              <w:rPr>
                <w:rFonts w:eastAsia="Proxima Nova"/>
                <w:lang w:eastAsia="en-US"/>
              </w:rPr>
              <w:t xml:space="preserve"> </w:t>
            </w:r>
            <w:proofErr w:type="spellStart"/>
            <w:r w:rsidRPr="00182400">
              <w:rPr>
                <w:rFonts w:eastAsia="Proxima Nova"/>
                <w:lang w:eastAsia="en-US"/>
              </w:rPr>
              <w:t>proposed</w:t>
            </w:r>
            <w:proofErr w:type="spellEnd"/>
            <w:r w:rsidRPr="00182400">
              <w:rPr>
                <w:rFonts w:eastAsia="Proxima Nova"/>
                <w:lang w:eastAsia="en-US"/>
              </w:rPr>
              <w:t xml:space="preserve"> </w:t>
            </w:r>
            <w:proofErr w:type="spellStart"/>
            <w:r w:rsidRPr="00182400">
              <w:rPr>
                <w:rFonts w:eastAsia="Proxima Nova"/>
                <w:lang w:eastAsia="en-US"/>
              </w:rPr>
              <w:t>initiatives</w:t>
            </w:r>
            <w:proofErr w:type="spellEnd"/>
          </w:p>
        </w:tc>
        <w:tc>
          <w:tcPr>
            <w:tcW w:w="1559" w:type="dxa"/>
            <w:shd w:val="clear" w:color="auto" w:fill="auto"/>
          </w:tcPr>
          <w:p w14:paraId="3D6FB265" w14:textId="77777777" w:rsidR="00DD195B" w:rsidRPr="00182400" w:rsidRDefault="00DD195B" w:rsidP="00182400">
            <w:pPr>
              <w:rPr>
                <w:rFonts w:eastAsia="Proxima Nova"/>
                <w:lang w:eastAsia="en-US"/>
              </w:rPr>
            </w:pPr>
          </w:p>
        </w:tc>
        <w:tc>
          <w:tcPr>
            <w:tcW w:w="3828" w:type="dxa"/>
            <w:shd w:val="clear" w:color="auto" w:fill="auto"/>
          </w:tcPr>
          <w:p w14:paraId="011B9E38" w14:textId="77777777" w:rsidR="00DD195B" w:rsidRPr="00182400" w:rsidRDefault="00DD195B" w:rsidP="00182400">
            <w:pPr>
              <w:rPr>
                <w:rFonts w:eastAsia="Proxima Nova"/>
                <w:lang w:eastAsia="en-US"/>
              </w:rPr>
            </w:pPr>
            <w:proofErr w:type="spellStart"/>
            <w:r w:rsidRPr="00182400">
              <w:rPr>
                <w:rFonts w:eastAsia="Proxima Nova"/>
                <w:lang w:eastAsia="en-US"/>
              </w:rPr>
              <w:t>Civil</w:t>
            </w:r>
            <w:proofErr w:type="spellEnd"/>
            <w:r w:rsidRPr="00182400">
              <w:rPr>
                <w:rFonts w:eastAsia="Proxima Nova"/>
                <w:lang w:eastAsia="en-US"/>
              </w:rPr>
              <w:t xml:space="preserve"> </w:t>
            </w:r>
            <w:proofErr w:type="spellStart"/>
            <w:r w:rsidRPr="00182400">
              <w:rPr>
                <w:rFonts w:eastAsia="Proxima Nova"/>
                <w:lang w:eastAsia="en-US"/>
              </w:rPr>
              <w:t>society</w:t>
            </w:r>
            <w:proofErr w:type="spellEnd"/>
            <w:r w:rsidRPr="00182400">
              <w:rPr>
                <w:rFonts w:eastAsia="Proxima Nova"/>
                <w:lang w:eastAsia="en-US"/>
              </w:rPr>
              <w:t xml:space="preserve"> </w:t>
            </w:r>
            <w:proofErr w:type="spellStart"/>
            <w:r w:rsidRPr="00182400">
              <w:rPr>
                <w:rFonts w:eastAsia="Proxima Nova"/>
                <w:lang w:eastAsia="en-US"/>
              </w:rPr>
              <w:t>organisations</w:t>
            </w:r>
            <w:proofErr w:type="spellEnd"/>
          </w:p>
        </w:tc>
      </w:tr>
      <w:tr w:rsidR="00BD01A9" w:rsidRPr="00BB441C" w14:paraId="34E41F57" w14:textId="77777777" w:rsidTr="00BB52BB">
        <w:trPr>
          <w:trHeight w:val="1906"/>
        </w:trPr>
        <w:tc>
          <w:tcPr>
            <w:tcW w:w="1696" w:type="dxa"/>
            <w:shd w:val="clear" w:color="auto" w:fill="auto"/>
          </w:tcPr>
          <w:p w14:paraId="356CCBCB" w14:textId="77777777" w:rsidR="00BD01A9" w:rsidRPr="00182400" w:rsidRDefault="00BD01A9" w:rsidP="00182400">
            <w:pPr>
              <w:spacing w:line="240" w:lineRule="auto"/>
              <w:jc w:val="both"/>
              <w:rPr>
                <w:rStyle w:val="kursiv"/>
                <w:rFonts w:eastAsia="Proxima Nova"/>
                <w:lang w:val="en-GB" w:eastAsia="en-US"/>
              </w:rPr>
            </w:pPr>
          </w:p>
        </w:tc>
        <w:tc>
          <w:tcPr>
            <w:tcW w:w="2410" w:type="dxa"/>
            <w:shd w:val="clear" w:color="auto" w:fill="auto"/>
          </w:tcPr>
          <w:p w14:paraId="29D30141" w14:textId="77777777" w:rsidR="00BD01A9" w:rsidRPr="00182400" w:rsidRDefault="00BD01A9" w:rsidP="00182400">
            <w:pPr>
              <w:spacing w:line="240" w:lineRule="auto"/>
              <w:jc w:val="both"/>
              <w:rPr>
                <w:rFonts w:eastAsia="Proxima Nova" w:cs="Arial"/>
                <w:lang w:val="nn-NO" w:eastAsia="en-US"/>
              </w:rPr>
            </w:pPr>
          </w:p>
        </w:tc>
        <w:tc>
          <w:tcPr>
            <w:tcW w:w="1559" w:type="dxa"/>
            <w:shd w:val="clear" w:color="auto" w:fill="auto"/>
          </w:tcPr>
          <w:p w14:paraId="1EE3D5F5" w14:textId="77777777" w:rsidR="00BD01A9" w:rsidRPr="00182400" w:rsidRDefault="00BD01A9" w:rsidP="00182400">
            <w:pPr>
              <w:spacing w:line="240" w:lineRule="auto"/>
              <w:jc w:val="both"/>
              <w:rPr>
                <w:rFonts w:eastAsia="Proxima Nova" w:cs="Arial"/>
                <w:lang w:val="nn-NO" w:eastAsia="en-US"/>
              </w:rPr>
            </w:pPr>
          </w:p>
        </w:tc>
        <w:tc>
          <w:tcPr>
            <w:tcW w:w="3828" w:type="dxa"/>
            <w:shd w:val="clear" w:color="auto" w:fill="auto"/>
          </w:tcPr>
          <w:tbl>
            <w:tblPr>
              <w:tblStyle w:val="StandardTabell"/>
              <w:tblW w:w="0" w:type="auto"/>
              <w:tblLayout w:type="fixed"/>
              <w:tblLook w:val="04A0" w:firstRow="1" w:lastRow="0" w:firstColumn="1" w:lastColumn="0" w:noHBand="0" w:noVBand="1"/>
            </w:tblPr>
            <w:tblGrid>
              <w:gridCol w:w="1200"/>
              <w:gridCol w:w="1201"/>
              <w:gridCol w:w="1201"/>
            </w:tblGrid>
            <w:tr w:rsidR="00BD01A9" w14:paraId="53E166B0" w14:textId="77777777" w:rsidTr="00FC67C4">
              <w:tc>
                <w:tcPr>
                  <w:tcW w:w="3602" w:type="dxa"/>
                  <w:gridSpan w:val="3"/>
                </w:tcPr>
                <w:p w14:paraId="3916C0B7" w14:textId="77777777" w:rsidR="00BD01A9" w:rsidRPr="00182400" w:rsidRDefault="00BD01A9" w:rsidP="00BD01A9">
                  <w:pPr>
                    <w:rPr>
                      <w:rFonts w:eastAsia="Calibri"/>
                      <w:lang w:val="en-US"/>
                    </w:rPr>
                  </w:pPr>
                  <w:r w:rsidRPr="00182400">
                    <w:rPr>
                      <w:rFonts w:eastAsia="Calibri"/>
                      <w:lang w:val="en-GB" w:bidi="en-GB"/>
                    </w:rPr>
                    <w:t>Responsible:</w:t>
                  </w:r>
                </w:p>
                <w:p w14:paraId="79B5F0BC" w14:textId="38EBEE31" w:rsidR="00BD01A9" w:rsidRDefault="00BD01A9" w:rsidP="00BD01A9">
                  <w:pPr>
                    <w:rPr>
                      <w:rFonts w:eastAsia="Calibri"/>
                      <w:lang w:val="en-US"/>
                    </w:rPr>
                  </w:pPr>
                  <w:r w:rsidRPr="00182400">
                    <w:rPr>
                      <w:rFonts w:eastAsia="Proxima Nova" w:cs="Arial"/>
                      <w:lang w:val="en-GB" w:bidi="en-GB"/>
                    </w:rPr>
                    <w:t>Department of National IT Policy and Public Governance</w:t>
                  </w:r>
                </w:p>
              </w:tc>
            </w:tr>
            <w:tr w:rsidR="00BD01A9" w14:paraId="20470D96" w14:textId="77777777" w:rsidTr="00E64EB2">
              <w:tc>
                <w:tcPr>
                  <w:tcW w:w="3602" w:type="dxa"/>
                  <w:gridSpan w:val="3"/>
                </w:tcPr>
                <w:p w14:paraId="76290F90" w14:textId="3F5289E9" w:rsidR="00BD01A9" w:rsidRDefault="00BD01A9" w:rsidP="00182400">
                  <w:pPr>
                    <w:rPr>
                      <w:rFonts w:eastAsia="Calibri"/>
                      <w:lang w:val="en-US"/>
                    </w:rPr>
                  </w:pPr>
                  <w:r w:rsidRPr="00182400">
                    <w:rPr>
                      <w:rFonts w:eastAsia="Proxima Nova" w:cs="Arial"/>
                      <w:lang w:bidi="en-GB"/>
                    </w:rPr>
                    <w:t>Stakeholders/supporters</w:t>
                  </w:r>
                </w:p>
              </w:tc>
            </w:tr>
            <w:tr w:rsidR="00BD01A9" w14:paraId="39BBB25A" w14:textId="77777777" w:rsidTr="00BD01A9">
              <w:tc>
                <w:tcPr>
                  <w:tcW w:w="1200" w:type="dxa"/>
                </w:tcPr>
                <w:p w14:paraId="60E0FA26" w14:textId="559D2238" w:rsidR="00BD01A9" w:rsidRDefault="00BD01A9" w:rsidP="00BD01A9">
                  <w:pPr>
                    <w:rPr>
                      <w:rFonts w:eastAsia="Calibri"/>
                      <w:lang w:val="en-US"/>
                    </w:rPr>
                  </w:pPr>
                  <w:r w:rsidRPr="00182400">
                    <w:rPr>
                      <w:rFonts w:eastAsia="Proxima Nova" w:cs="Arial"/>
                      <w:lang w:bidi="en-GB"/>
                    </w:rPr>
                    <w:t xml:space="preserve">Public </w:t>
                  </w:r>
                  <w:proofErr w:type="spellStart"/>
                  <w:r w:rsidRPr="00182400">
                    <w:rPr>
                      <w:rFonts w:eastAsia="Proxima Nova" w:cs="Arial"/>
                      <w:lang w:bidi="en-GB"/>
                    </w:rPr>
                    <w:t>administration</w:t>
                  </w:r>
                  <w:proofErr w:type="spellEnd"/>
                  <w:r w:rsidRPr="00182400">
                    <w:rPr>
                      <w:rFonts w:eastAsia="Proxima Nova" w:cs="Arial"/>
                      <w:lang w:bidi="en-GB"/>
                    </w:rPr>
                    <w:t xml:space="preserve"> </w:t>
                  </w:r>
                </w:p>
              </w:tc>
              <w:tc>
                <w:tcPr>
                  <w:tcW w:w="1201" w:type="dxa"/>
                </w:tcPr>
                <w:p w14:paraId="31E968A9" w14:textId="0836AD2B" w:rsidR="00BD01A9" w:rsidRDefault="00BD01A9" w:rsidP="00BD01A9">
                  <w:pPr>
                    <w:rPr>
                      <w:rFonts w:eastAsia="Calibri"/>
                      <w:lang w:val="en-US"/>
                    </w:rPr>
                  </w:pPr>
                  <w:proofErr w:type="spellStart"/>
                  <w:r w:rsidRPr="00182400">
                    <w:rPr>
                      <w:rFonts w:eastAsia="Proxima Nova" w:cs="Arial"/>
                      <w:lang w:bidi="en-GB"/>
                    </w:rPr>
                    <w:t>Civil</w:t>
                  </w:r>
                  <w:proofErr w:type="spellEnd"/>
                  <w:r w:rsidRPr="00182400">
                    <w:rPr>
                      <w:rFonts w:eastAsia="Proxima Nova" w:cs="Arial"/>
                      <w:lang w:bidi="en-GB"/>
                    </w:rPr>
                    <w:t xml:space="preserve"> </w:t>
                  </w:r>
                  <w:proofErr w:type="spellStart"/>
                  <w:r w:rsidRPr="00182400">
                    <w:rPr>
                      <w:rFonts w:eastAsia="Proxima Nova" w:cs="Arial"/>
                      <w:lang w:bidi="en-GB"/>
                    </w:rPr>
                    <w:t>society</w:t>
                  </w:r>
                  <w:proofErr w:type="spellEnd"/>
                  <w:r w:rsidRPr="00182400">
                    <w:rPr>
                      <w:rFonts w:eastAsia="Proxima Nova" w:cs="Arial"/>
                      <w:lang w:bidi="en-GB"/>
                    </w:rPr>
                    <w:t xml:space="preserve"> </w:t>
                  </w:r>
                  <w:proofErr w:type="spellStart"/>
                  <w:r w:rsidRPr="00182400">
                    <w:rPr>
                      <w:rFonts w:eastAsia="Proxima Nova" w:cs="Arial"/>
                      <w:lang w:bidi="en-GB"/>
                    </w:rPr>
                    <w:t>organisations</w:t>
                  </w:r>
                  <w:proofErr w:type="spellEnd"/>
                </w:p>
              </w:tc>
              <w:tc>
                <w:tcPr>
                  <w:tcW w:w="1201" w:type="dxa"/>
                </w:tcPr>
                <w:p w14:paraId="6260E19A" w14:textId="349DF089" w:rsidR="00BD01A9" w:rsidRDefault="00BD01A9" w:rsidP="00BD01A9">
                  <w:pPr>
                    <w:rPr>
                      <w:rFonts w:eastAsia="Calibri"/>
                      <w:lang w:val="en-US"/>
                    </w:rPr>
                  </w:pPr>
                  <w:r w:rsidRPr="00182400">
                    <w:rPr>
                      <w:rFonts w:eastAsia="Proxima Nova" w:cs="Arial"/>
                      <w:lang w:val="en-GB" w:bidi="en-GB"/>
                    </w:rPr>
                    <w:t>Others (</w:t>
                  </w:r>
                  <w:proofErr w:type="gramStart"/>
                  <w:r w:rsidRPr="00182400">
                    <w:rPr>
                      <w:rFonts w:eastAsia="Proxima Nova" w:cs="Arial"/>
                      <w:lang w:val="en-GB" w:bidi="en-GB"/>
                    </w:rPr>
                    <w:t>e.g.</w:t>
                  </w:r>
                  <w:proofErr w:type="gramEnd"/>
                  <w:r w:rsidRPr="00182400">
                    <w:rPr>
                      <w:rFonts w:eastAsia="Proxima Nova" w:cs="Arial"/>
                      <w:lang w:val="en-GB" w:bidi="en-GB"/>
                    </w:rPr>
                    <w:t xml:space="preserve"> parliament, civil society, others)</w:t>
                  </w:r>
                </w:p>
              </w:tc>
            </w:tr>
          </w:tbl>
          <w:p w14:paraId="36E2C674" w14:textId="7A7099D2" w:rsidR="00BD01A9" w:rsidRPr="00182400" w:rsidRDefault="00BD01A9" w:rsidP="00182400">
            <w:pPr>
              <w:rPr>
                <w:rFonts w:eastAsia="Calibri"/>
                <w:lang w:val="en-US" w:eastAsia="en-US"/>
              </w:rPr>
            </w:pPr>
          </w:p>
        </w:tc>
      </w:tr>
    </w:tbl>
    <w:p w14:paraId="6C18B652" w14:textId="77777777" w:rsidR="00BD01A9" w:rsidRPr="00291078" w:rsidRDefault="00BD01A9" w:rsidP="00FA06AB">
      <w:pPr>
        <w:spacing w:line="259" w:lineRule="auto"/>
        <w:rPr>
          <w:rFonts w:cs="Arial"/>
          <w:lang w:val="en-GB"/>
        </w:rPr>
      </w:pPr>
    </w:p>
    <w:p w14:paraId="2D2FDEA0" w14:textId="77777777" w:rsidR="00291078" w:rsidRDefault="00FA06AB" w:rsidP="00291078">
      <w:pPr>
        <w:pStyle w:val="Overskrift2"/>
        <w:rPr>
          <w:lang w:val="en-US"/>
        </w:rPr>
      </w:pPr>
      <w:r w:rsidRPr="00291078">
        <w:rPr>
          <w:lang w:val="en-GB" w:bidi="en-GB"/>
        </w:rPr>
        <w:t>Follow up the reports from the Norwegian Commission for Freedom of Expression (2022:9) and the Norwegian Privacy Commission (</w:t>
      </w:r>
      <w:r w:rsidR="00291078" w:rsidRPr="00291078">
        <w:rPr>
          <w:lang w:val="en-GB" w:bidi="en-GB"/>
        </w:rPr>
        <w:t>NOU 2022: 11</w:t>
      </w:r>
      <w:r w:rsidRPr="00291078">
        <w:rPr>
          <w:lang w:val="en-GB" w:bidi="en-GB"/>
        </w:rPr>
        <w:t>)</w:t>
      </w:r>
    </w:p>
    <w:p w14:paraId="207C66B6" w14:textId="77777777" w:rsidR="00291078" w:rsidRPr="00291078" w:rsidRDefault="00B8739B" w:rsidP="00B8739B">
      <w:pPr>
        <w:rPr>
          <w:rFonts w:cs="Arial"/>
          <w:lang w:val="en-GB" w:bidi="en-GB"/>
        </w:rPr>
      </w:pPr>
      <w:r w:rsidRPr="00291078">
        <w:rPr>
          <w:lang w:val="en-GB" w:bidi="en-GB"/>
        </w:rPr>
        <w:t xml:space="preserve">The Ministry of Justice and Public Security has submitted a proposal for following up the </w:t>
      </w:r>
      <w:r w:rsidRPr="00291078">
        <w:rPr>
          <w:rFonts w:cs="Arial"/>
          <w:lang w:val="en-GB" w:bidi="en-GB"/>
        </w:rPr>
        <w:t>reports from the Freedom of Expression Commission (2022:9) and the Privacy Commission (</w:t>
      </w:r>
      <w:r w:rsidR="00291078" w:rsidRPr="00291078">
        <w:rPr>
          <w:rFonts w:cs="Arial"/>
          <w:lang w:val="en-GB" w:bidi="en-GB"/>
        </w:rPr>
        <w:t>NOU 2022: 11</w:t>
      </w:r>
      <w:r w:rsidRPr="00291078">
        <w:rPr>
          <w:rFonts w:cs="Arial"/>
          <w:lang w:val="en-GB" w:bidi="en-GB"/>
        </w:rPr>
        <w:t>). The Ministry of Justice points out that there are several chapters that summarise conditions that may be important for openness</w:t>
      </w:r>
      <w:r w:rsidR="00291078" w:rsidRPr="00291078">
        <w:rPr>
          <w:rFonts w:cs="Arial"/>
          <w:lang w:val="en-GB" w:bidi="en-GB"/>
        </w:rPr>
        <w:t xml:space="preserve"> – </w:t>
      </w:r>
      <w:r w:rsidRPr="00291078">
        <w:rPr>
          <w:rFonts w:cs="Arial"/>
          <w:lang w:val="en-GB" w:bidi="en-GB"/>
        </w:rPr>
        <w:t>especially chapter 7 in both NOU reports, which deals with privacy in the justice sector and the Internet as infrastructure for freedom of expression, respectively.</w:t>
      </w:r>
    </w:p>
    <w:p w14:paraId="5F7D0BA3" w14:textId="77777777" w:rsidR="0064546B" w:rsidRDefault="00B8739B" w:rsidP="00B8739B">
      <w:pPr>
        <w:rPr>
          <w:rFonts w:cs="Arial"/>
          <w:lang w:val="en-GB" w:bidi="en-GB"/>
        </w:rPr>
      </w:pPr>
      <w:r w:rsidRPr="00291078">
        <w:rPr>
          <w:rFonts w:cs="Arial"/>
          <w:lang w:val="en-GB" w:bidi="en-GB"/>
        </w:rPr>
        <w:lastRenderedPageBreak/>
        <w:t>The Ministry of Justice proposes that we should look at how new technology, such as new tools and methods in the justice sector, can affect the public discourse, including freedom of communication and the protection of sources.</w:t>
      </w:r>
    </w:p>
    <w:p w14:paraId="5B345CE8" w14:textId="77777777" w:rsidR="00291078" w:rsidRDefault="003C1FBE" w:rsidP="00291078">
      <w:pPr>
        <w:pStyle w:val="Overskrift2"/>
        <w:rPr>
          <w:lang w:val="en-US"/>
        </w:rPr>
      </w:pPr>
      <w:r w:rsidRPr="00291078">
        <w:rPr>
          <w:lang w:val="en-GB" w:bidi="en-GB"/>
        </w:rPr>
        <w:t xml:space="preserve">Work to ensure that no more information is withheld in the health area than is authorised by </w:t>
      </w:r>
      <w:proofErr w:type="gramStart"/>
      <w:r w:rsidRPr="00291078">
        <w:rPr>
          <w:lang w:val="en-GB" w:bidi="en-GB"/>
        </w:rPr>
        <w:t>law</w:t>
      </w:r>
      <w:proofErr w:type="gramEnd"/>
    </w:p>
    <w:p w14:paraId="02DD1151" w14:textId="77777777" w:rsidR="00291078" w:rsidRPr="00291078" w:rsidRDefault="003C1FBE" w:rsidP="003C1FBE">
      <w:pPr>
        <w:rPr>
          <w:lang w:val="en-GB" w:bidi="en-GB"/>
        </w:rPr>
      </w:pPr>
      <w:r w:rsidRPr="00291078">
        <w:rPr>
          <w:lang w:val="en-GB" w:bidi="en-GB"/>
        </w:rPr>
        <w:t xml:space="preserve">The press organisations proposed an obligation for public authorities to facilitate openness and access by ensuring that the public sector does not withhold more information than the law allows. The background is that the press experiences a lack of access to health-related information in press coverage of accidents, </w:t>
      </w:r>
      <w:proofErr w:type="gramStart"/>
      <w:r w:rsidRPr="00291078">
        <w:rPr>
          <w:lang w:val="en-GB" w:bidi="en-GB"/>
        </w:rPr>
        <w:t>malpractice</w:t>
      </w:r>
      <w:proofErr w:type="gramEnd"/>
      <w:r w:rsidRPr="00291078">
        <w:rPr>
          <w:lang w:val="en-GB" w:bidi="en-GB"/>
        </w:rPr>
        <w:t xml:space="preserve"> and other health-related cases, and in these cases are often met with what they perceive as erroneous and exaggerated claims about GDPR and the duty of confidentiality from hospitals, etc. The question is therefore whether the GDPR and the duty of confidentiality are interpreted too broadly, and whether Article 85 of the Regulation is understood and practised correctly.</w:t>
      </w:r>
    </w:p>
    <w:p w14:paraId="75EE0C84" w14:textId="77777777" w:rsidR="0064546B" w:rsidRDefault="003C1FBE" w:rsidP="0060233C">
      <w:pPr>
        <w:rPr>
          <w:lang w:val="en-GB" w:bidi="en-GB"/>
        </w:rPr>
      </w:pPr>
      <w:r w:rsidRPr="00291078">
        <w:rPr>
          <w:lang w:val="en-GB" w:bidi="en-GB"/>
        </w:rPr>
        <w:t>The primary obligation is to work to ensure that no more health information is withheld than is authorised by law, which can be achieved through the correct application of GDPR and the rules concerning the duty of confidentiality.</w:t>
      </w:r>
    </w:p>
    <w:p w14:paraId="486317B8" w14:textId="77777777" w:rsidR="00FA06AB" w:rsidRPr="00A931A6" w:rsidRDefault="00FA06AB" w:rsidP="0060233C">
      <w:pPr>
        <w:rPr>
          <w:rFonts w:cs="Arial"/>
          <w:lang w:val="en-US"/>
        </w:rPr>
      </w:pPr>
    </w:p>
    <w:sectPr w:rsidR="00FA06AB" w:rsidRPr="00A931A6" w:rsidSect="000A1CB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D514" w14:textId="77777777" w:rsidR="00B75694" w:rsidRDefault="00B75694" w:rsidP="009B113F">
      <w:pPr>
        <w:spacing w:line="240" w:lineRule="auto"/>
      </w:pPr>
      <w:r>
        <w:separator/>
      </w:r>
    </w:p>
  </w:endnote>
  <w:endnote w:type="continuationSeparator" w:id="0">
    <w:p w14:paraId="69CD2352" w14:textId="77777777" w:rsidR="00B75694" w:rsidRDefault="00B75694"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6CE0" w14:textId="77777777" w:rsidR="008331F8" w:rsidRDefault="008331F8">
    <w:pPr>
      <w:pStyle w:val="Bunntekst"/>
      <w:jc w:val="right"/>
    </w:pPr>
    <w:r>
      <w:rPr>
        <w:lang w:bidi="en-GB"/>
      </w:rPr>
      <w:fldChar w:fldCharType="begin"/>
    </w:r>
    <w:r>
      <w:rPr>
        <w:lang w:bidi="en-GB"/>
      </w:rPr>
      <w:instrText>PAGE   \* MERGEFORMAT</w:instrText>
    </w:r>
    <w:r>
      <w:rPr>
        <w:lang w:bidi="en-GB"/>
      </w:rPr>
      <w:fldChar w:fldCharType="separate"/>
    </w:r>
    <w:r>
      <w:rPr>
        <w:lang w:bidi="en-GB"/>
      </w:rPr>
      <w:t>2</w:t>
    </w:r>
    <w:r>
      <w:rPr>
        <w:lang w:bidi="en-GB"/>
      </w:rPr>
      <w:fldChar w:fldCharType="end"/>
    </w:r>
  </w:p>
  <w:p w14:paraId="4288A078" w14:textId="77777777" w:rsidR="008331F8" w:rsidRDefault="008331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B84F" w14:textId="77777777" w:rsidR="00B75694" w:rsidRDefault="00B75694" w:rsidP="009B113F">
      <w:pPr>
        <w:spacing w:line="240" w:lineRule="auto"/>
      </w:pPr>
      <w:r>
        <w:separator/>
      </w:r>
    </w:p>
  </w:footnote>
  <w:footnote w:type="continuationSeparator" w:id="0">
    <w:p w14:paraId="1608A895" w14:textId="77777777" w:rsidR="00B75694" w:rsidRDefault="00B75694" w:rsidP="009B113F">
      <w:pPr>
        <w:spacing w:line="240" w:lineRule="auto"/>
      </w:pPr>
      <w:r>
        <w:continuationSeparator/>
      </w:r>
    </w:p>
  </w:footnote>
  <w:footnote w:id="1">
    <w:p w14:paraId="22FC456D" w14:textId="77777777" w:rsidR="0064546B" w:rsidRPr="00943169" w:rsidRDefault="0064546B" w:rsidP="00291078">
      <w:pPr>
        <w:pStyle w:val="Fotnotetekst"/>
        <w:rPr>
          <w:lang w:val="en-US"/>
        </w:rPr>
      </w:pPr>
      <w:r w:rsidRPr="0064546B">
        <w:rPr>
          <w:rStyle w:val="Fotnotereferanse"/>
        </w:rPr>
        <w:footnoteRef/>
      </w:r>
      <w:r w:rsidRPr="00291078">
        <w:rPr>
          <w:lang w:val="en-GB" w:bidi="en-GB"/>
        </w:rPr>
        <w:t>IRM: Independent Reporting Mechanism</w:t>
      </w:r>
    </w:p>
  </w:footnote>
  <w:footnote w:id="2">
    <w:p w14:paraId="43003C64" w14:textId="77777777" w:rsidR="0064546B" w:rsidRPr="004B6326" w:rsidRDefault="0064546B" w:rsidP="00053CBB">
      <w:pPr>
        <w:pStyle w:val="Fotnotetekst"/>
        <w:rPr>
          <w:lang w:val="en-US"/>
        </w:rPr>
      </w:pPr>
      <w:r w:rsidRPr="0064546B">
        <w:rPr>
          <w:rStyle w:val="Fotnotereferanse"/>
        </w:rPr>
        <w:footnoteRef/>
      </w:r>
      <w:r w:rsidRPr="00291078">
        <w:rPr>
          <w:lang w:val="en-GB"/>
        </w:rPr>
        <w:t>A council appointed by the government to assist in the work with openness in administration.</w:t>
      </w:r>
    </w:p>
  </w:footnote>
  <w:footnote w:id="3">
    <w:p w14:paraId="7B19A157" w14:textId="77777777" w:rsidR="0064546B" w:rsidRPr="00AD1769" w:rsidRDefault="0064546B" w:rsidP="003A562F">
      <w:pPr>
        <w:spacing w:after="150" w:line="240" w:lineRule="auto"/>
        <w:outlineLvl w:val="1"/>
        <w:rPr>
          <w:rFonts w:cs="Arial"/>
          <w:sz w:val="16"/>
          <w:szCs w:val="16"/>
          <w:lang w:val="en-US"/>
        </w:rPr>
      </w:pPr>
      <w:r w:rsidRPr="0064546B">
        <w:rPr>
          <w:rStyle w:val="Fotnotereferanse"/>
        </w:rPr>
        <w:footnoteRef/>
      </w:r>
      <w:r w:rsidRPr="00291078">
        <w:rPr>
          <w:sz w:val="16"/>
          <w:szCs w:val="16"/>
          <w:lang w:val="en-GB" w:bidi="en-GB"/>
        </w:rPr>
        <w:t xml:space="preserve">Levels of public trust in Norway are among the highest in OECD countries. </w:t>
      </w:r>
      <w:r w:rsidRPr="00BB441C">
        <w:rPr>
          <w:sz w:val="16"/>
          <w:szCs w:val="16"/>
          <w:lang w:val="en-GB" w:bidi="en-GB"/>
        </w:rPr>
        <w:t xml:space="preserve">In 2021, 77% of the population reported trusting the government, compared to an OECD average of 47%. Law and order institutions, such as courts and the police, are trusted by 82% of people. The parliament is trusted by 69% of the population, while 65% trust the civil service and 58%, the local government. On the low end of the spectrum, only 40% of Norwegians reported trusting the media, with no distinction among different types of providers. </w:t>
      </w:r>
      <w:r w:rsidRPr="00291078">
        <w:rPr>
          <w:sz w:val="16"/>
          <w:szCs w:val="16"/>
          <w:lang w:val="en-GB" w:bidi="en-GB"/>
        </w:rPr>
        <w:t>(</w:t>
      </w:r>
      <w:r w:rsidRPr="00291078">
        <w:rPr>
          <w:rFonts w:cs="Arial"/>
          <w:sz w:val="16"/>
          <w:szCs w:val="16"/>
          <w:lang w:val="en-GB" w:bidi="en-GB"/>
        </w:rPr>
        <w:t>OECD report:</w:t>
      </w:r>
      <w:r w:rsidRPr="00291078">
        <w:rPr>
          <w:sz w:val="16"/>
          <w:szCs w:val="16"/>
          <w:lang w:val="en-GB" w:bidi="en-GB"/>
        </w:rPr>
        <w:t xml:space="preserve"> </w:t>
      </w:r>
      <w:r>
        <w:rPr>
          <w:sz w:val="16"/>
          <w:szCs w:val="16"/>
          <w:lang w:val="en-GB" w:bidi="en-GB"/>
        </w:rPr>
        <w:t>«</w:t>
      </w:r>
      <w:r w:rsidRPr="00291078">
        <w:rPr>
          <w:rFonts w:cs="Arial"/>
          <w:sz w:val="16"/>
          <w:szCs w:val="16"/>
          <w:lang w:val="en-GB" w:bidi="en-GB"/>
        </w:rPr>
        <w:t>Drivers of Trust in Public Institutions in Norway</w:t>
      </w:r>
      <w:r>
        <w:rPr>
          <w:rFonts w:cs="Arial"/>
          <w:sz w:val="16"/>
          <w:szCs w:val="16"/>
          <w:lang w:val="en-GB" w:bidi="en-GB"/>
        </w:rPr>
        <w:t>»</w:t>
      </w:r>
      <w:r w:rsidRPr="00291078">
        <w:rPr>
          <w:rFonts w:cs="Arial"/>
          <w:sz w:val="16"/>
          <w:szCs w:val="16"/>
          <w:lang w:val="en-GB" w:bidi="en-GB"/>
        </w:rPr>
        <w:t xml:space="preserve"> p. 9.)</w:t>
      </w:r>
    </w:p>
    <w:p w14:paraId="214F7EB8" w14:textId="77777777" w:rsidR="0064546B" w:rsidRPr="00BD3B49" w:rsidRDefault="0064546B" w:rsidP="00FA06AB">
      <w:pPr>
        <w:pStyle w:val="Fotnotetekst"/>
        <w:rPr>
          <w:sz w:val="16"/>
          <w:szCs w:val="16"/>
          <w:lang w:val="en-US"/>
        </w:rPr>
      </w:pPr>
    </w:p>
  </w:footnote>
  <w:footnote w:id="4">
    <w:p w14:paraId="01BD12EB" w14:textId="77777777" w:rsidR="0064546B" w:rsidRPr="00291078" w:rsidRDefault="0064546B" w:rsidP="00FA06AB">
      <w:pPr>
        <w:pStyle w:val="Fotnotetekst"/>
        <w:rPr>
          <w:lang w:val="en-US"/>
        </w:rPr>
      </w:pPr>
      <w:r w:rsidRPr="0064546B">
        <w:rPr>
          <w:rStyle w:val="Fotnotereferanse"/>
        </w:rPr>
        <w:footnoteRef/>
      </w:r>
      <w:proofErr w:type="spellStart"/>
      <w:r w:rsidRPr="00291078">
        <w:rPr>
          <w:sz w:val="16"/>
          <w:szCs w:val="16"/>
          <w:lang w:val="en-US" w:bidi="en-GB"/>
        </w:rPr>
        <w:t>Frivillige</w:t>
      </w:r>
      <w:proofErr w:type="spellEnd"/>
      <w:r w:rsidRPr="00291078">
        <w:rPr>
          <w:sz w:val="16"/>
          <w:szCs w:val="16"/>
          <w:lang w:val="en-US" w:bidi="en-GB"/>
        </w:rPr>
        <w:t xml:space="preserve"> </w:t>
      </w:r>
      <w:proofErr w:type="spellStart"/>
      <w:r w:rsidRPr="00291078">
        <w:rPr>
          <w:sz w:val="16"/>
          <w:szCs w:val="16"/>
          <w:lang w:val="en-US" w:bidi="en-GB"/>
        </w:rPr>
        <w:t>organisasjoners</w:t>
      </w:r>
      <w:proofErr w:type="spellEnd"/>
      <w:r w:rsidRPr="00291078">
        <w:rPr>
          <w:sz w:val="16"/>
          <w:szCs w:val="16"/>
          <w:lang w:val="en-US" w:bidi="en-GB"/>
        </w:rPr>
        <w:t xml:space="preserve"> </w:t>
      </w:r>
      <w:proofErr w:type="spellStart"/>
      <w:r w:rsidRPr="00291078">
        <w:rPr>
          <w:sz w:val="16"/>
          <w:szCs w:val="16"/>
          <w:lang w:val="en-US" w:bidi="en-GB"/>
        </w:rPr>
        <w:t>påvirkning</w:t>
      </w:r>
      <w:proofErr w:type="spellEnd"/>
      <w:r w:rsidRPr="00291078">
        <w:rPr>
          <w:sz w:val="16"/>
          <w:szCs w:val="16"/>
          <w:lang w:val="en-US" w:bidi="en-GB"/>
        </w:rPr>
        <w:t xml:space="preserve"> av </w:t>
      </w:r>
      <w:proofErr w:type="spellStart"/>
      <w:r w:rsidRPr="00291078">
        <w:rPr>
          <w:sz w:val="16"/>
          <w:szCs w:val="16"/>
          <w:lang w:val="en-US" w:bidi="en-GB"/>
        </w:rPr>
        <w:t>offentlig</w:t>
      </w:r>
      <w:proofErr w:type="spellEnd"/>
      <w:r w:rsidRPr="00291078">
        <w:rPr>
          <w:sz w:val="16"/>
          <w:szCs w:val="16"/>
          <w:lang w:val="en-US" w:bidi="en-GB"/>
        </w:rPr>
        <w:t xml:space="preserve"> </w:t>
      </w:r>
      <w:proofErr w:type="spellStart"/>
      <w:r w:rsidRPr="00291078">
        <w:rPr>
          <w:sz w:val="16"/>
          <w:szCs w:val="16"/>
          <w:lang w:val="en-US" w:bidi="en-GB"/>
        </w:rPr>
        <w:t>politikk</w:t>
      </w:r>
      <w:proofErr w:type="spellEnd"/>
      <w:r w:rsidRPr="00291078">
        <w:rPr>
          <w:sz w:val="16"/>
          <w:szCs w:val="16"/>
          <w:lang w:val="en-US" w:bidi="en-GB"/>
        </w:rPr>
        <w:t xml:space="preserve"> og </w:t>
      </w:r>
      <w:hyperlink r:id="rId1" w:history="1">
        <w:proofErr w:type="spellStart"/>
        <w:r w:rsidRPr="00291078">
          <w:rPr>
            <w:rStyle w:val="Hyperkobling"/>
            <w:sz w:val="16"/>
            <w:szCs w:val="16"/>
            <w:lang w:val="en-US" w:bidi="en-GB"/>
          </w:rPr>
          <w:t>samfunn</w:t>
        </w:r>
        <w:proofErr w:type="spellEnd"/>
      </w:hyperlink>
      <w:r w:rsidRPr="00291078">
        <w:rPr>
          <w:sz w:val="16"/>
          <w:szCs w:val="16"/>
          <w:lang w:val="en-US" w:bidi="en-GB"/>
        </w:rPr>
        <w:t xml:space="preserve"> (2017 bachelor</w:t>
      </w:r>
      <w:r>
        <w:rPr>
          <w:sz w:val="16"/>
          <w:szCs w:val="16"/>
          <w:lang w:val="en-US" w:bidi="en-GB"/>
        </w:rPr>
        <w:t>’</w:t>
      </w:r>
      <w:r w:rsidRPr="00291078">
        <w:rPr>
          <w:sz w:val="16"/>
          <w:szCs w:val="16"/>
          <w:lang w:val="en-US" w:bidi="en-GB"/>
        </w:rPr>
        <w:t xml:space="preserve">s thesis on voluntary </w:t>
      </w:r>
      <w:proofErr w:type="spellStart"/>
      <w:r w:rsidRPr="00291078">
        <w:rPr>
          <w:sz w:val="16"/>
          <w:szCs w:val="16"/>
          <w:lang w:val="en-US" w:bidi="en-GB"/>
        </w:rPr>
        <w:t>organisations</w:t>
      </w:r>
      <w:r>
        <w:rPr>
          <w:sz w:val="16"/>
          <w:szCs w:val="16"/>
          <w:lang w:val="en-US" w:bidi="en-GB"/>
        </w:rPr>
        <w:t>’</w:t>
      </w:r>
      <w:proofErr w:type="spellEnd"/>
      <w:r w:rsidRPr="00291078">
        <w:rPr>
          <w:sz w:val="16"/>
          <w:szCs w:val="16"/>
          <w:lang w:val="en-US" w:bidi="en-GB"/>
        </w:rPr>
        <w:t xml:space="preserve"> influence on public policy and society – in Norwegian only)</w:t>
      </w:r>
    </w:p>
  </w:footnote>
  <w:footnote w:id="5">
    <w:p w14:paraId="4D8B6C14" w14:textId="77777777" w:rsidR="0064546B" w:rsidRPr="003D6135" w:rsidRDefault="0064546B" w:rsidP="00FA06AB">
      <w:pPr>
        <w:pStyle w:val="Fotnotetekst"/>
        <w:rPr>
          <w:lang w:val="en-US"/>
        </w:rPr>
      </w:pPr>
      <w:r w:rsidRPr="0064546B">
        <w:rPr>
          <w:rStyle w:val="Fotnotereferanse"/>
        </w:rPr>
        <w:footnoteRef/>
      </w:r>
      <w:r w:rsidRPr="003D6135">
        <w:rPr>
          <w:lang w:bidi="en-GB"/>
        </w:rPr>
        <w:t xml:space="preserve">See </w:t>
      </w:r>
      <w:proofErr w:type="gramStart"/>
      <w:r w:rsidRPr="003D6135">
        <w:rPr>
          <w:lang w:bidi="en-GB"/>
        </w:rPr>
        <w:t>case</w:t>
      </w:r>
      <w:proofErr w:type="gramEnd"/>
      <w:r w:rsidRPr="003D6135">
        <w:rPr>
          <w:lang w:bidi="en-GB"/>
        </w:rPr>
        <w:t xml:space="preserve"> 22/4554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02537C1"/>
    <w:multiLevelType w:val="hybridMultilevel"/>
    <w:tmpl w:val="FD26556A"/>
    <w:lvl w:ilvl="0" w:tplc="F88EFE24">
      <w:start w:val="1"/>
      <w:numFmt w:val="bullet"/>
      <w:pStyle w:val="Talepunk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988483688">
    <w:abstractNumId w:val="34"/>
  </w:num>
  <w:num w:numId="2" w16cid:durableId="1233850745">
    <w:abstractNumId w:val="39"/>
  </w:num>
  <w:num w:numId="3" w16cid:durableId="274558633">
    <w:abstractNumId w:val="32"/>
  </w:num>
  <w:num w:numId="4" w16cid:durableId="131606960">
    <w:abstractNumId w:val="38"/>
  </w:num>
  <w:num w:numId="5" w16cid:durableId="1913730514">
    <w:abstractNumId w:val="12"/>
  </w:num>
  <w:num w:numId="6" w16cid:durableId="1855874811">
    <w:abstractNumId w:val="16"/>
  </w:num>
  <w:num w:numId="7" w16cid:durableId="1994794289">
    <w:abstractNumId w:val="3"/>
  </w:num>
  <w:num w:numId="8" w16cid:durableId="44455288">
    <w:abstractNumId w:val="25"/>
  </w:num>
  <w:num w:numId="9" w16cid:durableId="798496015">
    <w:abstractNumId w:val="2"/>
  </w:num>
  <w:num w:numId="10" w16cid:durableId="1342202052">
    <w:abstractNumId w:val="9"/>
  </w:num>
  <w:num w:numId="11" w16cid:durableId="2064060220">
    <w:abstractNumId w:val="10"/>
  </w:num>
  <w:num w:numId="12" w16cid:durableId="899441940">
    <w:abstractNumId w:val="31"/>
  </w:num>
  <w:num w:numId="13" w16cid:durableId="1862890086">
    <w:abstractNumId w:val="4"/>
  </w:num>
  <w:num w:numId="14" w16cid:durableId="239872686">
    <w:abstractNumId w:val="15"/>
  </w:num>
  <w:num w:numId="15" w16cid:durableId="2103136472">
    <w:abstractNumId w:val="30"/>
  </w:num>
  <w:num w:numId="16" w16cid:durableId="1011643066">
    <w:abstractNumId w:val="36"/>
  </w:num>
  <w:num w:numId="17" w16cid:durableId="407508288">
    <w:abstractNumId w:val="23"/>
  </w:num>
  <w:num w:numId="18" w16cid:durableId="1670522284">
    <w:abstractNumId w:val="1"/>
  </w:num>
  <w:num w:numId="19" w16cid:durableId="4093094">
    <w:abstractNumId w:val="21"/>
  </w:num>
  <w:num w:numId="20" w16cid:durableId="1451703043">
    <w:abstractNumId w:val="26"/>
  </w:num>
  <w:num w:numId="21" w16cid:durableId="650406585">
    <w:abstractNumId w:val="33"/>
  </w:num>
  <w:num w:numId="22" w16cid:durableId="413625013">
    <w:abstractNumId w:val="37"/>
  </w:num>
  <w:num w:numId="23" w16cid:durableId="2134126627">
    <w:abstractNumId w:val="5"/>
  </w:num>
  <w:num w:numId="24" w16cid:durableId="1724059348">
    <w:abstractNumId w:val="13"/>
  </w:num>
  <w:num w:numId="25" w16cid:durableId="173034599">
    <w:abstractNumId w:val="28"/>
  </w:num>
  <w:num w:numId="26" w16cid:durableId="1099906886">
    <w:abstractNumId w:val="7"/>
  </w:num>
  <w:num w:numId="27" w16cid:durableId="695271814">
    <w:abstractNumId w:val="27"/>
  </w:num>
  <w:num w:numId="28" w16cid:durableId="839779598">
    <w:abstractNumId w:val="0"/>
  </w:num>
  <w:num w:numId="29" w16cid:durableId="714694154">
    <w:abstractNumId w:val="20"/>
  </w:num>
  <w:num w:numId="30" w16cid:durableId="2055039450">
    <w:abstractNumId w:val="6"/>
  </w:num>
  <w:num w:numId="31" w16cid:durableId="748887198">
    <w:abstractNumId w:val="11"/>
  </w:num>
  <w:num w:numId="32" w16cid:durableId="35087594">
    <w:abstractNumId w:val="24"/>
  </w:num>
  <w:num w:numId="33" w16cid:durableId="554194901">
    <w:abstractNumId w:val="35"/>
  </w:num>
  <w:num w:numId="34" w16cid:durableId="1524200541">
    <w:abstractNumId w:val="14"/>
  </w:num>
  <w:num w:numId="35" w16cid:durableId="1449468170">
    <w:abstractNumId w:val="17"/>
  </w:num>
  <w:num w:numId="36" w16cid:durableId="980234869">
    <w:abstractNumId w:val="8"/>
  </w:num>
  <w:num w:numId="37" w16cid:durableId="1999066599">
    <w:abstractNumId w:val="18"/>
  </w:num>
  <w:num w:numId="38" w16cid:durableId="1129589191">
    <w:abstractNumId w:val="22"/>
  </w:num>
  <w:num w:numId="39" w16cid:durableId="578696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989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0973376">
    <w:abstractNumId w:val="7"/>
    <w:lvlOverride w:ilvl="0">
      <w:startOverride w:val="1"/>
    </w:lvlOverride>
  </w:num>
  <w:num w:numId="42" w16cid:durableId="400175299">
    <w:abstractNumId w:val="7"/>
    <w:lvlOverride w:ilvl="0">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attachedTemplate r:id="rId1"/>
  <w:linkStyle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C:\2_Arbeid\DEPT\DFD\Handlingsplan\An Open Government\05_SLUTTFORMATER\EPUB\An Open Government.jpg"/>
    <w:docVar w:name="W2KpdfPath" w:val="C:\2_Arbeid\DEPT\DFD\Handlingsplan\An Open Government\05_SLUTTFORMATER\PDF-TS\An Open Government.pdf"/>
  </w:docVars>
  <w:rsids>
    <w:rsidRoot w:val="00377BC9"/>
    <w:rsid w:val="00003F12"/>
    <w:rsid w:val="00012E00"/>
    <w:rsid w:val="000227DF"/>
    <w:rsid w:val="000247A1"/>
    <w:rsid w:val="00026768"/>
    <w:rsid w:val="00031999"/>
    <w:rsid w:val="0003328B"/>
    <w:rsid w:val="00042023"/>
    <w:rsid w:val="00044A89"/>
    <w:rsid w:val="000505CA"/>
    <w:rsid w:val="00053CBB"/>
    <w:rsid w:val="00061EF3"/>
    <w:rsid w:val="00064419"/>
    <w:rsid w:val="000659B8"/>
    <w:rsid w:val="00072B4B"/>
    <w:rsid w:val="00080BFD"/>
    <w:rsid w:val="000818B0"/>
    <w:rsid w:val="00083B0C"/>
    <w:rsid w:val="00087DEC"/>
    <w:rsid w:val="0009165D"/>
    <w:rsid w:val="00092E5B"/>
    <w:rsid w:val="00093DDE"/>
    <w:rsid w:val="00095C98"/>
    <w:rsid w:val="000A01F0"/>
    <w:rsid w:val="000A1CB3"/>
    <w:rsid w:val="000B5ADC"/>
    <w:rsid w:val="000C02FB"/>
    <w:rsid w:val="000C710F"/>
    <w:rsid w:val="000C748D"/>
    <w:rsid w:val="000D6B51"/>
    <w:rsid w:val="000D7654"/>
    <w:rsid w:val="000E079E"/>
    <w:rsid w:val="000E07D4"/>
    <w:rsid w:val="000E24F1"/>
    <w:rsid w:val="000E5D39"/>
    <w:rsid w:val="000F3298"/>
    <w:rsid w:val="0010223A"/>
    <w:rsid w:val="00106A18"/>
    <w:rsid w:val="00106DEE"/>
    <w:rsid w:val="00111BCB"/>
    <w:rsid w:val="00112617"/>
    <w:rsid w:val="001250BD"/>
    <w:rsid w:val="0012761B"/>
    <w:rsid w:val="00141D17"/>
    <w:rsid w:val="00151598"/>
    <w:rsid w:val="00151E5A"/>
    <w:rsid w:val="00180023"/>
    <w:rsid w:val="00182400"/>
    <w:rsid w:val="001838C1"/>
    <w:rsid w:val="001869F9"/>
    <w:rsid w:val="00187BFF"/>
    <w:rsid w:val="00192CC3"/>
    <w:rsid w:val="00196D73"/>
    <w:rsid w:val="001A31DB"/>
    <w:rsid w:val="001B345D"/>
    <w:rsid w:val="001B4FED"/>
    <w:rsid w:val="001C0033"/>
    <w:rsid w:val="001D022E"/>
    <w:rsid w:val="001D0F6C"/>
    <w:rsid w:val="001D2FA0"/>
    <w:rsid w:val="001D48A4"/>
    <w:rsid w:val="001D5029"/>
    <w:rsid w:val="001D6512"/>
    <w:rsid w:val="001E791A"/>
    <w:rsid w:val="001E7EDF"/>
    <w:rsid w:val="001F15AE"/>
    <w:rsid w:val="001F2A31"/>
    <w:rsid w:val="001F760E"/>
    <w:rsid w:val="0020022B"/>
    <w:rsid w:val="0020022D"/>
    <w:rsid w:val="00207E0A"/>
    <w:rsid w:val="00212B6D"/>
    <w:rsid w:val="00215011"/>
    <w:rsid w:val="00215FB7"/>
    <w:rsid w:val="00216441"/>
    <w:rsid w:val="00216448"/>
    <w:rsid w:val="002166AA"/>
    <w:rsid w:val="002167E3"/>
    <w:rsid w:val="00223634"/>
    <w:rsid w:val="00225303"/>
    <w:rsid w:val="0022773C"/>
    <w:rsid w:val="002345BF"/>
    <w:rsid w:val="00235554"/>
    <w:rsid w:val="002409DD"/>
    <w:rsid w:val="00241FC2"/>
    <w:rsid w:val="00247C16"/>
    <w:rsid w:val="00251AC7"/>
    <w:rsid w:val="0025553B"/>
    <w:rsid w:val="00257C38"/>
    <w:rsid w:val="00262D15"/>
    <w:rsid w:val="0026426E"/>
    <w:rsid w:val="00264E71"/>
    <w:rsid w:val="00266AB3"/>
    <w:rsid w:val="002701AE"/>
    <w:rsid w:val="002710FE"/>
    <w:rsid w:val="00273027"/>
    <w:rsid w:val="00273E3E"/>
    <w:rsid w:val="00275E31"/>
    <w:rsid w:val="002772B7"/>
    <w:rsid w:val="0028070C"/>
    <w:rsid w:val="00281432"/>
    <w:rsid w:val="00290C24"/>
    <w:rsid w:val="00291078"/>
    <w:rsid w:val="0029303C"/>
    <w:rsid w:val="0029655E"/>
    <w:rsid w:val="00296F3A"/>
    <w:rsid w:val="002A036D"/>
    <w:rsid w:val="002A0EF9"/>
    <w:rsid w:val="002A2120"/>
    <w:rsid w:val="002A3D9A"/>
    <w:rsid w:val="002A63F4"/>
    <w:rsid w:val="002A732A"/>
    <w:rsid w:val="002B176A"/>
    <w:rsid w:val="002B64EC"/>
    <w:rsid w:val="002C41DC"/>
    <w:rsid w:val="002C550A"/>
    <w:rsid w:val="002C7708"/>
    <w:rsid w:val="002D1BC2"/>
    <w:rsid w:val="002D3762"/>
    <w:rsid w:val="002D3FF2"/>
    <w:rsid w:val="002D48F8"/>
    <w:rsid w:val="002D7D3C"/>
    <w:rsid w:val="002E0A0D"/>
    <w:rsid w:val="002F4D62"/>
    <w:rsid w:val="003027DC"/>
    <w:rsid w:val="003039A4"/>
    <w:rsid w:val="003072D6"/>
    <w:rsid w:val="00310C07"/>
    <w:rsid w:val="00311610"/>
    <w:rsid w:val="00312C98"/>
    <w:rsid w:val="00320B07"/>
    <w:rsid w:val="003257C0"/>
    <w:rsid w:val="003312FF"/>
    <w:rsid w:val="00336BEA"/>
    <w:rsid w:val="0034397F"/>
    <w:rsid w:val="003600E7"/>
    <w:rsid w:val="00360232"/>
    <w:rsid w:val="003677BB"/>
    <w:rsid w:val="00371073"/>
    <w:rsid w:val="00371E42"/>
    <w:rsid w:val="00374D75"/>
    <w:rsid w:val="00377BC9"/>
    <w:rsid w:val="00377F36"/>
    <w:rsid w:val="00385CB3"/>
    <w:rsid w:val="00392CF8"/>
    <w:rsid w:val="003938E0"/>
    <w:rsid w:val="003A1F88"/>
    <w:rsid w:val="003A2148"/>
    <w:rsid w:val="003A4A67"/>
    <w:rsid w:val="003A562F"/>
    <w:rsid w:val="003A7F75"/>
    <w:rsid w:val="003C03A9"/>
    <w:rsid w:val="003C1FBE"/>
    <w:rsid w:val="003C3188"/>
    <w:rsid w:val="003C3590"/>
    <w:rsid w:val="003C6500"/>
    <w:rsid w:val="003C67F8"/>
    <w:rsid w:val="003E164C"/>
    <w:rsid w:val="003F32EE"/>
    <w:rsid w:val="003F7B98"/>
    <w:rsid w:val="00401E81"/>
    <w:rsid w:val="00405CE9"/>
    <w:rsid w:val="004068C7"/>
    <w:rsid w:val="0041091E"/>
    <w:rsid w:val="0041147A"/>
    <w:rsid w:val="00411C28"/>
    <w:rsid w:val="00414B3A"/>
    <w:rsid w:val="00415465"/>
    <w:rsid w:val="00415619"/>
    <w:rsid w:val="004159CE"/>
    <w:rsid w:val="00416294"/>
    <w:rsid w:val="00425991"/>
    <w:rsid w:val="00426CF8"/>
    <w:rsid w:val="00432DDB"/>
    <w:rsid w:val="00447DFF"/>
    <w:rsid w:val="004511C1"/>
    <w:rsid w:val="00451937"/>
    <w:rsid w:val="004528BF"/>
    <w:rsid w:val="00457E03"/>
    <w:rsid w:val="00461F4E"/>
    <w:rsid w:val="00482000"/>
    <w:rsid w:val="004826D8"/>
    <w:rsid w:val="00492948"/>
    <w:rsid w:val="00493C25"/>
    <w:rsid w:val="004A7EAD"/>
    <w:rsid w:val="004B0785"/>
    <w:rsid w:val="004B1327"/>
    <w:rsid w:val="004B3237"/>
    <w:rsid w:val="004B4DA6"/>
    <w:rsid w:val="004B4E15"/>
    <w:rsid w:val="004B6326"/>
    <w:rsid w:val="004C1C2A"/>
    <w:rsid w:val="004C2454"/>
    <w:rsid w:val="004C2929"/>
    <w:rsid w:val="004D1E3B"/>
    <w:rsid w:val="004E2C05"/>
    <w:rsid w:val="004E2D4E"/>
    <w:rsid w:val="004F2FC7"/>
    <w:rsid w:val="004F3ED5"/>
    <w:rsid w:val="004F4CB9"/>
    <w:rsid w:val="00502FA4"/>
    <w:rsid w:val="00506E3E"/>
    <w:rsid w:val="0050787C"/>
    <w:rsid w:val="00513830"/>
    <w:rsid w:val="00514938"/>
    <w:rsid w:val="005150C7"/>
    <w:rsid w:val="00520C56"/>
    <w:rsid w:val="005226E4"/>
    <w:rsid w:val="00523C93"/>
    <w:rsid w:val="0052616D"/>
    <w:rsid w:val="00531A29"/>
    <w:rsid w:val="00532025"/>
    <w:rsid w:val="00532419"/>
    <w:rsid w:val="00534E36"/>
    <w:rsid w:val="00535BBE"/>
    <w:rsid w:val="00536681"/>
    <w:rsid w:val="005377FE"/>
    <w:rsid w:val="00541373"/>
    <w:rsid w:val="0054177A"/>
    <w:rsid w:val="005444F8"/>
    <w:rsid w:val="00545294"/>
    <w:rsid w:val="00546492"/>
    <w:rsid w:val="00563360"/>
    <w:rsid w:val="005661C2"/>
    <w:rsid w:val="00566A46"/>
    <w:rsid w:val="00567F82"/>
    <w:rsid w:val="00570312"/>
    <w:rsid w:val="00582477"/>
    <w:rsid w:val="005835A1"/>
    <w:rsid w:val="00583FBC"/>
    <w:rsid w:val="005844B8"/>
    <w:rsid w:val="00590A93"/>
    <w:rsid w:val="005A45EC"/>
    <w:rsid w:val="005B3295"/>
    <w:rsid w:val="005B339C"/>
    <w:rsid w:val="005B4324"/>
    <w:rsid w:val="005C234D"/>
    <w:rsid w:val="005C4AF0"/>
    <w:rsid w:val="005C5E40"/>
    <w:rsid w:val="005C669A"/>
    <w:rsid w:val="005D2792"/>
    <w:rsid w:val="005D30A6"/>
    <w:rsid w:val="005E3C69"/>
    <w:rsid w:val="005E5546"/>
    <w:rsid w:val="005F4FF8"/>
    <w:rsid w:val="005F5702"/>
    <w:rsid w:val="005F69EF"/>
    <w:rsid w:val="005F6A77"/>
    <w:rsid w:val="0060233C"/>
    <w:rsid w:val="00603919"/>
    <w:rsid w:val="00604331"/>
    <w:rsid w:val="00610588"/>
    <w:rsid w:val="00614195"/>
    <w:rsid w:val="00614B33"/>
    <w:rsid w:val="00634E1C"/>
    <w:rsid w:val="006409CE"/>
    <w:rsid w:val="006425DB"/>
    <w:rsid w:val="00642710"/>
    <w:rsid w:val="0064302E"/>
    <w:rsid w:val="0064546B"/>
    <w:rsid w:val="00645E6F"/>
    <w:rsid w:val="00646155"/>
    <w:rsid w:val="00646928"/>
    <w:rsid w:val="0065075F"/>
    <w:rsid w:val="006508BB"/>
    <w:rsid w:val="00656605"/>
    <w:rsid w:val="00657DA8"/>
    <w:rsid w:val="0066111E"/>
    <w:rsid w:val="006706D0"/>
    <w:rsid w:val="00680CB4"/>
    <w:rsid w:val="00684E44"/>
    <w:rsid w:val="0068564E"/>
    <w:rsid w:val="006874FD"/>
    <w:rsid w:val="0069132A"/>
    <w:rsid w:val="00691D05"/>
    <w:rsid w:val="00695630"/>
    <w:rsid w:val="00695701"/>
    <w:rsid w:val="006A2753"/>
    <w:rsid w:val="006A4F6D"/>
    <w:rsid w:val="006B0C51"/>
    <w:rsid w:val="006C333C"/>
    <w:rsid w:val="006E0DB4"/>
    <w:rsid w:val="006E1986"/>
    <w:rsid w:val="006E6577"/>
    <w:rsid w:val="006E6C8E"/>
    <w:rsid w:val="006F03A0"/>
    <w:rsid w:val="006F2822"/>
    <w:rsid w:val="006F3915"/>
    <w:rsid w:val="006F5E5A"/>
    <w:rsid w:val="00701FFC"/>
    <w:rsid w:val="00703CD6"/>
    <w:rsid w:val="00706BE5"/>
    <w:rsid w:val="007074B8"/>
    <w:rsid w:val="00707952"/>
    <w:rsid w:val="00713164"/>
    <w:rsid w:val="0071729A"/>
    <w:rsid w:val="007270B3"/>
    <w:rsid w:val="00730437"/>
    <w:rsid w:val="0074441D"/>
    <w:rsid w:val="007463BF"/>
    <w:rsid w:val="007505E4"/>
    <w:rsid w:val="00761949"/>
    <w:rsid w:val="00772093"/>
    <w:rsid w:val="00786556"/>
    <w:rsid w:val="007902B0"/>
    <w:rsid w:val="0079238D"/>
    <w:rsid w:val="0079605D"/>
    <w:rsid w:val="0079681A"/>
    <w:rsid w:val="007970B7"/>
    <w:rsid w:val="00797D15"/>
    <w:rsid w:val="007A1078"/>
    <w:rsid w:val="007A668C"/>
    <w:rsid w:val="007B430B"/>
    <w:rsid w:val="007C3ECA"/>
    <w:rsid w:val="007C553A"/>
    <w:rsid w:val="007D1B37"/>
    <w:rsid w:val="007D301D"/>
    <w:rsid w:val="007D79EF"/>
    <w:rsid w:val="007E7AED"/>
    <w:rsid w:val="007F2216"/>
    <w:rsid w:val="007F232D"/>
    <w:rsid w:val="007F26C2"/>
    <w:rsid w:val="007F695D"/>
    <w:rsid w:val="00800EA6"/>
    <w:rsid w:val="00802B88"/>
    <w:rsid w:val="00803D88"/>
    <w:rsid w:val="008077C0"/>
    <w:rsid w:val="00815361"/>
    <w:rsid w:val="008203B9"/>
    <w:rsid w:val="00821B06"/>
    <w:rsid w:val="00824849"/>
    <w:rsid w:val="008304E3"/>
    <w:rsid w:val="00831A0F"/>
    <w:rsid w:val="008331F8"/>
    <w:rsid w:val="008450AB"/>
    <w:rsid w:val="008456C9"/>
    <w:rsid w:val="008509DD"/>
    <w:rsid w:val="00851152"/>
    <w:rsid w:val="00854D64"/>
    <w:rsid w:val="00856CBD"/>
    <w:rsid w:val="008600F9"/>
    <w:rsid w:val="00867394"/>
    <w:rsid w:val="0087460E"/>
    <w:rsid w:val="0087493D"/>
    <w:rsid w:val="0087522C"/>
    <w:rsid w:val="008761D7"/>
    <w:rsid w:val="00880B12"/>
    <w:rsid w:val="0088736F"/>
    <w:rsid w:val="00887A04"/>
    <w:rsid w:val="00895AA8"/>
    <w:rsid w:val="008A444A"/>
    <w:rsid w:val="008B0011"/>
    <w:rsid w:val="008B0AA1"/>
    <w:rsid w:val="008B1059"/>
    <w:rsid w:val="008B4C40"/>
    <w:rsid w:val="008B71F7"/>
    <w:rsid w:val="008C09A9"/>
    <w:rsid w:val="008C3D63"/>
    <w:rsid w:val="008C6AA2"/>
    <w:rsid w:val="008D0781"/>
    <w:rsid w:val="008D0E43"/>
    <w:rsid w:val="008D3890"/>
    <w:rsid w:val="008E1F4D"/>
    <w:rsid w:val="008E4906"/>
    <w:rsid w:val="008F37B8"/>
    <w:rsid w:val="00911699"/>
    <w:rsid w:val="0091219E"/>
    <w:rsid w:val="0091308A"/>
    <w:rsid w:val="00924871"/>
    <w:rsid w:val="0093375C"/>
    <w:rsid w:val="0096059D"/>
    <w:rsid w:val="009634F6"/>
    <w:rsid w:val="00964572"/>
    <w:rsid w:val="0096793B"/>
    <w:rsid w:val="00967EF1"/>
    <w:rsid w:val="00971B6D"/>
    <w:rsid w:val="00975090"/>
    <w:rsid w:val="00981391"/>
    <w:rsid w:val="0098336E"/>
    <w:rsid w:val="00990869"/>
    <w:rsid w:val="00992865"/>
    <w:rsid w:val="00992B06"/>
    <w:rsid w:val="00993671"/>
    <w:rsid w:val="00994333"/>
    <w:rsid w:val="009A0D37"/>
    <w:rsid w:val="009A30C0"/>
    <w:rsid w:val="009A5D11"/>
    <w:rsid w:val="009A6BFD"/>
    <w:rsid w:val="009B0096"/>
    <w:rsid w:val="009B113F"/>
    <w:rsid w:val="009B1DF3"/>
    <w:rsid w:val="009B403E"/>
    <w:rsid w:val="009C16BA"/>
    <w:rsid w:val="009C2F90"/>
    <w:rsid w:val="009C348F"/>
    <w:rsid w:val="009C4160"/>
    <w:rsid w:val="009C6706"/>
    <w:rsid w:val="009C6C2E"/>
    <w:rsid w:val="009C6E6F"/>
    <w:rsid w:val="009D1903"/>
    <w:rsid w:val="009D2FF1"/>
    <w:rsid w:val="009D3DDD"/>
    <w:rsid w:val="009F2EF3"/>
    <w:rsid w:val="009F733D"/>
    <w:rsid w:val="00A0285F"/>
    <w:rsid w:val="00A02E5C"/>
    <w:rsid w:val="00A0335E"/>
    <w:rsid w:val="00A0497A"/>
    <w:rsid w:val="00A0640A"/>
    <w:rsid w:val="00A12324"/>
    <w:rsid w:val="00A142FD"/>
    <w:rsid w:val="00A14306"/>
    <w:rsid w:val="00A16B33"/>
    <w:rsid w:val="00A20FE2"/>
    <w:rsid w:val="00A2723D"/>
    <w:rsid w:val="00A5215B"/>
    <w:rsid w:val="00A636D1"/>
    <w:rsid w:val="00A8238E"/>
    <w:rsid w:val="00A87CFB"/>
    <w:rsid w:val="00A90F99"/>
    <w:rsid w:val="00A914E2"/>
    <w:rsid w:val="00A91875"/>
    <w:rsid w:val="00A931A6"/>
    <w:rsid w:val="00A931C9"/>
    <w:rsid w:val="00A95B07"/>
    <w:rsid w:val="00AA4EFA"/>
    <w:rsid w:val="00AC09F2"/>
    <w:rsid w:val="00AC6D9E"/>
    <w:rsid w:val="00AD1EF6"/>
    <w:rsid w:val="00AD29E0"/>
    <w:rsid w:val="00AD2CA5"/>
    <w:rsid w:val="00AE227F"/>
    <w:rsid w:val="00AE54EB"/>
    <w:rsid w:val="00AE643E"/>
    <w:rsid w:val="00AF145B"/>
    <w:rsid w:val="00AF3ED3"/>
    <w:rsid w:val="00AF4E66"/>
    <w:rsid w:val="00AF5F2A"/>
    <w:rsid w:val="00B0297E"/>
    <w:rsid w:val="00B02E55"/>
    <w:rsid w:val="00B02EC5"/>
    <w:rsid w:val="00B06147"/>
    <w:rsid w:val="00B173DB"/>
    <w:rsid w:val="00B24048"/>
    <w:rsid w:val="00B256AD"/>
    <w:rsid w:val="00B3779A"/>
    <w:rsid w:val="00B41E7E"/>
    <w:rsid w:val="00B44C34"/>
    <w:rsid w:val="00B45627"/>
    <w:rsid w:val="00B504AF"/>
    <w:rsid w:val="00B50542"/>
    <w:rsid w:val="00B60103"/>
    <w:rsid w:val="00B63464"/>
    <w:rsid w:val="00B655E8"/>
    <w:rsid w:val="00B75694"/>
    <w:rsid w:val="00B83A0E"/>
    <w:rsid w:val="00B85EE7"/>
    <w:rsid w:val="00B8739B"/>
    <w:rsid w:val="00B912C0"/>
    <w:rsid w:val="00B95813"/>
    <w:rsid w:val="00BB441C"/>
    <w:rsid w:val="00BB5FC5"/>
    <w:rsid w:val="00BC2FD8"/>
    <w:rsid w:val="00BD01A9"/>
    <w:rsid w:val="00BD3B49"/>
    <w:rsid w:val="00BE0F88"/>
    <w:rsid w:val="00BE4EFC"/>
    <w:rsid w:val="00BE551D"/>
    <w:rsid w:val="00BE5587"/>
    <w:rsid w:val="00BE72C2"/>
    <w:rsid w:val="00BF2C5C"/>
    <w:rsid w:val="00BF61AD"/>
    <w:rsid w:val="00C00118"/>
    <w:rsid w:val="00C05599"/>
    <w:rsid w:val="00C15EE9"/>
    <w:rsid w:val="00C30D89"/>
    <w:rsid w:val="00C31E9B"/>
    <w:rsid w:val="00C32674"/>
    <w:rsid w:val="00C356FF"/>
    <w:rsid w:val="00C42FF3"/>
    <w:rsid w:val="00C44DA8"/>
    <w:rsid w:val="00C44FB2"/>
    <w:rsid w:val="00C55D88"/>
    <w:rsid w:val="00C56115"/>
    <w:rsid w:val="00C60E4B"/>
    <w:rsid w:val="00C61078"/>
    <w:rsid w:val="00C6141B"/>
    <w:rsid w:val="00C75956"/>
    <w:rsid w:val="00C77F68"/>
    <w:rsid w:val="00C80CCB"/>
    <w:rsid w:val="00C816E0"/>
    <w:rsid w:val="00C8326C"/>
    <w:rsid w:val="00C9217E"/>
    <w:rsid w:val="00CB52B5"/>
    <w:rsid w:val="00CB5DD5"/>
    <w:rsid w:val="00CC0184"/>
    <w:rsid w:val="00CC57C0"/>
    <w:rsid w:val="00CD0AD7"/>
    <w:rsid w:val="00CD4609"/>
    <w:rsid w:val="00CD51CF"/>
    <w:rsid w:val="00CD6039"/>
    <w:rsid w:val="00CD60D5"/>
    <w:rsid w:val="00CD6304"/>
    <w:rsid w:val="00CF3F3C"/>
    <w:rsid w:val="00D00A37"/>
    <w:rsid w:val="00D01064"/>
    <w:rsid w:val="00D049E5"/>
    <w:rsid w:val="00D11F15"/>
    <w:rsid w:val="00D130C1"/>
    <w:rsid w:val="00D21056"/>
    <w:rsid w:val="00D2208E"/>
    <w:rsid w:val="00D24863"/>
    <w:rsid w:val="00D375D4"/>
    <w:rsid w:val="00D40FD0"/>
    <w:rsid w:val="00D47522"/>
    <w:rsid w:val="00D559F7"/>
    <w:rsid w:val="00D60574"/>
    <w:rsid w:val="00D62D6D"/>
    <w:rsid w:val="00D64B53"/>
    <w:rsid w:val="00D72289"/>
    <w:rsid w:val="00D72616"/>
    <w:rsid w:val="00D75614"/>
    <w:rsid w:val="00D80616"/>
    <w:rsid w:val="00D84DE6"/>
    <w:rsid w:val="00D875E8"/>
    <w:rsid w:val="00D91EEF"/>
    <w:rsid w:val="00D9250C"/>
    <w:rsid w:val="00DA0464"/>
    <w:rsid w:val="00DB56A3"/>
    <w:rsid w:val="00DD195B"/>
    <w:rsid w:val="00DF0552"/>
    <w:rsid w:val="00DF2D3B"/>
    <w:rsid w:val="00DF53E3"/>
    <w:rsid w:val="00DF6129"/>
    <w:rsid w:val="00E04807"/>
    <w:rsid w:val="00E11843"/>
    <w:rsid w:val="00E25D5D"/>
    <w:rsid w:val="00E26C77"/>
    <w:rsid w:val="00E31857"/>
    <w:rsid w:val="00E31B75"/>
    <w:rsid w:val="00E3255A"/>
    <w:rsid w:val="00E32722"/>
    <w:rsid w:val="00E33A3C"/>
    <w:rsid w:val="00E3757B"/>
    <w:rsid w:val="00E421C1"/>
    <w:rsid w:val="00E42D53"/>
    <w:rsid w:val="00E455AC"/>
    <w:rsid w:val="00E56E7D"/>
    <w:rsid w:val="00E5723D"/>
    <w:rsid w:val="00E60CDF"/>
    <w:rsid w:val="00E66334"/>
    <w:rsid w:val="00E67A01"/>
    <w:rsid w:val="00E733AB"/>
    <w:rsid w:val="00E7766F"/>
    <w:rsid w:val="00E8021A"/>
    <w:rsid w:val="00E843F3"/>
    <w:rsid w:val="00E905F8"/>
    <w:rsid w:val="00E91056"/>
    <w:rsid w:val="00E94652"/>
    <w:rsid w:val="00E979F0"/>
    <w:rsid w:val="00EA33D3"/>
    <w:rsid w:val="00EA4910"/>
    <w:rsid w:val="00EB0C3D"/>
    <w:rsid w:val="00EB3309"/>
    <w:rsid w:val="00EC06B9"/>
    <w:rsid w:val="00EC25B1"/>
    <w:rsid w:val="00EC4E3C"/>
    <w:rsid w:val="00ED2D25"/>
    <w:rsid w:val="00ED47B5"/>
    <w:rsid w:val="00ED7298"/>
    <w:rsid w:val="00EE12D9"/>
    <w:rsid w:val="00EE66A3"/>
    <w:rsid w:val="00EE73CE"/>
    <w:rsid w:val="00EF336D"/>
    <w:rsid w:val="00EF6989"/>
    <w:rsid w:val="00EF746F"/>
    <w:rsid w:val="00F14BEB"/>
    <w:rsid w:val="00F15384"/>
    <w:rsid w:val="00F23FB2"/>
    <w:rsid w:val="00F25CDB"/>
    <w:rsid w:val="00F32D40"/>
    <w:rsid w:val="00F32D79"/>
    <w:rsid w:val="00F335FA"/>
    <w:rsid w:val="00F345A3"/>
    <w:rsid w:val="00F4718B"/>
    <w:rsid w:val="00F5067D"/>
    <w:rsid w:val="00F54126"/>
    <w:rsid w:val="00F5685A"/>
    <w:rsid w:val="00F82E32"/>
    <w:rsid w:val="00F85A7D"/>
    <w:rsid w:val="00F866AD"/>
    <w:rsid w:val="00F9032A"/>
    <w:rsid w:val="00F9111E"/>
    <w:rsid w:val="00F91CB9"/>
    <w:rsid w:val="00F93011"/>
    <w:rsid w:val="00F9417A"/>
    <w:rsid w:val="00FA06AB"/>
    <w:rsid w:val="00FB78B5"/>
    <w:rsid w:val="00FD2CC9"/>
    <w:rsid w:val="00FD3400"/>
    <w:rsid w:val="00FD3A58"/>
    <w:rsid w:val="00FD5402"/>
    <w:rsid w:val="00FE6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CDC7D"/>
  <w15:docId w15:val="{38C4C09F-F712-4DE3-BE0B-E8C122E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1C"/>
    <w:pPr>
      <w:spacing w:before="100" w:after="160" w:line="288" w:lineRule="auto"/>
    </w:pPr>
    <w:rPr>
      <w:rFonts w:ascii="Open Sans" w:eastAsia="Times New Roman" w:hAnsi="Open Sans" w:cstheme="minorBidi"/>
      <w:sz w:val="22"/>
      <w:szCs w:val="22"/>
    </w:rPr>
  </w:style>
  <w:style w:type="paragraph" w:styleId="Overskrift1">
    <w:name w:val="heading 1"/>
    <w:next w:val="Normal"/>
    <w:link w:val="Overskrift1Tegn"/>
    <w:qFormat/>
    <w:rsid w:val="00BB441C"/>
    <w:pPr>
      <w:keepNext/>
      <w:keepLines/>
      <w:numPr>
        <w:numId w:val="19"/>
      </w:numPr>
      <w:spacing w:before="300" w:after="100" w:line="259" w:lineRule="auto"/>
      <w:outlineLvl w:val="0"/>
    </w:pPr>
    <w:rPr>
      <w:rFonts w:ascii="Open Sans" w:eastAsia="Times New Roman" w:hAnsi="Open Sans" w:cstheme="minorBidi"/>
      <w:b/>
      <w:kern w:val="28"/>
      <w:sz w:val="32"/>
      <w:szCs w:val="22"/>
    </w:rPr>
  </w:style>
  <w:style w:type="paragraph" w:styleId="Overskrift2">
    <w:name w:val="heading 2"/>
    <w:basedOn w:val="Overskrift1"/>
    <w:next w:val="Normal"/>
    <w:link w:val="Overskrift2Tegn"/>
    <w:qFormat/>
    <w:rsid w:val="00BB441C"/>
    <w:pPr>
      <w:numPr>
        <w:ilvl w:val="1"/>
      </w:numPr>
      <w:spacing w:before="240"/>
      <w:outlineLvl w:val="1"/>
    </w:pPr>
    <w:rPr>
      <w:spacing w:val="4"/>
      <w:sz w:val="28"/>
    </w:rPr>
  </w:style>
  <w:style w:type="paragraph" w:styleId="Overskrift3">
    <w:name w:val="heading 3"/>
    <w:basedOn w:val="Normal"/>
    <w:next w:val="Normal"/>
    <w:link w:val="Overskrift3Tegn"/>
    <w:qFormat/>
    <w:rsid w:val="00BB441C"/>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BB441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B441C"/>
    <w:pPr>
      <w:numPr>
        <w:ilvl w:val="4"/>
      </w:numPr>
      <w:spacing w:before="200"/>
      <w:outlineLvl w:val="4"/>
    </w:pPr>
    <w:rPr>
      <w:b w:val="0"/>
      <w:sz w:val="22"/>
    </w:rPr>
  </w:style>
  <w:style w:type="paragraph" w:styleId="Overskrift6">
    <w:name w:val="heading 6"/>
    <w:basedOn w:val="Normal"/>
    <w:next w:val="Normal"/>
    <w:link w:val="Overskrift6Tegn"/>
    <w:qFormat/>
    <w:rsid w:val="00BB441C"/>
    <w:pPr>
      <w:numPr>
        <w:ilvl w:val="5"/>
        <w:numId w:val="2"/>
      </w:numPr>
      <w:spacing w:before="240" w:after="60"/>
      <w:outlineLvl w:val="5"/>
    </w:pPr>
    <w:rPr>
      <w:i/>
    </w:rPr>
  </w:style>
  <w:style w:type="paragraph" w:styleId="Overskrift7">
    <w:name w:val="heading 7"/>
    <w:basedOn w:val="Normal"/>
    <w:next w:val="Normal"/>
    <w:link w:val="Overskrift7Tegn"/>
    <w:qFormat/>
    <w:rsid w:val="00BB441C"/>
    <w:pPr>
      <w:numPr>
        <w:ilvl w:val="6"/>
        <w:numId w:val="2"/>
      </w:numPr>
      <w:spacing w:before="240" w:after="60"/>
      <w:outlineLvl w:val="6"/>
    </w:pPr>
  </w:style>
  <w:style w:type="paragraph" w:styleId="Overskrift8">
    <w:name w:val="heading 8"/>
    <w:basedOn w:val="Normal"/>
    <w:next w:val="Normal"/>
    <w:link w:val="Overskrift8Tegn"/>
    <w:qFormat/>
    <w:rsid w:val="00BB441C"/>
    <w:pPr>
      <w:numPr>
        <w:ilvl w:val="7"/>
        <w:numId w:val="2"/>
      </w:numPr>
      <w:spacing w:before="240" w:after="60"/>
      <w:outlineLvl w:val="7"/>
    </w:pPr>
    <w:rPr>
      <w:i/>
    </w:rPr>
  </w:style>
  <w:style w:type="paragraph" w:styleId="Overskrift9">
    <w:name w:val="heading 9"/>
    <w:basedOn w:val="Normal"/>
    <w:next w:val="Normal"/>
    <w:link w:val="Overskrift9Tegn"/>
    <w:qFormat/>
    <w:rsid w:val="00BB441C"/>
    <w:pPr>
      <w:numPr>
        <w:ilvl w:val="8"/>
        <w:numId w:val="2"/>
      </w:numPr>
      <w:spacing w:before="240" w:after="60"/>
      <w:outlineLvl w:val="8"/>
    </w:pPr>
    <w:rPr>
      <w:b/>
      <w:i/>
      <w:sz w:val="18"/>
    </w:rPr>
  </w:style>
  <w:style w:type="character" w:default="1" w:styleId="Standardskriftforavsnitt">
    <w:name w:val="Default Paragraph Font"/>
    <w:uiPriority w:val="1"/>
    <w:unhideWhenUsed/>
    <w:rsid w:val="00BB441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B441C"/>
  </w:style>
  <w:style w:type="paragraph" w:styleId="Ingenmellomrom">
    <w:name w:val="No Spacing"/>
    <w:uiPriority w:val="1"/>
    <w:qFormat/>
    <w:rsid w:val="00BB441C"/>
    <w:rPr>
      <w:rFonts w:eastAsia="Times New Roman" w:cstheme="minorBidi"/>
      <w:sz w:val="24"/>
      <w:szCs w:val="22"/>
    </w:rPr>
  </w:style>
  <w:style w:type="character" w:customStyle="1" w:styleId="Overskrift1Tegn">
    <w:name w:val="Overskrift 1 Tegn"/>
    <w:basedOn w:val="Standardskriftforavsnitt"/>
    <w:link w:val="Overskrift1"/>
    <w:rsid w:val="00BB441C"/>
    <w:rPr>
      <w:rFonts w:ascii="Open Sans" w:eastAsia="Times New Roman" w:hAnsi="Open Sans" w:cstheme="minorBidi"/>
      <w:b/>
      <w:kern w:val="28"/>
      <w:sz w:val="32"/>
      <w:szCs w:val="22"/>
    </w:rPr>
  </w:style>
  <w:style w:type="character" w:customStyle="1" w:styleId="Overskrift2Tegn">
    <w:name w:val="Overskrift 2 Tegn"/>
    <w:basedOn w:val="Standardskriftforavsnitt"/>
    <w:link w:val="Overskrift2"/>
    <w:rsid w:val="00BB441C"/>
    <w:rPr>
      <w:rFonts w:ascii="Open Sans" w:eastAsia="Times New Roman" w:hAnsi="Open Sans" w:cstheme="minorBidi"/>
      <w:b/>
      <w:spacing w:val="4"/>
      <w:kern w:val="28"/>
      <w:sz w:val="28"/>
      <w:szCs w:val="22"/>
    </w:rPr>
  </w:style>
  <w:style w:type="character" w:customStyle="1" w:styleId="Overskrift3Tegn">
    <w:name w:val="Overskrift 3 Tegn"/>
    <w:basedOn w:val="Standardskriftforavsnitt"/>
    <w:link w:val="Overskrift3"/>
    <w:rsid w:val="00BB441C"/>
    <w:rPr>
      <w:rFonts w:ascii="Open Sans" w:eastAsia="Times New Roman" w:hAnsi="Open Sans" w:cstheme="minorBidi"/>
      <w:b/>
      <w:sz w:val="22"/>
      <w:szCs w:val="22"/>
    </w:rPr>
  </w:style>
  <w:style w:type="character" w:customStyle="1" w:styleId="Overskrift4Tegn">
    <w:name w:val="Overskrift 4 Tegn"/>
    <w:basedOn w:val="Standardskriftforavsnitt"/>
    <w:link w:val="Overskrift4"/>
    <w:rsid w:val="00BB441C"/>
    <w:rPr>
      <w:rFonts w:ascii="Open Sans" w:eastAsia="Times New Roman" w:hAnsi="Open Sans" w:cstheme="minorBidi"/>
      <w:i/>
      <w:spacing w:val="4"/>
      <w:kern w:val="28"/>
      <w:sz w:val="22"/>
      <w:szCs w:val="22"/>
    </w:rPr>
  </w:style>
  <w:style w:type="character" w:customStyle="1" w:styleId="Overskrift5Tegn">
    <w:name w:val="Overskrift 5 Tegn"/>
    <w:basedOn w:val="Standardskriftforavsnitt"/>
    <w:link w:val="Overskrift5"/>
    <w:rsid w:val="00BB441C"/>
    <w:rPr>
      <w:rFonts w:ascii="Open Sans" w:eastAsia="Times New Roman" w:hAnsi="Open Sans" w:cstheme="minorBidi"/>
      <w:kern w:val="28"/>
      <w:sz w:val="22"/>
      <w:szCs w:val="22"/>
    </w:rPr>
  </w:style>
  <w:style w:type="character" w:customStyle="1" w:styleId="Overskrift6Tegn">
    <w:name w:val="Overskrift 6 Tegn"/>
    <w:basedOn w:val="Standardskriftforavsnitt"/>
    <w:link w:val="Overskrift6"/>
    <w:rsid w:val="00BB441C"/>
    <w:rPr>
      <w:rFonts w:ascii="Open Sans" w:eastAsia="Times New Roman" w:hAnsi="Open Sans" w:cstheme="minorBidi"/>
      <w:i/>
      <w:sz w:val="22"/>
      <w:szCs w:val="22"/>
    </w:rPr>
  </w:style>
  <w:style w:type="character" w:styleId="Utheving">
    <w:name w:val="Emphasis"/>
    <w:basedOn w:val="Standardskriftforavsnitt"/>
    <w:uiPriority w:val="20"/>
    <w:qFormat/>
    <w:rsid w:val="00BB441C"/>
    <w:rPr>
      <w:i/>
      <w:iCs/>
    </w:rPr>
  </w:style>
  <w:style w:type="character" w:styleId="Sterkutheving">
    <w:name w:val="Intense Emphasis"/>
    <w:basedOn w:val="Standardskriftforavsnitt"/>
    <w:uiPriority w:val="21"/>
    <w:qFormat/>
    <w:rsid w:val="00BB441C"/>
    <w:rPr>
      <w:b/>
      <w:bCs/>
      <w:i/>
      <w:iCs/>
      <w:color w:val="4472C4" w:themeColor="accent1"/>
    </w:rPr>
  </w:style>
  <w:style w:type="character" w:styleId="Sterk">
    <w:name w:val="Strong"/>
    <w:basedOn w:val="Standardskriftforavsnitt"/>
    <w:uiPriority w:val="22"/>
    <w:qFormat/>
    <w:rsid w:val="00BB441C"/>
    <w:rPr>
      <w:b/>
      <w:bCs/>
    </w:rPr>
  </w:style>
  <w:style w:type="paragraph" w:styleId="Sterktsitat">
    <w:name w:val="Intense Quote"/>
    <w:basedOn w:val="Normal"/>
    <w:next w:val="Normal"/>
    <w:link w:val="SterktsitatTegn"/>
    <w:uiPriority w:val="30"/>
    <w:qFormat/>
    <w:rsid w:val="00BB441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B441C"/>
    <w:rPr>
      <w:rFonts w:ascii="Open Sans" w:eastAsia="Times New Roman" w:hAnsi="Open Sans" w:cstheme="minorBidi"/>
      <w:b/>
      <w:bCs/>
      <w:i/>
      <w:iCs/>
      <w:color w:val="4472C4" w:themeColor="accent1"/>
      <w:sz w:val="22"/>
      <w:szCs w:val="22"/>
    </w:rPr>
  </w:style>
  <w:style w:type="character" w:styleId="Svakreferanse">
    <w:name w:val="Subtle Reference"/>
    <w:basedOn w:val="Standardskriftforavsnitt"/>
    <w:uiPriority w:val="31"/>
    <w:qFormat/>
    <w:rsid w:val="00BB441C"/>
    <w:rPr>
      <w:smallCaps/>
      <w:color w:val="ED7D31" w:themeColor="accent2"/>
      <w:u w:val="single"/>
    </w:rPr>
  </w:style>
  <w:style w:type="character" w:styleId="Sterkreferanse">
    <w:name w:val="Intense Reference"/>
    <w:basedOn w:val="Standardskriftforavsnitt"/>
    <w:uiPriority w:val="32"/>
    <w:qFormat/>
    <w:rsid w:val="00BB441C"/>
    <w:rPr>
      <w:b/>
      <w:bCs/>
      <w:smallCaps/>
      <w:color w:val="ED7D31" w:themeColor="accent2"/>
      <w:spacing w:val="5"/>
      <w:u w:val="single"/>
    </w:rPr>
  </w:style>
  <w:style w:type="paragraph" w:styleId="Topptekst">
    <w:name w:val="header"/>
    <w:basedOn w:val="Normal"/>
    <w:link w:val="TopptekstTegn"/>
    <w:rsid w:val="00BB441C"/>
    <w:pPr>
      <w:tabs>
        <w:tab w:val="center" w:pos="4536"/>
        <w:tab w:val="right" w:pos="9072"/>
      </w:tabs>
    </w:pPr>
  </w:style>
  <w:style w:type="character" w:customStyle="1" w:styleId="TopptekstTegn">
    <w:name w:val="Topptekst Tegn"/>
    <w:basedOn w:val="Standardskriftforavsnitt"/>
    <w:link w:val="Topptekst"/>
    <w:rsid w:val="00BB441C"/>
    <w:rPr>
      <w:rFonts w:ascii="Open Sans" w:eastAsia="Times New Roman" w:hAnsi="Open Sans" w:cstheme="minorBidi"/>
      <w:sz w:val="22"/>
      <w:szCs w:val="22"/>
    </w:rPr>
  </w:style>
  <w:style w:type="paragraph" w:styleId="Bunntekst">
    <w:name w:val="footer"/>
    <w:basedOn w:val="Normal"/>
    <w:link w:val="BunntekstTegn"/>
    <w:uiPriority w:val="99"/>
    <w:rsid w:val="00BB441C"/>
    <w:pPr>
      <w:tabs>
        <w:tab w:val="center" w:pos="4153"/>
        <w:tab w:val="right" w:pos="8306"/>
      </w:tabs>
    </w:pPr>
    <w:rPr>
      <w:spacing w:val="4"/>
    </w:rPr>
  </w:style>
  <w:style w:type="character" w:customStyle="1" w:styleId="BunntekstTegn">
    <w:name w:val="Bunntekst Tegn"/>
    <w:basedOn w:val="Standardskriftforavsnitt"/>
    <w:link w:val="Bunntekst"/>
    <w:uiPriority w:val="99"/>
    <w:rsid w:val="00BB441C"/>
    <w:rPr>
      <w:rFonts w:ascii="Open Sans" w:eastAsia="Times New Roman" w:hAnsi="Open Sans" w:cstheme="minorBidi"/>
      <w:spacing w:val="4"/>
      <w:sz w:val="22"/>
      <w:szCs w:val="22"/>
    </w:rPr>
  </w:style>
  <w:style w:type="paragraph" w:styleId="Listeavsnitt">
    <w:name w:val="List Paragraph"/>
    <w:basedOn w:val="friliste"/>
    <w:link w:val="ListeavsnittTegn"/>
    <w:uiPriority w:val="34"/>
    <w:qFormat/>
    <w:rsid w:val="00BB441C"/>
    <w:pPr>
      <w:spacing w:before="0"/>
      <w:ind w:firstLine="0"/>
    </w:pPr>
  </w:style>
  <w:style w:type="paragraph" w:styleId="Revisjon">
    <w:name w:val="Revision"/>
    <w:hidden/>
    <w:uiPriority w:val="99"/>
    <w:semiHidden/>
    <w:rsid w:val="00E31857"/>
    <w:rPr>
      <w:rFonts w:ascii="Arial" w:hAnsi="Arial"/>
      <w:color w:val="000000"/>
      <w:sz w:val="22"/>
      <w:szCs w:val="22"/>
      <w:lang w:val="en-GB" w:eastAsia="en-US"/>
    </w:rPr>
  </w:style>
  <w:style w:type="character" w:styleId="Hyperkobling">
    <w:name w:val="Hyperlink"/>
    <w:basedOn w:val="Standardskriftforavsnitt"/>
    <w:uiPriority w:val="99"/>
    <w:unhideWhenUsed/>
    <w:rsid w:val="00BB441C"/>
    <w:rPr>
      <w:color w:val="0563C1" w:themeColor="hyperlink"/>
      <w:u w:val="single"/>
    </w:rPr>
  </w:style>
  <w:style w:type="character" w:styleId="Ulstomtale">
    <w:name w:val="Unresolved Mention"/>
    <w:uiPriority w:val="99"/>
    <w:semiHidden/>
    <w:unhideWhenUsed/>
    <w:rsid w:val="007A668C"/>
    <w:rPr>
      <w:color w:val="605E5C"/>
      <w:shd w:val="clear" w:color="auto" w:fill="E1DFDD"/>
    </w:rPr>
  </w:style>
  <w:style w:type="character" w:styleId="Fulgthyperkobling">
    <w:name w:val="FollowedHyperlink"/>
    <w:basedOn w:val="Standardskriftforavsnitt"/>
    <w:uiPriority w:val="99"/>
    <w:semiHidden/>
    <w:unhideWhenUsed/>
    <w:rsid w:val="00BB441C"/>
    <w:rPr>
      <w:color w:val="954F72" w:themeColor="followedHyperlink"/>
      <w:u w:val="single"/>
    </w:rPr>
  </w:style>
  <w:style w:type="paragraph" w:customStyle="1" w:styleId="Saken-gjelder-tekst">
    <w:name w:val="Saken-gjelder-tekst"/>
    <w:basedOn w:val="Normal"/>
    <w:link w:val="Saken-gjelder-tekstChar"/>
    <w:qFormat/>
    <w:rsid w:val="008203B9"/>
    <w:pPr>
      <w:spacing w:line="240" w:lineRule="auto"/>
    </w:pPr>
    <w:rPr>
      <w:rFonts w:ascii="Times New Roman" w:hAnsi="Times New Roman"/>
      <w:i/>
      <w:sz w:val="26"/>
      <w:szCs w:val="26"/>
    </w:rPr>
  </w:style>
  <w:style w:type="character" w:customStyle="1" w:styleId="Saken-gjelder-tekstChar">
    <w:name w:val="Saken-gjelder-tekst Char"/>
    <w:link w:val="Saken-gjelder-tekst"/>
    <w:rsid w:val="008203B9"/>
    <w:rPr>
      <w:rFonts w:ascii="Times New Roman" w:hAnsi="Times New Roman" w:cs="Times New Roman"/>
      <w:i/>
      <w:sz w:val="26"/>
      <w:szCs w:val="26"/>
      <w:lang w:eastAsia="nb-NO"/>
    </w:rPr>
  </w:style>
  <w:style w:type="paragraph" w:customStyle="1" w:styleId="Talepunkt">
    <w:name w:val="Talepunkt"/>
    <w:basedOn w:val="Listeavsnitt"/>
    <w:link w:val="TalepunktChar"/>
    <w:qFormat/>
    <w:rsid w:val="008203B9"/>
    <w:pPr>
      <w:numPr>
        <w:numId w:val="1"/>
      </w:numPr>
      <w:spacing w:after="240" w:line="240" w:lineRule="auto"/>
    </w:pPr>
    <w:rPr>
      <w:rFonts w:ascii="Times New Roman" w:hAnsi="Times New Roman"/>
      <w:b/>
      <w:bCs/>
      <w:sz w:val="26"/>
      <w:szCs w:val="26"/>
    </w:rPr>
  </w:style>
  <w:style w:type="character" w:customStyle="1" w:styleId="TalepunktChar">
    <w:name w:val="Talepunkt Char"/>
    <w:link w:val="Talepunkt"/>
    <w:rsid w:val="008203B9"/>
    <w:rPr>
      <w:rFonts w:ascii="Times New Roman" w:eastAsia="Times New Roman" w:hAnsi="Times New Roman" w:cstheme="minorBidi"/>
      <w:b/>
      <w:bCs/>
      <w:sz w:val="26"/>
      <w:szCs w:val="26"/>
    </w:rPr>
  </w:style>
  <w:style w:type="paragraph" w:customStyle="1" w:styleId="Default">
    <w:name w:val="Default"/>
    <w:rsid w:val="00BE4EFC"/>
    <w:pPr>
      <w:autoSpaceDE w:val="0"/>
      <w:autoSpaceDN w:val="0"/>
      <w:adjustRightInd w:val="0"/>
    </w:pPr>
    <w:rPr>
      <w:rFonts w:ascii="Arial" w:hAnsi="Arial" w:cs="Arial"/>
      <w:color w:val="000000"/>
      <w:sz w:val="24"/>
      <w:szCs w:val="24"/>
      <w:lang w:val="en-GB" w:eastAsia="en-US"/>
    </w:rPr>
  </w:style>
  <w:style w:type="paragraph" w:styleId="NormalWeb">
    <w:name w:val="Normal (Web)"/>
    <w:basedOn w:val="Normal"/>
    <w:uiPriority w:val="99"/>
    <w:semiHidden/>
    <w:unhideWhenUsed/>
    <w:rsid w:val="00BB441C"/>
    <w:rPr>
      <w:rFonts w:cs="Times New Roman"/>
      <w:szCs w:val="24"/>
    </w:rPr>
  </w:style>
  <w:style w:type="paragraph" w:styleId="Fotnotetekst">
    <w:name w:val="footnote text"/>
    <w:basedOn w:val="Normal"/>
    <w:link w:val="FotnotetekstTegn"/>
    <w:semiHidden/>
    <w:rsid w:val="00BB441C"/>
    <w:rPr>
      <w:spacing w:val="4"/>
    </w:rPr>
  </w:style>
  <w:style w:type="character" w:customStyle="1" w:styleId="FotnotetekstTegn">
    <w:name w:val="Fotnotetekst Tegn"/>
    <w:basedOn w:val="Standardskriftforavsnitt"/>
    <w:link w:val="Fotnotetekst"/>
    <w:semiHidden/>
    <w:rsid w:val="00BB441C"/>
    <w:rPr>
      <w:rFonts w:ascii="Open Sans" w:eastAsia="Times New Roman" w:hAnsi="Open Sans" w:cstheme="minorBidi"/>
      <w:spacing w:val="4"/>
      <w:sz w:val="22"/>
      <w:szCs w:val="22"/>
    </w:rPr>
  </w:style>
  <w:style w:type="character" w:styleId="Fotnotereferanse">
    <w:name w:val="footnote reference"/>
    <w:basedOn w:val="Standardskriftforavsnitt"/>
    <w:semiHidden/>
    <w:rsid w:val="00BB441C"/>
    <w:rPr>
      <w:vertAlign w:val="superscript"/>
    </w:rPr>
  </w:style>
  <w:style w:type="character" w:customStyle="1" w:styleId="ListeavsnittTegn">
    <w:name w:val="Listeavsnitt Tegn"/>
    <w:link w:val="Listeavsnitt"/>
    <w:uiPriority w:val="34"/>
    <w:rsid w:val="00506E3E"/>
    <w:rPr>
      <w:rFonts w:ascii="Open Sans" w:eastAsia="Times New Roman" w:hAnsi="Open Sans" w:cstheme="minorBidi"/>
      <w:sz w:val="22"/>
      <w:szCs w:val="22"/>
    </w:rPr>
  </w:style>
  <w:style w:type="paragraph" w:customStyle="1" w:styleId="paragraph">
    <w:name w:val="paragraph"/>
    <w:basedOn w:val="Normal"/>
    <w:rsid w:val="00072B4B"/>
    <w:pPr>
      <w:spacing w:beforeAutospacing="1" w:after="100" w:afterAutospacing="1" w:line="240" w:lineRule="auto"/>
    </w:pPr>
    <w:rPr>
      <w:rFonts w:ascii="Calibri" w:hAnsi="Calibri" w:cs="Calibri"/>
    </w:rPr>
  </w:style>
  <w:style w:type="character" w:customStyle="1" w:styleId="normaltextrun">
    <w:name w:val="normaltextrun"/>
    <w:basedOn w:val="Standardskriftforavsnitt"/>
    <w:rsid w:val="00072B4B"/>
  </w:style>
  <w:style w:type="character" w:customStyle="1" w:styleId="eop">
    <w:name w:val="eop"/>
    <w:basedOn w:val="Standardskriftforavsnitt"/>
    <w:rsid w:val="00072B4B"/>
  </w:style>
  <w:style w:type="character" w:customStyle="1" w:styleId="spellingerror">
    <w:name w:val="spellingerror"/>
    <w:basedOn w:val="Standardskriftforavsnitt"/>
    <w:rsid w:val="00072B4B"/>
  </w:style>
  <w:style w:type="character" w:customStyle="1" w:styleId="cf01">
    <w:name w:val="cf01"/>
    <w:rsid w:val="00C80CCB"/>
    <w:rPr>
      <w:rFonts w:ascii="Segoe UI" w:hAnsi="Segoe UI" w:cs="Segoe UI" w:hint="default"/>
      <w:sz w:val="18"/>
      <w:szCs w:val="18"/>
    </w:rPr>
  </w:style>
  <w:style w:type="paragraph" w:customStyle="1" w:styleId="pf0">
    <w:name w:val="pf0"/>
    <w:basedOn w:val="Normal"/>
    <w:rsid w:val="00C80CCB"/>
    <w:pPr>
      <w:spacing w:beforeAutospacing="1" w:after="100" w:afterAutospacing="1" w:line="240" w:lineRule="auto"/>
    </w:pPr>
    <w:rPr>
      <w:rFonts w:ascii="Times New Roman" w:hAnsi="Times New Roman"/>
      <w:sz w:val="24"/>
      <w:szCs w:val="24"/>
    </w:rPr>
  </w:style>
  <w:style w:type="character" w:styleId="Merknadsreferanse">
    <w:name w:val="annotation reference"/>
    <w:basedOn w:val="Standardskriftforavsnitt"/>
    <w:semiHidden/>
    <w:rsid w:val="00BB441C"/>
    <w:rPr>
      <w:sz w:val="16"/>
    </w:rPr>
  </w:style>
  <w:style w:type="paragraph" w:styleId="Merknadstekst">
    <w:name w:val="annotation text"/>
    <w:basedOn w:val="Normal"/>
    <w:link w:val="MerknadstekstTegn"/>
    <w:rsid w:val="00BB441C"/>
  </w:style>
  <w:style w:type="character" w:customStyle="1" w:styleId="MerknadstekstTegn">
    <w:name w:val="Merknadstekst Tegn"/>
    <w:basedOn w:val="Standardskriftforavsnitt"/>
    <w:link w:val="Merknadstekst"/>
    <w:rsid w:val="00BB441C"/>
    <w:rPr>
      <w:rFonts w:ascii="Open Sans" w:eastAsia="Times New Roman" w:hAnsi="Open Sans" w:cstheme="minorBidi"/>
      <w:sz w:val="22"/>
      <w:szCs w:val="22"/>
    </w:rPr>
  </w:style>
  <w:style w:type="paragraph" w:customStyle="1" w:styleId="MalForsideTittel">
    <w:name w:val="MalForsideTittel"/>
    <w:link w:val="MalForsideTittelTegn"/>
    <w:rsid w:val="00F5067D"/>
    <w:pPr>
      <w:keepLines/>
      <w:spacing w:line="820" w:lineRule="exact"/>
    </w:pPr>
    <w:rPr>
      <w:rFonts w:ascii="Open Sans Light" w:eastAsia="Times New Roman" w:hAnsi="Open Sans Light" w:cs="Open Sans Light"/>
      <w:sz w:val="66"/>
      <w:szCs w:val="22"/>
      <w:lang w:val="en-GB"/>
    </w:rPr>
  </w:style>
  <w:style w:type="paragraph" w:customStyle="1" w:styleId="MalForsideUndertittel">
    <w:name w:val="MalForsideUndertittel"/>
    <w:link w:val="MalForsideUndertittelTegn"/>
    <w:rsid w:val="00F5067D"/>
    <w:pPr>
      <w:spacing w:before="150" w:line="320" w:lineRule="exact"/>
    </w:pPr>
    <w:rPr>
      <w:rFonts w:ascii="Open Sans" w:eastAsia="Batang" w:hAnsi="Open Sans"/>
      <w:sz w:val="25"/>
      <w:lang w:val="en-GB"/>
    </w:rPr>
  </w:style>
  <w:style w:type="character" w:customStyle="1" w:styleId="MalForsideTittelTegn">
    <w:name w:val="MalForsideTittel Tegn"/>
    <w:link w:val="MalForsideTittel"/>
    <w:rsid w:val="00F5067D"/>
    <w:rPr>
      <w:rFonts w:ascii="Open Sans Light" w:eastAsia="Times New Roman" w:hAnsi="Open Sans Light" w:cs="Open Sans Light"/>
      <w:sz w:val="66"/>
      <w:lang w:eastAsia="nb-NO"/>
    </w:rPr>
  </w:style>
  <w:style w:type="character" w:customStyle="1" w:styleId="MalForsideUndertittelTegn">
    <w:name w:val="MalForsideUndertittel Tegn"/>
    <w:link w:val="MalForsideUndertittel"/>
    <w:rsid w:val="00F5067D"/>
    <w:rPr>
      <w:rFonts w:ascii="Open Sans" w:eastAsia="Batang" w:hAnsi="Open Sans"/>
      <w:sz w:val="25"/>
      <w:szCs w:val="20"/>
      <w:lang w:eastAsia="nb-NO"/>
    </w:rPr>
  </w:style>
  <w:style w:type="paragraph" w:customStyle="1" w:styleId="Depnavn">
    <w:name w:val="Depnavn"/>
    <w:qFormat/>
    <w:rsid w:val="00F5067D"/>
    <w:pPr>
      <w:keepLines/>
      <w:suppressAutoHyphens/>
      <w:spacing w:line="290" w:lineRule="exact"/>
    </w:pPr>
    <w:rPr>
      <w:rFonts w:ascii="Open Sans" w:eastAsia="Times New Roman" w:hAnsi="Open Sans"/>
      <w:sz w:val="25"/>
      <w:szCs w:val="22"/>
      <w:lang w:val="en-GB"/>
    </w:rPr>
  </w:style>
  <w:style w:type="paragraph" w:styleId="Kommentaremne">
    <w:name w:val="annotation subject"/>
    <w:basedOn w:val="Merknadstekst"/>
    <w:next w:val="Merknadstekst"/>
    <w:link w:val="KommentaremneTegn"/>
    <w:uiPriority w:val="99"/>
    <w:semiHidden/>
    <w:unhideWhenUsed/>
    <w:rsid w:val="00BB441C"/>
    <w:pPr>
      <w:spacing w:line="240" w:lineRule="auto"/>
    </w:pPr>
    <w:rPr>
      <w:b/>
      <w:bCs/>
    </w:rPr>
  </w:style>
  <w:style w:type="character" w:customStyle="1" w:styleId="KommentaremneTegn">
    <w:name w:val="Kommentaremne Tegn"/>
    <w:basedOn w:val="MerknadstekstTegn"/>
    <w:link w:val="Kommentaremne"/>
    <w:uiPriority w:val="99"/>
    <w:semiHidden/>
    <w:rsid w:val="00BB441C"/>
    <w:rPr>
      <w:rFonts w:ascii="Open Sans" w:eastAsia="Times New Roman" w:hAnsi="Open Sans" w:cstheme="minorBidi"/>
      <w:b/>
      <w:bCs/>
      <w:sz w:val="22"/>
      <w:szCs w:val="22"/>
    </w:rPr>
  </w:style>
  <w:style w:type="paragraph" w:styleId="Overskriftforinnholdsfortegnelse">
    <w:name w:val="TOC Heading"/>
    <w:basedOn w:val="Overskrift1"/>
    <w:next w:val="Normal"/>
    <w:uiPriority w:val="39"/>
    <w:unhideWhenUsed/>
    <w:qFormat/>
    <w:rsid w:val="00BB441C"/>
    <w:pPr>
      <w:numPr>
        <w:numId w:val="0"/>
      </w:numPr>
      <w:spacing w:before="480" w:after="0"/>
      <w:outlineLvl w:val="9"/>
    </w:pPr>
    <w:rPr>
      <w:rFonts w:eastAsiaTheme="majorEastAsia" w:cstheme="majorBidi"/>
      <w:bCs/>
      <w:kern w:val="0"/>
      <w:sz w:val="28"/>
      <w:szCs w:val="28"/>
    </w:rPr>
  </w:style>
  <w:style w:type="paragraph" w:styleId="INNH1">
    <w:name w:val="toc 1"/>
    <w:basedOn w:val="Normal"/>
    <w:next w:val="Normal"/>
    <w:uiPriority w:val="39"/>
    <w:rsid w:val="00BB441C"/>
    <w:pPr>
      <w:tabs>
        <w:tab w:val="right" w:leader="dot" w:pos="8306"/>
      </w:tabs>
      <w:ind w:right="1134"/>
    </w:pPr>
  </w:style>
  <w:style w:type="paragraph" w:styleId="INNH2">
    <w:name w:val="toc 2"/>
    <w:basedOn w:val="Normal"/>
    <w:next w:val="Normal"/>
    <w:uiPriority w:val="39"/>
    <w:rsid w:val="00BB441C"/>
    <w:pPr>
      <w:tabs>
        <w:tab w:val="right" w:leader="dot" w:pos="8306"/>
      </w:tabs>
      <w:ind w:left="199" w:right="1134"/>
    </w:pPr>
  </w:style>
  <w:style w:type="paragraph" w:styleId="INNH3">
    <w:name w:val="toc 3"/>
    <w:basedOn w:val="Normal"/>
    <w:next w:val="Normal"/>
    <w:uiPriority w:val="39"/>
    <w:rsid w:val="00BB441C"/>
    <w:pPr>
      <w:tabs>
        <w:tab w:val="right" w:leader="dot" w:pos="8306"/>
      </w:tabs>
      <w:ind w:left="403" w:right="1134"/>
    </w:pPr>
  </w:style>
  <w:style w:type="character" w:customStyle="1" w:styleId="Overskrift7Tegn">
    <w:name w:val="Overskrift 7 Tegn"/>
    <w:basedOn w:val="Standardskriftforavsnitt"/>
    <w:link w:val="Overskrift7"/>
    <w:rsid w:val="00BB441C"/>
    <w:rPr>
      <w:rFonts w:ascii="Open Sans" w:eastAsia="Times New Roman" w:hAnsi="Open Sans" w:cstheme="minorBidi"/>
      <w:sz w:val="22"/>
      <w:szCs w:val="22"/>
    </w:rPr>
  </w:style>
  <w:style w:type="character" w:customStyle="1" w:styleId="Overskrift8Tegn">
    <w:name w:val="Overskrift 8 Tegn"/>
    <w:basedOn w:val="Standardskriftforavsnitt"/>
    <w:link w:val="Overskrift8"/>
    <w:rsid w:val="00BB441C"/>
    <w:rPr>
      <w:rFonts w:ascii="Open Sans" w:eastAsia="Times New Roman" w:hAnsi="Open Sans" w:cstheme="minorBidi"/>
      <w:i/>
      <w:sz w:val="22"/>
      <w:szCs w:val="22"/>
    </w:rPr>
  </w:style>
  <w:style w:type="character" w:customStyle="1" w:styleId="Overskrift9Tegn">
    <w:name w:val="Overskrift 9 Tegn"/>
    <w:basedOn w:val="Standardskriftforavsnitt"/>
    <w:link w:val="Overskrift9"/>
    <w:rsid w:val="00BB441C"/>
    <w:rPr>
      <w:rFonts w:ascii="Open Sans" w:eastAsia="Times New Roman" w:hAnsi="Open Sans" w:cstheme="minorBidi"/>
      <w:b/>
      <w:i/>
      <w:sz w:val="18"/>
      <w:szCs w:val="22"/>
    </w:rPr>
  </w:style>
  <w:style w:type="paragraph" w:customStyle="1" w:styleId="alfaliste">
    <w:name w:val="alfaliste"/>
    <w:basedOn w:val="Nummerertliste"/>
    <w:rsid w:val="00BB441C"/>
    <w:pPr>
      <w:numPr>
        <w:numId w:val="40"/>
      </w:numPr>
    </w:pPr>
    <w:rPr>
      <w:spacing w:val="4"/>
    </w:rPr>
  </w:style>
  <w:style w:type="paragraph" w:customStyle="1" w:styleId="alfaliste2">
    <w:name w:val="alfaliste 2"/>
    <w:basedOn w:val="alfaliste"/>
    <w:next w:val="alfaliste"/>
    <w:rsid w:val="00BB441C"/>
    <w:pPr>
      <w:numPr>
        <w:numId w:val="25"/>
      </w:numPr>
    </w:pPr>
  </w:style>
  <w:style w:type="paragraph" w:customStyle="1" w:styleId="alfaliste3">
    <w:name w:val="alfaliste 3"/>
    <w:basedOn w:val="alfaliste"/>
    <w:autoRedefine/>
    <w:qFormat/>
    <w:rsid w:val="00BB441C"/>
    <w:pPr>
      <w:numPr>
        <w:numId w:val="31"/>
      </w:numPr>
    </w:pPr>
  </w:style>
  <w:style w:type="paragraph" w:customStyle="1" w:styleId="alfaliste4">
    <w:name w:val="alfaliste 4"/>
    <w:basedOn w:val="alfaliste"/>
    <w:qFormat/>
    <w:rsid w:val="00BB441C"/>
    <w:pPr>
      <w:numPr>
        <w:numId w:val="32"/>
      </w:numPr>
      <w:ind w:left="1588" w:hanging="397"/>
    </w:pPr>
  </w:style>
  <w:style w:type="paragraph" w:customStyle="1" w:styleId="alfaliste5">
    <w:name w:val="alfaliste 5"/>
    <w:basedOn w:val="alfaliste"/>
    <w:qFormat/>
    <w:rsid w:val="00BB441C"/>
    <w:pPr>
      <w:numPr>
        <w:numId w:val="33"/>
      </w:numPr>
      <w:ind w:left="1985" w:hanging="397"/>
    </w:pPr>
  </w:style>
  <w:style w:type="paragraph" w:customStyle="1" w:styleId="avsnitt-tittel">
    <w:name w:val="avsnitt-tittel"/>
    <w:basedOn w:val="Undertittel"/>
    <w:next w:val="Normal"/>
    <w:rsid w:val="00BB441C"/>
    <w:rPr>
      <w:b w:val="0"/>
    </w:rPr>
  </w:style>
  <w:style w:type="paragraph" w:customStyle="1" w:styleId="avsnitt-undertittel">
    <w:name w:val="avsnitt-undertittel"/>
    <w:basedOn w:val="Undertittel"/>
    <w:next w:val="Normal"/>
    <w:rsid w:val="00BB441C"/>
    <w:pPr>
      <w:spacing w:line="240" w:lineRule="auto"/>
    </w:pPr>
    <w:rPr>
      <w:rFonts w:eastAsia="Batang"/>
      <w:b w:val="0"/>
      <w:i/>
      <w:sz w:val="24"/>
      <w:szCs w:val="20"/>
    </w:rPr>
  </w:style>
  <w:style w:type="paragraph" w:customStyle="1" w:styleId="avsnitt-under-undertittel">
    <w:name w:val="avsnitt-under-undertittel"/>
    <w:basedOn w:val="Undertittel"/>
    <w:next w:val="Normal"/>
    <w:rsid w:val="00BB441C"/>
    <w:pPr>
      <w:spacing w:line="240" w:lineRule="auto"/>
    </w:pPr>
    <w:rPr>
      <w:rFonts w:eastAsia="Batang"/>
      <w:b w:val="0"/>
      <w:i/>
      <w:sz w:val="22"/>
      <w:szCs w:val="20"/>
    </w:rPr>
  </w:style>
  <w:style w:type="paragraph" w:customStyle="1" w:styleId="Def">
    <w:name w:val="Def"/>
    <w:basedOn w:val="Normal"/>
    <w:qFormat/>
    <w:rsid w:val="00BB441C"/>
  </w:style>
  <w:style w:type="paragraph" w:customStyle="1" w:styleId="figur-beskr">
    <w:name w:val="figur-beskr"/>
    <w:basedOn w:val="Normal"/>
    <w:next w:val="Normal"/>
    <w:rsid w:val="00BB441C"/>
    <w:rPr>
      <w:spacing w:val="4"/>
    </w:rPr>
  </w:style>
  <w:style w:type="paragraph" w:customStyle="1" w:styleId="figur-tittel">
    <w:name w:val="figur-tittel"/>
    <w:basedOn w:val="Normal"/>
    <w:next w:val="Normal"/>
    <w:rsid w:val="00BB441C"/>
    <w:pPr>
      <w:numPr>
        <w:ilvl w:val="5"/>
        <w:numId w:val="19"/>
      </w:numPr>
    </w:pPr>
    <w:rPr>
      <w:spacing w:val="4"/>
      <w:sz w:val="28"/>
    </w:rPr>
  </w:style>
  <w:style w:type="character" w:customStyle="1" w:styleId="halvfet">
    <w:name w:val="halvfet"/>
    <w:basedOn w:val="Standardskriftforavsnitt"/>
    <w:rsid w:val="00BB441C"/>
    <w:rPr>
      <w:b/>
    </w:rPr>
  </w:style>
  <w:style w:type="paragraph" w:customStyle="1" w:styleId="hengende-innrykk">
    <w:name w:val="hengende-innrykk"/>
    <w:basedOn w:val="Normal"/>
    <w:next w:val="Normal"/>
    <w:rsid w:val="00BB441C"/>
    <w:pPr>
      <w:ind w:left="1418" w:hanging="1418"/>
    </w:pPr>
    <w:rPr>
      <w:spacing w:val="4"/>
    </w:rPr>
  </w:style>
  <w:style w:type="paragraph" w:customStyle="1" w:styleId="Kilde">
    <w:name w:val="Kilde"/>
    <w:basedOn w:val="Normal"/>
    <w:next w:val="Normal"/>
    <w:rsid w:val="00BB441C"/>
    <w:pPr>
      <w:spacing w:after="240"/>
    </w:pPr>
    <w:rPr>
      <w:spacing w:val="4"/>
    </w:rPr>
  </w:style>
  <w:style w:type="character" w:customStyle="1" w:styleId="kursiv">
    <w:name w:val="kursiv"/>
    <w:basedOn w:val="Standardskriftforavsnitt"/>
    <w:rsid w:val="00BB441C"/>
    <w:rPr>
      <w:i/>
    </w:rPr>
  </w:style>
  <w:style w:type="character" w:customStyle="1" w:styleId="l-endring">
    <w:name w:val="l-endring"/>
    <w:basedOn w:val="Standardskriftforavsnitt"/>
    <w:rsid w:val="00BB441C"/>
    <w:rPr>
      <w:i/>
    </w:rPr>
  </w:style>
  <w:style w:type="paragraph" w:customStyle="1" w:styleId="l-lovdeltit">
    <w:name w:val="l-lovdeltit"/>
    <w:basedOn w:val="Normal"/>
    <w:next w:val="Normal"/>
    <w:rsid w:val="00BB441C"/>
    <w:pPr>
      <w:keepNext/>
      <w:spacing w:before="120" w:after="60"/>
    </w:pPr>
    <w:rPr>
      <w:b/>
    </w:rPr>
  </w:style>
  <w:style w:type="paragraph" w:customStyle="1" w:styleId="l-lovkap">
    <w:name w:val="l-lovkap"/>
    <w:basedOn w:val="Normal"/>
    <w:next w:val="Normal"/>
    <w:rsid w:val="00BB441C"/>
    <w:pPr>
      <w:keepNext/>
      <w:spacing w:before="240" w:after="40"/>
    </w:pPr>
    <w:rPr>
      <w:b/>
      <w:spacing w:val="4"/>
    </w:rPr>
  </w:style>
  <w:style w:type="paragraph" w:customStyle="1" w:styleId="l-lovtit">
    <w:name w:val="l-lovtit"/>
    <w:basedOn w:val="Normal"/>
    <w:next w:val="Normal"/>
    <w:rsid w:val="00BB441C"/>
    <w:pPr>
      <w:keepNext/>
      <w:spacing w:before="120" w:after="60"/>
    </w:pPr>
    <w:rPr>
      <w:b/>
      <w:spacing w:val="4"/>
    </w:rPr>
  </w:style>
  <w:style w:type="paragraph" w:customStyle="1" w:styleId="l-paragraf">
    <w:name w:val="l-paragraf"/>
    <w:basedOn w:val="Normal"/>
    <w:next w:val="Normal"/>
    <w:rsid w:val="00BB441C"/>
    <w:pPr>
      <w:spacing w:before="180" w:after="0"/>
    </w:pPr>
    <w:rPr>
      <w:rFonts w:ascii="Times" w:hAnsi="Times"/>
      <w:i/>
      <w:spacing w:val="4"/>
    </w:rPr>
  </w:style>
  <w:style w:type="paragraph" w:customStyle="1" w:styleId="opplisting">
    <w:name w:val="opplisting"/>
    <w:basedOn w:val="Liste"/>
    <w:qFormat/>
    <w:rsid w:val="00BB441C"/>
    <w:pPr>
      <w:numPr>
        <w:numId w:val="0"/>
      </w:numPr>
      <w:tabs>
        <w:tab w:val="left" w:pos="397"/>
      </w:tabs>
    </w:pPr>
    <w:rPr>
      <w:rFonts w:cs="Times New Roman"/>
    </w:rPr>
  </w:style>
  <w:style w:type="paragraph" w:customStyle="1" w:styleId="Ramme-slutt">
    <w:name w:val="Ramme-slutt"/>
    <w:basedOn w:val="Normal"/>
    <w:qFormat/>
    <w:rsid w:val="00BB441C"/>
    <w:rPr>
      <w:b/>
      <w:color w:val="C00000"/>
    </w:rPr>
  </w:style>
  <w:style w:type="paragraph" w:customStyle="1" w:styleId="romertallliste">
    <w:name w:val="romertall liste"/>
    <w:basedOn w:val="Nummerertliste"/>
    <w:qFormat/>
    <w:rsid w:val="00BB441C"/>
    <w:pPr>
      <w:numPr>
        <w:numId w:val="34"/>
      </w:numPr>
      <w:ind w:left="397" w:hanging="397"/>
    </w:pPr>
  </w:style>
  <w:style w:type="paragraph" w:customStyle="1" w:styleId="romertallliste2">
    <w:name w:val="romertall liste 2"/>
    <w:basedOn w:val="romertallliste"/>
    <w:qFormat/>
    <w:rsid w:val="00BB441C"/>
    <w:pPr>
      <w:numPr>
        <w:numId w:val="35"/>
      </w:numPr>
      <w:ind w:left="794" w:hanging="397"/>
    </w:pPr>
  </w:style>
  <w:style w:type="paragraph" w:customStyle="1" w:styleId="romertallliste3">
    <w:name w:val="romertall liste 3"/>
    <w:basedOn w:val="romertallliste"/>
    <w:qFormat/>
    <w:rsid w:val="00BB441C"/>
    <w:pPr>
      <w:numPr>
        <w:numId w:val="36"/>
      </w:numPr>
      <w:ind w:left="1191" w:hanging="397"/>
    </w:pPr>
  </w:style>
  <w:style w:type="paragraph" w:customStyle="1" w:styleId="romertallliste4">
    <w:name w:val="romertall liste 4"/>
    <w:basedOn w:val="romertallliste"/>
    <w:qFormat/>
    <w:rsid w:val="00BB441C"/>
    <w:pPr>
      <w:numPr>
        <w:numId w:val="37"/>
      </w:numPr>
      <w:ind w:left="1588" w:hanging="397"/>
    </w:pPr>
  </w:style>
  <w:style w:type="character" w:customStyle="1" w:styleId="skrift-hevet">
    <w:name w:val="skrift-hevet"/>
    <w:basedOn w:val="Standardskriftforavsnitt"/>
    <w:rsid w:val="00BB441C"/>
    <w:rPr>
      <w:sz w:val="20"/>
      <w:vertAlign w:val="superscript"/>
    </w:rPr>
  </w:style>
  <w:style w:type="character" w:customStyle="1" w:styleId="skrift-senket">
    <w:name w:val="skrift-senket"/>
    <w:basedOn w:val="Standardskriftforavsnitt"/>
    <w:rsid w:val="00BB441C"/>
    <w:rPr>
      <w:sz w:val="20"/>
      <w:vertAlign w:val="subscript"/>
    </w:rPr>
  </w:style>
  <w:style w:type="character" w:customStyle="1" w:styleId="sperret">
    <w:name w:val="sperret"/>
    <w:basedOn w:val="Standardskriftforavsnitt"/>
    <w:rsid w:val="00BB441C"/>
    <w:rPr>
      <w:spacing w:val="30"/>
    </w:rPr>
  </w:style>
  <w:style w:type="character" w:customStyle="1" w:styleId="Stikkord">
    <w:name w:val="Stikkord"/>
    <w:basedOn w:val="Standardskriftforavsnitt"/>
    <w:rsid w:val="00BB441C"/>
  </w:style>
  <w:style w:type="paragraph" w:customStyle="1" w:styleId="Tabellnavn">
    <w:name w:val="Tabellnavn"/>
    <w:basedOn w:val="Normal"/>
    <w:qFormat/>
    <w:rsid w:val="00BB441C"/>
    <w:rPr>
      <w:rFonts w:ascii="Times" w:hAnsi="Times"/>
      <w:vanish/>
      <w:color w:val="00B050"/>
    </w:rPr>
  </w:style>
  <w:style w:type="paragraph" w:customStyle="1" w:styleId="tabell-tittel">
    <w:name w:val="tabell-tittel"/>
    <w:basedOn w:val="Normal"/>
    <w:next w:val="Normal"/>
    <w:rsid w:val="00BB441C"/>
    <w:pPr>
      <w:keepNext/>
      <w:keepLines/>
      <w:numPr>
        <w:ilvl w:val="6"/>
        <w:numId w:val="19"/>
      </w:numPr>
      <w:spacing w:before="240"/>
    </w:pPr>
    <w:rPr>
      <w:spacing w:val="4"/>
      <w:sz w:val="28"/>
    </w:rPr>
  </w:style>
  <w:style w:type="paragraph" w:customStyle="1" w:styleId="Term">
    <w:name w:val="Term"/>
    <w:basedOn w:val="Normal"/>
    <w:qFormat/>
    <w:rsid w:val="00BB441C"/>
  </w:style>
  <w:style w:type="paragraph" w:customStyle="1" w:styleId="tittel-ramme">
    <w:name w:val="tittel-ramme"/>
    <w:basedOn w:val="Normal"/>
    <w:next w:val="Normal"/>
    <w:rsid w:val="00BB441C"/>
    <w:pPr>
      <w:keepNext/>
      <w:keepLines/>
      <w:numPr>
        <w:ilvl w:val="7"/>
        <w:numId w:val="19"/>
      </w:numPr>
      <w:spacing w:before="360" w:after="80"/>
      <w:jc w:val="center"/>
    </w:pPr>
    <w:rPr>
      <w:b/>
      <w:spacing w:val="4"/>
      <w:sz w:val="24"/>
    </w:rPr>
  </w:style>
  <w:style w:type="table" w:customStyle="1" w:styleId="Tabell-VM">
    <w:name w:val="Tabell-VM"/>
    <w:basedOn w:val="Tabelltemaer"/>
    <w:uiPriority w:val="99"/>
    <w:qFormat/>
    <w:rsid w:val="00BB441C"/>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B4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B441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B44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B441C"/>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B441C"/>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B441C"/>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B441C"/>
    <w:pPr>
      <w:numPr>
        <w:numId w:val="18"/>
      </w:numPr>
    </w:pPr>
  </w:style>
  <w:style w:type="paragraph" w:customStyle="1" w:styleId="Figur">
    <w:name w:val="Figur"/>
    <w:basedOn w:val="Normal"/>
    <w:rsid w:val="00BB441C"/>
    <w:pPr>
      <w:suppressAutoHyphens/>
      <w:spacing w:before="400" w:line="240" w:lineRule="auto"/>
      <w:jc w:val="center"/>
    </w:pPr>
    <w:rPr>
      <w:b/>
      <w:color w:val="FF0000"/>
    </w:rPr>
  </w:style>
  <w:style w:type="paragraph" w:customStyle="1" w:styleId="l-ledd">
    <w:name w:val="l-ledd"/>
    <w:basedOn w:val="Normal"/>
    <w:qFormat/>
    <w:rsid w:val="00BB441C"/>
    <w:pPr>
      <w:spacing w:after="0"/>
      <w:ind w:firstLine="397"/>
    </w:pPr>
    <w:rPr>
      <w:rFonts w:ascii="Times" w:hAnsi="Times"/>
      <w:spacing w:val="4"/>
    </w:rPr>
  </w:style>
  <w:style w:type="paragraph" w:customStyle="1" w:styleId="l-punktum">
    <w:name w:val="l-punktum"/>
    <w:basedOn w:val="Normal"/>
    <w:qFormat/>
    <w:rsid w:val="00BB441C"/>
    <w:pPr>
      <w:spacing w:after="0"/>
    </w:pPr>
    <w:rPr>
      <w:spacing w:val="4"/>
    </w:rPr>
  </w:style>
  <w:style w:type="paragraph" w:customStyle="1" w:styleId="l-tit-endr-lovkap">
    <w:name w:val="l-tit-endr-lovkap"/>
    <w:basedOn w:val="Normal"/>
    <w:qFormat/>
    <w:rsid w:val="00BB441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B441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B441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B441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B441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B441C"/>
  </w:style>
  <w:style w:type="paragraph" w:customStyle="1" w:styleId="l-alfaliste">
    <w:name w:val="l-alfaliste"/>
    <w:basedOn w:val="alfaliste"/>
    <w:qFormat/>
    <w:rsid w:val="00BB441C"/>
    <w:pPr>
      <w:numPr>
        <w:numId w:val="0"/>
      </w:numPr>
    </w:pPr>
    <w:rPr>
      <w:rFonts w:eastAsiaTheme="minorEastAsia"/>
    </w:rPr>
  </w:style>
  <w:style w:type="numbering" w:customStyle="1" w:styleId="AlfaListeStil">
    <w:name w:val="AlfaListeStil"/>
    <w:uiPriority w:val="99"/>
    <w:rsid w:val="00BB441C"/>
    <w:pPr>
      <w:numPr>
        <w:numId w:val="40"/>
      </w:numPr>
    </w:pPr>
  </w:style>
  <w:style w:type="paragraph" w:customStyle="1" w:styleId="l-alfaliste2">
    <w:name w:val="l-alfaliste 2"/>
    <w:basedOn w:val="alfaliste2"/>
    <w:qFormat/>
    <w:rsid w:val="00BB441C"/>
    <w:pPr>
      <w:numPr>
        <w:numId w:val="0"/>
      </w:numPr>
    </w:pPr>
  </w:style>
  <w:style w:type="paragraph" w:customStyle="1" w:styleId="l-alfaliste3">
    <w:name w:val="l-alfaliste 3"/>
    <w:basedOn w:val="alfaliste3"/>
    <w:qFormat/>
    <w:rsid w:val="00BB441C"/>
    <w:pPr>
      <w:numPr>
        <w:numId w:val="0"/>
      </w:numPr>
    </w:pPr>
  </w:style>
  <w:style w:type="paragraph" w:customStyle="1" w:styleId="l-alfaliste4">
    <w:name w:val="l-alfaliste 4"/>
    <w:basedOn w:val="alfaliste4"/>
    <w:qFormat/>
    <w:rsid w:val="00BB441C"/>
    <w:pPr>
      <w:numPr>
        <w:numId w:val="0"/>
      </w:numPr>
    </w:pPr>
  </w:style>
  <w:style w:type="paragraph" w:customStyle="1" w:styleId="l-alfaliste5">
    <w:name w:val="l-alfaliste 5"/>
    <w:basedOn w:val="alfaliste5"/>
    <w:qFormat/>
    <w:rsid w:val="00BB441C"/>
    <w:pPr>
      <w:numPr>
        <w:numId w:val="0"/>
      </w:numPr>
    </w:pPr>
  </w:style>
  <w:style w:type="numbering" w:customStyle="1" w:styleId="l-AlfaListeStil">
    <w:name w:val="l-AlfaListeStil"/>
    <w:uiPriority w:val="99"/>
    <w:rsid w:val="00BB441C"/>
  </w:style>
  <w:style w:type="numbering" w:customStyle="1" w:styleId="l-NummerertListeStil">
    <w:name w:val="l-NummerertListeStil"/>
    <w:uiPriority w:val="99"/>
    <w:rsid w:val="00BB441C"/>
    <w:pPr>
      <w:numPr>
        <w:numId w:val="8"/>
      </w:numPr>
    </w:pPr>
  </w:style>
  <w:style w:type="numbering" w:customStyle="1" w:styleId="NrListeStil">
    <w:name w:val="NrListeStil"/>
    <w:uiPriority w:val="99"/>
    <w:rsid w:val="00BB441C"/>
    <w:pPr>
      <w:numPr>
        <w:numId w:val="9"/>
      </w:numPr>
    </w:pPr>
  </w:style>
  <w:style w:type="numbering" w:customStyle="1" w:styleId="OpplistingListeStil">
    <w:name w:val="OpplistingListeStil"/>
    <w:uiPriority w:val="99"/>
    <w:rsid w:val="00BB441C"/>
    <w:pPr>
      <w:numPr>
        <w:numId w:val="39"/>
      </w:numPr>
    </w:pPr>
  </w:style>
  <w:style w:type="numbering" w:customStyle="1" w:styleId="OverskrifterListeStil">
    <w:name w:val="OverskrifterListeStil"/>
    <w:uiPriority w:val="99"/>
    <w:rsid w:val="00BB441C"/>
    <w:pPr>
      <w:numPr>
        <w:numId w:val="10"/>
      </w:numPr>
    </w:pPr>
  </w:style>
  <w:style w:type="numbering" w:customStyle="1" w:styleId="RomListeStil">
    <w:name w:val="RomListeStil"/>
    <w:uiPriority w:val="99"/>
    <w:rsid w:val="00BB441C"/>
    <w:pPr>
      <w:numPr>
        <w:numId w:val="11"/>
      </w:numPr>
    </w:pPr>
  </w:style>
  <w:style w:type="numbering" w:customStyle="1" w:styleId="StrekListeStil">
    <w:name w:val="StrekListeStil"/>
    <w:uiPriority w:val="99"/>
    <w:rsid w:val="00BB441C"/>
    <w:pPr>
      <w:numPr>
        <w:numId w:val="12"/>
      </w:numPr>
    </w:pPr>
  </w:style>
  <w:style w:type="paragraph" w:customStyle="1" w:styleId="romertallliste5">
    <w:name w:val="romertall liste 5"/>
    <w:basedOn w:val="romertallliste"/>
    <w:qFormat/>
    <w:rsid w:val="00BB441C"/>
    <w:pPr>
      <w:numPr>
        <w:numId w:val="38"/>
      </w:numPr>
      <w:ind w:left="1985" w:hanging="397"/>
    </w:pPr>
    <w:rPr>
      <w:spacing w:val="4"/>
    </w:rPr>
  </w:style>
  <w:style w:type="paragraph" w:customStyle="1" w:styleId="opplisting2">
    <w:name w:val="opplisting 2"/>
    <w:basedOn w:val="opplisting"/>
    <w:qFormat/>
    <w:rsid w:val="00BB441C"/>
    <w:pPr>
      <w:ind w:left="397"/>
    </w:pPr>
    <w:rPr>
      <w:lang w:val="en-US"/>
    </w:rPr>
  </w:style>
  <w:style w:type="paragraph" w:customStyle="1" w:styleId="opplisting3">
    <w:name w:val="opplisting 3"/>
    <w:basedOn w:val="opplisting"/>
    <w:qFormat/>
    <w:rsid w:val="00BB441C"/>
    <w:pPr>
      <w:ind w:left="794"/>
    </w:pPr>
  </w:style>
  <w:style w:type="paragraph" w:customStyle="1" w:styleId="opplisting4">
    <w:name w:val="opplisting 4"/>
    <w:basedOn w:val="opplisting"/>
    <w:qFormat/>
    <w:rsid w:val="00BB441C"/>
    <w:pPr>
      <w:ind w:left="1191"/>
    </w:pPr>
  </w:style>
  <w:style w:type="paragraph" w:customStyle="1" w:styleId="opplisting5">
    <w:name w:val="opplisting 5"/>
    <w:basedOn w:val="opplisting"/>
    <w:qFormat/>
    <w:rsid w:val="00BB441C"/>
    <w:pPr>
      <w:ind w:left="1588"/>
    </w:pPr>
  </w:style>
  <w:style w:type="paragraph" w:customStyle="1" w:styleId="friliste">
    <w:name w:val="friliste"/>
    <w:basedOn w:val="Normal"/>
    <w:qFormat/>
    <w:rsid w:val="00BB441C"/>
    <w:pPr>
      <w:tabs>
        <w:tab w:val="left" w:pos="397"/>
      </w:tabs>
      <w:spacing w:after="0"/>
      <w:ind w:left="397" w:hanging="397"/>
    </w:pPr>
  </w:style>
  <w:style w:type="paragraph" w:customStyle="1" w:styleId="friliste2">
    <w:name w:val="friliste 2"/>
    <w:basedOn w:val="friliste"/>
    <w:qFormat/>
    <w:rsid w:val="00BB441C"/>
    <w:pPr>
      <w:tabs>
        <w:tab w:val="left" w:pos="794"/>
      </w:tabs>
      <w:spacing w:before="0"/>
      <w:ind w:left="794"/>
    </w:pPr>
  </w:style>
  <w:style w:type="paragraph" w:customStyle="1" w:styleId="friliste3">
    <w:name w:val="friliste 3"/>
    <w:basedOn w:val="friliste"/>
    <w:qFormat/>
    <w:rsid w:val="00BB441C"/>
    <w:pPr>
      <w:tabs>
        <w:tab w:val="left" w:pos="1191"/>
      </w:tabs>
      <w:spacing w:before="0"/>
      <w:ind w:left="1191"/>
    </w:pPr>
  </w:style>
  <w:style w:type="paragraph" w:customStyle="1" w:styleId="friliste4">
    <w:name w:val="friliste 4"/>
    <w:basedOn w:val="friliste"/>
    <w:qFormat/>
    <w:rsid w:val="00BB441C"/>
    <w:pPr>
      <w:tabs>
        <w:tab w:val="left" w:pos="1588"/>
      </w:tabs>
      <w:spacing w:before="0"/>
      <w:ind w:left="1588"/>
    </w:pPr>
  </w:style>
  <w:style w:type="paragraph" w:customStyle="1" w:styleId="friliste5">
    <w:name w:val="friliste 5"/>
    <w:basedOn w:val="friliste"/>
    <w:qFormat/>
    <w:rsid w:val="00BB441C"/>
    <w:pPr>
      <w:tabs>
        <w:tab w:val="left" w:pos="1985"/>
      </w:tabs>
      <w:spacing w:before="0"/>
      <w:ind w:left="1985"/>
    </w:pPr>
  </w:style>
  <w:style w:type="paragraph" w:customStyle="1" w:styleId="blokksit">
    <w:name w:val="blokksit"/>
    <w:basedOn w:val="Normal"/>
    <w:autoRedefine/>
    <w:qFormat/>
    <w:rsid w:val="00BB441C"/>
    <w:pPr>
      <w:spacing w:line="240" w:lineRule="auto"/>
      <w:ind w:left="397"/>
    </w:pPr>
    <w:rPr>
      <w:spacing w:val="-2"/>
    </w:rPr>
  </w:style>
  <w:style w:type="character" w:customStyle="1" w:styleId="regular">
    <w:name w:val="regular"/>
    <w:basedOn w:val="Standardskriftforavsnitt"/>
    <w:uiPriority w:val="1"/>
    <w:qFormat/>
    <w:rsid w:val="00BB441C"/>
    <w:rPr>
      <w:i/>
    </w:rPr>
  </w:style>
  <w:style w:type="character" w:customStyle="1" w:styleId="gjennomstreket">
    <w:name w:val="gjennomstreket"/>
    <w:uiPriority w:val="1"/>
    <w:rsid w:val="00BB441C"/>
    <w:rPr>
      <w:strike/>
      <w:dstrike w:val="0"/>
    </w:rPr>
  </w:style>
  <w:style w:type="paragraph" w:customStyle="1" w:styleId="l-avsnitt">
    <w:name w:val="l-avsnitt"/>
    <w:basedOn w:val="l-lovkap"/>
    <w:qFormat/>
    <w:rsid w:val="00BB441C"/>
    <w:rPr>
      <w:lang w:val="nn-NO"/>
    </w:rPr>
  </w:style>
  <w:style w:type="paragraph" w:customStyle="1" w:styleId="l-tit-endr-avsnitt">
    <w:name w:val="l-tit-endr-avsnitt"/>
    <w:basedOn w:val="l-tit-endr-lovkap"/>
    <w:qFormat/>
    <w:rsid w:val="00BB441C"/>
  </w:style>
  <w:style w:type="paragraph" w:customStyle="1" w:styleId="Listebombe">
    <w:name w:val="Liste bombe"/>
    <w:basedOn w:val="Liste"/>
    <w:qFormat/>
    <w:rsid w:val="00BB441C"/>
    <w:pPr>
      <w:numPr>
        <w:numId w:val="13"/>
      </w:numPr>
      <w:ind w:left="397" w:hanging="397"/>
    </w:pPr>
  </w:style>
  <w:style w:type="paragraph" w:styleId="Liste">
    <w:name w:val="List"/>
    <w:basedOn w:val="Nummerertliste"/>
    <w:qFormat/>
    <w:rsid w:val="00BB441C"/>
    <w:pPr>
      <w:numPr>
        <w:numId w:val="20"/>
      </w:numPr>
      <w:ind w:left="397" w:hanging="397"/>
      <w:contextualSpacing/>
    </w:pPr>
    <w:rPr>
      <w:spacing w:val="4"/>
    </w:rPr>
  </w:style>
  <w:style w:type="paragraph" w:customStyle="1" w:styleId="Listebombe2">
    <w:name w:val="Liste bombe 2"/>
    <w:basedOn w:val="Liste2"/>
    <w:qFormat/>
    <w:rsid w:val="00BB441C"/>
    <w:pPr>
      <w:numPr>
        <w:numId w:val="14"/>
      </w:numPr>
      <w:ind w:left="794" w:hanging="397"/>
    </w:pPr>
  </w:style>
  <w:style w:type="paragraph" w:styleId="Liste2">
    <w:name w:val="List 2"/>
    <w:basedOn w:val="Liste"/>
    <w:qFormat/>
    <w:rsid w:val="00BB441C"/>
    <w:pPr>
      <w:numPr>
        <w:numId w:val="21"/>
      </w:numPr>
      <w:ind w:left="794" w:hanging="397"/>
    </w:pPr>
  </w:style>
  <w:style w:type="paragraph" w:customStyle="1" w:styleId="Listebombe3">
    <w:name w:val="Liste bombe 3"/>
    <w:basedOn w:val="Liste3"/>
    <w:qFormat/>
    <w:rsid w:val="00BB441C"/>
    <w:pPr>
      <w:numPr>
        <w:numId w:val="15"/>
      </w:numPr>
      <w:ind w:left="1191" w:hanging="397"/>
    </w:pPr>
  </w:style>
  <w:style w:type="paragraph" w:styleId="Liste3">
    <w:name w:val="List 3"/>
    <w:basedOn w:val="Liste"/>
    <w:qFormat/>
    <w:rsid w:val="00BB441C"/>
    <w:pPr>
      <w:numPr>
        <w:numId w:val="22"/>
      </w:numPr>
      <w:ind w:left="1191" w:hanging="397"/>
    </w:pPr>
  </w:style>
  <w:style w:type="paragraph" w:customStyle="1" w:styleId="Listebombe4">
    <w:name w:val="Liste bombe 4"/>
    <w:basedOn w:val="Liste4"/>
    <w:qFormat/>
    <w:rsid w:val="00BB441C"/>
    <w:pPr>
      <w:numPr>
        <w:numId w:val="16"/>
      </w:numPr>
      <w:ind w:left="1588" w:hanging="397"/>
    </w:pPr>
  </w:style>
  <w:style w:type="paragraph" w:styleId="Liste4">
    <w:name w:val="List 4"/>
    <w:basedOn w:val="Liste"/>
    <w:qFormat/>
    <w:rsid w:val="00BB441C"/>
    <w:pPr>
      <w:numPr>
        <w:numId w:val="23"/>
      </w:numPr>
      <w:ind w:left="1588" w:hanging="397"/>
    </w:pPr>
  </w:style>
  <w:style w:type="paragraph" w:customStyle="1" w:styleId="Listebombe5">
    <w:name w:val="Liste bombe 5"/>
    <w:basedOn w:val="Liste5"/>
    <w:qFormat/>
    <w:rsid w:val="00BB441C"/>
    <w:pPr>
      <w:numPr>
        <w:numId w:val="17"/>
      </w:numPr>
      <w:ind w:left="1985" w:hanging="397"/>
    </w:pPr>
  </w:style>
  <w:style w:type="paragraph" w:styleId="Liste5">
    <w:name w:val="List 5"/>
    <w:basedOn w:val="Liste"/>
    <w:qFormat/>
    <w:rsid w:val="00BB441C"/>
    <w:pPr>
      <w:numPr>
        <w:numId w:val="24"/>
      </w:numPr>
      <w:ind w:left="1985" w:hanging="397"/>
    </w:pPr>
  </w:style>
  <w:style w:type="paragraph" w:customStyle="1" w:styleId="Listeavsnitt2">
    <w:name w:val="Listeavsnitt 2"/>
    <w:basedOn w:val="Listeavsnitt"/>
    <w:qFormat/>
    <w:rsid w:val="00BB441C"/>
    <w:pPr>
      <w:ind w:left="794"/>
    </w:pPr>
  </w:style>
  <w:style w:type="paragraph" w:customStyle="1" w:styleId="Listeavsnitt3">
    <w:name w:val="Listeavsnitt 3"/>
    <w:basedOn w:val="Listeavsnitt"/>
    <w:qFormat/>
    <w:rsid w:val="00BB441C"/>
    <w:pPr>
      <w:ind w:left="1191"/>
    </w:pPr>
  </w:style>
  <w:style w:type="paragraph" w:customStyle="1" w:styleId="Listeavsnitt4">
    <w:name w:val="Listeavsnitt 4"/>
    <w:basedOn w:val="Listeavsnitt"/>
    <w:qFormat/>
    <w:rsid w:val="00BB441C"/>
    <w:pPr>
      <w:ind w:left="1588"/>
    </w:pPr>
  </w:style>
  <w:style w:type="paragraph" w:customStyle="1" w:styleId="Listeavsnitt5">
    <w:name w:val="Listeavsnitt 5"/>
    <w:basedOn w:val="Listeavsnitt"/>
    <w:qFormat/>
    <w:rsid w:val="00BB441C"/>
    <w:pPr>
      <w:ind w:left="1985"/>
    </w:pPr>
  </w:style>
  <w:style w:type="paragraph" w:customStyle="1" w:styleId="Petit">
    <w:name w:val="Petit"/>
    <w:basedOn w:val="Normal"/>
    <w:next w:val="Normal"/>
    <w:qFormat/>
    <w:rsid w:val="00BB441C"/>
    <w:rPr>
      <w:spacing w:val="6"/>
      <w:sz w:val="19"/>
    </w:rPr>
  </w:style>
  <w:style w:type="paragraph" w:customStyle="1" w:styleId="TrykkeriMerknad">
    <w:name w:val="TrykkeriMerknad"/>
    <w:basedOn w:val="Normal"/>
    <w:qFormat/>
    <w:rsid w:val="00BB441C"/>
    <w:pPr>
      <w:spacing w:before="60"/>
    </w:pPr>
    <w:rPr>
      <w:color w:val="C45911" w:themeColor="accent2" w:themeShade="BF"/>
      <w:spacing w:val="4"/>
      <w:sz w:val="26"/>
    </w:rPr>
  </w:style>
  <w:style w:type="paragraph" w:customStyle="1" w:styleId="ForfatterMerknad">
    <w:name w:val="ForfatterMerknad"/>
    <w:basedOn w:val="TrykkeriMerknad"/>
    <w:qFormat/>
    <w:rsid w:val="00BB441C"/>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BB441C"/>
    <w:pPr>
      <w:numPr>
        <w:numId w:val="0"/>
      </w:numPr>
    </w:pPr>
  </w:style>
  <w:style w:type="paragraph" w:customStyle="1" w:styleId="UnOverskrift2">
    <w:name w:val="UnOverskrift 2"/>
    <w:basedOn w:val="Overskrift2"/>
    <w:next w:val="Normal"/>
    <w:qFormat/>
    <w:rsid w:val="00BB441C"/>
    <w:pPr>
      <w:numPr>
        <w:ilvl w:val="0"/>
        <w:numId w:val="0"/>
      </w:numPr>
    </w:pPr>
  </w:style>
  <w:style w:type="paragraph" w:customStyle="1" w:styleId="UnOverskrift3">
    <w:name w:val="UnOverskrift 3"/>
    <w:basedOn w:val="Overskrift3"/>
    <w:next w:val="Normal"/>
    <w:qFormat/>
    <w:rsid w:val="00BB441C"/>
    <w:pPr>
      <w:numPr>
        <w:ilvl w:val="0"/>
        <w:numId w:val="0"/>
      </w:numPr>
    </w:pPr>
  </w:style>
  <w:style w:type="paragraph" w:customStyle="1" w:styleId="UnOverskrift4">
    <w:name w:val="UnOverskrift 4"/>
    <w:basedOn w:val="Overskrift4"/>
    <w:next w:val="Normal"/>
    <w:qFormat/>
    <w:rsid w:val="00BB441C"/>
    <w:pPr>
      <w:numPr>
        <w:ilvl w:val="0"/>
        <w:numId w:val="0"/>
      </w:numPr>
    </w:pPr>
  </w:style>
  <w:style w:type="paragraph" w:customStyle="1" w:styleId="UnOverskrift5">
    <w:name w:val="UnOverskrift 5"/>
    <w:basedOn w:val="Overskrift5"/>
    <w:next w:val="Normal"/>
    <w:qFormat/>
    <w:rsid w:val="00BB441C"/>
    <w:pPr>
      <w:numPr>
        <w:ilvl w:val="0"/>
        <w:numId w:val="0"/>
      </w:numPr>
    </w:pPr>
  </w:style>
  <w:style w:type="paragraph" w:customStyle="1" w:styleId="PublTittel">
    <w:name w:val="PublTittel"/>
    <w:basedOn w:val="Normal"/>
    <w:qFormat/>
    <w:rsid w:val="00BB441C"/>
    <w:pPr>
      <w:spacing w:before="80"/>
    </w:pPr>
    <w:rPr>
      <w:sz w:val="48"/>
      <w:szCs w:val="48"/>
    </w:rPr>
  </w:style>
  <w:style w:type="paragraph" w:customStyle="1" w:styleId="Ingress">
    <w:name w:val="Ingress"/>
    <w:basedOn w:val="Normal"/>
    <w:qFormat/>
    <w:rsid w:val="00BB441C"/>
    <w:rPr>
      <w:i/>
    </w:rPr>
  </w:style>
  <w:style w:type="paragraph" w:customStyle="1" w:styleId="Note">
    <w:name w:val="Note"/>
    <w:basedOn w:val="Normal"/>
    <w:qFormat/>
    <w:rsid w:val="00BB441C"/>
  </w:style>
  <w:style w:type="paragraph" w:customStyle="1" w:styleId="FigurAltTekst">
    <w:name w:val="FigurAltTekst"/>
    <w:basedOn w:val="Note"/>
    <w:qFormat/>
    <w:rsid w:val="00BB441C"/>
    <w:rPr>
      <w:color w:val="7030A0"/>
    </w:rPr>
  </w:style>
  <w:style w:type="paragraph" w:customStyle="1" w:styleId="meta-dep">
    <w:name w:val="meta-dep"/>
    <w:basedOn w:val="Normal"/>
    <w:next w:val="Normal"/>
    <w:qFormat/>
    <w:rsid w:val="00BB441C"/>
    <w:rPr>
      <w:rFonts w:ascii="Courier New" w:hAnsi="Courier New"/>
      <w:vanish/>
      <w:color w:val="C00000"/>
      <w:sz w:val="28"/>
    </w:rPr>
  </w:style>
  <w:style w:type="paragraph" w:customStyle="1" w:styleId="meta-depavd">
    <w:name w:val="meta-depavd"/>
    <w:basedOn w:val="meta-dep"/>
    <w:next w:val="Normal"/>
    <w:qFormat/>
    <w:rsid w:val="00BB441C"/>
  </w:style>
  <w:style w:type="paragraph" w:customStyle="1" w:styleId="meta-forf">
    <w:name w:val="meta-forf"/>
    <w:basedOn w:val="meta-dep"/>
    <w:next w:val="Normal"/>
    <w:qFormat/>
    <w:rsid w:val="00BB441C"/>
  </w:style>
  <w:style w:type="paragraph" w:customStyle="1" w:styleId="meta-spr">
    <w:name w:val="meta-spr"/>
    <w:basedOn w:val="meta-dep"/>
    <w:next w:val="Normal"/>
    <w:qFormat/>
    <w:rsid w:val="00BB441C"/>
  </w:style>
  <w:style w:type="paragraph" w:customStyle="1" w:styleId="meta-ingress">
    <w:name w:val="meta-ingress"/>
    <w:basedOn w:val="meta-dep"/>
    <w:next w:val="Normal"/>
    <w:qFormat/>
    <w:rsid w:val="00BB441C"/>
    <w:rPr>
      <w:color w:val="1F3864" w:themeColor="accent1" w:themeShade="80"/>
      <w:sz w:val="24"/>
    </w:rPr>
  </w:style>
  <w:style w:type="paragraph" w:customStyle="1" w:styleId="meta-sperrefrist">
    <w:name w:val="meta-sperrefrist"/>
    <w:basedOn w:val="meta-dep"/>
    <w:next w:val="Normal"/>
    <w:qFormat/>
    <w:rsid w:val="00BB441C"/>
  </w:style>
  <w:style w:type="paragraph" w:customStyle="1" w:styleId="meta-objUrl">
    <w:name w:val="meta-objUrl"/>
    <w:basedOn w:val="meta-dep"/>
    <w:next w:val="Normal"/>
    <w:qFormat/>
    <w:rsid w:val="00BB441C"/>
    <w:rPr>
      <w:color w:val="7030A0"/>
    </w:rPr>
  </w:style>
  <w:style w:type="paragraph" w:customStyle="1" w:styleId="meta-dokFormat">
    <w:name w:val="meta-dokFormat"/>
    <w:basedOn w:val="meta-dep"/>
    <w:next w:val="Normal"/>
    <w:qFormat/>
    <w:rsid w:val="00BB441C"/>
    <w:rPr>
      <w:color w:val="7030A0"/>
    </w:rPr>
  </w:style>
  <w:style w:type="paragraph" w:customStyle="1" w:styleId="TabellHode-rad">
    <w:name w:val="TabellHode-rad"/>
    <w:basedOn w:val="Normal"/>
    <w:qFormat/>
    <w:rsid w:val="00BB441C"/>
    <w:pPr>
      <w:shd w:val="clear" w:color="auto" w:fill="E2EFD9" w:themeFill="accent6" w:themeFillTint="33"/>
    </w:pPr>
  </w:style>
  <w:style w:type="paragraph" w:customStyle="1" w:styleId="TabellHode-kolonne">
    <w:name w:val="TabellHode-kolonne"/>
    <w:basedOn w:val="TabellHode-rad"/>
    <w:qFormat/>
    <w:rsid w:val="00BB441C"/>
    <w:pPr>
      <w:shd w:val="clear" w:color="auto" w:fill="D9E2F3" w:themeFill="accent1" w:themeFillTint="33"/>
    </w:pPr>
  </w:style>
  <w:style w:type="paragraph" w:styleId="Indeks1">
    <w:name w:val="index 1"/>
    <w:basedOn w:val="Normal"/>
    <w:next w:val="Normal"/>
    <w:autoRedefine/>
    <w:uiPriority w:val="99"/>
    <w:semiHidden/>
    <w:unhideWhenUsed/>
    <w:rsid w:val="00BB441C"/>
    <w:pPr>
      <w:spacing w:after="0" w:line="240" w:lineRule="auto"/>
      <w:ind w:left="240" w:hanging="240"/>
    </w:pPr>
  </w:style>
  <w:style w:type="paragraph" w:styleId="Indeks2">
    <w:name w:val="index 2"/>
    <w:basedOn w:val="Normal"/>
    <w:next w:val="Normal"/>
    <w:autoRedefine/>
    <w:uiPriority w:val="99"/>
    <w:semiHidden/>
    <w:unhideWhenUsed/>
    <w:rsid w:val="00BB441C"/>
    <w:pPr>
      <w:spacing w:after="0" w:line="240" w:lineRule="auto"/>
      <w:ind w:left="480" w:hanging="240"/>
    </w:pPr>
  </w:style>
  <w:style w:type="paragraph" w:styleId="Indeks3">
    <w:name w:val="index 3"/>
    <w:basedOn w:val="Normal"/>
    <w:next w:val="Normal"/>
    <w:autoRedefine/>
    <w:uiPriority w:val="99"/>
    <w:semiHidden/>
    <w:unhideWhenUsed/>
    <w:rsid w:val="00BB441C"/>
    <w:pPr>
      <w:spacing w:after="0" w:line="240" w:lineRule="auto"/>
      <w:ind w:left="720" w:hanging="240"/>
    </w:pPr>
  </w:style>
  <w:style w:type="paragraph" w:styleId="Indeks4">
    <w:name w:val="index 4"/>
    <w:basedOn w:val="Normal"/>
    <w:next w:val="Normal"/>
    <w:autoRedefine/>
    <w:uiPriority w:val="99"/>
    <w:semiHidden/>
    <w:unhideWhenUsed/>
    <w:rsid w:val="00BB441C"/>
    <w:pPr>
      <w:spacing w:after="0" w:line="240" w:lineRule="auto"/>
      <w:ind w:left="960" w:hanging="240"/>
    </w:pPr>
  </w:style>
  <w:style w:type="paragraph" w:styleId="Indeks5">
    <w:name w:val="index 5"/>
    <w:basedOn w:val="Normal"/>
    <w:next w:val="Normal"/>
    <w:autoRedefine/>
    <w:uiPriority w:val="99"/>
    <w:semiHidden/>
    <w:unhideWhenUsed/>
    <w:rsid w:val="00BB441C"/>
    <w:pPr>
      <w:spacing w:after="0" w:line="240" w:lineRule="auto"/>
      <w:ind w:left="1200" w:hanging="240"/>
    </w:pPr>
  </w:style>
  <w:style w:type="paragraph" w:styleId="Indeks6">
    <w:name w:val="index 6"/>
    <w:basedOn w:val="Normal"/>
    <w:next w:val="Normal"/>
    <w:autoRedefine/>
    <w:uiPriority w:val="99"/>
    <w:semiHidden/>
    <w:unhideWhenUsed/>
    <w:rsid w:val="00BB441C"/>
    <w:pPr>
      <w:spacing w:after="0" w:line="240" w:lineRule="auto"/>
      <w:ind w:left="1440" w:hanging="240"/>
    </w:pPr>
  </w:style>
  <w:style w:type="paragraph" w:styleId="Indeks7">
    <w:name w:val="index 7"/>
    <w:basedOn w:val="Normal"/>
    <w:next w:val="Normal"/>
    <w:autoRedefine/>
    <w:uiPriority w:val="99"/>
    <w:semiHidden/>
    <w:unhideWhenUsed/>
    <w:rsid w:val="00BB441C"/>
    <w:pPr>
      <w:spacing w:after="0" w:line="240" w:lineRule="auto"/>
      <w:ind w:left="1680" w:hanging="240"/>
    </w:pPr>
  </w:style>
  <w:style w:type="paragraph" w:styleId="Indeks8">
    <w:name w:val="index 8"/>
    <w:basedOn w:val="Normal"/>
    <w:next w:val="Normal"/>
    <w:autoRedefine/>
    <w:uiPriority w:val="99"/>
    <w:semiHidden/>
    <w:unhideWhenUsed/>
    <w:rsid w:val="00BB441C"/>
    <w:pPr>
      <w:spacing w:after="0" w:line="240" w:lineRule="auto"/>
      <w:ind w:left="1920" w:hanging="240"/>
    </w:pPr>
  </w:style>
  <w:style w:type="paragraph" w:styleId="Indeks9">
    <w:name w:val="index 9"/>
    <w:basedOn w:val="Normal"/>
    <w:next w:val="Normal"/>
    <w:autoRedefine/>
    <w:uiPriority w:val="99"/>
    <w:semiHidden/>
    <w:unhideWhenUsed/>
    <w:rsid w:val="00BB441C"/>
    <w:pPr>
      <w:spacing w:after="0" w:line="240" w:lineRule="auto"/>
      <w:ind w:left="2160" w:hanging="240"/>
    </w:pPr>
  </w:style>
  <w:style w:type="paragraph" w:styleId="INNH4">
    <w:name w:val="toc 4"/>
    <w:basedOn w:val="Normal"/>
    <w:next w:val="Normal"/>
    <w:semiHidden/>
    <w:rsid w:val="00BB441C"/>
    <w:pPr>
      <w:tabs>
        <w:tab w:val="right" w:leader="dot" w:pos="8306"/>
      </w:tabs>
      <w:ind w:left="600"/>
    </w:pPr>
  </w:style>
  <w:style w:type="paragraph" w:styleId="INNH5">
    <w:name w:val="toc 5"/>
    <w:basedOn w:val="Normal"/>
    <w:next w:val="Normal"/>
    <w:semiHidden/>
    <w:rsid w:val="00BB441C"/>
    <w:pPr>
      <w:tabs>
        <w:tab w:val="right" w:leader="dot" w:pos="8306"/>
      </w:tabs>
      <w:ind w:left="800"/>
    </w:pPr>
  </w:style>
  <w:style w:type="paragraph" w:styleId="INNH6">
    <w:name w:val="toc 6"/>
    <w:basedOn w:val="Normal"/>
    <w:next w:val="Normal"/>
    <w:autoRedefine/>
    <w:uiPriority w:val="39"/>
    <w:semiHidden/>
    <w:unhideWhenUsed/>
    <w:rsid w:val="00BB441C"/>
    <w:pPr>
      <w:spacing w:after="100"/>
      <w:ind w:left="1200"/>
    </w:pPr>
  </w:style>
  <w:style w:type="paragraph" w:styleId="INNH7">
    <w:name w:val="toc 7"/>
    <w:basedOn w:val="Normal"/>
    <w:next w:val="Normal"/>
    <w:autoRedefine/>
    <w:uiPriority w:val="39"/>
    <w:semiHidden/>
    <w:unhideWhenUsed/>
    <w:rsid w:val="00BB441C"/>
    <w:pPr>
      <w:spacing w:after="100"/>
      <w:ind w:left="1440"/>
    </w:pPr>
  </w:style>
  <w:style w:type="paragraph" w:styleId="INNH8">
    <w:name w:val="toc 8"/>
    <w:basedOn w:val="Normal"/>
    <w:next w:val="Normal"/>
    <w:autoRedefine/>
    <w:uiPriority w:val="39"/>
    <w:semiHidden/>
    <w:unhideWhenUsed/>
    <w:rsid w:val="00BB441C"/>
    <w:pPr>
      <w:spacing w:after="100"/>
      <w:ind w:left="1680"/>
    </w:pPr>
  </w:style>
  <w:style w:type="paragraph" w:styleId="INNH9">
    <w:name w:val="toc 9"/>
    <w:basedOn w:val="Normal"/>
    <w:next w:val="Normal"/>
    <w:autoRedefine/>
    <w:uiPriority w:val="39"/>
    <w:semiHidden/>
    <w:unhideWhenUsed/>
    <w:rsid w:val="00BB441C"/>
    <w:pPr>
      <w:spacing w:after="100"/>
      <w:ind w:left="1920"/>
    </w:pPr>
  </w:style>
  <w:style w:type="paragraph" w:styleId="Vanliginnrykk">
    <w:name w:val="Normal Indent"/>
    <w:basedOn w:val="Normal"/>
    <w:uiPriority w:val="99"/>
    <w:semiHidden/>
    <w:unhideWhenUsed/>
    <w:rsid w:val="00BB441C"/>
    <w:pPr>
      <w:ind w:left="708"/>
    </w:pPr>
  </w:style>
  <w:style w:type="paragraph" w:styleId="Stikkordregisteroverskrift">
    <w:name w:val="index heading"/>
    <w:basedOn w:val="Normal"/>
    <w:next w:val="Indeks1"/>
    <w:uiPriority w:val="99"/>
    <w:semiHidden/>
    <w:unhideWhenUsed/>
    <w:rsid w:val="00BB441C"/>
    <w:rPr>
      <w:rFonts w:asciiTheme="majorHAnsi" w:eastAsiaTheme="majorEastAsia" w:hAnsiTheme="majorHAnsi" w:cstheme="majorBidi"/>
      <w:b/>
      <w:bCs/>
    </w:rPr>
  </w:style>
  <w:style w:type="paragraph" w:styleId="Bildetekst">
    <w:name w:val="caption"/>
    <w:basedOn w:val="Normal"/>
    <w:next w:val="Normal"/>
    <w:uiPriority w:val="35"/>
    <w:unhideWhenUsed/>
    <w:qFormat/>
    <w:rsid w:val="00BB441C"/>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B441C"/>
    <w:pPr>
      <w:spacing w:after="0"/>
    </w:pPr>
  </w:style>
  <w:style w:type="paragraph" w:styleId="Konvoluttadresse">
    <w:name w:val="envelope address"/>
    <w:basedOn w:val="Normal"/>
    <w:uiPriority w:val="99"/>
    <w:semiHidden/>
    <w:unhideWhenUsed/>
    <w:rsid w:val="00BB44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B441C"/>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BB441C"/>
  </w:style>
  <w:style w:type="character" w:styleId="Sidetall">
    <w:name w:val="page number"/>
    <w:basedOn w:val="Standardskriftforavsnitt"/>
    <w:rsid w:val="00BB441C"/>
  </w:style>
  <w:style w:type="character" w:styleId="Sluttnotereferanse">
    <w:name w:val="endnote reference"/>
    <w:basedOn w:val="Standardskriftforavsnitt"/>
    <w:uiPriority w:val="99"/>
    <w:semiHidden/>
    <w:unhideWhenUsed/>
    <w:rsid w:val="00BB441C"/>
    <w:rPr>
      <w:vertAlign w:val="superscript"/>
    </w:rPr>
  </w:style>
  <w:style w:type="paragraph" w:styleId="Sluttnotetekst">
    <w:name w:val="endnote text"/>
    <w:basedOn w:val="Normal"/>
    <w:link w:val="SluttnotetekstTegn"/>
    <w:uiPriority w:val="99"/>
    <w:semiHidden/>
    <w:unhideWhenUsed/>
    <w:rsid w:val="00BB441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B441C"/>
    <w:rPr>
      <w:rFonts w:ascii="Open Sans" w:eastAsia="Times New Roman" w:hAnsi="Open Sans" w:cstheme="minorBidi"/>
      <w:sz w:val="22"/>
    </w:rPr>
  </w:style>
  <w:style w:type="paragraph" w:styleId="Kildeliste">
    <w:name w:val="table of authorities"/>
    <w:basedOn w:val="Normal"/>
    <w:next w:val="Normal"/>
    <w:uiPriority w:val="99"/>
    <w:semiHidden/>
    <w:unhideWhenUsed/>
    <w:rsid w:val="00BB441C"/>
    <w:pPr>
      <w:spacing w:after="0"/>
      <w:ind w:left="240" w:hanging="240"/>
    </w:pPr>
  </w:style>
  <w:style w:type="paragraph" w:styleId="Makrotekst">
    <w:name w:val="macro"/>
    <w:link w:val="MakrotekstTegn"/>
    <w:uiPriority w:val="99"/>
    <w:semiHidden/>
    <w:unhideWhenUsed/>
    <w:rsid w:val="00BB441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cstheme="minorBidi"/>
    </w:rPr>
  </w:style>
  <w:style w:type="character" w:customStyle="1" w:styleId="MakrotekstTegn">
    <w:name w:val="Makrotekst Tegn"/>
    <w:basedOn w:val="Standardskriftforavsnitt"/>
    <w:link w:val="Makrotekst"/>
    <w:uiPriority w:val="99"/>
    <w:semiHidden/>
    <w:rsid w:val="00BB441C"/>
    <w:rPr>
      <w:rFonts w:ascii="Consolas" w:eastAsia="Times New Roman" w:hAnsi="Consolas" w:cstheme="minorBidi"/>
    </w:rPr>
  </w:style>
  <w:style w:type="paragraph" w:styleId="Kildelisteoverskrift">
    <w:name w:val="toa heading"/>
    <w:basedOn w:val="Normal"/>
    <w:next w:val="Normal"/>
    <w:uiPriority w:val="99"/>
    <w:semiHidden/>
    <w:unhideWhenUsed/>
    <w:rsid w:val="00BB441C"/>
    <w:pPr>
      <w:spacing w:before="120"/>
    </w:pPr>
    <w:rPr>
      <w:rFonts w:asciiTheme="majorHAnsi" w:eastAsiaTheme="majorEastAsia" w:hAnsiTheme="majorHAnsi" w:cstheme="majorBidi"/>
      <w:b/>
      <w:bCs/>
      <w:szCs w:val="24"/>
    </w:rPr>
  </w:style>
  <w:style w:type="paragraph" w:styleId="Punktliste">
    <w:name w:val="List Bullet"/>
    <w:basedOn w:val="Normal"/>
    <w:rsid w:val="00BB441C"/>
    <w:pPr>
      <w:numPr>
        <w:numId w:val="3"/>
      </w:numPr>
      <w:spacing w:after="0"/>
    </w:pPr>
    <w:rPr>
      <w:spacing w:val="4"/>
    </w:rPr>
  </w:style>
  <w:style w:type="paragraph" w:styleId="Nummerertliste">
    <w:name w:val="List Number"/>
    <w:qFormat/>
    <w:rsid w:val="00BB441C"/>
    <w:pPr>
      <w:keepLines/>
      <w:numPr>
        <w:numId w:val="26"/>
      </w:numPr>
      <w:tabs>
        <w:tab w:val="num" w:pos="397"/>
      </w:tabs>
      <w:spacing w:line="288" w:lineRule="auto"/>
      <w:ind w:left="397" w:hanging="397"/>
    </w:pPr>
    <w:rPr>
      <w:rFonts w:ascii="Open Sans" w:eastAsia="Batang" w:hAnsi="Open Sans" w:cstheme="minorBidi"/>
      <w:sz w:val="22"/>
    </w:rPr>
  </w:style>
  <w:style w:type="paragraph" w:styleId="Punktliste2">
    <w:name w:val="List Bullet 2"/>
    <w:basedOn w:val="Normal"/>
    <w:rsid w:val="00BB441C"/>
    <w:pPr>
      <w:numPr>
        <w:numId w:val="4"/>
      </w:numPr>
      <w:spacing w:after="0"/>
    </w:pPr>
    <w:rPr>
      <w:spacing w:val="4"/>
    </w:rPr>
  </w:style>
  <w:style w:type="paragraph" w:styleId="Punktliste3">
    <w:name w:val="List Bullet 3"/>
    <w:basedOn w:val="Normal"/>
    <w:rsid w:val="00BB441C"/>
    <w:pPr>
      <w:numPr>
        <w:numId w:val="5"/>
      </w:numPr>
      <w:spacing w:after="0"/>
    </w:pPr>
    <w:rPr>
      <w:spacing w:val="4"/>
    </w:rPr>
  </w:style>
  <w:style w:type="paragraph" w:styleId="Punktliste4">
    <w:name w:val="List Bullet 4"/>
    <w:basedOn w:val="Normal"/>
    <w:rsid w:val="00BB441C"/>
    <w:pPr>
      <w:numPr>
        <w:numId w:val="6"/>
      </w:numPr>
      <w:spacing w:after="0"/>
    </w:pPr>
  </w:style>
  <w:style w:type="paragraph" w:styleId="Punktliste5">
    <w:name w:val="List Bullet 5"/>
    <w:basedOn w:val="Normal"/>
    <w:rsid w:val="00BB441C"/>
    <w:pPr>
      <w:numPr>
        <w:numId w:val="7"/>
      </w:numPr>
      <w:spacing w:after="0"/>
    </w:pPr>
  </w:style>
  <w:style w:type="paragraph" w:styleId="Nummerertliste2">
    <w:name w:val="List Number 2"/>
    <w:basedOn w:val="Nummerertliste"/>
    <w:qFormat/>
    <w:rsid w:val="00BB441C"/>
    <w:pPr>
      <w:numPr>
        <w:numId w:val="27"/>
      </w:numPr>
      <w:ind w:left="794" w:hanging="397"/>
    </w:pPr>
  </w:style>
  <w:style w:type="paragraph" w:styleId="Nummerertliste3">
    <w:name w:val="List Number 3"/>
    <w:basedOn w:val="Nummerertliste"/>
    <w:qFormat/>
    <w:rsid w:val="00BB441C"/>
    <w:pPr>
      <w:numPr>
        <w:numId w:val="28"/>
      </w:numPr>
      <w:tabs>
        <w:tab w:val="num" w:pos="397"/>
      </w:tabs>
      <w:ind w:left="1191" w:hanging="397"/>
    </w:pPr>
  </w:style>
  <w:style w:type="paragraph" w:styleId="Nummerertliste4">
    <w:name w:val="List Number 4"/>
    <w:basedOn w:val="Nummerertliste"/>
    <w:rsid w:val="00BB441C"/>
    <w:pPr>
      <w:numPr>
        <w:numId w:val="29"/>
      </w:numPr>
      <w:tabs>
        <w:tab w:val="num" w:pos="397"/>
      </w:tabs>
      <w:ind w:left="1588" w:hanging="397"/>
    </w:pPr>
  </w:style>
  <w:style w:type="paragraph" w:styleId="Nummerertliste5">
    <w:name w:val="List Number 5"/>
    <w:basedOn w:val="Nummerertliste"/>
    <w:qFormat/>
    <w:rsid w:val="00BB441C"/>
    <w:pPr>
      <w:numPr>
        <w:numId w:val="30"/>
      </w:numPr>
      <w:tabs>
        <w:tab w:val="num" w:pos="397"/>
      </w:tabs>
      <w:ind w:left="1985" w:hanging="397"/>
    </w:pPr>
  </w:style>
  <w:style w:type="paragraph" w:styleId="Tittel">
    <w:name w:val="Title"/>
    <w:basedOn w:val="Normal"/>
    <w:next w:val="Normal"/>
    <w:link w:val="TittelTegn"/>
    <w:uiPriority w:val="10"/>
    <w:qFormat/>
    <w:rsid w:val="00BB441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B441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B441C"/>
    <w:pPr>
      <w:spacing w:after="0" w:line="240" w:lineRule="auto"/>
      <w:ind w:left="4252"/>
    </w:pPr>
  </w:style>
  <w:style w:type="character" w:customStyle="1" w:styleId="HilsenTegn">
    <w:name w:val="Hilsen Tegn"/>
    <w:basedOn w:val="Standardskriftforavsnitt"/>
    <w:link w:val="Hilsen"/>
    <w:uiPriority w:val="99"/>
    <w:semiHidden/>
    <w:rsid w:val="00BB441C"/>
    <w:rPr>
      <w:rFonts w:ascii="Open Sans" w:eastAsia="Times New Roman" w:hAnsi="Open Sans" w:cstheme="minorBidi"/>
      <w:sz w:val="22"/>
      <w:szCs w:val="22"/>
    </w:rPr>
  </w:style>
  <w:style w:type="paragraph" w:styleId="Underskrift">
    <w:name w:val="Signature"/>
    <w:basedOn w:val="Normal"/>
    <w:link w:val="UnderskriftTegn"/>
    <w:uiPriority w:val="99"/>
    <w:semiHidden/>
    <w:unhideWhenUsed/>
    <w:rsid w:val="00BB441C"/>
    <w:pPr>
      <w:spacing w:after="0" w:line="240" w:lineRule="auto"/>
      <w:ind w:left="4252"/>
    </w:pPr>
  </w:style>
  <w:style w:type="character" w:customStyle="1" w:styleId="UnderskriftTegn">
    <w:name w:val="Underskrift Tegn"/>
    <w:basedOn w:val="Standardskriftforavsnitt"/>
    <w:link w:val="Underskrift"/>
    <w:uiPriority w:val="99"/>
    <w:semiHidden/>
    <w:rsid w:val="00BB441C"/>
    <w:rPr>
      <w:rFonts w:ascii="Open Sans" w:eastAsia="Times New Roman" w:hAnsi="Open Sans" w:cstheme="minorBidi"/>
      <w:sz w:val="22"/>
      <w:szCs w:val="22"/>
    </w:rPr>
  </w:style>
  <w:style w:type="paragraph" w:styleId="Brdtekst">
    <w:name w:val="Body Text"/>
    <w:basedOn w:val="Normal"/>
    <w:link w:val="BrdtekstTegn"/>
    <w:uiPriority w:val="99"/>
    <w:semiHidden/>
    <w:unhideWhenUsed/>
    <w:rsid w:val="00BB441C"/>
  </w:style>
  <w:style w:type="character" w:customStyle="1" w:styleId="BrdtekstTegn">
    <w:name w:val="Brødtekst Tegn"/>
    <w:basedOn w:val="Standardskriftforavsnitt"/>
    <w:link w:val="Brdtekst"/>
    <w:uiPriority w:val="99"/>
    <w:semiHidden/>
    <w:rsid w:val="00BB441C"/>
    <w:rPr>
      <w:rFonts w:ascii="Open Sans" w:eastAsia="Times New Roman" w:hAnsi="Open Sans" w:cstheme="minorBidi"/>
      <w:sz w:val="22"/>
      <w:szCs w:val="22"/>
    </w:rPr>
  </w:style>
  <w:style w:type="paragraph" w:styleId="Brdtekstinnrykk">
    <w:name w:val="Body Text Indent"/>
    <w:basedOn w:val="Normal"/>
    <w:link w:val="BrdtekstinnrykkTegn"/>
    <w:uiPriority w:val="99"/>
    <w:semiHidden/>
    <w:unhideWhenUsed/>
    <w:rsid w:val="00BB441C"/>
    <w:pPr>
      <w:ind w:left="283"/>
    </w:pPr>
  </w:style>
  <w:style w:type="character" w:customStyle="1" w:styleId="BrdtekstinnrykkTegn">
    <w:name w:val="Brødtekstinnrykk Tegn"/>
    <w:basedOn w:val="Standardskriftforavsnitt"/>
    <w:link w:val="Brdtekstinnrykk"/>
    <w:uiPriority w:val="99"/>
    <w:semiHidden/>
    <w:rsid w:val="00BB441C"/>
    <w:rPr>
      <w:rFonts w:ascii="Open Sans" w:eastAsia="Times New Roman" w:hAnsi="Open Sans" w:cstheme="minorBidi"/>
      <w:sz w:val="22"/>
      <w:szCs w:val="22"/>
    </w:rPr>
  </w:style>
  <w:style w:type="paragraph" w:styleId="Liste-forts">
    <w:name w:val="List Continue"/>
    <w:basedOn w:val="Normal"/>
    <w:uiPriority w:val="99"/>
    <w:semiHidden/>
    <w:unhideWhenUsed/>
    <w:rsid w:val="00BB441C"/>
    <w:pPr>
      <w:ind w:left="283"/>
      <w:contextualSpacing/>
    </w:pPr>
  </w:style>
  <w:style w:type="paragraph" w:styleId="Liste-forts2">
    <w:name w:val="List Continue 2"/>
    <w:basedOn w:val="Normal"/>
    <w:uiPriority w:val="99"/>
    <w:semiHidden/>
    <w:unhideWhenUsed/>
    <w:rsid w:val="00BB441C"/>
    <w:pPr>
      <w:ind w:left="566"/>
      <w:contextualSpacing/>
    </w:pPr>
  </w:style>
  <w:style w:type="paragraph" w:styleId="Liste-forts3">
    <w:name w:val="List Continue 3"/>
    <w:basedOn w:val="Normal"/>
    <w:uiPriority w:val="99"/>
    <w:semiHidden/>
    <w:unhideWhenUsed/>
    <w:rsid w:val="00BB441C"/>
    <w:pPr>
      <w:ind w:left="849"/>
      <w:contextualSpacing/>
    </w:pPr>
  </w:style>
  <w:style w:type="paragraph" w:styleId="Liste-forts4">
    <w:name w:val="List Continue 4"/>
    <w:basedOn w:val="Normal"/>
    <w:uiPriority w:val="99"/>
    <w:semiHidden/>
    <w:unhideWhenUsed/>
    <w:rsid w:val="00BB441C"/>
    <w:pPr>
      <w:ind w:left="1132"/>
      <w:contextualSpacing/>
    </w:pPr>
  </w:style>
  <w:style w:type="paragraph" w:styleId="Liste-forts5">
    <w:name w:val="List Continue 5"/>
    <w:basedOn w:val="Normal"/>
    <w:uiPriority w:val="99"/>
    <w:semiHidden/>
    <w:unhideWhenUsed/>
    <w:rsid w:val="00BB441C"/>
    <w:pPr>
      <w:ind w:left="1415"/>
      <w:contextualSpacing/>
    </w:pPr>
  </w:style>
  <w:style w:type="paragraph" w:styleId="Meldingshode">
    <w:name w:val="Message Header"/>
    <w:basedOn w:val="Normal"/>
    <w:link w:val="MeldingshodeTegn"/>
    <w:uiPriority w:val="99"/>
    <w:semiHidden/>
    <w:unhideWhenUsed/>
    <w:rsid w:val="00BB44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B441C"/>
    <w:rPr>
      <w:rFonts w:asciiTheme="majorHAnsi" w:eastAsiaTheme="majorEastAsia" w:hAnsiTheme="majorHAnsi" w:cstheme="majorBidi"/>
      <w:sz w:val="22"/>
      <w:szCs w:val="24"/>
      <w:shd w:val="pct20" w:color="auto" w:fill="auto"/>
    </w:rPr>
  </w:style>
  <w:style w:type="paragraph" w:styleId="Undertittel">
    <w:name w:val="Subtitle"/>
    <w:basedOn w:val="Overskrift1"/>
    <w:next w:val="Normal"/>
    <w:link w:val="UndertittelTegn"/>
    <w:qFormat/>
    <w:rsid w:val="00BB441C"/>
    <w:pPr>
      <w:numPr>
        <w:numId w:val="0"/>
      </w:numPr>
      <w:spacing w:before="240"/>
      <w:outlineLvl w:val="9"/>
    </w:pPr>
    <w:rPr>
      <w:spacing w:val="4"/>
      <w:sz w:val="28"/>
    </w:rPr>
  </w:style>
  <w:style w:type="character" w:customStyle="1" w:styleId="UndertittelTegn">
    <w:name w:val="Undertittel Tegn"/>
    <w:basedOn w:val="Standardskriftforavsnitt"/>
    <w:link w:val="Undertittel"/>
    <w:rsid w:val="00BB441C"/>
    <w:rPr>
      <w:rFonts w:ascii="Open Sans" w:eastAsia="Times New Roman" w:hAnsi="Open Sans" w:cstheme="minorBidi"/>
      <w:b/>
      <w:spacing w:val="4"/>
      <w:kern w:val="28"/>
      <w:sz w:val="28"/>
      <w:szCs w:val="22"/>
    </w:rPr>
  </w:style>
  <w:style w:type="paragraph" w:styleId="Innledendehilsen">
    <w:name w:val="Salutation"/>
    <w:basedOn w:val="Normal"/>
    <w:next w:val="Normal"/>
    <w:link w:val="InnledendehilsenTegn"/>
    <w:uiPriority w:val="99"/>
    <w:semiHidden/>
    <w:unhideWhenUsed/>
    <w:rsid w:val="00BB441C"/>
  </w:style>
  <w:style w:type="character" w:customStyle="1" w:styleId="InnledendehilsenTegn">
    <w:name w:val="Innledende hilsen Tegn"/>
    <w:basedOn w:val="Standardskriftforavsnitt"/>
    <w:link w:val="Innledendehilsen"/>
    <w:uiPriority w:val="99"/>
    <w:semiHidden/>
    <w:rsid w:val="00BB441C"/>
    <w:rPr>
      <w:rFonts w:ascii="Open Sans" w:eastAsia="Times New Roman" w:hAnsi="Open Sans" w:cstheme="minorBidi"/>
      <w:sz w:val="22"/>
      <w:szCs w:val="22"/>
    </w:rPr>
  </w:style>
  <w:style w:type="paragraph" w:styleId="Brdtekst-frsteinnrykk">
    <w:name w:val="Body Text First Indent"/>
    <w:basedOn w:val="Brdtekst"/>
    <w:link w:val="Brdtekst-frsteinnrykkTegn"/>
    <w:uiPriority w:val="99"/>
    <w:semiHidden/>
    <w:unhideWhenUsed/>
    <w:rsid w:val="00BB441C"/>
    <w:pPr>
      <w:ind w:firstLine="360"/>
    </w:pPr>
  </w:style>
  <w:style w:type="character" w:customStyle="1" w:styleId="Brdtekst-frsteinnrykkTegn">
    <w:name w:val="Brødtekst - første innrykk Tegn"/>
    <w:basedOn w:val="BrdtekstTegn"/>
    <w:link w:val="Brdtekst-frsteinnrykk"/>
    <w:uiPriority w:val="99"/>
    <w:semiHidden/>
    <w:rsid w:val="00BB441C"/>
    <w:rPr>
      <w:rFonts w:ascii="Open Sans" w:eastAsia="Times New Roman" w:hAnsi="Open Sans" w:cstheme="minorBidi"/>
      <w:sz w:val="22"/>
      <w:szCs w:val="22"/>
    </w:rPr>
  </w:style>
  <w:style w:type="paragraph" w:styleId="Brdtekst-frsteinnrykk2">
    <w:name w:val="Body Text First Indent 2"/>
    <w:basedOn w:val="Brdtekstinnrykk"/>
    <w:link w:val="Brdtekst-frsteinnrykk2Tegn"/>
    <w:uiPriority w:val="99"/>
    <w:semiHidden/>
    <w:unhideWhenUsed/>
    <w:rsid w:val="00BB441C"/>
    <w:pPr>
      <w:ind w:left="360" w:firstLine="360"/>
    </w:pPr>
  </w:style>
  <w:style w:type="character" w:customStyle="1" w:styleId="Brdtekst-frsteinnrykk2Tegn">
    <w:name w:val="Brødtekst - første innrykk 2 Tegn"/>
    <w:basedOn w:val="BrdtekstinnrykkTegn"/>
    <w:link w:val="Brdtekst-frsteinnrykk2"/>
    <w:uiPriority w:val="99"/>
    <w:semiHidden/>
    <w:rsid w:val="00BB441C"/>
    <w:rPr>
      <w:rFonts w:ascii="Open Sans" w:eastAsia="Times New Roman" w:hAnsi="Open Sans" w:cstheme="minorBidi"/>
      <w:sz w:val="22"/>
      <w:szCs w:val="22"/>
    </w:rPr>
  </w:style>
  <w:style w:type="paragraph" w:styleId="Notatoverskrift">
    <w:name w:val="Note Heading"/>
    <w:basedOn w:val="Normal"/>
    <w:next w:val="Normal"/>
    <w:link w:val="NotatoverskriftTegn"/>
    <w:uiPriority w:val="99"/>
    <w:semiHidden/>
    <w:unhideWhenUsed/>
    <w:rsid w:val="00BB441C"/>
    <w:pPr>
      <w:spacing w:after="0" w:line="240" w:lineRule="auto"/>
    </w:pPr>
  </w:style>
  <w:style w:type="character" w:customStyle="1" w:styleId="NotatoverskriftTegn">
    <w:name w:val="Notatoverskrift Tegn"/>
    <w:basedOn w:val="Standardskriftforavsnitt"/>
    <w:link w:val="Notatoverskrift"/>
    <w:uiPriority w:val="99"/>
    <w:semiHidden/>
    <w:rsid w:val="00BB441C"/>
    <w:rPr>
      <w:rFonts w:ascii="Open Sans" w:eastAsia="Times New Roman" w:hAnsi="Open Sans" w:cstheme="minorBidi"/>
      <w:sz w:val="22"/>
      <w:szCs w:val="22"/>
    </w:rPr>
  </w:style>
  <w:style w:type="paragraph" w:styleId="Brdtekst2">
    <w:name w:val="Body Text 2"/>
    <w:basedOn w:val="Normal"/>
    <w:link w:val="Brdtekst2Tegn"/>
    <w:uiPriority w:val="99"/>
    <w:semiHidden/>
    <w:unhideWhenUsed/>
    <w:rsid w:val="00BB441C"/>
    <w:pPr>
      <w:spacing w:line="480" w:lineRule="auto"/>
    </w:pPr>
  </w:style>
  <w:style w:type="character" w:customStyle="1" w:styleId="Brdtekst2Tegn">
    <w:name w:val="Brødtekst 2 Tegn"/>
    <w:basedOn w:val="Standardskriftforavsnitt"/>
    <w:link w:val="Brdtekst2"/>
    <w:uiPriority w:val="99"/>
    <w:semiHidden/>
    <w:rsid w:val="00BB441C"/>
    <w:rPr>
      <w:rFonts w:ascii="Open Sans" w:eastAsia="Times New Roman" w:hAnsi="Open Sans" w:cstheme="minorBidi"/>
      <w:sz w:val="22"/>
      <w:szCs w:val="22"/>
    </w:rPr>
  </w:style>
  <w:style w:type="paragraph" w:styleId="Brdtekst3">
    <w:name w:val="Body Text 3"/>
    <w:basedOn w:val="Normal"/>
    <w:link w:val="Brdtekst3Tegn"/>
    <w:uiPriority w:val="99"/>
    <w:semiHidden/>
    <w:unhideWhenUsed/>
    <w:rsid w:val="00BB441C"/>
    <w:rPr>
      <w:sz w:val="16"/>
      <w:szCs w:val="16"/>
    </w:rPr>
  </w:style>
  <w:style w:type="character" w:customStyle="1" w:styleId="Brdtekst3Tegn">
    <w:name w:val="Brødtekst 3 Tegn"/>
    <w:basedOn w:val="Standardskriftforavsnitt"/>
    <w:link w:val="Brdtekst3"/>
    <w:uiPriority w:val="99"/>
    <w:semiHidden/>
    <w:rsid w:val="00BB441C"/>
    <w:rPr>
      <w:rFonts w:ascii="Open Sans" w:eastAsia="Times New Roman" w:hAnsi="Open Sans" w:cstheme="minorBidi"/>
      <w:sz w:val="16"/>
      <w:szCs w:val="16"/>
    </w:rPr>
  </w:style>
  <w:style w:type="paragraph" w:styleId="Brdtekstinnrykk2">
    <w:name w:val="Body Text Indent 2"/>
    <w:basedOn w:val="Normal"/>
    <w:link w:val="Brdtekstinnrykk2Tegn"/>
    <w:uiPriority w:val="99"/>
    <w:semiHidden/>
    <w:unhideWhenUsed/>
    <w:rsid w:val="00BB441C"/>
    <w:pPr>
      <w:spacing w:line="480" w:lineRule="auto"/>
      <w:ind w:left="283"/>
    </w:pPr>
  </w:style>
  <w:style w:type="character" w:customStyle="1" w:styleId="Brdtekstinnrykk2Tegn">
    <w:name w:val="Brødtekstinnrykk 2 Tegn"/>
    <w:basedOn w:val="Standardskriftforavsnitt"/>
    <w:link w:val="Brdtekstinnrykk2"/>
    <w:uiPriority w:val="99"/>
    <w:semiHidden/>
    <w:rsid w:val="00BB441C"/>
    <w:rPr>
      <w:rFonts w:ascii="Open Sans" w:eastAsia="Times New Roman" w:hAnsi="Open Sans" w:cstheme="minorBidi"/>
      <w:sz w:val="22"/>
      <w:szCs w:val="22"/>
    </w:rPr>
  </w:style>
  <w:style w:type="paragraph" w:styleId="Brdtekstinnrykk3">
    <w:name w:val="Body Text Indent 3"/>
    <w:basedOn w:val="Normal"/>
    <w:link w:val="Brdtekstinnrykk3Tegn"/>
    <w:uiPriority w:val="99"/>
    <w:semiHidden/>
    <w:unhideWhenUsed/>
    <w:rsid w:val="00BB441C"/>
    <w:pPr>
      <w:ind w:left="283"/>
    </w:pPr>
    <w:rPr>
      <w:sz w:val="16"/>
      <w:szCs w:val="16"/>
    </w:rPr>
  </w:style>
  <w:style w:type="character" w:customStyle="1" w:styleId="Brdtekstinnrykk3Tegn">
    <w:name w:val="Brødtekstinnrykk 3 Tegn"/>
    <w:basedOn w:val="Standardskriftforavsnitt"/>
    <w:link w:val="Brdtekstinnrykk3"/>
    <w:uiPriority w:val="99"/>
    <w:semiHidden/>
    <w:rsid w:val="00BB441C"/>
    <w:rPr>
      <w:rFonts w:ascii="Open Sans" w:eastAsia="Times New Roman" w:hAnsi="Open Sans" w:cstheme="minorBidi"/>
      <w:sz w:val="16"/>
      <w:szCs w:val="16"/>
    </w:rPr>
  </w:style>
  <w:style w:type="paragraph" w:styleId="Blokktekst">
    <w:name w:val="Block Text"/>
    <w:basedOn w:val="Normal"/>
    <w:uiPriority w:val="99"/>
    <w:semiHidden/>
    <w:unhideWhenUsed/>
    <w:rsid w:val="00BB441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semiHidden/>
    <w:unhideWhenUsed/>
    <w:rsid w:val="00BB441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B441C"/>
    <w:rPr>
      <w:rFonts w:ascii="Tahoma" w:eastAsia="Times New Roman" w:hAnsi="Tahoma" w:cs="Tahoma"/>
      <w:sz w:val="16"/>
      <w:szCs w:val="16"/>
    </w:rPr>
  </w:style>
  <w:style w:type="paragraph" w:styleId="Rentekst">
    <w:name w:val="Plain Text"/>
    <w:basedOn w:val="Normal"/>
    <w:link w:val="RentekstTegn"/>
    <w:uiPriority w:val="99"/>
    <w:semiHidden/>
    <w:unhideWhenUsed/>
    <w:rsid w:val="00BB441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B441C"/>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BB441C"/>
    <w:pPr>
      <w:spacing w:after="0" w:line="240" w:lineRule="auto"/>
    </w:pPr>
  </w:style>
  <w:style w:type="character" w:customStyle="1" w:styleId="E-postsignaturTegn">
    <w:name w:val="E-postsignatur Tegn"/>
    <w:basedOn w:val="Standardskriftforavsnitt"/>
    <w:link w:val="E-postsignatur"/>
    <w:uiPriority w:val="99"/>
    <w:semiHidden/>
    <w:rsid w:val="00BB441C"/>
    <w:rPr>
      <w:rFonts w:ascii="Open Sans" w:eastAsia="Times New Roman" w:hAnsi="Open Sans" w:cstheme="minorBidi"/>
      <w:sz w:val="22"/>
      <w:szCs w:val="22"/>
    </w:rPr>
  </w:style>
  <w:style w:type="character" w:styleId="HTML-akronym">
    <w:name w:val="HTML Acronym"/>
    <w:basedOn w:val="Standardskriftforavsnitt"/>
    <w:uiPriority w:val="99"/>
    <w:semiHidden/>
    <w:unhideWhenUsed/>
    <w:rsid w:val="00BB441C"/>
  </w:style>
  <w:style w:type="paragraph" w:styleId="HTML-adresse">
    <w:name w:val="HTML Address"/>
    <w:basedOn w:val="Normal"/>
    <w:link w:val="HTML-adresseTegn"/>
    <w:uiPriority w:val="99"/>
    <w:semiHidden/>
    <w:unhideWhenUsed/>
    <w:rsid w:val="00BB441C"/>
    <w:pPr>
      <w:spacing w:after="0" w:line="240" w:lineRule="auto"/>
    </w:pPr>
    <w:rPr>
      <w:i/>
      <w:iCs/>
    </w:rPr>
  </w:style>
  <w:style w:type="character" w:customStyle="1" w:styleId="HTML-adresseTegn">
    <w:name w:val="HTML-adresse Tegn"/>
    <w:basedOn w:val="Standardskriftforavsnitt"/>
    <w:link w:val="HTML-adresse"/>
    <w:uiPriority w:val="99"/>
    <w:semiHidden/>
    <w:rsid w:val="00BB441C"/>
    <w:rPr>
      <w:rFonts w:ascii="Open Sans" w:eastAsia="Times New Roman" w:hAnsi="Open Sans" w:cstheme="minorBidi"/>
      <w:i/>
      <w:iCs/>
      <w:sz w:val="22"/>
      <w:szCs w:val="22"/>
    </w:rPr>
  </w:style>
  <w:style w:type="character" w:styleId="HTML-sitat">
    <w:name w:val="HTML Cite"/>
    <w:basedOn w:val="Standardskriftforavsnitt"/>
    <w:uiPriority w:val="99"/>
    <w:semiHidden/>
    <w:unhideWhenUsed/>
    <w:rsid w:val="00BB441C"/>
    <w:rPr>
      <w:i/>
      <w:iCs/>
    </w:rPr>
  </w:style>
  <w:style w:type="character" w:styleId="HTML-kode">
    <w:name w:val="HTML Code"/>
    <w:basedOn w:val="Standardskriftforavsnitt"/>
    <w:uiPriority w:val="99"/>
    <w:semiHidden/>
    <w:unhideWhenUsed/>
    <w:rsid w:val="00BB441C"/>
    <w:rPr>
      <w:rFonts w:ascii="Consolas" w:hAnsi="Consolas"/>
      <w:sz w:val="20"/>
      <w:szCs w:val="20"/>
    </w:rPr>
  </w:style>
  <w:style w:type="character" w:styleId="HTML-definisjon">
    <w:name w:val="HTML Definition"/>
    <w:basedOn w:val="Standardskriftforavsnitt"/>
    <w:uiPriority w:val="99"/>
    <w:semiHidden/>
    <w:unhideWhenUsed/>
    <w:rsid w:val="00BB441C"/>
    <w:rPr>
      <w:i/>
      <w:iCs/>
    </w:rPr>
  </w:style>
  <w:style w:type="character" w:styleId="HTML-tastatur">
    <w:name w:val="HTML Keyboard"/>
    <w:basedOn w:val="Standardskriftforavsnitt"/>
    <w:uiPriority w:val="99"/>
    <w:semiHidden/>
    <w:unhideWhenUsed/>
    <w:rsid w:val="00BB441C"/>
    <w:rPr>
      <w:rFonts w:ascii="Consolas" w:hAnsi="Consolas"/>
      <w:sz w:val="20"/>
      <w:szCs w:val="20"/>
    </w:rPr>
  </w:style>
  <w:style w:type="paragraph" w:styleId="HTML-forhndsformatert">
    <w:name w:val="HTML Preformatted"/>
    <w:basedOn w:val="Normal"/>
    <w:link w:val="HTML-forhndsformatertTegn"/>
    <w:uiPriority w:val="99"/>
    <w:semiHidden/>
    <w:unhideWhenUsed/>
    <w:rsid w:val="00BB441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B441C"/>
    <w:rPr>
      <w:rFonts w:ascii="Consolas" w:eastAsia="Times New Roman" w:hAnsi="Consolas" w:cstheme="minorBidi"/>
      <w:sz w:val="22"/>
    </w:rPr>
  </w:style>
  <w:style w:type="character" w:styleId="HTML-eksempel">
    <w:name w:val="HTML Sample"/>
    <w:basedOn w:val="Standardskriftforavsnitt"/>
    <w:uiPriority w:val="99"/>
    <w:semiHidden/>
    <w:unhideWhenUsed/>
    <w:rsid w:val="00BB441C"/>
    <w:rPr>
      <w:rFonts w:ascii="Consolas" w:hAnsi="Consolas"/>
      <w:sz w:val="24"/>
      <w:szCs w:val="24"/>
    </w:rPr>
  </w:style>
  <w:style w:type="character" w:styleId="HTML-skrivemaskin">
    <w:name w:val="HTML Typewriter"/>
    <w:basedOn w:val="Standardskriftforavsnitt"/>
    <w:uiPriority w:val="99"/>
    <w:semiHidden/>
    <w:unhideWhenUsed/>
    <w:rsid w:val="00BB441C"/>
    <w:rPr>
      <w:rFonts w:ascii="Consolas" w:hAnsi="Consolas"/>
      <w:sz w:val="20"/>
      <w:szCs w:val="20"/>
    </w:rPr>
  </w:style>
  <w:style w:type="character" w:styleId="HTML-variabel">
    <w:name w:val="HTML Variable"/>
    <w:basedOn w:val="Standardskriftforavsnitt"/>
    <w:uiPriority w:val="99"/>
    <w:semiHidden/>
    <w:unhideWhenUsed/>
    <w:rsid w:val="00BB441C"/>
    <w:rPr>
      <w:i/>
      <w:iCs/>
    </w:rPr>
  </w:style>
  <w:style w:type="paragraph" w:styleId="Bobletekst">
    <w:name w:val="Balloon Text"/>
    <w:basedOn w:val="Normal"/>
    <w:link w:val="BobletekstTegn"/>
    <w:uiPriority w:val="99"/>
    <w:semiHidden/>
    <w:unhideWhenUsed/>
    <w:rsid w:val="00BB44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441C"/>
    <w:rPr>
      <w:rFonts w:ascii="Tahoma" w:eastAsia="Times New Roman" w:hAnsi="Tahoma" w:cs="Tahoma"/>
      <w:sz w:val="16"/>
      <w:szCs w:val="16"/>
    </w:rPr>
  </w:style>
  <w:style w:type="table" w:styleId="Tabellrutenett">
    <w:name w:val="Table Grid"/>
    <w:basedOn w:val="Vanligtabell"/>
    <w:uiPriority w:val="59"/>
    <w:rsid w:val="00BB441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BB441C"/>
    <w:rPr>
      <w:color w:val="808080"/>
    </w:rPr>
  </w:style>
  <w:style w:type="paragraph" w:styleId="Sitat">
    <w:name w:val="Quote"/>
    <w:basedOn w:val="Normal"/>
    <w:next w:val="Normal"/>
    <w:link w:val="SitatTegn"/>
    <w:uiPriority w:val="29"/>
    <w:qFormat/>
    <w:rsid w:val="00BB441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B441C"/>
    <w:rPr>
      <w:rFonts w:ascii="Open Sans" w:eastAsia="Times New Roman" w:hAnsi="Open Sans" w:cstheme="minorBidi"/>
      <w:i/>
      <w:iCs/>
      <w:color w:val="404040" w:themeColor="text1" w:themeTint="BF"/>
      <w:sz w:val="22"/>
      <w:szCs w:val="22"/>
    </w:rPr>
  </w:style>
  <w:style w:type="character" w:styleId="Svakutheving">
    <w:name w:val="Subtle Emphasis"/>
    <w:basedOn w:val="Standardskriftforavsnitt"/>
    <w:uiPriority w:val="19"/>
    <w:qFormat/>
    <w:rsid w:val="00BB441C"/>
    <w:rPr>
      <w:i/>
      <w:iCs/>
      <w:color w:val="808080" w:themeColor="text1" w:themeTint="7F"/>
    </w:rPr>
  </w:style>
  <w:style w:type="character" w:styleId="Boktittel">
    <w:name w:val="Book Title"/>
    <w:basedOn w:val="Standardskriftforavsnitt"/>
    <w:uiPriority w:val="33"/>
    <w:qFormat/>
    <w:rsid w:val="00BB441C"/>
    <w:rPr>
      <w:b/>
      <w:bCs/>
      <w:smallCaps/>
      <w:spacing w:val="5"/>
    </w:rPr>
  </w:style>
  <w:style w:type="paragraph" w:styleId="Bibliografi">
    <w:name w:val="Bibliography"/>
    <w:basedOn w:val="Normal"/>
    <w:next w:val="Normal"/>
    <w:uiPriority w:val="37"/>
    <w:semiHidden/>
    <w:unhideWhenUsed/>
    <w:rsid w:val="00BB441C"/>
  </w:style>
  <w:style w:type="table" w:styleId="Listetabell5mrkuthevingsfarge5">
    <w:name w:val="List Table 5 Dark Accent 5"/>
    <w:basedOn w:val="Vanligtabell"/>
    <w:uiPriority w:val="50"/>
    <w:rsid w:val="00BB441C"/>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B441C"/>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B441C"/>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B441C"/>
    <w:tblPr/>
    <w:tcPr>
      <w:shd w:val="clear" w:color="auto" w:fill="B4C6E7" w:themeFill="accent1" w:themeFillTint="66"/>
    </w:tcPr>
  </w:style>
  <w:style w:type="table" w:customStyle="1" w:styleId="GronnBoks">
    <w:name w:val="GronnBoks"/>
    <w:basedOn w:val="StandardBoks"/>
    <w:uiPriority w:val="99"/>
    <w:rsid w:val="00BB441C"/>
    <w:tblPr/>
    <w:tcPr>
      <w:shd w:val="clear" w:color="auto" w:fill="C5E0B3" w:themeFill="accent6" w:themeFillTint="66"/>
    </w:tcPr>
  </w:style>
  <w:style w:type="table" w:customStyle="1" w:styleId="RodBoks">
    <w:name w:val="RodBoks"/>
    <w:basedOn w:val="StandardBoks"/>
    <w:uiPriority w:val="99"/>
    <w:rsid w:val="00BB441C"/>
    <w:tblPr/>
    <w:tcPr>
      <w:shd w:val="clear" w:color="auto" w:fill="FFB3B3"/>
    </w:tcPr>
  </w:style>
  <w:style w:type="paragraph" w:customStyle="1" w:styleId="BoksGraaTittel">
    <w:name w:val="BoksGraaTittel"/>
    <w:basedOn w:val="Normal"/>
    <w:next w:val="Normal"/>
    <w:qFormat/>
    <w:rsid w:val="00BB441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B441C"/>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BB441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B441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BB441C"/>
    <w:rPr>
      <w:u w:val="single"/>
    </w:rPr>
  </w:style>
  <w:style w:type="paragraph" w:customStyle="1" w:styleId="del-nr">
    <w:name w:val="del-nr"/>
    <w:basedOn w:val="Normal"/>
    <w:qFormat/>
    <w:rsid w:val="00BB441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B441C"/>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rPr>
  </w:style>
  <w:style w:type="paragraph" w:customStyle="1" w:styleId="tblRad">
    <w:name w:val="tblRad"/>
    <w:rsid w:val="00BB441C"/>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BB441C"/>
  </w:style>
  <w:style w:type="paragraph" w:customStyle="1" w:styleId="tbl2LinjeSumBold">
    <w:name w:val="tbl2LinjeSumBold"/>
    <w:basedOn w:val="tblRad"/>
    <w:rsid w:val="00BB441C"/>
    <w:rPr>
      <w:b/>
    </w:rPr>
  </w:style>
  <w:style w:type="paragraph" w:customStyle="1" w:styleId="tblDelsum1">
    <w:name w:val="tblDelsum1"/>
    <w:basedOn w:val="tblRad"/>
    <w:rsid w:val="00BB441C"/>
    <w:rPr>
      <w:i/>
    </w:rPr>
  </w:style>
  <w:style w:type="paragraph" w:customStyle="1" w:styleId="tblDelsum1-Kapittel">
    <w:name w:val="tblDelsum1 - Kapittel"/>
    <w:basedOn w:val="tblDelsum1"/>
    <w:rsid w:val="00BB441C"/>
    <w:pPr>
      <w:keepNext w:val="0"/>
    </w:pPr>
  </w:style>
  <w:style w:type="paragraph" w:customStyle="1" w:styleId="tblDelsum2">
    <w:name w:val="tblDelsum2"/>
    <w:basedOn w:val="tblRad"/>
    <w:rsid w:val="00BB441C"/>
    <w:rPr>
      <w:b/>
      <w:i/>
    </w:rPr>
  </w:style>
  <w:style w:type="paragraph" w:customStyle="1" w:styleId="tblDelsum2-Kapittel">
    <w:name w:val="tblDelsum2 - Kapittel"/>
    <w:basedOn w:val="tblDelsum2"/>
    <w:rsid w:val="00BB441C"/>
    <w:pPr>
      <w:keepNext w:val="0"/>
    </w:pPr>
  </w:style>
  <w:style w:type="paragraph" w:customStyle="1" w:styleId="tblTabelloverskrift">
    <w:name w:val="tblTabelloverskrift"/>
    <w:rsid w:val="00BB441C"/>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BB441C"/>
    <w:pPr>
      <w:spacing w:after="0"/>
      <w:jc w:val="right"/>
    </w:pPr>
    <w:rPr>
      <w:b w:val="0"/>
      <w:caps w:val="0"/>
      <w:sz w:val="16"/>
    </w:rPr>
  </w:style>
  <w:style w:type="paragraph" w:customStyle="1" w:styleId="tblKategoriOverskrift">
    <w:name w:val="tblKategoriOverskrift"/>
    <w:basedOn w:val="tblRad"/>
    <w:rsid w:val="00BB441C"/>
    <w:pPr>
      <w:spacing w:before="120"/>
    </w:pPr>
    <w:rPr>
      <w:b/>
    </w:rPr>
  </w:style>
  <w:style w:type="paragraph" w:customStyle="1" w:styleId="tblKolonneoverskrift">
    <w:name w:val="tblKolonneoverskrift"/>
    <w:basedOn w:val="Normal"/>
    <w:rsid w:val="00BB441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B441C"/>
    <w:pPr>
      <w:spacing w:after="360"/>
      <w:jc w:val="center"/>
    </w:pPr>
    <w:rPr>
      <w:b w:val="0"/>
      <w:caps w:val="0"/>
    </w:rPr>
  </w:style>
  <w:style w:type="paragraph" w:customStyle="1" w:styleId="tblKolonneoverskrift-Vedtak">
    <w:name w:val="tblKolonneoverskrift - Vedtak"/>
    <w:basedOn w:val="tblTabelloverskrift-Vedtak"/>
    <w:rsid w:val="00BB441C"/>
    <w:pPr>
      <w:spacing w:after="0"/>
    </w:pPr>
  </w:style>
  <w:style w:type="paragraph" w:customStyle="1" w:styleId="tblOverskrift-Vedtak">
    <w:name w:val="tblOverskrift - Vedtak"/>
    <w:basedOn w:val="tblRad"/>
    <w:rsid w:val="00BB441C"/>
    <w:pPr>
      <w:spacing w:before="360"/>
      <w:jc w:val="center"/>
    </w:pPr>
  </w:style>
  <w:style w:type="paragraph" w:customStyle="1" w:styleId="tblRadBold">
    <w:name w:val="tblRadBold"/>
    <w:basedOn w:val="tblRad"/>
    <w:rsid w:val="00BB441C"/>
    <w:rPr>
      <w:b/>
    </w:rPr>
  </w:style>
  <w:style w:type="paragraph" w:customStyle="1" w:styleId="tblRadItalic">
    <w:name w:val="tblRadItalic"/>
    <w:basedOn w:val="tblRad"/>
    <w:rsid w:val="00BB441C"/>
    <w:rPr>
      <w:i/>
    </w:rPr>
  </w:style>
  <w:style w:type="paragraph" w:customStyle="1" w:styleId="tblRadItalicSiste">
    <w:name w:val="tblRadItalicSiste"/>
    <w:basedOn w:val="tblRadItalic"/>
    <w:rsid w:val="00BB441C"/>
  </w:style>
  <w:style w:type="paragraph" w:customStyle="1" w:styleId="tblRadMedLuft">
    <w:name w:val="tblRadMedLuft"/>
    <w:basedOn w:val="tblRad"/>
    <w:rsid w:val="00BB441C"/>
    <w:pPr>
      <w:spacing w:before="120"/>
    </w:pPr>
  </w:style>
  <w:style w:type="paragraph" w:customStyle="1" w:styleId="tblRadMedLuftSiste">
    <w:name w:val="tblRadMedLuftSiste"/>
    <w:basedOn w:val="tblRadMedLuft"/>
    <w:rsid w:val="00BB441C"/>
    <w:pPr>
      <w:spacing w:after="120"/>
    </w:pPr>
  </w:style>
  <w:style w:type="paragraph" w:customStyle="1" w:styleId="tblRadMedLuftSiste-Vedtak">
    <w:name w:val="tblRadMedLuftSiste - Vedtak"/>
    <w:basedOn w:val="tblRadMedLuftSiste"/>
    <w:rsid w:val="00BB441C"/>
    <w:pPr>
      <w:keepNext w:val="0"/>
    </w:pPr>
  </w:style>
  <w:style w:type="paragraph" w:customStyle="1" w:styleId="tblRadSiste">
    <w:name w:val="tblRadSiste"/>
    <w:basedOn w:val="tblRad"/>
    <w:rsid w:val="00BB441C"/>
  </w:style>
  <w:style w:type="paragraph" w:customStyle="1" w:styleId="tblSluttsum">
    <w:name w:val="tblSluttsum"/>
    <w:basedOn w:val="tblRad"/>
    <w:rsid w:val="00BB441C"/>
    <w:pPr>
      <w:spacing w:before="120"/>
    </w:pPr>
    <w:rPr>
      <w:b/>
      <w:i/>
    </w:rPr>
  </w:style>
  <w:style w:type="paragraph" w:customStyle="1" w:styleId="Stil1">
    <w:name w:val="Stil1"/>
    <w:basedOn w:val="Normal"/>
    <w:qFormat/>
    <w:rsid w:val="00BB441C"/>
    <w:pPr>
      <w:spacing w:after="100"/>
    </w:pPr>
  </w:style>
  <w:style w:type="paragraph" w:customStyle="1" w:styleId="Stil2">
    <w:name w:val="Stil2"/>
    <w:basedOn w:val="Normal"/>
    <w:autoRedefine/>
    <w:qFormat/>
    <w:rsid w:val="00BB441C"/>
    <w:pPr>
      <w:spacing w:after="100"/>
    </w:pPr>
  </w:style>
  <w:style w:type="paragraph" w:customStyle="1" w:styleId="Forside-departement">
    <w:name w:val="Forside-departement"/>
    <w:qFormat/>
    <w:rsid w:val="00BB441C"/>
    <w:pPr>
      <w:spacing w:line="280" w:lineRule="atLeast"/>
    </w:pPr>
    <w:rPr>
      <w:rFonts w:ascii="Open Sans" w:eastAsia="Times New Roman" w:hAnsi="Open Sans" w:cs="Open Sans"/>
      <w:sz w:val="24"/>
      <w:szCs w:val="24"/>
    </w:rPr>
  </w:style>
  <w:style w:type="paragraph" w:customStyle="1" w:styleId="Forside-rapport">
    <w:name w:val="Forside-rapport"/>
    <w:qFormat/>
    <w:rsid w:val="00BB441C"/>
    <w:pPr>
      <w:spacing w:after="160" w:line="259" w:lineRule="auto"/>
      <w:jc w:val="right"/>
    </w:pPr>
    <w:rPr>
      <w:rFonts w:ascii="Open Sans" w:eastAsia="Times New Roman" w:hAnsi="Open Sans" w:cs="Open Sans"/>
      <w:sz w:val="24"/>
      <w:szCs w:val="24"/>
    </w:rPr>
  </w:style>
  <w:style w:type="paragraph" w:customStyle="1" w:styleId="Forside-tittel">
    <w:name w:val="Forside-tittel"/>
    <w:next w:val="Forside-departement"/>
    <w:qFormat/>
    <w:rsid w:val="00BB441C"/>
    <w:rPr>
      <w:rFonts w:ascii="Open Sans" w:eastAsia="Times New Roman" w:hAnsi="Open Sans" w:cs="Open Sans"/>
      <w:color w:val="000000"/>
      <w:sz w:val="66"/>
      <w:szCs w:val="66"/>
      <w:lang w:eastAsia="en-US"/>
    </w:rPr>
  </w:style>
  <w:style w:type="character" w:styleId="Emneknagg">
    <w:name w:val="Hashtag"/>
    <w:uiPriority w:val="99"/>
    <w:semiHidden/>
    <w:unhideWhenUsed/>
    <w:rsid w:val="00291078"/>
    <w:rPr>
      <w:color w:val="2B579A"/>
      <w:shd w:val="clear" w:color="auto" w:fill="E1DFDD"/>
    </w:rPr>
  </w:style>
  <w:style w:type="character" w:styleId="Omtale">
    <w:name w:val="Mention"/>
    <w:uiPriority w:val="99"/>
    <w:semiHidden/>
    <w:unhideWhenUsed/>
    <w:rsid w:val="00291078"/>
    <w:rPr>
      <w:color w:val="2B579A"/>
      <w:shd w:val="clear" w:color="auto" w:fill="E1DFDD"/>
    </w:rPr>
  </w:style>
  <w:style w:type="character" w:styleId="Smarthyperkobling">
    <w:name w:val="Smart Hyperlink"/>
    <w:uiPriority w:val="99"/>
    <w:semiHidden/>
    <w:unhideWhenUsed/>
    <w:rsid w:val="00291078"/>
    <w:rPr>
      <w:u w:val="dotted"/>
    </w:rPr>
  </w:style>
  <w:style w:type="character" w:styleId="Smartkobling">
    <w:name w:val="Smart Link"/>
    <w:uiPriority w:val="99"/>
    <w:semiHidden/>
    <w:unhideWhenUsed/>
    <w:rsid w:val="0029107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603">
      <w:bodyDiv w:val="1"/>
      <w:marLeft w:val="0"/>
      <w:marRight w:val="0"/>
      <w:marTop w:val="0"/>
      <w:marBottom w:val="0"/>
      <w:divBdr>
        <w:top w:val="none" w:sz="0" w:space="0" w:color="auto"/>
        <w:left w:val="none" w:sz="0" w:space="0" w:color="auto"/>
        <w:bottom w:val="none" w:sz="0" w:space="0" w:color="auto"/>
        <w:right w:val="none" w:sz="0" w:space="0" w:color="auto"/>
      </w:divBdr>
    </w:div>
    <w:div w:id="174543178">
      <w:bodyDiv w:val="1"/>
      <w:marLeft w:val="0"/>
      <w:marRight w:val="0"/>
      <w:marTop w:val="0"/>
      <w:marBottom w:val="0"/>
      <w:divBdr>
        <w:top w:val="none" w:sz="0" w:space="0" w:color="auto"/>
        <w:left w:val="none" w:sz="0" w:space="0" w:color="auto"/>
        <w:bottom w:val="none" w:sz="0" w:space="0" w:color="auto"/>
        <w:right w:val="none" w:sz="0" w:space="0" w:color="auto"/>
      </w:divBdr>
    </w:div>
    <w:div w:id="289360506">
      <w:bodyDiv w:val="1"/>
      <w:marLeft w:val="0"/>
      <w:marRight w:val="0"/>
      <w:marTop w:val="0"/>
      <w:marBottom w:val="0"/>
      <w:divBdr>
        <w:top w:val="none" w:sz="0" w:space="0" w:color="auto"/>
        <w:left w:val="none" w:sz="0" w:space="0" w:color="auto"/>
        <w:bottom w:val="none" w:sz="0" w:space="0" w:color="auto"/>
        <w:right w:val="none" w:sz="0" w:space="0" w:color="auto"/>
      </w:divBdr>
    </w:div>
    <w:div w:id="1078793809">
      <w:bodyDiv w:val="1"/>
      <w:marLeft w:val="0"/>
      <w:marRight w:val="0"/>
      <w:marTop w:val="0"/>
      <w:marBottom w:val="0"/>
      <w:divBdr>
        <w:top w:val="none" w:sz="0" w:space="0" w:color="auto"/>
        <w:left w:val="none" w:sz="0" w:space="0" w:color="auto"/>
        <w:bottom w:val="none" w:sz="0" w:space="0" w:color="auto"/>
        <w:right w:val="none" w:sz="0" w:space="0" w:color="auto"/>
      </w:divBdr>
    </w:div>
    <w:div w:id="1089691457">
      <w:bodyDiv w:val="1"/>
      <w:marLeft w:val="0"/>
      <w:marRight w:val="0"/>
      <w:marTop w:val="0"/>
      <w:marBottom w:val="0"/>
      <w:divBdr>
        <w:top w:val="none" w:sz="0" w:space="0" w:color="auto"/>
        <w:left w:val="none" w:sz="0" w:space="0" w:color="auto"/>
        <w:bottom w:val="none" w:sz="0" w:space="0" w:color="auto"/>
        <w:right w:val="none" w:sz="0" w:space="0" w:color="auto"/>
      </w:divBdr>
    </w:div>
    <w:div w:id="1260676732">
      <w:bodyDiv w:val="1"/>
      <w:marLeft w:val="0"/>
      <w:marRight w:val="0"/>
      <w:marTop w:val="0"/>
      <w:marBottom w:val="0"/>
      <w:divBdr>
        <w:top w:val="none" w:sz="0" w:space="0" w:color="auto"/>
        <w:left w:val="none" w:sz="0" w:space="0" w:color="auto"/>
        <w:bottom w:val="none" w:sz="0" w:space="0" w:color="auto"/>
        <w:right w:val="none" w:sz="0" w:space="0" w:color="auto"/>
      </w:divBdr>
    </w:div>
    <w:div w:id="195567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da.oslomet.no/oda-xmlui/bitstream/handle/20.500.12199/1048/770%20Woll%20og%20Jacobsen.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EA3C-3500-4313-81AC-EA4573A2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62</TotalTime>
  <Pages>1</Pages>
  <Words>13355</Words>
  <Characters>70782</Characters>
  <Application>Microsoft Office Word</Application>
  <DocSecurity>0</DocSecurity>
  <Lines>589</Lines>
  <Paragraphs>167</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83970</CharactersWithSpaces>
  <SharedDoc>false</SharedDoc>
  <HLinks>
    <vt:vector size="6" baseType="variant">
      <vt:variant>
        <vt:i4>8257592</vt:i4>
      </vt:variant>
      <vt:variant>
        <vt:i4>0</vt:i4>
      </vt:variant>
      <vt:variant>
        <vt:i4>0</vt:i4>
      </vt:variant>
      <vt:variant>
        <vt:i4>5</vt:i4>
      </vt:variant>
      <vt:variant>
        <vt:lpwstr>https://oda.oslomet.no/oda-xmlui/bitstream/handle/20.500.12199/1048/770 Woll og Jacobsen.pdf?sequence=1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Nygaard Tom Arne</dc:creator>
  <cp:keywords/>
  <dc:description/>
  <cp:lastModifiedBy>Opsahl Lars Rune</cp:lastModifiedBy>
  <cp:revision>22</cp:revision>
  <cp:lastPrinted>2023-10-31T09:07:00Z</cp:lastPrinted>
  <dcterms:created xsi:type="dcterms:W3CDTF">2024-03-26T12:22:00Z</dcterms:created>
  <dcterms:modified xsi:type="dcterms:W3CDTF">2024-03-26T14:37:00Z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2023-01-17T09:12:15Z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a1382401-3870-46e2-b561-5da82fb1050e</vt:lpwstr>
  </property>
  <property fmtid="{D5CDD505-2E9C-101B-9397-08002B2CF9AE}" pid="8" name="MSIP_Label_b7a0defb-d95a-4801-9cac-afdefc91cdbd_ContentBits">
    <vt:lpwstr>0</vt:lpwstr>
  </property>
</Properties>
</file>