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E3E" w14:textId="5BB9AC53" w:rsidR="00254C6B" w:rsidRPr="00811F2E" w:rsidRDefault="00E463BC" w:rsidP="00254C6B">
      <w:pPr>
        <w:rPr>
          <w:b/>
          <w:bCs/>
        </w:rPr>
      </w:pPr>
      <w:r>
        <w:rPr>
          <w:b/>
          <w:bCs/>
        </w:rPr>
        <w:t>M</w:t>
      </w:r>
      <w:r w:rsidR="00254C6B" w:rsidRPr="00811F2E">
        <w:rPr>
          <w:b/>
          <w:bCs/>
        </w:rPr>
        <w:t xml:space="preserve">andat - </w:t>
      </w:r>
      <w:r>
        <w:rPr>
          <w:rFonts w:asciiTheme="minorHAnsi" w:eastAsiaTheme="minorEastAsia" w:hAnsiTheme="minorHAnsi"/>
          <w:b/>
          <w:bCs/>
          <w:sz w:val="24"/>
          <w:szCs w:val="24"/>
        </w:rPr>
        <w:t>u</w:t>
      </w:r>
      <w:r w:rsidR="00254C6B" w:rsidRPr="00811F2E">
        <w:rPr>
          <w:rFonts w:asciiTheme="minorHAnsi" w:eastAsiaTheme="minorEastAsia" w:hAnsiTheme="minorHAnsi"/>
          <w:b/>
          <w:bCs/>
          <w:sz w:val="24"/>
          <w:szCs w:val="24"/>
        </w:rPr>
        <w:t>tredning av tilgangen på veterinærtjenester i Norge</w:t>
      </w:r>
    </w:p>
    <w:p w14:paraId="27CCEEBF" w14:textId="77777777" w:rsidR="00254C6B" w:rsidRPr="00811F2E" w:rsidRDefault="00254C6B" w:rsidP="00254C6B">
      <w:pPr>
        <w:rPr>
          <w:rFonts w:asciiTheme="minorHAnsi" w:eastAsiaTheme="minorEastAsia" w:hAnsiTheme="minorHAnsi"/>
        </w:rPr>
      </w:pPr>
      <w:r w:rsidRPr="00811F2E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7BEFD047" w14:textId="77777777" w:rsidR="00254C6B" w:rsidRDefault="00254C6B" w:rsidP="00254C6B">
      <w:pPr>
        <w:rPr>
          <w:rFonts w:asciiTheme="minorHAnsi" w:eastAsiaTheme="minorEastAsia" w:hAnsiTheme="minorHAnsi"/>
          <w:b/>
          <w:bCs/>
        </w:rPr>
      </w:pPr>
      <w:r>
        <w:rPr>
          <w:rFonts w:asciiTheme="minorHAnsi" w:eastAsiaTheme="minorEastAsia" w:hAnsiTheme="minorHAnsi"/>
          <w:b/>
          <w:bCs/>
          <w:sz w:val="24"/>
          <w:szCs w:val="24"/>
        </w:rPr>
        <w:t>Bakgrunn</w:t>
      </w:r>
    </w:p>
    <w:p w14:paraId="3A162B28" w14:textId="77777777" w:rsidR="00254C6B" w:rsidRDefault="00254C6B" w:rsidP="00254C6B">
      <w:pPr>
        <w:rPr>
          <w:rFonts w:asciiTheme="minorHAnsi" w:eastAsiaTheme="minorEastAsia" w:hAnsiTheme="minorHAnsi" w:cs="Calibr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 xml:space="preserve">Fra ulike hold uttrykkes det bekymring for veterinærdekningen i deler av landet. Kommunene skal etter dyrehelsepersonelloven sørge for tilfredsstillende tilgang på tjenester fra dyrehelsepersonell. Kommunene har også et lovfestet ansvar for å organisere en klinisk veterinærvakt utenom ordinær arbeidstid. </w:t>
      </w:r>
    </w:p>
    <w:p w14:paraId="7F825EA4" w14:textId="77777777" w:rsidR="00254C6B" w:rsidRDefault="00254C6B" w:rsidP="00254C6B">
      <w:pPr>
        <w:rPr>
          <w:rFonts w:asciiTheme="minorHAnsi" w:eastAsiaTheme="minorEastAsia" w:hAnsiTheme="minorHAnsi"/>
          <w:i/>
          <w:iCs/>
        </w:rPr>
      </w:pPr>
    </w:p>
    <w:p w14:paraId="4775B3DC" w14:textId="77777777" w:rsidR="00254C6B" w:rsidRDefault="00254C6B" w:rsidP="00254C6B">
      <w:pPr>
        <w:rPr>
          <w:rFonts w:asciiTheme="minorHAnsi" w:eastAsiaTheme="minorEastAsia" w:hAnsiTheme="minorHAnsi"/>
          <w:i/>
          <w:iCs/>
          <w:color w:val="000000" w:themeColor="text1"/>
        </w:rPr>
      </w:pPr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Staten bidrar økonomisk til veterinærdekningen gjennom et øremerket tilskudd til kommunene for å lette deres ansvar for å organisere en klinisk veterinærvakt utenom arbeidstid i hele landet (140,3 mill. kroner i 2022). I store deler av landet er det god dekning av veterinærtjenester for smådyr hele døgnet i regi av private dyreklinikker. Det statlige tilskuddet til veterinærvakt er derfor primært innrettet for at det skal være tilgang på veterinær til produksjonsdyr i landbruket, men i deler landet er vaktordningen også av betydning for veterinærtilgang til kjæledyr. </w:t>
      </w:r>
    </w:p>
    <w:p w14:paraId="0981E98C" w14:textId="77777777" w:rsidR="00254C6B" w:rsidRDefault="00254C6B" w:rsidP="00254C6B">
      <w:pPr>
        <w:rPr>
          <w:rFonts w:asciiTheme="minorHAnsi" w:eastAsiaTheme="minorEastAsia" w:hAnsiTheme="minorHAnsi"/>
          <w:i/>
          <w:iCs/>
          <w:color w:val="000000" w:themeColor="text1"/>
        </w:rPr>
      </w:pPr>
    </w:p>
    <w:p w14:paraId="57E9658B" w14:textId="77777777" w:rsidR="00254C6B" w:rsidRDefault="00254C6B" w:rsidP="00254C6B">
      <w:pPr>
        <w:rPr>
          <w:rFonts w:asciiTheme="minorHAnsi" w:eastAsiaTheme="minorEastAsia" w:hAnsiTheme="minorHAnsi"/>
          <w:i/>
          <w:iCs/>
          <w:color w:val="000000" w:themeColor="text1"/>
        </w:rPr>
      </w:pPr>
      <w:bookmarkStart w:id="0" w:name="_Hlk98838826"/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Staten bidrar videre med 33,4 mill. kroner i 2022 som kommuner med svakt næringsgrunnlag for veterinærtjenester, kan benytte til stimuleringstiltak for å bedre tilgangen til veterinærer også på dagtid</w:t>
      </w:r>
      <w:bookmarkEnd w:id="0"/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. Landbruksdirektoratet og statsforvalteren forvalter de statlige tilskuddene.</w:t>
      </w:r>
    </w:p>
    <w:p w14:paraId="2FE95C7D" w14:textId="77777777" w:rsidR="00254C6B" w:rsidRDefault="00254C6B" w:rsidP="00254C6B">
      <w:pPr>
        <w:rPr>
          <w:rFonts w:asciiTheme="minorHAnsi" w:eastAsiaTheme="minorEastAsia" w:hAnsiTheme="minorHAns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 xml:space="preserve"> </w:t>
      </w:r>
    </w:p>
    <w:p w14:paraId="268DFCD5" w14:textId="77777777" w:rsidR="00254C6B" w:rsidRDefault="00254C6B" w:rsidP="00254C6B">
      <w:pPr>
        <w:rPr>
          <w:rFonts w:asciiTheme="minorHAnsi" w:eastAsiaTheme="minorEastAsia" w:hAnsiTheme="minorHAnsi"/>
          <w:b/>
          <w:bCs/>
          <w:i/>
          <w:iCs/>
        </w:rPr>
      </w:pPr>
      <w:r>
        <w:rPr>
          <w:rFonts w:asciiTheme="minorHAnsi" w:eastAsiaTheme="minorEastAsia" w:hAnsiTheme="minorHAnsi"/>
          <w:b/>
          <w:bCs/>
          <w:i/>
          <w:iCs/>
          <w:sz w:val="24"/>
          <w:szCs w:val="24"/>
        </w:rPr>
        <w:t>Formål og mandat for utredningen</w:t>
      </w:r>
    </w:p>
    <w:p w14:paraId="30292D8E" w14:textId="0C5DB936" w:rsidR="00254C6B" w:rsidRPr="000B1920" w:rsidRDefault="00254C6B" w:rsidP="00254C6B">
      <w:pPr>
        <w:rPr>
          <w:rFonts w:asciiTheme="minorHAnsi" w:eastAsiaTheme="minorEastAsia" w:hAnsiTheme="minorHAnsi"/>
          <w:i/>
          <w:iCs/>
          <w:color w:val="FF0000"/>
          <w:sz w:val="24"/>
          <w:szCs w:val="24"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>Formålet med utredningen er å gi beslutningstakere et best mulig grunnlag for å kunne treffe virksomme/målrettede tiltak for å bidra til tilfredsstillende tilgang på veterinærtjenester til dyr i landbruket i hele landet</w:t>
      </w:r>
      <w:r w:rsidR="000620B2">
        <w:rPr>
          <w:rFonts w:asciiTheme="minorHAnsi" w:eastAsiaTheme="minorEastAsia" w:hAnsiTheme="minorHAnsi"/>
          <w:i/>
          <w:iCs/>
          <w:sz w:val="24"/>
          <w:szCs w:val="24"/>
        </w:rPr>
        <w:t>.</w:t>
      </w:r>
      <w:r w:rsidR="00720F15">
        <w:rPr>
          <w:rFonts w:asciiTheme="minorHAnsi" w:eastAsiaTheme="minorEastAsia" w:hAnsiTheme="minorHAnsi"/>
          <w:i/>
          <w:iCs/>
          <w:sz w:val="24"/>
          <w:szCs w:val="24"/>
        </w:rPr>
        <w:t xml:space="preserve"> </w:t>
      </w:r>
    </w:p>
    <w:p w14:paraId="36C56093" w14:textId="729E18B9" w:rsidR="00254C6B" w:rsidRPr="000B1920" w:rsidRDefault="00254C6B" w:rsidP="00254C6B">
      <w:pPr>
        <w:rPr>
          <w:rFonts w:asciiTheme="minorHAnsi" w:eastAsiaTheme="minorEastAsia" w:hAnsiTheme="minorHAnsi"/>
          <w:i/>
          <w:iCs/>
          <w:color w:val="FF0000"/>
        </w:rPr>
      </w:pPr>
    </w:p>
    <w:p w14:paraId="4D16C5E3" w14:textId="4BFD05A2" w:rsidR="00254C6B" w:rsidRDefault="00254C6B" w:rsidP="00254C6B">
      <w:pPr>
        <w:rPr>
          <w:rFonts w:asciiTheme="minorHAnsi" w:eastAsiaTheme="minorEastAsia" w:hAnsiTheme="minorHAns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 xml:space="preserve">Utredningen skal </w:t>
      </w:r>
      <w:r w:rsidR="00E463BC">
        <w:rPr>
          <w:rFonts w:asciiTheme="minorHAnsi" w:eastAsiaTheme="minorEastAsia" w:hAnsiTheme="minorHAnsi"/>
          <w:i/>
          <w:iCs/>
          <w:sz w:val="24"/>
          <w:szCs w:val="24"/>
        </w:rPr>
        <w:t xml:space="preserve">blant annet </w:t>
      </w:r>
      <w:r>
        <w:rPr>
          <w:rFonts w:asciiTheme="minorHAnsi" w:eastAsiaTheme="minorEastAsia" w:hAnsiTheme="minorHAnsi"/>
          <w:i/>
          <w:iCs/>
          <w:sz w:val="24"/>
          <w:szCs w:val="24"/>
        </w:rPr>
        <w:t>belyse:</w:t>
      </w:r>
    </w:p>
    <w:p w14:paraId="7DB2712C" w14:textId="77777777" w:rsidR="00254C6B" w:rsidRDefault="00254C6B" w:rsidP="00254C6B">
      <w:pPr>
        <w:pStyle w:val="Listeavsnitt"/>
        <w:numPr>
          <w:ilvl w:val="0"/>
          <w:numId w:val="3"/>
        </w:numPr>
        <w:spacing w:line="240" w:lineRule="auto"/>
        <w:rPr>
          <w:i/>
          <w:iCs/>
        </w:rPr>
      </w:pPr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Status for tilgang på veterinærtjenester til dyr i landbruket i ulike deler av landet </w:t>
      </w:r>
    </w:p>
    <w:p w14:paraId="41ACB1C6" w14:textId="3FCEA28B" w:rsidR="00254C6B" w:rsidRDefault="00254C6B" w:rsidP="00254C6B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i/>
          <w:iCs/>
        </w:rPr>
      </w:pPr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Årsaksfaktorer og, om mulig, relativ betydning av ulike faktorer som bidrar til at det oppstår utfordringer med veterinærdekningen (f.eks. utviklingstrekk i husdyrproduksjonen, alternative sysselsettingsmuligheter for veterinærer, økt grad av spesialisering, grad av faglig fellesskap, vaktbelastning, inntektsgrunnlag i klinisk veterinærpraksis</w:t>
      </w:r>
      <w:r w:rsidRPr="000620B2">
        <w:rPr>
          <w:rFonts w:asciiTheme="minorHAnsi" w:eastAsiaTheme="minorEastAsia" w:hAnsiTheme="minorHAnsi"/>
          <w:i/>
          <w:iCs/>
          <w:sz w:val="24"/>
          <w:szCs w:val="24"/>
        </w:rPr>
        <w:t xml:space="preserve">, </w:t>
      </w:r>
      <w:r w:rsidR="000B1920" w:rsidRPr="000620B2">
        <w:rPr>
          <w:rFonts w:asciiTheme="minorHAnsi" w:eastAsiaTheme="minorEastAsia" w:hAnsiTheme="minorHAnsi"/>
          <w:i/>
          <w:iCs/>
          <w:sz w:val="24"/>
          <w:szCs w:val="24"/>
        </w:rPr>
        <w:t xml:space="preserve">endringer i veterinært regelverk, </w:t>
      </w:r>
      <w:r w:rsidRPr="000620B2">
        <w:rPr>
          <w:rFonts w:asciiTheme="minorHAnsi" w:eastAsiaTheme="minorEastAsia" w:hAnsiTheme="minorHAnsi"/>
          <w:i/>
          <w:iCs/>
          <w:sz w:val="24"/>
          <w:szCs w:val="24"/>
        </w:rPr>
        <w:t xml:space="preserve">yrkesmuligheter for ektefelle/partner, innretning av vaktordning og tiltak for </w:t>
      </w:r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å stimulere tilgang på veterinærtjenester mv.) </w:t>
      </w:r>
    </w:p>
    <w:p w14:paraId="192CDE76" w14:textId="77777777" w:rsidR="00254C6B" w:rsidRDefault="00254C6B" w:rsidP="00254C6B">
      <w:pPr>
        <w:pStyle w:val="Listeavsnitt"/>
        <w:numPr>
          <w:ilvl w:val="0"/>
          <w:numId w:val="3"/>
        </w:numPr>
        <w:spacing w:line="240" w:lineRule="auto"/>
        <w:rPr>
          <w:i/>
          <w:iCs/>
        </w:rPr>
      </w:pPr>
      <w: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Er det noen fellesnevner for distrikter/områder der tilgang på veterinærer er en utfordring?</w:t>
      </w:r>
    </w:p>
    <w:p w14:paraId="695F0D10" w14:textId="77777777" w:rsidR="00254C6B" w:rsidRPr="00AD4256" w:rsidRDefault="00254C6B" w:rsidP="00254C6B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D4256">
        <w:rPr>
          <w:rFonts w:asciiTheme="minorHAnsi" w:hAnsiTheme="minorHAnsi" w:cstheme="minorHAnsi"/>
          <w:i/>
          <w:iCs/>
          <w:sz w:val="24"/>
          <w:szCs w:val="24"/>
        </w:rPr>
        <w:t xml:space="preserve">Kan en annen innretning av statlig overføringer til kommunene enn i dag, i større grad bidra til å </w:t>
      </w:r>
      <w:proofErr w:type="spellStart"/>
      <w:r w:rsidRPr="00AD4256">
        <w:rPr>
          <w:rFonts w:asciiTheme="minorHAnsi" w:hAnsiTheme="minorHAnsi" w:cstheme="minorHAnsi"/>
          <w:i/>
          <w:iCs/>
          <w:sz w:val="24"/>
          <w:szCs w:val="24"/>
        </w:rPr>
        <w:t>ansvarliggjøre</w:t>
      </w:r>
      <w:proofErr w:type="spellEnd"/>
      <w:r w:rsidRPr="00AD4256">
        <w:rPr>
          <w:rFonts w:asciiTheme="minorHAnsi" w:hAnsiTheme="minorHAnsi" w:cstheme="minorHAnsi"/>
          <w:i/>
          <w:iCs/>
          <w:sz w:val="24"/>
          <w:szCs w:val="24"/>
        </w:rPr>
        <w:t xml:space="preserve"> kommunene og gi bedre løsninger i arbeidet med å sikre tilfredsstillende tilgang på veterinærtjenester?</w:t>
      </w:r>
    </w:p>
    <w:p w14:paraId="7E85017D" w14:textId="77777777" w:rsidR="00254C6B" w:rsidRPr="00AD4256" w:rsidRDefault="00254C6B" w:rsidP="00254C6B">
      <w:pPr>
        <w:pStyle w:val="Listeavsnitt"/>
        <w:numPr>
          <w:ilvl w:val="0"/>
          <w:numId w:val="3"/>
        </w:numPr>
        <w:spacing w:line="240" w:lineRule="auto"/>
        <w:rPr>
          <w:i/>
          <w:iCs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Hvilke tiltak kan det være aktuelt at </w:t>
      </w:r>
    </w:p>
    <w:p w14:paraId="4F972114" w14:textId="77777777" w:rsidR="00254C6B" w:rsidRPr="00AD4256" w:rsidRDefault="00254C6B" w:rsidP="00254C6B">
      <w:pPr>
        <w:pStyle w:val="Listeavsnitt"/>
        <w:numPr>
          <w:ilvl w:val="0"/>
          <w:numId w:val="4"/>
        </w:numPr>
        <w:spacing w:line="240" w:lineRule="auto"/>
        <w:rPr>
          <w:rFonts w:cs="Arial"/>
          <w:i/>
          <w:iCs/>
          <w:sz w:val="20"/>
          <w:szCs w:val="20"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kommunene</w:t>
      </w:r>
    </w:p>
    <w:p w14:paraId="73DCE217" w14:textId="77777777" w:rsidR="00254C6B" w:rsidRPr="00AD4256" w:rsidRDefault="00254C6B" w:rsidP="00254C6B">
      <w:pPr>
        <w:pStyle w:val="Listeavsnitt"/>
        <w:numPr>
          <w:ilvl w:val="0"/>
          <w:numId w:val="4"/>
        </w:numPr>
        <w:spacing w:line="240" w:lineRule="auto"/>
        <w:rPr>
          <w:i/>
          <w:iCs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>nærings- og yrkesorganisasjoner</w:t>
      </w:r>
    </w:p>
    <w:p w14:paraId="7BDA86C9" w14:textId="77777777" w:rsidR="00254C6B" w:rsidRPr="00AD4256" w:rsidRDefault="00254C6B" w:rsidP="00254C6B">
      <w:pPr>
        <w:pStyle w:val="Listeavsnitt"/>
        <w:numPr>
          <w:ilvl w:val="0"/>
          <w:numId w:val="4"/>
        </w:numPr>
        <w:spacing w:line="240" w:lineRule="auto"/>
        <w:rPr>
          <w:i/>
          <w:iCs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staten </w:t>
      </w:r>
    </w:p>
    <w:p w14:paraId="0971C5BC" w14:textId="77777777" w:rsidR="00254C6B" w:rsidRPr="00AD4256" w:rsidRDefault="00254C6B" w:rsidP="00254C6B">
      <w:pPr>
        <w:pStyle w:val="Listeavsnitt"/>
        <w:numPr>
          <w:ilvl w:val="0"/>
          <w:numId w:val="4"/>
        </w:numPr>
        <w:spacing w:line="240" w:lineRule="auto"/>
        <w:rPr>
          <w:i/>
          <w:iCs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andre </w:t>
      </w:r>
    </w:p>
    <w:p w14:paraId="6CBB6262" w14:textId="144170FD" w:rsidR="00254C6B" w:rsidRDefault="00254C6B" w:rsidP="00254C6B">
      <w:pP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</w:pPr>
      <w:r w:rsidRPr="00AD4256"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  <w:t xml:space="preserve">             kan vurdere for å bidra til å redusere utfordringer med veterinærdekningen?</w:t>
      </w:r>
    </w:p>
    <w:p w14:paraId="30E9E329" w14:textId="77777777" w:rsidR="000620B2" w:rsidRDefault="000620B2" w:rsidP="00254C6B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6BBA466E" w14:textId="797F49DB" w:rsidR="00254C6B" w:rsidRPr="00BF1E99" w:rsidRDefault="00720F15" w:rsidP="00254C6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F1E99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Utredningen skal foreslå en liste over konkrete tiltak. </w:t>
      </w:r>
      <w:r w:rsidR="00BF1E99" w:rsidRPr="00BF1E99">
        <w:rPr>
          <w:rFonts w:asciiTheme="minorHAnsi" w:hAnsiTheme="minorHAnsi" w:cstheme="minorHAnsi"/>
          <w:i/>
          <w:iCs/>
          <w:sz w:val="24"/>
          <w:szCs w:val="24"/>
        </w:rPr>
        <w:t>Arbeidsgruppen oppfordres også til å utrede alternativer som kan gjøres innenfor gjeldende budsjettrammer.</w:t>
      </w:r>
    </w:p>
    <w:p w14:paraId="1297BE58" w14:textId="77777777" w:rsidR="000620B2" w:rsidRPr="00BF1E99" w:rsidRDefault="000620B2" w:rsidP="00254C6B">
      <w:pPr>
        <w:rPr>
          <w:rFonts w:asciiTheme="minorHAnsi" w:eastAsiaTheme="minorEastAsia" w:hAnsiTheme="minorHAnsi"/>
          <w:i/>
          <w:iCs/>
        </w:rPr>
      </w:pPr>
    </w:p>
    <w:p w14:paraId="642CDB7A" w14:textId="77777777" w:rsidR="00254C6B" w:rsidRDefault="00254C6B" w:rsidP="00254C6B">
      <w:pPr>
        <w:rPr>
          <w:rFonts w:asciiTheme="minorHAnsi" w:eastAsiaTheme="minorEastAsia" w:hAnsiTheme="minorHAnsi" w:cs="Calibri"/>
          <w:b/>
          <w:bCs/>
          <w:i/>
          <w:iCs/>
        </w:rPr>
      </w:pPr>
      <w:r>
        <w:rPr>
          <w:rFonts w:asciiTheme="minorHAnsi" w:eastAsiaTheme="minorEastAsia" w:hAnsiTheme="minorHAnsi"/>
          <w:b/>
          <w:bCs/>
          <w:i/>
          <w:iCs/>
          <w:sz w:val="24"/>
          <w:szCs w:val="24"/>
        </w:rPr>
        <w:t>Organisering av utredningen</w:t>
      </w:r>
    </w:p>
    <w:p w14:paraId="27ECB85B" w14:textId="33625D35" w:rsidR="00254C6B" w:rsidRDefault="00254C6B" w:rsidP="00254C6B">
      <w:pPr>
        <w:rPr>
          <w:rFonts w:asciiTheme="minorHAnsi" w:eastAsiaTheme="minorEastAsia" w:hAnsiTheme="minorHAns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>Det nedsettes en arbeidsgruppe der det delta</w:t>
      </w:r>
      <w:r w:rsidR="008306FD">
        <w:rPr>
          <w:rFonts w:asciiTheme="minorHAnsi" w:eastAsiaTheme="minorEastAsia" w:hAnsiTheme="minorHAnsi"/>
          <w:i/>
          <w:iCs/>
          <w:sz w:val="24"/>
          <w:szCs w:val="24"/>
        </w:rPr>
        <w:t>r en</w:t>
      </w:r>
      <w:r>
        <w:rPr>
          <w:rFonts w:asciiTheme="minorHAnsi" w:eastAsiaTheme="minorEastAsia" w:hAnsiTheme="minorHAnsi"/>
          <w:i/>
          <w:iCs/>
          <w:sz w:val="24"/>
          <w:szCs w:val="24"/>
        </w:rPr>
        <w:t xml:space="preserve"> fra hver av følgende organisasjoner:</w:t>
      </w:r>
    </w:p>
    <w:p w14:paraId="1EC559E4" w14:textId="141642D1" w:rsidR="000B1920" w:rsidRPr="000B1920" w:rsidRDefault="00254C6B" w:rsidP="00254C6B">
      <w:pPr>
        <w:rPr>
          <w:rFonts w:asciiTheme="minorHAnsi" w:eastAsiaTheme="minorEastAsia" w:hAnsiTheme="minorHAns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>Kommunesektorens organisasjon (KS), Den Norske Veterinærforening (DNV), Norges Bondelag, Norsk Bonde- og Småbrukarlag, Landbruksdirektoratet (</w:t>
      </w:r>
      <w:proofErr w:type="spellStart"/>
      <w:r>
        <w:rPr>
          <w:rFonts w:asciiTheme="minorHAnsi" w:eastAsiaTheme="minorEastAsia" w:hAnsiTheme="minorHAnsi"/>
          <w:i/>
          <w:iCs/>
          <w:sz w:val="24"/>
          <w:szCs w:val="24"/>
        </w:rPr>
        <w:t>Ldir</w:t>
      </w:r>
      <w:proofErr w:type="spellEnd"/>
      <w:r>
        <w:rPr>
          <w:rFonts w:asciiTheme="minorHAnsi" w:eastAsiaTheme="minorEastAsia" w:hAnsiTheme="minorHAnsi"/>
          <w:i/>
          <w:iCs/>
          <w:sz w:val="24"/>
          <w:szCs w:val="24"/>
        </w:rPr>
        <w:t>) og representant for statsforvalterne (SF), Norges miljø- og biovitenskapelige universitet (NMBU).</w:t>
      </w:r>
    </w:p>
    <w:p w14:paraId="4275A092" w14:textId="753E7274" w:rsidR="00254C6B" w:rsidRDefault="00254C6B" w:rsidP="00254C6B">
      <w:pPr>
        <w:rPr>
          <w:rFonts w:asciiTheme="minorHAnsi" w:eastAsiaTheme="minorEastAsia" w:hAnsiTheme="minorHAnsi"/>
          <w:i/>
          <w:iCs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 xml:space="preserve"> </w:t>
      </w:r>
    </w:p>
    <w:p w14:paraId="359DCCDE" w14:textId="50D1C429" w:rsidR="00254C6B" w:rsidRDefault="00E463BC" w:rsidP="00254C6B">
      <w:pPr>
        <w:rPr>
          <w:rFonts w:asciiTheme="minorHAnsi" w:eastAsiaTheme="minorEastAsia" w:hAnsiTheme="minorHAnsi"/>
          <w:i/>
          <w:iCs/>
          <w:lang w:val="sv-SE"/>
        </w:rPr>
      </w:pPr>
      <w:r>
        <w:rPr>
          <w:rFonts w:asciiTheme="minorHAnsi" w:eastAsiaTheme="minorEastAsia" w:hAnsiTheme="minorHAnsi"/>
          <w:i/>
          <w:iCs/>
          <w:sz w:val="24"/>
          <w:szCs w:val="24"/>
        </w:rPr>
        <w:t>KS leder arbeidsgruppen</w:t>
      </w:r>
      <w:r w:rsidR="00254C6B">
        <w:rPr>
          <w:rFonts w:asciiTheme="minorHAnsi" w:eastAsiaTheme="minorEastAsia" w:hAnsiTheme="minorHAnsi"/>
          <w:i/>
          <w:iCs/>
          <w:sz w:val="24"/>
          <w:szCs w:val="24"/>
        </w:rPr>
        <w:t xml:space="preserve">. </w:t>
      </w:r>
      <w:r w:rsidR="00254C6B">
        <w:rPr>
          <w:rFonts w:asciiTheme="minorHAnsi" w:eastAsiaTheme="minorEastAsia" w:hAnsiTheme="minorHAnsi"/>
          <w:i/>
          <w:iCs/>
          <w:sz w:val="24"/>
          <w:szCs w:val="24"/>
          <w:lang w:val="sv-SE"/>
        </w:rPr>
        <w:t>LMD ivareta</w:t>
      </w:r>
      <w:r w:rsidR="008306FD">
        <w:rPr>
          <w:rFonts w:asciiTheme="minorHAnsi" w:eastAsiaTheme="minorEastAsia" w:hAnsiTheme="minorHAnsi"/>
          <w:i/>
          <w:iCs/>
          <w:sz w:val="24"/>
          <w:szCs w:val="24"/>
          <w:lang w:val="sv-SE"/>
        </w:rPr>
        <w:t>r</w:t>
      </w:r>
      <w:r w:rsidR="00254C6B">
        <w:rPr>
          <w:rFonts w:asciiTheme="minorHAnsi" w:eastAsiaTheme="minorEastAsia" w:hAnsiTheme="minorHAnsi"/>
          <w:i/>
          <w:iCs/>
          <w:sz w:val="24"/>
          <w:szCs w:val="24"/>
          <w:lang w:val="sv-SE"/>
        </w:rPr>
        <w:t xml:space="preserve"> sekretariatsfunksjonen.</w:t>
      </w:r>
    </w:p>
    <w:p w14:paraId="5CCF62F6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8F0E" w14:textId="77777777" w:rsidR="00173E39" w:rsidRDefault="00173E39" w:rsidP="009B113F">
      <w:pPr>
        <w:spacing w:line="240" w:lineRule="auto"/>
      </w:pPr>
      <w:r>
        <w:separator/>
      </w:r>
    </w:p>
  </w:endnote>
  <w:endnote w:type="continuationSeparator" w:id="0">
    <w:p w14:paraId="5234AD38" w14:textId="77777777" w:rsidR="00173E39" w:rsidRDefault="00173E3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8A03" w14:textId="77777777" w:rsidR="00173E39" w:rsidRDefault="00173E39" w:rsidP="009B113F">
      <w:pPr>
        <w:spacing w:line="240" w:lineRule="auto"/>
      </w:pPr>
      <w:r>
        <w:separator/>
      </w:r>
    </w:p>
  </w:footnote>
  <w:footnote w:type="continuationSeparator" w:id="0">
    <w:p w14:paraId="52E5FE08" w14:textId="77777777" w:rsidR="00173E39" w:rsidRDefault="00173E3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A5C"/>
    <w:multiLevelType w:val="hybridMultilevel"/>
    <w:tmpl w:val="B170C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C5B"/>
    <w:multiLevelType w:val="hybridMultilevel"/>
    <w:tmpl w:val="0A6C385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6B"/>
    <w:rsid w:val="0004491B"/>
    <w:rsid w:val="000620B2"/>
    <w:rsid w:val="00080BFD"/>
    <w:rsid w:val="000B1920"/>
    <w:rsid w:val="00173E39"/>
    <w:rsid w:val="001D6512"/>
    <w:rsid w:val="00223B07"/>
    <w:rsid w:val="00245719"/>
    <w:rsid w:val="00247C16"/>
    <w:rsid w:val="00254C6B"/>
    <w:rsid w:val="0028070C"/>
    <w:rsid w:val="002C22DD"/>
    <w:rsid w:val="00385C2E"/>
    <w:rsid w:val="004D21DB"/>
    <w:rsid w:val="00604331"/>
    <w:rsid w:val="006A680B"/>
    <w:rsid w:val="00720F15"/>
    <w:rsid w:val="008010BA"/>
    <w:rsid w:val="008306FD"/>
    <w:rsid w:val="008A4BEE"/>
    <w:rsid w:val="009B113F"/>
    <w:rsid w:val="00A91875"/>
    <w:rsid w:val="00B24048"/>
    <w:rsid w:val="00B60103"/>
    <w:rsid w:val="00BC5C4A"/>
    <w:rsid w:val="00BE60AC"/>
    <w:rsid w:val="00BF1E99"/>
    <w:rsid w:val="00D875E8"/>
    <w:rsid w:val="00E41288"/>
    <w:rsid w:val="00E463BC"/>
    <w:rsid w:val="00ED584E"/>
    <w:rsid w:val="00EE12D9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1CFF1"/>
  <w15:chartTrackingRefBased/>
  <w15:docId w15:val="{3AAD1019-177C-4EF5-B048-876389C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6B"/>
    <w:pPr>
      <w:spacing w:after="0" w:line="30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aliases w:val="Dot pt,F5 List Paragraph,Bullet Points,List Paragraph1,Colorful List - Accent 11,No Spacing1,List Paragraph Char Char Char,Indicator Text,Numbered Para 1,Bullet 1,List Paragraph2,List Paragraph12,MAIN CONTENT,Párrafo de lista,OBC Bullet"/>
    <w:basedOn w:val="Normal"/>
    <w:link w:val="ListeavsnittTegn"/>
    <w:uiPriority w:val="34"/>
    <w:qFormat/>
    <w:rsid w:val="00254C6B"/>
    <w:pPr>
      <w:ind w:left="720"/>
      <w:contextualSpacing/>
    </w:pPr>
  </w:style>
  <w:style w:type="character" w:customStyle="1" w:styleId="ListeavsnittTegn">
    <w:name w:val="Listeavsnitt Tegn"/>
    <w:aliases w:val="Dot pt Tegn,F5 List Paragraph Tegn,Bullet Points Tegn,List Paragraph1 Tegn,Colorful List - Accent 11 Tegn,No Spacing1 Tegn,List Paragraph Char Char Char Tegn,Indicator Text Tegn,Numbered Para 1 Tegn,Bullet 1 Tegn,List Paragraph2 Tegn"/>
    <w:basedOn w:val="Standardskriftforavsnitt"/>
    <w:link w:val="Listeavsnitt"/>
    <w:uiPriority w:val="34"/>
    <w:qFormat/>
    <w:rsid w:val="00254C6B"/>
    <w:rPr>
      <w:rFonts w:ascii="Arial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620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20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20B2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20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20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2703</Characters>
  <Application>Microsoft Office Word</Application>
  <DocSecurity>4</DocSecurity>
  <Lines>22</Lines>
  <Paragraphs>6</Paragraphs>
  <ScaleCrop>false</ScaleCrop>
  <Company>DSS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Lysvåg Camilla</dc:creator>
  <cp:keywords/>
  <dc:description/>
  <cp:lastModifiedBy>Riise Heidi Eriksen</cp:lastModifiedBy>
  <cp:revision>2</cp:revision>
  <dcterms:created xsi:type="dcterms:W3CDTF">2022-09-01T13:53:00Z</dcterms:created>
  <dcterms:modified xsi:type="dcterms:W3CDTF">2022-09-01T13:53:00Z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a46fd-112b-4b99-add4-ef327a0e5e7a_Enabled">
    <vt:lpwstr>true</vt:lpwstr>
  </property>
  <property fmtid="{D5CDD505-2E9C-101B-9397-08002B2CF9AE}" pid="3" name="MSIP_Label_beca46fd-112b-4b99-add4-ef327a0e5e7a_SetDate">
    <vt:lpwstr>2022-05-19T07:45:46Z</vt:lpwstr>
  </property>
  <property fmtid="{D5CDD505-2E9C-101B-9397-08002B2CF9AE}" pid="4" name="MSIP_Label_beca46fd-112b-4b99-add4-ef327a0e5e7a_Method">
    <vt:lpwstr>Standard</vt:lpwstr>
  </property>
  <property fmtid="{D5CDD505-2E9C-101B-9397-08002B2CF9AE}" pid="5" name="MSIP_Label_beca46fd-112b-4b99-add4-ef327a0e5e7a_Name">
    <vt:lpwstr>Intern (LMD)</vt:lpwstr>
  </property>
  <property fmtid="{D5CDD505-2E9C-101B-9397-08002B2CF9AE}" pid="6" name="MSIP_Label_beca46fd-112b-4b99-add4-ef327a0e5e7a_SiteId">
    <vt:lpwstr>f696e186-1c3b-44cd-bf76-5ace0e7007bd</vt:lpwstr>
  </property>
  <property fmtid="{D5CDD505-2E9C-101B-9397-08002B2CF9AE}" pid="7" name="MSIP_Label_beca46fd-112b-4b99-add4-ef327a0e5e7a_ActionId">
    <vt:lpwstr>db4ec006-423b-4d54-981d-76d034d8a3a1</vt:lpwstr>
  </property>
  <property fmtid="{D5CDD505-2E9C-101B-9397-08002B2CF9AE}" pid="8" name="MSIP_Label_beca46fd-112b-4b99-add4-ef327a0e5e7a_ContentBits">
    <vt:lpwstr>0</vt:lpwstr>
  </property>
</Properties>
</file>