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DA68" w14:textId="683B13A0" w:rsidR="00772748" w:rsidRPr="00E426D3" w:rsidRDefault="0076254B" w:rsidP="00F913CA">
      <w:pPr>
        <w:pStyle w:val="is-dep"/>
      </w:pPr>
      <w:r w:rsidRPr="00E426D3">
        <w:t>Finansdepartementet</w:t>
      </w:r>
    </w:p>
    <w:p w14:paraId="63677171" w14:textId="77777777" w:rsidR="00772748" w:rsidRPr="00E426D3" w:rsidRDefault="00772748" w:rsidP="00E426D3">
      <w:pPr>
        <w:pStyle w:val="i-hode"/>
      </w:pPr>
      <w:r w:rsidRPr="00E426D3">
        <w:t>Prop. 145 LS</w:t>
      </w:r>
    </w:p>
    <w:p w14:paraId="1277D598" w14:textId="77777777" w:rsidR="00772748" w:rsidRPr="00E426D3" w:rsidRDefault="00772748" w:rsidP="00E426D3">
      <w:pPr>
        <w:pStyle w:val="i-sesjon"/>
      </w:pPr>
      <w:r w:rsidRPr="00E426D3">
        <w:t>(2024–2025)</w:t>
      </w:r>
    </w:p>
    <w:p w14:paraId="1A49DE05" w14:textId="77777777" w:rsidR="00772748" w:rsidRPr="00E426D3" w:rsidRDefault="00772748" w:rsidP="00E426D3">
      <w:pPr>
        <w:pStyle w:val="i-hode-tit"/>
      </w:pPr>
      <w:r w:rsidRPr="00E426D3">
        <w:t>Proposisjon til Stortinget (forslag til lovvedtak og stortingsvedtak)</w:t>
      </w:r>
    </w:p>
    <w:p w14:paraId="1ED72954" w14:textId="77777777" w:rsidR="00772748" w:rsidRPr="00E426D3" w:rsidRDefault="00772748" w:rsidP="00E426D3">
      <w:pPr>
        <w:pStyle w:val="i-tit"/>
      </w:pPr>
      <w:r w:rsidRPr="00E426D3">
        <w:t>Endringar i skatte- og avgiftslovgivinga</w:t>
      </w:r>
    </w:p>
    <w:p w14:paraId="3F59483E" w14:textId="148EAAE1" w:rsidR="00772748" w:rsidRPr="00E426D3" w:rsidRDefault="0076254B" w:rsidP="00E426D3">
      <w:pPr>
        <w:pStyle w:val="i-dep"/>
      </w:pPr>
      <w:r w:rsidRPr="00E426D3">
        <w:t>Finansdepartementet</w:t>
      </w:r>
    </w:p>
    <w:p w14:paraId="5F354C5C" w14:textId="77777777" w:rsidR="00772748" w:rsidRPr="00E426D3" w:rsidRDefault="00772748" w:rsidP="00E426D3">
      <w:pPr>
        <w:pStyle w:val="i-hode"/>
      </w:pPr>
      <w:r w:rsidRPr="00E426D3">
        <w:t>Prop. 145 LS</w:t>
      </w:r>
    </w:p>
    <w:p w14:paraId="1ABF5D76" w14:textId="77777777" w:rsidR="00772748" w:rsidRPr="00E426D3" w:rsidRDefault="00772748" w:rsidP="00E426D3">
      <w:pPr>
        <w:pStyle w:val="i-sesjon"/>
      </w:pPr>
      <w:r w:rsidRPr="00E426D3">
        <w:t>(2024–2025)</w:t>
      </w:r>
    </w:p>
    <w:p w14:paraId="3A712AE5" w14:textId="77777777" w:rsidR="00772748" w:rsidRPr="00E426D3" w:rsidRDefault="00772748" w:rsidP="00E426D3">
      <w:pPr>
        <w:pStyle w:val="i-hode-tit"/>
      </w:pPr>
      <w:r w:rsidRPr="00E426D3">
        <w:t>Proposisjon til Stortinget (forslag til lovvedtak og stortingsvedtak)</w:t>
      </w:r>
    </w:p>
    <w:p w14:paraId="2287616B" w14:textId="77777777" w:rsidR="00772748" w:rsidRPr="00E426D3" w:rsidRDefault="00772748" w:rsidP="00E426D3">
      <w:pPr>
        <w:pStyle w:val="i-tit"/>
      </w:pPr>
      <w:r w:rsidRPr="00E426D3">
        <w:t>Endringar i skatte- og avgiftslovgivinga</w:t>
      </w:r>
    </w:p>
    <w:p w14:paraId="3EB111A0" w14:textId="77777777" w:rsidR="00772748" w:rsidRPr="00E426D3" w:rsidRDefault="00772748" w:rsidP="00E426D3">
      <w:pPr>
        <w:pStyle w:val="i-statsrdato"/>
      </w:pPr>
      <w:r w:rsidRPr="00E426D3">
        <w:t xml:space="preserve">Tilråding frå Finansdepartementet 15. mai 2025, </w:t>
      </w:r>
      <w:r w:rsidRPr="00E426D3">
        <w:br/>
        <w:t xml:space="preserve">godkjend i statsråd same dagen. </w:t>
      </w:r>
      <w:r w:rsidRPr="00E426D3">
        <w:br/>
        <w:t>(Regjeringa Støre)</w:t>
      </w:r>
    </w:p>
    <w:p w14:paraId="29FDF31B" w14:textId="77777777" w:rsidR="00772748" w:rsidRPr="00E426D3" w:rsidRDefault="00772748" w:rsidP="00E426D3">
      <w:pPr>
        <w:pStyle w:val="Overskrift1"/>
      </w:pPr>
      <w:r w:rsidRPr="00E426D3">
        <w:t>Innleiing</w:t>
      </w:r>
    </w:p>
    <w:p w14:paraId="0E640D55" w14:textId="77777777" w:rsidR="00772748" w:rsidRPr="00E426D3" w:rsidRDefault="00772748" w:rsidP="00E426D3">
      <w:r w:rsidRPr="00E426D3">
        <w:t xml:space="preserve">I Revidert nasjonalbudsjett 2025 </w:t>
      </w:r>
      <w:proofErr w:type="spellStart"/>
      <w:r w:rsidRPr="00E426D3">
        <w:t>gjer</w:t>
      </w:r>
      <w:proofErr w:type="spellEnd"/>
      <w:r w:rsidRPr="00E426D3">
        <w:t xml:space="preserve"> regjeringa framlegg om enkelte </w:t>
      </w:r>
      <w:proofErr w:type="spellStart"/>
      <w:r w:rsidRPr="00E426D3">
        <w:t>endringar</w:t>
      </w:r>
      <w:proofErr w:type="spellEnd"/>
      <w:r w:rsidRPr="00E426D3">
        <w:t xml:space="preserve"> i skatte- og </w:t>
      </w:r>
      <w:proofErr w:type="spellStart"/>
      <w:r w:rsidRPr="00E426D3">
        <w:t>avgiftsreglane</w:t>
      </w:r>
      <w:proofErr w:type="spellEnd"/>
      <w:r w:rsidRPr="00E426D3">
        <w:t xml:space="preserve">. </w:t>
      </w:r>
      <w:proofErr w:type="spellStart"/>
      <w:r w:rsidRPr="00E426D3">
        <w:t>Følgjande</w:t>
      </w:r>
      <w:proofErr w:type="spellEnd"/>
      <w:r w:rsidRPr="00E426D3">
        <w:t xml:space="preserve"> framlegg om </w:t>
      </w:r>
      <w:proofErr w:type="spellStart"/>
      <w:r w:rsidRPr="00E426D3">
        <w:t>endringar</w:t>
      </w:r>
      <w:proofErr w:type="spellEnd"/>
      <w:r w:rsidRPr="00E426D3">
        <w:t xml:space="preserve"> i skatte- og </w:t>
      </w:r>
      <w:proofErr w:type="spellStart"/>
      <w:r w:rsidRPr="00E426D3">
        <w:t>avgiftsreglane</w:t>
      </w:r>
      <w:proofErr w:type="spellEnd"/>
      <w:r w:rsidRPr="00E426D3">
        <w:t xml:space="preserve"> har provenyverknad for 2025:</w:t>
      </w:r>
    </w:p>
    <w:p w14:paraId="2F602409" w14:textId="77777777" w:rsidR="00772748" w:rsidRPr="00E426D3" w:rsidRDefault="00772748" w:rsidP="00E426D3">
      <w:pPr>
        <w:pStyle w:val="Liste"/>
      </w:pPr>
      <w:r w:rsidRPr="00E426D3">
        <w:t xml:space="preserve">Å redusere elavgifta med 4,4 øre per kWh i alle </w:t>
      </w:r>
      <w:proofErr w:type="spellStart"/>
      <w:r w:rsidRPr="00E426D3">
        <w:t>månader</w:t>
      </w:r>
      <w:proofErr w:type="spellEnd"/>
      <w:r w:rsidRPr="00E426D3">
        <w:t xml:space="preserve">. Det vil dempe kostnadsauken for </w:t>
      </w:r>
      <w:proofErr w:type="spellStart"/>
      <w:r w:rsidRPr="00E426D3">
        <w:t>hushald</w:t>
      </w:r>
      <w:proofErr w:type="spellEnd"/>
      <w:r w:rsidRPr="00E426D3">
        <w:t xml:space="preserve"> og bedrifter som </w:t>
      </w:r>
      <w:proofErr w:type="spellStart"/>
      <w:r w:rsidRPr="00E426D3">
        <w:t>følgje</w:t>
      </w:r>
      <w:proofErr w:type="spellEnd"/>
      <w:r w:rsidRPr="00E426D3">
        <w:t xml:space="preserve"> av </w:t>
      </w:r>
      <w:proofErr w:type="spellStart"/>
      <w:r w:rsidRPr="00E426D3">
        <w:t>naudsynte</w:t>
      </w:r>
      <w:proofErr w:type="spellEnd"/>
      <w:r w:rsidRPr="00E426D3">
        <w:t xml:space="preserve"> </w:t>
      </w:r>
      <w:proofErr w:type="spellStart"/>
      <w:r w:rsidRPr="00E426D3">
        <w:t>investeringar</w:t>
      </w:r>
      <w:proofErr w:type="spellEnd"/>
      <w:r w:rsidRPr="00E426D3">
        <w:t xml:space="preserve"> i straumnettet. Framlegget vert </w:t>
      </w:r>
      <w:proofErr w:type="spellStart"/>
      <w:r w:rsidRPr="00E426D3">
        <w:t>rekna</w:t>
      </w:r>
      <w:proofErr w:type="spellEnd"/>
      <w:r w:rsidRPr="00E426D3">
        <w:t xml:space="preserve"> å </w:t>
      </w:r>
      <w:proofErr w:type="spellStart"/>
      <w:r w:rsidRPr="00E426D3">
        <w:t>gje</w:t>
      </w:r>
      <w:proofErr w:type="spellEnd"/>
      <w:r w:rsidRPr="00E426D3">
        <w:t xml:space="preserve"> </w:t>
      </w:r>
      <w:proofErr w:type="spellStart"/>
      <w:r w:rsidRPr="00E426D3">
        <w:t>eit</w:t>
      </w:r>
      <w:proofErr w:type="spellEnd"/>
      <w:r w:rsidRPr="00E426D3">
        <w:t xml:space="preserve"> bokført provenytap på 725 mill. kroner i 2025. Heilårsverknaden av framlegget er </w:t>
      </w:r>
      <w:proofErr w:type="spellStart"/>
      <w:r w:rsidRPr="00E426D3">
        <w:t>eit</w:t>
      </w:r>
      <w:proofErr w:type="spellEnd"/>
      <w:r w:rsidRPr="00E426D3">
        <w:t xml:space="preserve"> provenytap på 3,1 mrd. kroner.</w:t>
      </w:r>
    </w:p>
    <w:p w14:paraId="165342EA" w14:textId="77777777" w:rsidR="00772748" w:rsidRPr="00E426D3" w:rsidRDefault="00772748" w:rsidP="00E426D3">
      <w:pPr>
        <w:pStyle w:val="Liste"/>
      </w:pPr>
      <w:r w:rsidRPr="00E426D3">
        <w:t xml:space="preserve">Å innføre ei delingsordning for fornybar kraft tilpassa næringsområde, slik at </w:t>
      </w:r>
      <w:proofErr w:type="spellStart"/>
      <w:r w:rsidRPr="00E426D3">
        <w:t>overskot</w:t>
      </w:r>
      <w:proofErr w:type="spellEnd"/>
      <w:r w:rsidRPr="00E426D3">
        <w:t xml:space="preserve"> </w:t>
      </w:r>
      <w:proofErr w:type="spellStart"/>
      <w:r w:rsidRPr="00E426D3">
        <w:t>frå</w:t>
      </w:r>
      <w:proofErr w:type="spellEnd"/>
      <w:r w:rsidRPr="00E426D3">
        <w:t xml:space="preserve"> eigen kraftproduksjon kan </w:t>
      </w:r>
      <w:proofErr w:type="spellStart"/>
      <w:r w:rsidRPr="00E426D3">
        <w:t>delast</w:t>
      </w:r>
      <w:proofErr w:type="spellEnd"/>
      <w:r w:rsidRPr="00E426D3">
        <w:t xml:space="preserve"> med andre </w:t>
      </w:r>
      <w:proofErr w:type="spellStart"/>
      <w:r w:rsidRPr="00E426D3">
        <w:t>abonnentar</w:t>
      </w:r>
      <w:proofErr w:type="spellEnd"/>
      <w:r w:rsidRPr="00E426D3">
        <w:t xml:space="preserve"> </w:t>
      </w:r>
      <w:proofErr w:type="spellStart"/>
      <w:r w:rsidRPr="00E426D3">
        <w:t>utan</w:t>
      </w:r>
      <w:proofErr w:type="spellEnd"/>
      <w:r w:rsidRPr="00E426D3">
        <w:t xml:space="preserve"> at krafta vert ilagt elavgift og </w:t>
      </w:r>
      <w:proofErr w:type="spellStart"/>
      <w:r w:rsidRPr="00E426D3">
        <w:t>nettleige</w:t>
      </w:r>
      <w:proofErr w:type="spellEnd"/>
      <w:r w:rsidRPr="00E426D3">
        <w:t xml:space="preserve">. </w:t>
      </w:r>
      <w:proofErr w:type="spellStart"/>
      <w:r w:rsidRPr="00E426D3">
        <w:t>Føremålet</w:t>
      </w:r>
      <w:proofErr w:type="spellEnd"/>
      <w:r w:rsidRPr="00E426D3">
        <w:t xml:space="preserve"> er å </w:t>
      </w:r>
      <w:proofErr w:type="spellStart"/>
      <w:r w:rsidRPr="00E426D3">
        <w:t>gje</w:t>
      </w:r>
      <w:proofErr w:type="spellEnd"/>
      <w:r w:rsidRPr="00E426D3">
        <w:t xml:space="preserve"> insentiv til etablering av ny fornybar kraftproduksjon i </w:t>
      </w:r>
      <w:proofErr w:type="spellStart"/>
      <w:r w:rsidRPr="00E426D3">
        <w:t>tilknyting</w:t>
      </w:r>
      <w:proofErr w:type="spellEnd"/>
      <w:r w:rsidRPr="00E426D3">
        <w:t xml:space="preserve"> til næringsområde, fyrst og fremst solcelleanlegg på tak av næringsbygg. Framlegget vert </w:t>
      </w:r>
      <w:proofErr w:type="spellStart"/>
      <w:r w:rsidRPr="00E426D3">
        <w:t>rekna</w:t>
      </w:r>
      <w:proofErr w:type="spellEnd"/>
      <w:r w:rsidRPr="00E426D3">
        <w:t xml:space="preserve"> å </w:t>
      </w:r>
      <w:proofErr w:type="spellStart"/>
      <w:r w:rsidRPr="00E426D3">
        <w:t>gje</w:t>
      </w:r>
      <w:proofErr w:type="spellEnd"/>
      <w:r w:rsidRPr="00E426D3">
        <w:t xml:space="preserve"> </w:t>
      </w:r>
      <w:proofErr w:type="spellStart"/>
      <w:r w:rsidRPr="00E426D3">
        <w:t>eit</w:t>
      </w:r>
      <w:proofErr w:type="spellEnd"/>
      <w:r w:rsidRPr="00E426D3">
        <w:t xml:space="preserve"> bokført provenytap på 8 mill. kroner i 2025. Heilårsverknaden av framlegget er </w:t>
      </w:r>
      <w:proofErr w:type="spellStart"/>
      <w:r w:rsidRPr="00E426D3">
        <w:t>eit</w:t>
      </w:r>
      <w:proofErr w:type="spellEnd"/>
      <w:r w:rsidRPr="00E426D3">
        <w:t xml:space="preserve"> provenytap på 30 mill. kroner.</w:t>
      </w:r>
    </w:p>
    <w:p w14:paraId="133AD617" w14:textId="77777777" w:rsidR="00772748" w:rsidRPr="00E426D3" w:rsidRDefault="00772748" w:rsidP="00E426D3">
      <w:pPr>
        <w:pStyle w:val="Liste"/>
      </w:pPr>
      <w:r w:rsidRPr="00E426D3">
        <w:lastRenderedPageBreak/>
        <w:t xml:space="preserve">Å innføre ei kontoordning for jordbruket </w:t>
      </w:r>
      <w:proofErr w:type="spellStart"/>
      <w:r w:rsidRPr="00E426D3">
        <w:t>frå</w:t>
      </w:r>
      <w:proofErr w:type="spellEnd"/>
      <w:r w:rsidRPr="00E426D3">
        <w:t xml:space="preserve"> 1. januar 2025. Ordninga </w:t>
      </w:r>
      <w:proofErr w:type="spellStart"/>
      <w:r w:rsidRPr="00E426D3">
        <w:t>gjer</w:t>
      </w:r>
      <w:proofErr w:type="spellEnd"/>
      <w:r w:rsidRPr="00E426D3">
        <w:t xml:space="preserve"> </w:t>
      </w:r>
      <w:proofErr w:type="spellStart"/>
      <w:r w:rsidRPr="00E426D3">
        <w:t>moglegheit</w:t>
      </w:r>
      <w:proofErr w:type="spellEnd"/>
      <w:r w:rsidRPr="00E426D3">
        <w:t xml:space="preserve"> til å utsette skatt. Årets </w:t>
      </w:r>
      <w:proofErr w:type="spellStart"/>
      <w:r w:rsidRPr="00E426D3">
        <w:t>overskot</w:t>
      </w:r>
      <w:proofErr w:type="spellEnd"/>
      <w:r w:rsidRPr="00E426D3">
        <w:t xml:space="preserve"> </w:t>
      </w:r>
      <w:proofErr w:type="spellStart"/>
      <w:r w:rsidRPr="00E426D3">
        <w:t>frå</w:t>
      </w:r>
      <w:proofErr w:type="spellEnd"/>
      <w:r w:rsidRPr="00E426D3">
        <w:t xml:space="preserve"> jordbruket kan </w:t>
      </w:r>
      <w:proofErr w:type="spellStart"/>
      <w:r w:rsidRPr="00E426D3">
        <w:t>overførast</w:t>
      </w:r>
      <w:proofErr w:type="spellEnd"/>
      <w:r w:rsidRPr="00E426D3">
        <w:t xml:space="preserve"> på kontoen, og det må betalast skatt av minst 85 pst. av saldoen på kontoen kvart år. Framlegget vert </w:t>
      </w:r>
      <w:proofErr w:type="spellStart"/>
      <w:r w:rsidRPr="00E426D3">
        <w:t>rekna</w:t>
      </w:r>
      <w:proofErr w:type="spellEnd"/>
      <w:r w:rsidRPr="00E426D3">
        <w:t xml:space="preserve"> å </w:t>
      </w:r>
      <w:proofErr w:type="spellStart"/>
      <w:r w:rsidRPr="00E426D3">
        <w:t>gje</w:t>
      </w:r>
      <w:proofErr w:type="spellEnd"/>
      <w:r w:rsidRPr="00E426D3">
        <w:t xml:space="preserve"> </w:t>
      </w:r>
      <w:proofErr w:type="spellStart"/>
      <w:r w:rsidRPr="00E426D3">
        <w:t>eit</w:t>
      </w:r>
      <w:proofErr w:type="spellEnd"/>
      <w:r w:rsidRPr="00E426D3">
        <w:t xml:space="preserve"> påløpt og bokført provenytap på 570 mill. kroner i 2025. På sikt vert framlegget </w:t>
      </w:r>
      <w:proofErr w:type="spellStart"/>
      <w:r w:rsidRPr="00E426D3">
        <w:t>rekna</w:t>
      </w:r>
      <w:proofErr w:type="spellEnd"/>
      <w:r w:rsidRPr="00E426D3">
        <w:t xml:space="preserve"> å </w:t>
      </w:r>
      <w:proofErr w:type="spellStart"/>
      <w:r w:rsidRPr="00E426D3">
        <w:t>gje</w:t>
      </w:r>
      <w:proofErr w:type="spellEnd"/>
      <w:r w:rsidRPr="00E426D3">
        <w:t xml:space="preserve"> </w:t>
      </w:r>
      <w:proofErr w:type="spellStart"/>
      <w:r w:rsidRPr="00E426D3">
        <w:t>eit</w:t>
      </w:r>
      <w:proofErr w:type="spellEnd"/>
      <w:r w:rsidRPr="00E426D3">
        <w:t xml:space="preserve"> </w:t>
      </w:r>
      <w:proofErr w:type="spellStart"/>
      <w:r w:rsidRPr="00E426D3">
        <w:t>årleg</w:t>
      </w:r>
      <w:proofErr w:type="spellEnd"/>
      <w:r w:rsidRPr="00E426D3">
        <w:t xml:space="preserve"> provenytap på 40 mill. kroner.</w:t>
      </w:r>
    </w:p>
    <w:p w14:paraId="5333E3FB" w14:textId="77777777" w:rsidR="00772748" w:rsidRPr="00E426D3" w:rsidRDefault="00772748" w:rsidP="00E426D3">
      <w:pPr>
        <w:pStyle w:val="Liste"/>
      </w:pPr>
      <w:r w:rsidRPr="00E426D3">
        <w:t>Å innføre ei refusjonsordning for CO</w:t>
      </w:r>
      <w:r w:rsidRPr="00E426D3">
        <w:rPr>
          <w:rStyle w:val="skrift-senket"/>
        </w:rPr>
        <w:t>2</w:t>
      </w:r>
      <w:r w:rsidRPr="00E426D3">
        <w:t xml:space="preserve">-avgift på drivstoff som vert kjøpt på Forsvarets tankanlegg med full sats, men kor </w:t>
      </w:r>
      <w:proofErr w:type="spellStart"/>
      <w:r w:rsidRPr="00E426D3">
        <w:t>brukaren</w:t>
      </w:r>
      <w:proofErr w:type="spellEnd"/>
      <w:r w:rsidRPr="00E426D3">
        <w:t xml:space="preserve"> har rett til fritak eller redusert sats. Framlegget vert </w:t>
      </w:r>
      <w:proofErr w:type="spellStart"/>
      <w:r w:rsidRPr="00E426D3">
        <w:t>rekna</w:t>
      </w:r>
      <w:proofErr w:type="spellEnd"/>
      <w:r w:rsidRPr="00E426D3">
        <w:t xml:space="preserve"> å </w:t>
      </w:r>
      <w:proofErr w:type="spellStart"/>
      <w:r w:rsidRPr="00E426D3">
        <w:t>gje</w:t>
      </w:r>
      <w:proofErr w:type="spellEnd"/>
      <w:r w:rsidRPr="00E426D3">
        <w:t xml:space="preserve"> </w:t>
      </w:r>
      <w:proofErr w:type="spellStart"/>
      <w:r w:rsidRPr="00E426D3">
        <w:t>eit</w:t>
      </w:r>
      <w:proofErr w:type="spellEnd"/>
      <w:r w:rsidRPr="00E426D3">
        <w:t xml:space="preserve"> bokført provenytap på 6 mill. kroner i 2025. Heilårsverknaden av framlegget er </w:t>
      </w:r>
      <w:proofErr w:type="spellStart"/>
      <w:r w:rsidRPr="00E426D3">
        <w:t>eit</w:t>
      </w:r>
      <w:proofErr w:type="spellEnd"/>
      <w:r w:rsidRPr="00E426D3">
        <w:t xml:space="preserve"> provenytap på 15 mill. kroner.</w:t>
      </w:r>
    </w:p>
    <w:p w14:paraId="08BDF3CC" w14:textId="77777777" w:rsidR="00772748" w:rsidRPr="00E426D3" w:rsidRDefault="00772748" w:rsidP="00E426D3">
      <w:r w:rsidRPr="00E426D3">
        <w:t xml:space="preserve">I statsbudsjettet for 2025 vart det </w:t>
      </w:r>
      <w:proofErr w:type="spellStart"/>
      <w:r w:rsidRPr="00E426D3">
        <w:t>vedteke</w:t>
      </w:r>
      <w:proofErr w:type="spellEnd"/>
      <w:r w:rsidRPr="00E426D3">
        <w:t xml:space="preserve"> å redusere </w:t>
      </w:r>
      <w:proofErr w:type="spellStart"/>
      <w:r w:rsidRPr="00E426D3">
        <w:t>meirverdiavgiftssatsen</w:t>
      </w:r>
      <w:proofErr w:type="spellEnd"/>
      <w:r w:rsidRPr="00E426D3">
        <w:t xml:space="preserve"> for vatn og </w:t>
      </w:r>
      <w:proofErr w:type="spellStart"/>
      <w:r w:rsidRPr="00E426D3">
        <w:t>avlaup</w:t>
      </w:r>
      <w:proofErr w:type="spellEnd"/>
      <w:r w:rsidRPr="00E426D3">
        <w:t xml:space="preserve"> til 15 pst., med </w:t>
      </w:r>
      <w:proofErr w:type="spellStart"/>
      <w:r w:rsidRPr="00E426D3">
        <w:t>planlagd</w:t>
      </w:r>
      <w:proofErr w:type="spellEnd"/>
      <w:r w:rsidRPr="00E426D3">
        <w:t xml:space="preserve"> </w:t>
      </w:r>
      <w:proofErr w:type="spellStart"/>
      <w:r w:rsidRPr="00E426D3">
        <w:t>ikraftsetjing</w:t>
      </w:r>
      <w:proofErr w:type="spellEnd"/>
      <w:r w:rsidRPr="00E426D3">
        <w:t xml:space="preserve"> 1. mai 2025. </w:t>
      </w:r>
      <w:proofErr w:type="spellStart"/>
      <w:r w:rsidRPr="00E426D3">
        <w:t>Innspel</w:t>
      </w:r>
      <w:proofErr w:type="spellEnd"/>
      <w:r w:rsidRPr="00E426D3">
        <w:t xml:space="preserve"> </w:t>
      </w:r>
      <w:proofErr w:type="spellStart"/>
      <w:r w:rsidRPr="00E426D3">
        <w:t>frå</w:t>
      </w:r>
      <w:proofErr w:type="spellEnd"/>
      <w:r w:rsidRPr="00E426D3">
        <w:t xml:space="preserve"> </w:t>
      </w:r>
      <w:proofErr w:type="spellStart"/>
      <w:r w:rsidRPr="00E426D3">
        <w:t>høyringa</w:t>
      </w:r>
      <w:proofErr w:type="spellEnd"/>
      <w:r w:rsidRPr="00E426D3">
        <w:t xml:space="preserve"> </w:t>
      </w:r>
      <w:proofErr w:type="spellStart"/>
      <w:r w:rsidRPr="00E426D3">
        <w:t>tilseier</w:t>
      </w:r>
      <w:proofErr w:type="spellEnd"/>
      <w:r w:rsidRPr="00E426D3">
        <w:t xml:space="preserve"> at </w:t>
      </w:r>
      <w:proofErr w:type="gramStart"/>
      <w:r w:rsidRPr="00E426D3">
        <w:t>ei slik reduksjon</w:t>
      </w:r>
      <w:proofErr w:type="gramEnd"/>
      <w:r w:rsidRPr="00E426D3">
        <w:t xml:space="preserve"> bør </w:t>
      </w:r>
      <w:proofErr w:type="spellStart"/>
      <w:r w:rsidRPr="00E426D3">
        <w:t>utsetjast</w:t>
      </w:r>
      <w:proofErr w:type="spellEnd"/>
      <w:r w:rsidRPr="00E426D3">
        <w:t xml:space="preserve"> til 1. juli 2025 for å lette innføringa for </w:t>
      </w:r>
      <w:proofErr w:type="spellStart"/>
      <w:r w:rsidRPr="00E426D3">
        <w:t>kommunane</w:t>
      </w:r>
      <w:proofErr w:type="spellEnd"/>
      <w:r w:rsidRPr="00E426D3">
        <w:t xml:space="preserve">. </w:t>
      </w:r>
      <w:proofErr w:type="spellStart"/>
      <w:r w:rsidRPr="00E426D3">
        <w:t>Utsetjinga</w:t>
      </w:r>
      <w:proofErr w:type="spellEnd"/>
      <w:r w:rsidRPr="00E426D3">
        <w:t xml:space="preserve"> vert </w:t>
      </w:r>
      <w:proofErr w:type="spellStart"/>
      <w:r w:rsidRPr="00E426D3">
        <w:t>rekna</w:t>
      </w:r>
      <w:proofErr w:type="spellEnd"/>
      <w:r w:rsidRPr="00E426D3">
        <w:t xml:space="preserve"> å </w:t>
      </w:r>
      <w:proofErr w:type="spellStart"/>
      <w:r w:rsidRPr="00E426D3">
        <w:t>auke</w:t>
      </w:r>
      <w:proofErr w:type="spellEnd"/>
      <w:r w:rsidRPr="00E426D3">
        <w:t xml:space="preserve"> provenyet </w:t>
      </w:r>
      <w:proofErr w:type="spellStart"/>
      <w:r w:rsidRPr="00E426D3">
        <w:t>frå</w:t>
      </w:r>
      <w:proofErr w:type="spellEnd"/>
      <w:r w:rsidRPr="00E426D3">
        <w:t xml:space="preserve"> </w:t>
      </w:r>
      <w:proofErr w:type="spellStart"/>
      <w:r w:rsidRPr="00E426D3">
        <w:t>meirverdiavgifta</w:t>
      </w:r>
      <w:proofErr w:type="spellEnd"/>
      <w:r w:rsidRPr="00E426D3">
        <w:t xml:space="preserve"> med om lag 670 mill. kroner i 2025. I statsbudsjettet for 2025 vart det òg </w:t>
      </w:r>
      <w:proofErr w:type="spellStart"/>
      <w:r w:rsidRPr="00E426D3">
        <w:t>vedteke</w:t>
      </w:r>
      <w:proofErr w:type="spellEnd"/>
      <w:r w:rsidRPr="00E426D3">
        <w:t xml:space="preserve"> å redusere satsen i CO</w:t>
      </w:r>
      <w:r w:rsidRPr="00E426D3">
        <w:rPr>
          <w:rStyle w:val="skrift-senket"/>
        </w:rPr>
        <w:t>2</w:t>
      </w:r>
      <w:r w:rsidRPr="00E426D3">
        <w:t xml:space="preserve">-avgifta på mineralske produkt til bruk i kvotepliktig </w:t>
      </w:r>
      <w:proofErr w:type="spellStart"/>
      <w:r w:rsidRPr="00E426D3">
        <w:t>innanriks</w:t>
      </w:r>
      <w:proofErr w:type="spellEnd"/>
      <w:r w:rsidRPr="00E426D3">
        <w:t xml:space="preserve"> sjøfart og innføre ei eiga redusert sats i CO</w:t>
      </w:r>
      <w:r w:rsidRPr="00E426D3">
        <w:rPr>
          <w:rStyle w:val="skrift-senket"/>
        </w:rPr>
        <w:t>2</w:t>
      </w:r>
      <w:r w:rsidRPr="00E426D3">
        <w:t xml:space="preserve">-avgifta for </w:t>
      </w:r>
      <w:proofErr w:type="spellStart"/>
      <w:r w:rsidRPr="00E426D3">
        <w:t>utanriks</w:t>
      </w:r>
      <w:proofErr w:type="spellEnd"/>
      <w:r w:rsidRPr="00E426D3">
        <w:t xml:space="preserve"> sjøfart. Dei reduserte </w:t>
      </w:r>
      <w:proofErr w:type="spellStart"/>
      <w:r w:rsidRPr="00E426D3">
        <w:t>satsane</w:t>
      </w:r>
      <w:proofErr w:type="spellEnd"/>
      <w:r w:rsidRPr="00E426D3">
        <w:t xml:space="preserve"> er </w:t>
      </w:r>
      <w:proofErr w:type="spellStart"/>
      <w:r w:rsidRPr="00E426D3">
        <w:t>enno</w:t>
      </w:r>
      <w:proofErr w:type="spellEnd"/>
      <w:r w:rsidRPr="00E426D3">
        <w:t xml:space="preserve"> </w:t>
      </w:r>
      <w:proofErr w:type="spellStart"/>
      <w:r w:rsidRPr="00E426D3">
        <w:t>ikkje</w:t>
      </w:r>
      <w:proofErr w:type="spellEnd"/>
      <w:r w:rsidRPr="00E426D3">
        <w:t xml:space="preserve"> sett i kraft i påvente av </w:t>
      </w:r>
      <w:proofErr w:type="spellStart"/>
      <w:r w:rsidRPr="00E426D3">
        <w:t>avklaringar</w:t>
      </w:r>
      <w:proofErr w:type="spellEnd"/>
      <w:r w:rsidRPr="00E426D3">
        <w:t xml:space="preserve"> med EFTA sitt </w:t>
      </w:r>
      <w:proofErr w:type="spellStart"/>
      <w:r w:rsidRPr="00E426D3">
        <w:t>overvakingsorgan</w:t>
      </w:r>
      <w:proofErr w:type="spellEnd"/>
      <w:r w:rsidRPr="00E426D3">
        <w:t xml:space="preserve"> (ESA) om </w:t>
      </w:r>
      <w:proofErr w:type="spellStart"/>
      <w:r w:rsidRPr="00E426D3">
        <w:t>dei</w:t>
      </w:r>
      <w:proofErr w:type="spellEnd"/>
      <w:r w:rsidRPr="00E426D3">
        <w:t xml:space="preserve"> </w:t>
      </w:r>
      <w:proofErr w:type="spellStart"/>
      <w:r w:rsidRPr="00E426D3">
        <w:t>utgjer</w:t>
      </w:r>
      <w:proofErr w:type="spellEnd"/>
      <w:r w:rsidRPr="00E426D3">
        <w:t xml:space="preserve"> </w:t>
      </w:r>
      <w:proofErr w:type="spellStart"/>
      <w:r w:rsidRPr="00E426D3">
        <w:t>ulovleg</w:t>
      </w:r>
      <w:proofErr w:type="spellEnd"/>
      <w:r w:rsidRPr="00E426D3">
        <w:t xml:space="preserve"> statsstøtte. </w:t>
      </w:r>
      <w:proofErr w:type="spellStart"/>
      <w:r w:rsidRPr="00E426D3">
        <w:t>Sidan</w:t>
      </w:r>
      <w:proofErr w:type="spellEnd"/>
      <w:r w:rsidRPr="00E426D3">
        <w:t xml:space="preserve"> spørsmålet om statsstøtte framleis </w:t>
      </w:r>
      <w:proofErr w:type="spellStart"/>
      <w:r w:rsidRPr="00E426D3">
        <w:t>ikkje</w:t>
      </w:r>
      <w:proofErr w:type="spellEnd"/>
      <w:r w:rsidRPr="00E426D3">
        <w:t xml:space="preserve"> er avklart, vert det </w:t>
      </w:r>
      <w:proofErr w:type="spellStart"/>
      <w:r w:rsidRPr="00E426D3">
        <w:t>ikkje</w:t>
      </w:r>
      <w:proofErr w:type="spellEnd"/>
      <w:r w:rsidRPr="00E426D3">
        <w:t xml:space="preserve"> budsjettert med at </w:t>
      </w:r>
      <w:proofErr w:type="spellStart"/>
      <w:r w:rsidRPr="00E426D3">
        <w:t>dei</w:t>
      </w:r>
      <w:proofErr w:type="spellEnd"/>
      <w:r w:rsidRPr="00E426D3">
        <w:t xml:space="preserve"> reduserte </w:t>
      </w:r>
      <w:proofErr w:type="spellStart"/>
      <w:r w:rsidRPr="00E426D3">
        <w:t>satsane</w:t>
      </w:r>
      <w:proofErr w:type="spellEnd"/>
      <w:r w:rsidRPr="00E426D3">
        <w:t xml:space="preserve"> trer i kraft i 2025. </w:t>
      </w:r>
      <w:proofErr w:type="spellStart"/>
      <w:r w:rsidRPr="00E426D3">
        <w:t>Utsetjinga</w:t>
      </w:r>
      <w:proofErr w:type="spellEnd"/>
      <w:r w:rsidRPr="00E426D3">
        <w:t xml:space="preserve"> vert </w:t>
      </w:r>
      <w:proofErr w:type="spellStart"/>
      <w:r w:rsidRPr="00E426D3">
        <w:t>rekna</w:t>
      </w:r>
      <w:proofErr w:type="spellEnd"/>
      <w:r w:rsidRPr="00E426D3">
        <w:t xml:space="preserve"> å redusere provenyet </w:t>
      </w:r>
      <w:proofErr w:type="spellStart"/>
      <w:r w:rsidRPr="00E426D3">
        <w:t>frå</w:t>
      </w:r>
      <w:proofErr w:type="spellEnd"/>
      <w:r w:rsidRPr="00E426D3">
        <w:t xml:space="preserve"> CO</w:t>
      </w:r>
      <w:r w:rsidRPr="00E426D3">
        <w:rPr>
          <w:rStyle w:val="skrift-senket"/>
        </w:rPr>
        <w:t>2</w:t>
      </w:r>
      <w:r w:rsidRPr="00E426D3">
        <w:t xml:space="preserve">-avgifta på mineralske produkt med om lag 410 mill. kroner i 2025. Det vert synt til framlegg til løyvingsvedtak i Prop. 146 S (2024–2025) </w:t>
      </w:r>
      <w:r w:rsidRPr="00E426D3">
        <w:rPr>
          <w:rStyle w:val="kursiv"/>
        </w:rPr>
        <w:t>Tilleggsbevilgninger og omprioriteringer i statsbudsjettet 2025.</w:t>
      </w:r>
    </w:p>
    <w:p w14:paraId="7A3E83E4" w14:textId="77777777" w:rsidR="00772748" w:rsidRPr="00E426D3" w:rsidRDefault="00772748" w:rsidP="00E426D3">
      <w:r w:rsidRPr="00E426D3">
        <w:t xml:space="preserve">Samla vert nye framlegg til </w:t>
      </w:r>
      <w:proofErr w:type="spellStart"/>
      <w:r w:rsidRPr="00E426D3">
        <w:t>endringar</w:t>
      </w:r>
      <w:proofErr w:type="spellEnd"/>
      <w:r w:rsidRPr="00E426D3">
        <w:t xml:space="preserve"> i </w:t>
      </w:r>
      <w:proofErr w:type="spellStart"/>
      <w:r w:rsidRPr="00E426D3">
        <w:t>skattar</w:t>
      </w:r>
      <w:proofErr w:type="spellEnd"/>
      <w:r w:rsidRPr="00E426D3">
        <w:t xml:space="preserve"> og avgifter </w:t>
      </w:r>
      <w:proofErr w:type="spellStart"/>
      <w:r w:rsidRPr="00E426D3">
        <w:t>rekna</w:t>
      </w:r>
      <w:proofErr w:type="spellEnd"/>
      <w:r w:rsidRPr="00E426D3">
        <w:t xml:space="preserve"> å redusere provenyet med om lag 1,8 mrd. kroner påløpt og om lag 1 mrd. kroner bokført i 2025, </w:t>
      </w:r>
      <w:proofErr w:type="spellStart"/>
      <w:r w:rsidRPr="00E426D3">
        <w:t>samanlikna</w:t>
      </w:r>
      <w:proofErr w:type="spellEnd"/>
      <w:r w:rsidRPr="00E426D3">
        <w:t xml:space="preserve"> med saldert budsjett for 2025. </w:t>
      </w:r>
      <w:proofErr w:type="spellStart"/>
      <w:r w:rsidRPr="00E426D3">
        <w:t>Medrekna</w:t>
      </w:r>
      <w:proofErr w:type="spellEnd"/>
      <w:r w:rsidRPr="00E426D3">
        <w:t xml:space="preserve"> provenyverknader i </w:t>
      </w:r>
      <w:proofErr w:type="spellStart"/>
      <w:r w:rsidRPr="00E426D3">
        <w:t>seinare</w:t>
      </w:r>
      <w:proofErr w:type="spellEnd"/>
      <w:r w:rsidRPr="00E426D3">
        <w:t xml:space="preserve"> år vert framlegga </w:t>
      </w:r>
      <w:proofErr w:type="spellStart"/>
      <w:r w:rsidRPr="00E426D3">
        <w:t>rekna</w:t>
      </w:r>
      <w:proofErr w:type="spellEnd"/>
      <w:r w:rsidRPr="00E426D3">
        <w:t xml:space="preserve"> å redusere provenyet med om lag 3,7 mrd. kroner </w:t>
      </w:r>
      <w:proofErr w:type="spellStart"/>
      <w:r w:rsidRPr="00E426D3">
        <w:t>årleg</w:t>
      </w:r>
      <w:proofErr w:type="spellEnd"/>
      <w:r w:rsidRPr="00E426D3">
        <w:t>.</w:t>
      </w:r>
    </w:p>
    <w:p w14:paraId="4B56B72A" w14:textId="77777777" w:rsidR="00772748" w:rsidRPr="00E426D3" w:rsidRDefault="00772748" w:rsidP="00E426D3">
      <w:r w:rsidRPr="00E426D3">
        <w:t xml:space="preserve">Regjeringa </w:t>
      </w:r>
      <w:proofErr w:type="spellStart"/>
      <w:r w:rsidRPr="00E426D3">
        <w:t>gjer</w:t>
      </w:r>
      <w:proofErr w:type="spellEnd"/>
      <w:r w:rsidRPr="00E426D3">
        <w:t xml:space="preserve"> òg framlegg om enkelte andre </w:t>
      </w:r>
      <w:proofErr w:type="spellStart"/>
      <w:r w:rsidRPr="00E426D3">
        <w:t>endringar</w:t>
      </w:r>
      <w:proofErr w:type="spellEnd"/>
      <w:r w:rsidRPr="00E426D3">
        <w:t xml:space="preserve"> på skatte- og avgiftsområdet:</w:t>
      </w:r>
    </w:p>
    <w:p w14:paraId="58BDB17B" w14:textId="77777777" w:rsidR="00772748" w:rsidRPr="00E426D3" w:rsidRDefault="00772748" w:rsidP="00E426D3">
      <w:pPr>
        <w:pStyle w:val="Liste"/>
      </w:pPr>
      <w:r w:rsidRPr="00E426D3">
        <w:t xml:space="preserve">Ytinga til </w:t>
      </w:r>
      <w:proofErr w:type="spellStart"/>
      <w:r w:rsidRPr="00E426D3">
        <w:t>deltakarar</w:t>
      </w:r>
      <w:proofErr w:type="spellEnd"/>
      <w:r w:rsidRPr="00E426D3">
        <w:t xml:space="preserve"> i ungdomsprogrammet vert skattlagt som </w:t>
      </w:r>
      <w:proofErr w:type="spellStart"/>
      <w:r w:rsidRPr="00E426D3">
        <w:t>løn</w:t>
      </w:r>
      <w:proofErr w:type="spellEnd"/>
      <w:r w:rsidRPr="00E426D3">
        <w:t xml:space="preserve"> og </w:t>
      </w:r>
      <w:proofErr w:type="spellStart"/>
      <w:r w:rsidRPr="00E426D3">
        <w:t>rekna</w:t>
      </w:r>
      <w:proofErr w:type="spellEnd"/>
      <w:r w:rsidRPr="00E426D3">
        <w:t xml:space="preserve"> som </w:t>
      </w:r>
      <w:proofErr w:type="spellStart"/>
      <w:r w:rsidRPr="00E426D3">
        <w:t>pensjonsgivande</w:t>
      </w:r>
      <w:proofErr w:type="spellEnd"/>
      <w:r w:rsidRPr="00E426D3">
        <w:t xml:space="preserve"> inntekt.</w:t>
      </w:r>
    </w:p>
    <w:p w14:paraId="004E92C1" w14:textId="77777777" w:rsidR="00772748" w:rsidRPr="00E426D3" w:rsidRDefault="00772748" w:rsidP="00E426D3">
      <w:pPr>
        <w:pStyle w:val="Liste"/>
      </w:pPr>
      <w:r w:rsidRPr="00E426D3">
        <w:t>Skattefritaket for Biblioteksentralen i skatteloven § 2-30 fyrste ledd bokstav g nr. 2 vert oppheva.</w:t>
      </w:r>
    </w:p>
    <w:p w14:paraId="6160AC23" w14:textId="77777777" w:rsidR="00772748" w:rsidRPr="00E426D3" w:rsidRDefault="00772748" w:rsidP="00E426D3">
      <w:pPr>
        <w:pStyle w:val="Liste"/>
      </w:pPr>
      <w:r w:rsidRPr="00E426D3">
        <w:t xml:space="preserve">Det vert lovfesta at det </w:t>
      </w:r>
      <w:proofErr w:type="spellStart"/>
      <w:r w:rsidRPr="00E426D3">
        <w:t>berre</w:t>
      </w:r>
      <w:proofErr w:type="spellEnd"/>
      <w:r w:rsidRPr="00E426D3">
        <w:t xml:space="preserve"> vert gitt </w:t>
      </w:r>
      <w:proofErr w:type="spellStart"/>
      <w:r w:rsidRPr="00E426D3">
        <w:t>frådrag</w:t>
      </w:r>
      <w:proofErr w:type="spellEnd"/>
      <w:r w:rsidRPr="00E426D3">
        <w:t xml:space="preserve"> for den </w:t>
      </w:r>
      <w:proofErr w:type="spellStart"/>
      <w:r w:rsidRPr="00E426D3">
        <w:t>høgaste</w:t>
      </w:r>
      <w:proofErr w:type="spellEnd"/>
      <w:r w:rsidRPr="00E426D3">
        <w:t xml:space="preserve"> av obligatorisk og lokal reduksjonsfaktor i </w:t>
      </w:r>
      <w:proofErr w:type="spellStart"/>
      <w:r w:rsidRPr="00E426D3">
        <w:t>eigedomsskattetakstane</w:t>
      </w:r>
      <w:proofErr w:type="spellEnd"/>
      <w:r w:rsidRPr="00E426D3">
        <w:t xml:space="preserve"> på bolig- og </w:t>
      </w:r>
      <w:proofErr w:type="spellStart"/>
      <w:r w:rsidRPr="00E426D3">
        <w:t>fritidseigedom</w:t>
      </w:r>
      <w:proofErr w:type="spellEnd"/>
      <w:r w:rsidRPr="00E426D3">
        <w:t>.</w:t>
      </w:r>
    </w:p>
    <w:p w14:paraId="54B89321" w14:textId="77777777" w:rsidR="00772748" w:rsidRPr="00E426D3" w:rsidRDefault="00772748" w:rsidP="00E426D3">
      <w:pPr>
        <w:pStyle w:val="Liste"/>
      </w:pPr>
      <w:proofErr w:type="spellStart"/>
      <w:r w:rsidRPr="00E426D3">
        <w:t>Endringar</w:t>
      </w:r>
      <w:proofErr w:type="spellEnd"/>
      <w:r w:rsidRPr="00E426D3">
        <w:t xml:space="preserve"> i </w:t>
      </w:r>
      <w:proofErr w:type="spellStart"/>
      <w:r w:rsidRPr="00E426D3">
        <w:t>reglar</w:t>
      </w:r>
      <w:proofErr w:type="spellEnd"/>
      <w:r w:rsidRPr="00E426D3">
        <w:t xml:space="preserve"> for søksmål om </w:t>
      </w:r>
      <w:proofErr w:type="spellStart"/>
      <w:r w:rsidRPr="00E426D3">
        <w:t>eigedomsskatt</w:t>
      </w:r>
      <w:proofErr w:type="spellEnd"/>
      <w:r w:rsidRPr="00E426D3">
        <w:t xml:space="preserve"> på kraftanlegg i skatteforvalningsloven og ei presisering av starttidspunkt for </w:t>
      </w:r>
      <w:proofErr w:type="spellStart"/>
      <w:r w:rsidRPr="00E426D3">
        <w:t>kommunane</w:t>
      </w:r>
      <w:proofErr w:type="spellEnd"/>
      <w:r w:rsidRPr="00E426D3">
        <w:t xml:space="preserve"> si søksmålsfrist.</w:t>
      </w:r>
    </w:p>
    <w:p w14:paraId="47F14E1A" w14:textId="77777777" w:rsidR="00772748" w:rsidRPr="00E426D3" w:rsidRDefault="00772748" w:rsidP="00E426D3">
      <w:proofErr w:type="spellStart"/>
      <w:r w:rsidRPr="00E426D3">
        <w:t>Vidare</w:t>
      </w:r>
      <w:proofErr w:type="spellEnd"/>
      <w:r w:rsidRPr="00E426D3">
        <w:t xml:space="preserve"> </w:t>
      </w:r>
      <w:proofErr w:type="spellStart"/>
      <w:r w:rsidRPr="00E426D3">
        <w:t>gjer</w:t>
      </w:r>
      <w:proofErr w:type="spellEnd"/>
      <w:r w:rsidRPr="00E426D3">
        <w:t xml:space="preserve"> regjeringa framlegg om enkelte </w:t>
      </w:r>
      <w:proofErr w:type="spellStart"/>
      <w:r w:rsidRPr="00E426D3">
        <w:t>endringar</w:t>
      </w:r>
      <w:proofErr w:type="spellEnd"/>
      <w:r w:rsidRPr="00E426D3">
        <w:t xml:space="preserve"> som </w:t>
      </w:r>
      <w:proofErr w:type="spellStart"/>
      <w:r w:rsidRPr="00E426D3">
        <w:t>ikkje</w:t>
      </w:r>
      <w:proofErr w:type="spellEnd"/>
      <w:r w:rsidRPr="00E426D3">
        <w:t xml:space="preserve"> gjeld skatt og avgift:</w:t>
      </w:r>
    </w:p>
    <w:p w14:paraId="0F4E119E" w14:textId="77777777" w:rsidR="00772748" w:rsidRPr="00E426D3" w:rsidRDefault="00772748" w:rsidP="00E426D3">
      <w:pPr>
        <w:pStyle w:val="Liste"/>
      </w:pPr>
      <w:r w:rsidRPr="00E426D3">
        <w:t xml:space="preserve">Høve til å </w:t>
      </w:r>
      <w:proofErr w:type="spellStart"/>
      <w:r w:rsidRPr="00E426D3">
        <w:t>gje</w:t>
      </w:r>
      <w:proofErr w:type="spellEnd"/>
      <w:r w:rsidRPr="00E426D3">
        <w:t xml:space="preserve"> eigne </w:t>
      </w:r>
      <w:proofErr w:type="spellStart"/>
      <w:r w:rsidRPr="00E426D3">
        <w:t>reglar</w:t>
      </w:r>
      <w:proofErr w:type="spellEnd"/>
      <w:r w:rsidRPr="00E426D3">
        <w:t xml:space="preserve"> for </w:t>
      </w:r>
      <w:proofErr w:type="spellStart"/>
      <w:r w:rsidRPr="00E426D3">
        <w:t>rekneskapsføring</w:t>
      </w:r>
      <w:proofErr w:type="spellEnd"/>
      <w:r w:rsidRPr="00E426D3">
        <w:t xml:space="preserve"> av pensjonsforhold i </w:t>
      </w:r>
      <w:proofErr w:type="spellStart"/>
      <w:r w:rsidRPr="00E426D3">
        <w:t>helseføretak</w:t>
      </w:r>
      <w:proofErr w:type="spellEnd"/>
      <w:r w:rsidRPr="00E426D3">
        <w:t>.</w:t>
      </w:r>
    </w:p>
    <w:p w14:paraId="41068987" w14:textId="77777777" w:rsidR="00772748" w:rsidRPr="00E426D3" w:rsidRDefault="00772748" w:rsidP="00E426D3">
      <w:r w:rsidRPr="00E426D3">
        <w:t xml:space="preserve">I tillegg er </w:t>
      </w:r>
      <w:proofErr w:type="spellStart"/>
      <w:r w:rsidRPr="00E426D3">
        <w:t>følgjande</w:t>
      </w:r>
      <w:proofErr w:type="spellEnd"/>
      <w:r w:rsidRPr="00E426D3">
        <w:t xml:space="preserve"> saker </w:t>
      </w:r>
      <w:proofErr w:type="spellStart"/>
      <w:r w:rsidRPr="00E426D3">
        <w:t>omtala</w:t>
      </w:r>
      <w:proofErr w:type="spellEnd"/>
      <w:r w:rsidRPr="00E426D3">
        <w:t>:</w:t>
      </w:r>
    </w:p>
    <w:p w14:paraId="32D6E38D" w14:textId="77777777" w:rsidR="00772748" w:rsidRPr="00E426D3" w:rsidRDefault="00772748" w:rsidP="00E426D3">
      <w:pPr>
        <w:pStyle w:val="Liste"/>
      </w:pPr>
      <w:r w:rsidRPr="00E426D3">
        <w:t xml:space="preserve">Tilbakeføring av </w:t>
      </w:r>
      <w:proofErr w:type="spellStart"/>
      <w:r w:rsidRPr="00E426D3">
        <w:t>meirverdiavgift</w:t>
      </w:r>
      <w:proofErr w:type="spellEnd"/>
      <w:r w:rsidRPr="00E426D3">
        <w:t xml:space="preserve"> ved </w:t>
      </w:r>
      <w:proofErr w:type="spellStart"/>
      <w:r w:rsidRPr="00E426D3">
        <w:t>vidaresal</w:t>
      </w:r>
      <w:proofErr w:type="spellEnd"/>
      <w:r w:rsidRPr="00E426D3">
        <w:t xml:space="preserve"> og anna omdisponering av </w:t>
      </w:r>
      <w:proofErr w:type="spellStart"/>
      <w:r w:rsidRPr="00E426D3">
        <w:t>personkøyretøy</w:t>
      </w:r>
      <w:proofErr w:type="spellEnd"/>
    </w:p>
    <w:p w14:paraId="78E45416" w14:textId="77777777" w:rsidR="00772748" w:rsidRPr="00E426D3" w:rsidRDefault="00772748" w:rsidP="00E426D3">
      <w:pPr>
        <w:pStyle w:val="Liste"/>
      </w:pPr>
      <w:r w:rsidRPr="00E426D3">
        <w:t xml:space="preserve">Fritak for trafikkforsikringsavgift for lette elektriske </w:t>
      </w:r>
      <w:proofErr w:type="spellStart"/>
      <w:r w:rsidRPr="00E426D3">
        <w:t>varebilar</w:t>
      </w:r>
      <w:proofErr w:type="spellEnd"/>
      <w:r w:rsidRPr="00E426D3">
        <w:t xml:space="preserve"> – oppmodingsvedtak nr. 922 (2023–2024)</w:t>
      </w:r>
    </w:p>
    <w:p w14:paraId="6A7AD536" w14:textId="77777777" w:rsidR="00772748" w:rsidRPr="00E426D3" w:rsidRDefault="00772748" w:rsidP="00E426D3">
      <w:pPr>
        <w:pStyle w:val="Liste"/>
      </w:pPr>
      <w:proofErr w:type="spellStart"/>
      <w:r w:rsidRPr="00E426D3">
        <w:t>Skjærmingsrenta</w:t>
      </w:r>
      <w:proofErr w:type="spellEnd"/>
      <w:r w:rsidRPr="00E426D3">
        <w:t xml:space="preserve"> i aksjonærmodellen – oppmodingsvedtak nr. 89 (2023–2024)</w:t>
      </w:r>
    </w:p>
    <w:p w14:paraId="05527753" w14:textId="77777777" w:rsidR="00772748" w:rsidRPr="00E426D3" w:rsidRDefault="00772748" w:rsidP="00E426D3">
      <w:pPr>
        <w:pStyle w:val="Liste"/>
      </w:pPr>
      <w:proofErr w:type="spellStart"/>
      <w:r w:rsidRPr="00E426D3">
        <w:t>Treprosentregelen</w:t>
      </w:r>
      <w:proofErr w:type="spellEnd"/>
      <w:r w:rsidRPr="00E426D3">
        <w:t xml:space="preserve"> i fritaksmetoden – oppmodingsvedtak nr. 90 (2023–2024)</w:t>
      </w:r>
    </w:p>
    <w:p w14:paraId="47B8648C" w14:textId="77777777" w:rsidR="00772748" w:rsidRPr="00E426D3" w:rsidRDefault="00772748" w:rsidP="00E426D3">
      <w:pPr>
        <w:pStyle w:val="Liste"/>
      </w:pPr>
      <w:r w:rsidRPr="00E426D3">
        <w:t>NOKUS-</w:t>
      </w:r>
      <w:proofErr w:type="spellStart"/>
      <w:r w:rsidRPr="00E426D3">
        <w:t>reglane</w:t>
      </w:r>
      <w:proofErr w:type="spellEnd"/>
      <w:r w:rsidRPr="00E426D3">
        <w:t xml:space="preserve"> – oppmodingsvedtak nr. 35, punkt 31 (2021–2022)</w:t>
      </w:r>
    </w:p>
    <w:p w14:paraId="07F62DF2" w14:textId="77777777" w:rsidR="00772748" w:rsidRPr="00E426D3" w:rsidRDefault="00772748" w:rsidP="00E426D3">
      <w:r w:rsidRPr="00E426D3">
        <w:lastRenderedPageBreak/>
        <w:t xml:space="preserve">I denne proposisjonen </w:t>
      </w:r>
      <w:proofErr w:type="spellStart"/>
      <w:r w:rsidRPr="00E426D3">
        <w:t>gjer</w:t>
      </w:r>
      <w:proofErr w:type="spellEnd"/>
      <w:r w:rsidRPr="00E426D3">
        <w:t xml:space="preserve"> departementet framlegg om:</w:t>
      </w:r>
    </w:p>
    <w:p w14:paraId="0A4D63A6" w14:textId="77777777" w:rsidR="00772748" w:rsidRPr="00E426D3" w:rsidRDefault="00772748" w:rsidP="00E426D3">
      <w:pPr>
        <w:pStyle w:val="Liste"/>
      </w:pPr>
      <w:r w:rsidRPr="00E426D3">
        <w:t xml:space="preserve">lov om </w:t>
      </w:r>
      <w:proofErr w:type="spellStart"/>
      <w:r w:rsidRPr="00E426D3">
        <w:t>endringar</w:t>
      </w:r>
      <w:proofErr w:type="spellEnd"/>
      <w:r w:rsidRPr="00E426D3">
        <w:t xml:space="preserve"> i skatteloven</w:t>
      </w:r>
    </w:p>
    <w:p w14:paraId="55F49CC3" w14:textId="77777777" w:rsidR="00772748" w:rsidRPr="00E426D3" w:rsidRDefault="00772748" w:rsidP="00E426D3">
      <w:pPr>
        <w:pStyle w:val="Liste"/>
      </w:pPr>
      <w:r w:rsidRPr="00E426D3">
        <w:t xml:space="preserve">lov om </w:t>
      </w:r>
      <w:proofErr w:type="spellStart"/>
      <w:r w:rsidRPr="00E426D3">
        <w:t>endringar</w:t>
      </w:r>
      <w:proofErr w:type="spellEnd"/>
      <w:r w:rsidRPr="00E426D3">
        <w:t xml:space="preserve"> i skatteforvaltningsloven</w:t>
      </w:r>
    </w:p>
    <w:p w14:paraId="242ECD4B" w14:textId="77777777" w:rsidR="00772748" w:rsidRPr="00E426D3" w:rsidRDefault="00772748" w:rsidP="00E426D3">
      <w:pPr>
        <w:pStyle w:val="Liste"/>
      </w:pPr>
      <w:r w:rsidRPr="00E426D3">
        <w:t xml:space="preserve">lov om </w:t>
      </w:r>
      <w:proofErr w:type="spellStart"/>
      <w:r w:rsidRPr="00E426D3">
        <w:t>endringar</w:t>
      </w:r>
      <w:proofErr w:type="spellEnd"/>
      <w:r w:rsidRPr="00E426D3">
        <w:t xml:space="preserve"> i </w:t>
      </w:r>
      <w:proofErr w:type="spellStart"/>
      <w:r w:rsidRPr="00E426D3">
        <w:t>eigedomsskattelova</w:t>
      </w:r>
      <w:proofErr w:type="spellEnd"/>
    </w:p>
    <w:p w14:paraId="328671AA" w14:textId="77777777" w:rsidR="00772748" w:rsidRPr="00E426D3" w:rsidRDefault="00772748" w:rsidP="00E426D3">
      <w:pPr>
        <w:pStyle w:val="Liste"/>
      </w:pPr>
      <w:r w:rsidRPr="00E426D3">
        <w:t>lov om endring i folketrygdloven</w:t>
      </w:r>
    </w:p>
    <w:p w14:paraId="6AC3622B" w14:textId="77777777" w:rsidR="00772748" w:rsidRPr="00E426D3" w:rsidRDefault="00772748" w:rsidP="00E426D3">
      <w:pPr>
        <w:pStyle w:val="Liste"/>
      </w:pPr>
      <w:r w:rsidRPr="00E426D3">
        <w:t>lov om endring i helseforetaksloven</w:t>
      </w:r>
    </w:p>
    <w:p w14:paraId="6499FC89" w14:textId="77777777" w:rsidR="00772748" w:rsidRPr="00E426D3" w:rsidRDefault="00772748" w:rsidP="00E426D3">
      <w:pPr>
        <w:pStyle w:val="Liste"/>
      </w:pPr>
      <w:proofErr w:type="spellStart"/>
      <w:r w:rsidRPr="00E426D3">
        <w:t>endringar</w:t>
      </w:r>
      <w:proofErr w:type="spellEnd"/>
      <w:r w:rsidRPr="00E426D3">
        <w:t xml:space="preserve"> i stortingsvedtak om avgift på elektrisk kraft.</w:t>
      </w:r>
    </w:p>
    <w:p w14:paraId="027A09B6" w14:textId="77777777" w:rsidR="00772748" w:rsidRPr="00E426D3" w:rsidRDefault="00772748" w:rsidP="00E426D3"/>
    <w:p w14:paraId="1ED33AD9" w14:textId="77777777" w:rsidR="00772748" w:rsidRPr="00E426D3" w:rsidRDefault="00772748" w:rsidP="00E426D3">
      <w:pPr>
        <w:pStyle w:val="Overskrift1"/>
      </w:pPr>
      <w:r w:rsidRPr="00E426D3">
        <w:t>Reduksjon i elavgifta</w:t>
      </w:r>
    </w:p>
    <w:p w14:paraId="2885655C" w14:textId="77777777" w:rsidR="00772748" w:rsidRPr="00E426D3" w:rsidRDefault="00772748" w:rsidP="00E426D3">
      <w:r w:rsidRPr="00E426D3">
        <w:t xml:space="preserve">I januar i år varsla regjeringa tiltak for å redusere </w:t>
      </w:r>
      <w:proofErr w:type="spellStart"/>
      <w:r w:rsidRPr="00E426D3">
        <w:t>nettleiga</w:t>
      </w:r>
      <w:proofErr w:type="spellEnd"/>
      <w:r w:rsidRPr="00E426D3">
        <w:t xml:space="preserve">. Regjeringa presenterte </w:t>
      </w:r>
      <w:proofErr w:type="spellStart"/>
      <w:r w:rsidRPr="00E426D3">
        <w:t>ein</w:t>
      </w:r>
      <w:proofErr w:type="spellEnd"/>
      <w:r w:rsidRPr="00E426D3">
        <w:t xml:space="preserve"> reduksjon av </w:t>
      </w:r>
      <w:proofErr w:type="spellStart"/>
      <w:r w:rsidRPr="00E426D3">
        <w:t>meirverdiavgiftssatsen</w:t>
      </w:r>
      <w:proofErr w:type="spellEnd"/>
      <w:r w:rsidRPr="00E426D3">
        <w:t xml:space="preserve"> på </w:t>
      </w:r>
      <w:proofErr w:type="spellStart"/>
      <w:r w:rsidRPr="00E426D3">
        <w:t>nettleige</w:t>
      </w:r>
      <w:proofErr w:type="spellEnd"/>
      <w:r w:rsidRPr="00E426D3">
        <w:t xml:space="preserve"> til 15 pst. som </w:t>
      </w:r>
      <w:proofErr w:type="spellStart"/>
      <w:r w:rsidRPr="00E426D3">
        <w:t>eit</w:t>
      </w:r>
      <w:proofErr w:type="spellEnd"/>
      <w:r w:rsidRPr="00E426D3">
        <w:t xml:space="preserve"> tiltak for å oppnå dette. Regjeringa </w:t>
      </w:r>
      <w:proofErr w:type="spellStart"/>
      <w:r w:rsidRPr="00E426D3">
        <w:t>ynskjer</w:t>
      </w:r>
      <w:proofErr w:type="spellEnd"/>
      <w:r w:rsidRPr="00E426D3">
        <w:t xml:space="preserve"> å kompensere </w:t>
      </w:r>
      <w:proofErr w:type="spellStart"/>
      <w:r w:rsidRPr="00E426D3">
        <w:t>hushald</w:t>
      </w:r>
      <w:proofErr w:type="spellEnd"/>
      <w:r w:rsidRPr="00E426D3">
        <w:t xml:space="preserve"> og bedrifter for </w:t>
      </w:r>
      <w:proofErr w:type="spellStart"/>
      <w:r w:rsidRPr="00E426D3">
        <w:t>auka</w:t>
      </w:r>
      <w:proofErr w:type="spellEnd"/>
      <w:r w:rsidRPr="00E426D3">
        <w:t xml:space="preserve"> </w:t>
      </w:r>
      <w:proofErr w:type="spellStart"/>
      <w:r w:rsidRPr="00E426D3">
        <w:t>kostnadar</w:t>
      </w:r>
      <w:proofErr w:type="spellEnd"/>
      <w:r w:rsidRPr="00E426D3">
        <w:t xml:space="preserve"> som </w:t>
      </w:r>
      <w:proofErr w:type="spellStart"/>
      <w:r w:rsidRPr="00E426D3">
        <w:t>følgje</w:t>
      </w:r>
      <w:proofErr w:type="spellEnd"/>
      <w:r w:rsidRPr="00E426D3">
        <w:t xml:space="preserve"> av </w:t>
      </w:r>
      <w:proofErr w:type="spellStart"/>
      <w:r w:rsidRPr="00E426D3">
        <w:t>naudsynte</w:t>
      </w:r>
      <w:proofErr w:type="spellEnd"/>
      <w:r w:rsidRPr="00E426D3">
        <w:t xml:space="preserve"> </w:t>
      </w:r>
      <w:proofErr w:type="spellStart"/>
      <w:r w:rsidRPr="00E426D3">
        <w:t>investeringar</w:t>
      </w:r>
      <w:proofErr w:type="spellEnd"/>
      <w:r w:rsidRPr="00E426D3">
        <w:t xml:space="preserve"> i straumnettet. Dette </w:t>
      </w:r>
      <w:proofErr w:type="spellStart"/>
      <w:r w:rsidRPr="00E426D3">
        <w:t>føremålet</w:t>
      </w:r>
      <w:proofErr w:type="spellEnd"/>
      <w:r w:rsidRPr="00E426D3">
        <w:t xml:space="preserve"> kan </w:t>
      </w:r>
      <w:proofErr w:type="spellStart"/>
      <w:r w:rsidRPr="00E426D3">
        <w:t>ein</w:t>
      </w:r>
      <w:proofErr w:type="spellEnd"/>
      <w:r w:rsidRPr="00E426D3">
        <w:t xml:space="preserve"> òg oppnå ved å redusere elavgifta. Nettselskapa er avgiftspliktige for elavgifta, men </w:t>
      </w:r>
      <w:proofErr w:type="spellStart"/>
      <w:r w:rsidRPr="00E426D3">
        <w:t>lempar</w:t>
      </w:r>
      <w:proofErr w:type="spellEnd"/>
      <w:r w:rsidRPr="00E426D3">
        <w:t xml:space="preserve"> denne over på </w:t>
      </w:r>
      <w:proofErr w:type="spellStart"/>
      <w:r w:rsidRPr="00E426D3">
        <w:t>nettkundane</w:t>
      </w:r>
      <w:proofErr w:type="spellEnd"/>
      <w:r w:rsidRPr="00E426D3">
        <w:t xml:space="preserve"> gjennom </w:t>
      </w:r>
      <w:proofErr w:type="spellStart"/>
      <w:r w:rsidRPr="00E426D3">
        <w:t>nettleiga</w:t>
      </w:r>
      <w:proofErr w:type="spellEnd"/>
      <w:r w:rsidRPr="00E426D3">
        <w:t>.</w:t>
      </w:r>
    </w:p>
    <w:p w14:paraId="208E52B1" w14:textId="77777777" w:rsidR="00772748" w:rsidRPr="00E426D3" w:rsidRDefault="00772748" w:rsidP="00E426D3">
      <w:proofErr w:type="spellStart"/>
      <w:r w:rsidRPr="00E426D3">
        <w:t>Reduksjonar</w:t>
      </w:r>
      <w:proofErr w:type="spellEnd"/>
      <w:r w:rsidRPr="00E426D3">
        <w:t xml:space="preserve"> i elavgifta </w:t>
      </w:r>
      <w:proofErr w:type="spellStart"/>
      <w:r w:rsidRPr="00E426D3">
        <w:t>skil</w:t>
      </w:r>
      <w:proofErr w:type="spellEnd"/>
      <w:r w:rsidRPr="00E426D3">
        <w:t xml:space="preserve"> seg </w:t>
      </w:r>
      <w:proofErr w:type="spellStart"/>
      <w:r w:rsidRPr="00E426D3">
        <w:t>frå</w:t>
      </w:r>
      <w:proofErr w:type="spellEnd"/>
      <w:r w:rsidRPr="00E426D3">
        <w:t xml:space="preserve"> </w:t>
      </w:r>
      <w:proofErr w:type="spellStart"/>
      <w:r w:rsidRPr="00E426D3">
        <w:t>reduksjonar</w:t>
      </w:r>
      <w:proofErr w:type="spellEnd"/>
      <w:r w:rsidRPr="00E426D3">
        <w:t xml:space="preserve"> i </w:t>
      </w:r>
      <w:proofErr w:type="spellStart"/>
      <w:r w:rsidRPr="00E426D3">
        <w:t>meirverdiavgifta</w:t>
      </w:r>
      <w:proofErr w:type="spellEnd"/>
      <w:r w:rsidRPr="00E426D3">
        <w:t xml:space="preserve"> ved at det òg vil </w:t>
      </w:r>
      <w:proofErr w:type="spellStart"/>
      <w:r w:rsidRPr="00E426D3">
        <w:t>kome</w:t>
      </w:r>
      <w:proofErr w:type="spellEnd"/>
      <w:r w:rsidRPr="00E426D3">
        <w:t xml:space="preserve"> </w:t>
      </w:r>
      <w:proofErr w:type="spellStart"/>
      <w:r w:rsidRPr="00E426D3">
        <w:t>næringsdrivande</w:t>
      </w:r>
      <w:proofErr w:type="spellEnd"/>
      <w:r w:rsidRPr="00E426D3">
        <w:t xml:space="preserve"> til gode. </w:t>
      </w:r>
      <w:proofErr w:type="spellStart"/>
      <w:r w:rsidRPr="00E426D3">
        <w:t>Meirverdiavgiftspliktige</w:t>
      </w:r>
      <w:proofErr w:type="spellEnd"/>
      <w:r w:rsidRPr="00E426D3">
        <w:t xml:space="preserve"> </w:t>
      </w:r>
      <w:proofErr w:type="spellStart"/>
      <w:r w:rsidRPr="00E426D3">
        <w:t>næringsdrivande</w:t>
      </w:r>
      <w:proofErr w:type="spellEnd"/>
      <w:r w:rsidRPr="00E426D3">
        <w:t xml:space="preserve"> kan </w:t>
      </w:r>
      <w:proofErr w:type="spellStart"/>
      <w:r w:rsidRPr="00E426D3">
        <w:t>frådragsføre</w:t>
      </w:r>
      <w:proofErr w:type="spellEnd"/>
      <w:r w:rsidRPr="00E426D3">
        <w:t xml:space="preserve"> </w:t>
      </w:r>
      <w:proofErr w:type="spellStart"/>
      <w:r w:rsidRPr="00E426D3">
        <w:t>meirverdiavgift</w:t>
      </w:r>
      <w:proofErr w:type="spellEnd"/>
      <w:r w:rsidRPr="00E426D3">
        <w:t xml:space="preserve"> på innkjøpa sine. </w:t>
      </w:r>
      <w:proofErr w:type="spellStart"/>
      <w:r w:rsidRPr="00E426D3">
        <w:t>Difor</w:t>
      </w:r>
      <w:proofErr w:type="spellEnd"/>
      <w:r w:rsidRPr="00E426D3">
        <w:t xml:space="preserve"> betyr </w:t>
      </w:r>
      <w:proofErr w:type="spellStart"/>
      <w:r w:rsidRPr="00E426D3">
        <w:t>ikkje</w:t>
      </w:r>
      <w:proofErr w:type="spellEnd"/>
      <w:r w:rsidRPr="00E426D3">
        <w:t xml:space="preserve"> </w:t>
      </w:r>
      <w:proofErr w:type="spellStart"/>
      <w:r w:rsidRPr="00E426D3">
        <w:t>meirverdiavgift</w:t>
      </w:r>
      <w:proofErr w:type="spellEnd"/>
      <w:r w:rsidRPr="00E426D3">
        <w:t xml:space="preserve"> på </w:t>
      </w:r>
      <w:proofErr w:type="spellStart"/>
      <w:r w:rsidRPr="00E426D3">
        <w:t>nettleiga</w:t>
      </w:r>
      <w:proofErr w:type="spellEnd"/>
      <w:r w:rsidRPr="00E426D3">
        <w:t xml:space="preserve"> </w:t>
      </w:r>
      <w:proofErr w:type="spellStart"/>
      <w:r w:rsidRPr="00E426D3">
        <w:t>noko</w:t>
      </w:r>
      <w:proofErr w:type="spellEnd"/>
      <w:r w:rsidRPr="00E426D3">
        <w:t xml:space="preserve"> for </w:t>
      </w:r>
      <w:proofErr w:type="spellStart"/>
      <w:r w:rsidRPr="00E426D3">
        <w:t>dei</w:t>
      </w:r>
      <w:proofErr w:type="spellEnd"/>
      <w:r w:rsidRPr="00E426D3">
        <w:t>.</w:t>
      </w:r>
    </w:p>
    <w:p w14:paraId="0F0702BB" w14:textId="77777777" w:rsidR="00772748" w:rsidRPr="00E426D3" w:rsidRDefault="00772748" w:rsidP="00E426D3">
      <w:r w:rsidRPr="00E426D3">
        <w:t xml:space="preserve">I tillegg treff </w:t>
      </w:r>
      <w:proofErr w:type="spellStart"/>
      <w:r w:rsidRPr="00E426D3">
        <w:t>reduksjonar</w:t>
      </w:r>
      <w:proofErr w:type="spellEnd"/>
      <w:r w:rsidRPr="00E426D3">
        <w:t xml:space="preserve"> i elavgifta </w:t>
      </w:r>
      <w:proofErr w:type="spellStart"/>
      <w:r w:rsidRPr="00E426D3">
        <w:t>meir</w:t>
      </w:r>
      <w:proofErr w:type="spellEnd"/>
      <w:r w:rsidRPr="00E426D3">
        <w:t xml:space="preserve"> enn 80 pst. av </w:t>
      </w:r>
      <w:proofErr w:type="spellStart"/>
      <w:r w:rsidRPr="00E426D3">
        <w:t>folkesetnaden</w:t>
      </w:r>
      <w:proofErr w:type="spellEnd"/>
      <w:r w:rsidRPr="00E426D3">
        <w:t xml:space="preserve"> i Nord-</w:t>
      </w:r>
      <w:proofErr w:type="spellStart"/>
      <w:r w:rsidRPr="00E426D3">
        <w:t>Noreg</w:t>
      </w:r>
      <w:proofErr w:type="spellEnd"/>
      <w:r w:rsidRPr="00E426D3">
        <w:t xml:space="preserve">, </w:t>
      </w:r>
      <w:proofErr w:type="spellStart"/>
      <w:r w:rsidRPr="00E426D3">
        <w:t>medan</w:t>
      </w:r>
      <w:proofErr w:type="spellEnd"/>
      <w:r w:rsidRPr="00E426D3">
        <w:t xml:space="preserve"> reduksjon av </w:t>
      </w:r>
      <w:proofErr w:type="spellStart"/>
      <w:r w:rsidRPr="00E426D3">
        <w:t>meirverdiavgifta</w:t>
      </w:r>
      <w:proofErr w:type="spellEnd"/>
      <w:r w:rsidRPr="00E426D3">
        <w:t xml:space="preserve"> </w:t>
      </w:r>
      <w:proofErr w:type="spellStart"/>
      <w:r w:rsidRPr="00E426D3">
        <w:t>ikkje</w:t>
      </w:r>
      <w:proofErr w:type="spellEnd"/>
      <w:r w:rsidRPr="00E426D3">
        <w:t xml:space="preserve"> treff </w:t>
      </w:r>
      <w:proofErr w:type="spellStart"/>
      <w:r w:rsidRPr="00E426D3">
        <w:t>nokon</w:t>
      </w:r>
      <w:proofErr w:type="spellEnd"/>
      <w:r w:rsidRPr="00E426D3">
        <w:t xml:space="preserve"> av </w:t>
      </w:r>
      <w:proofErr w:type="spellStart"/>
      <w:r w:rsidRPr="00E426D3">
        <w:t>hushalda</w:t>
      </w:r>
      <w:proofErr w:type="spellEnd"/>
      <w:r w:rsidRPr="00E426D3">
        <w:t xml:space="preserve"> i Nord-</w:t>
      </w:r>
      <w:proofErr w:type="spellStart"/>
      <w:r w:rsidRPr="00E426D3">
        <w:t>Noreg</w:t>
      </w:r>
      <w:proofErr w:type="spellEnd"/>
      <w:r w:rsidRPr="00E426D3">
        <w:t>. Dette kjem av at Nord-</w:t>
      </w:r>
      <w:proofErr w:type="spellStart"/>
      <w:r w:rsidRPr="00E426D3">
        <w:t>Noreg</w:t>
      </w:r>
      <w:proofErr w:type="spellEnd"/>
      <w:r w:rsidRPr="00E426D3">
        <w:t xml:space="preserve"> er </w:t>
      </w:r>
      <w:proofErr w:type="spellStart"/>
      <w:r w:rsidRPr="00E426D3">
        <w:t>friteken</w:t>
      </w:r>
      <w:proofErr w:type="spellEnd"/>
      <w:r w:rsidRPr="00E426D3">
        <w:t xml:space="preserve"> </w:t>
      </w:r>
      <w:proofErr w:type="spellStart"/>
      <w:r w:rsidRPr="00E426D3">
        <w:t>frå</w:t>
      </w:r>
      <w:proofErr w:type="spellEnd"/>
      <w:r w:rsidRPr="00E426D3">
        <w:t xml:space="preserve"> </w:t>
      </w:r>
      <w:proofErr w:type="spellStart"/>
      <w:r w:rsidRPr="00E426D3">
        <w:t>meirverdiavgift</w:t>
      </w:r>
      <w:proofErr w:type="spellEnd"/>
      <w:r w:rsidRPr="00E426D3">
        <w:t xml:space="preserve"> på </w:t>
      </w:r>
      <w:proofErr w:type="spellStart"/>
      <w:r w:rsidRPr="00E426D3">
        <w:t>nettleige</w:t>
      </w:r>
      <w:proofErr w:type="spellEnd"/>
      <w:r w:rsidRPr="00E426D3">
        <w:t>.</w:t>
      </w:r>
    </w:p>
    <w:p w14:paraId="1B007CC7" w14:textId="77777777" w:rsidR="00772748" w:rsidRPr="00E426D3" w:rsidRDefault="00772748" w:rsidP="00E426D3">
      <w:r w:rsidRPr="00E426D3">
        <w:t xml:space="preserve">Elavgifta er i praksis ei </w:t>
      </w:r>
      <w:proofErr w:type="spellStart"/>
      <w:r w:rsidRPr="00E426D3">
        <w:t>vridande</w:t>
      </w:r>
      <w:proofErr w:type="spellEnd"/>
      <w:r w:rsidRPr="00E426D3">
        <w:t xml:space="preserve"> fiskal særavgift. Å redusere elavgifta </w:t>
      </w:r>
      <w:proofErr w:type="spellStart"/>
      <w:r w:rsidRPr="00E426D3">
        <w:t>støttar</w:t>
      </w:r>
      <w:proofErr w:type="spellEnd"/>
      <w:r w:rsidRPr="00E426D3">
        <w:t xml:space="preserve"> opp under målet om </w:t>
      </w:r>
      <w:proofErr w:type="spellStart"/>
      <w:r w:rsidRPr="00E426D3">
        <w:t>eit</w:t>
      </w:r>
      <w:proofErr w:type="spellEnd"/>
      <w:r w:rsidRPr="00E426D3">
        <w:t xml:space="preserve"> </w:t>
      </w:r>
      <w:proofErr w:type="spellStart"/>
      <w:r w:rsidRPr="00E426D3">
        <w:t>meir</w:t>
      </w:r>
      <w:proofErr w:type="spellEnd"/>
      <w:r w:rsidRPr="00E426D3">
        <w:t xml:space="preserve"> </w:t>
      </w:r>
      <w:proofErr w:type="spellStart"/>
      <w:r w:rsidRPr="00E426D3">
        <w:t>vekstvennleg</w:t>
      </w:r>
      <w:proofErr w:type="spellEnd"/>
      <w:r w:rsidRPr="00E426D3">
        <w:t xml:space="preserve"> skatte- og avgiftssystem. Selektive </w:t>
      </w:r>
      <w:proofErr w:type="spellStart"/>
      <w:r w:rsidRPr="00E426D3">
        <w:t>reduksjonar</w:t>
      </w:r>
      <w:proofErr w:type="spellEnd"/>
      <w:r w:rsidRPr="00E426D3">
        <w:t xml:space="preserve"> i </w:t>
      </w:r>
      <w:proofErr w:type="spellStart"/>
      <w:r w:rsidRPr="00E426D3">
        <w:t>satsane</w:t>
      </w:r>
      <w:proofErr w:type="spellEnd"/>
      <w:r w:rsidRPr="00E426D3">
        <w:t xml:space="preserve"> for </w:t>
      </w:r>
      <w:proofErr w:type="spellStart"/>
      <w:r w:rsidRPr="00E426D3">
        <w:t>meirverdiavgift</w:t>
      </w:r>
      <w:proofErr w:type="spellEnd"/>
      <w:r w:rsidRPr="00E426D3">
        <w:t xml:space="preserve"> vil derimot </w:t>
      </w:r>
      <w:proofErr w:type="spellStart"/>
      <w:r w:rsidRPr="00E426D3">
        <w:t>gjere</w:t>
      </w:r>
      <w:proofErr w:type="spellEnd"/>
      <w:r w:rsidRPr="00E426D3">
        <w:t xml:space="preserve"> skatte- og avgiftssystemet </w:t>
      </w:r>
      <w:proofErr w:type="spellStart"/>
      <w:r w:rsidRPr="00E426D3">
        <w:t>meir</w:t>
      </w:r>
      <w:proofErr w:type="spellEnd"/>
      <w:r w:rsidRPr="00E426D3">
        <w:t xml:space="preserve"> </w:t>
      </w:r>
      <w:proofErr w:type="spellStart"/>
      <w:r w:rsidRPr="00E426D3">
        <w:t>vridande</w:t>
      </w:r>
      <w:proofErr w:type="spellEnd"/>
      <w:r w:rsidRPr="00E426D3">
        <w:t xml:space="preserve"> og </w:t>
      </w:r>
      <w:proofErr w:type="spellStart"/>
      <w:r w:rsidRPr="00E426D3">
        <w:t>aukar</w:t>
      </w:r>
      <w:proofErr w:type="spellEnd"/>
      <w:r w:rsidRPr="00E426D3">
        <w:t xml:space="preserve"> kompleksiteten i </w:t>
      </w:r>
      <w:proofErr w:type="spellStart"/>
      <w:r w:rsidRPr="00E426D3">
        <w:t>meirverdiavgiftssystemet</w:t>
      </w:r>
      <w:proofErr w:type="spellEnd"/>
      <w:r w:rsidRPr="00E426D3">
        <w:t xml:space="preserve">. Dette </w:t>
      </w:r>
      <w:proofErr w:type="spellStart"/>
      <w:r w:rsidRPr="00E426D3">
        <w:t>inneber</w:t>
      </w:r>
      <w:proofErr w:type="spellEnd"/>
      <w:r w:rsidRPr="00E426D3">
        <w:t xml:space="preserve"> òg administrative bører både for næringslivet og for </w:t>
      </w:r>
      <w:proofErr w:type="spellStart"/>
      <w:r w:rsidRPr="00E426D3">
        <w:t>skattemyndigheitene</w:t>
      </w:r>
      <w:proofErr w:type="spellEnd"/>
      <w:r w:rsidRPr="00E426D3">
        <w:t>.</w:t>
      </w:r>
    </w:p>
    <w:p w14:paraId="7CBFA4A6" w14:textId="77777777" w:rsidR="00772748" w:rsidRPr="00E426D3" w:rsidRDefault="00772748" w:rsidP="00E426D3">
      <w:r w:rsidRPr="00E426D3">
        <w:t xml:space="preserve">Regjeringa </w:t>
      </w:r>
      <w:proofErr w:type="spellStart"/>
      <w:r w:rsidRPr="00E426D3">
        <w:t>gjer</w:t>
      </w:r>
      <w:proofErr w:type="spellEnd"/>
      <w:r w:rsidRPr="00E426D3">
        <w:t xml:space="preserve"> </w:t>
      </w:r>
      <w:proofErr w:type="spellStart"/>
      <w:r w:rsidRPr="00E426D3">
        <w:t>difor</w:t>
      </w:r>
      <w:proofErr w:type="spellEnd"/>
      <w:r w:rsidRPr="00E426D3">
        <w:t xml:space="preserve"> framlegg om å redusere elavgifta med 4,4 øre per kWh i alle </w:t>
      </w:r>
      <w:proofErr w:type="spellStart"/>
      <w:r w:rsidRPr="00E426D3">
        <w:t>månader</w:t>
      </w:r>
      <w:proofErr w:type="spellEnd"/>
      <w:r w:rsidRPr="00E426D3">
        <w:t xml:space="preserve"> </w:t>
      </w:r>
      <w:proofErr w:type="spellStart"/>
      <w:r w:rsidRPr="00E426D3">
        <w:t>frå</w:t>
      </w:r>
      <w:proofErr w:type="spellEnd"/>
      <w:r w:rsidRPr="00E426D3">
        <w:t xml:space="preserve"> 1. juli 2025. Det </w:t>
      </w:r>
      <w:proofErr w:type="spellStart"/>
      <w:r w:rsidRPr="00E426D3">
        <w:t>gjer</w:t>
      </w:r>
      <w:proofErr w:type="spellEnd"/>
      <w:r w:rsidRPr="00E426D3">
        <w:t xml:space="preserve"> at rekninga for </w:t>
      </w:r>
      <w:proofErr w:type="spellStart"/>
      <w:r w:rsidRPr="00E426D3">
        <w:t>nettleige</w:t>
      </w:r>
      <w:proofErr w:type="spellEnd"/>
      <w:r w:rsidRPr="00E426D3">
        <w:t xml:space="preserve"> vert redusert med 5,5 øre per kWh (inkludert </w:t>
      </w:r>
      <w:proofErr w:type="spellStart"/>
      <w:r w:rsidRPr="00E426D3">
        <w:t>meirverdiavgift</w:t>
      </w:r>
      <w:proofErr w:type="spellEnd"/>
      <w:r w:rsidRPr="00E426D3">
        <w:t xml:space="preserve">) for </w:t>
      </w:r>
      <w:proofErr w:type="spellStart"/>
      <w:r w:rsidRPr="00E426D3">
        <w:t>hushalda</w:t>
      </w:r>
      <w:proofErr w:type="spellEnd"/>
      <w:r w:rsidRPr="00E426D3">
        <w:t xml:space="preserve">. Framlegget er anslått å ha same verknad på </w:t>
      </w:r>
      <w:proofErr w:type="spellStart"/>
      <w:r w:rsidRPr="00E426D3">
        <w:t>hushalda</w:t>
      </w:r>
      <w:proofErr w:type="spellEnd"/>
      <w:r w:rsidRPr="00E426D3">
        <w:t xml:space="preserve"> si rekning for </w:t>
      </w:r>
      <w:proofErr w:type="spellStart"/>
      <w:r w:rsidRPr="00E426D3">
        <w:t>nettleige</w:t>
      </w:r>
      <w:proofErr w:type="spellEnd"/>
      <w:r w:rsidRPr="00E426D3">
        <w:t xml:space="preserve"> som å redusere </w:t>
      </w:r>
      <w:proofErr w:type="spellStart"/>
      <w:r w:rsidRPr="00E426D3">
        <w:t>meirverdiavgifta</w:t>
      </w:r>
      <w:proofErr w:type="spellEnd"/>
      <w:r w:rsidRPr="00E426D3">
        <w:t xml:space="preserve"> på </w:t>
      </w:r>
      <w:proofErr w:type="spellStart"/>
      <w:r w:rsidRPr="00E426D3">
        <w:t>nettleige</w:t>
      </w:r>
      <w:proofErr w:type="spellEnd"/>
      <w:r w:rsidRPr="00E426D3">
        <w:t xml:space="preserve"> </w:t>
      </w:r>
      <w:proofErr w:type="spellStart"/>
      <w:r w:rsidRPr="00E426D3">
        <w:t>frå</w:t>
      </w:r>
      <w:proofErr w:type="spellEnd"/>
      <w:r w:rsidRPr="00E426D3">
        <w:t xml:space="preserve"> 25 pst. til 15 pst. Framlegget er anslått å </w:t>
      </w:r>
      <w:proofErr w:type="spellStart"/>
      <w:r w:rsidRPr="00E426D3">
        <w:t>gje</w:t>
      </w:r>
      <w:proofErr w:type="spellEnd"/>
      <w:r w:rsidRPr="00E426D3">
        <w:t xml:space="preserve"> </w:t>
      </w:r>
      <w:proofErr w:type="spellStart"/>
      <w:r w:rsidRPr="00E426D3">
        <w:t>eit</w:t>
      </w:r>
      <w:proofErr w:type="spellEnd"/>
      <w:r w:rsidRPr="00E426D3">
        <w:t xml:space="preserve"> provenytap på om lag 3,1 mrd. kroner i heilårsverknad, med bokført verknad på om lag 725 mill. kroner i 2025 ved </w:t>
      </w:r>
      <w:proofErr w:type="spellStart"/>
      <w:r w:rsidRPr="00E426D3">
        <w:t>iverksetjing</w:t>
      </w:r>
      <w:proofErr w:type="spellEnd"/>
      <w:r w:rsidRPr="00E426D3">
        <w:t xml:space="preserve"> </w:t>
      </w:r>
      <w:proofErr w:type="spellStart"/>
      <w:r w:rsidRPr="00E426D3">
        <w:t>frå</w:t>
      </w:r>
      <w:proofErr w:type="spellEnd"/>
      <w:r w:rsidRPr="00E426D3">
        <w:t xml:space="preserve"> 1. juli. Til </w:t>
      </w:r>
      <w:proofErr w:type="spellStart"/>
      <w:r w:rsidRPr="00E426D3">
        <w:t>samanlikning</w:t>
      </w:r>
      <w:proofErr w:type="spellEnd"/>
      <w:r w:rsidRPr="00E426D3">
        <w:t xml:space="preserve"> er provenytapet </w:t>
      </w:r>
      <w:proofErr w:type="spellStart"/>
      <w:r w:rsidRPr="00E426D3">
        <w:t>frå</w:t>
      </w:r>
      <w:proofErr w:type="spellEnd"/>
      <w:r w:rsidRPr="00E426D3">
        <w:t xml:space="preserve"> å redusere </w:t>
      </w:r>
      <w:proofErr w:type="spellStart"/>
      <w:r w:rsidRPr="00E426D3">
        <w:t>meirverdiavgiftssatsen</w:t>
      </w:r>
      <w:proofErr w:type="spellEnd"/>
      <w:r w:rsidRPr="00E426D3">
        <w:t xml:space="preserve"> på </w:t>
      </w:r>
      <w:proofErr w:type="spellStart"/>
      <w:r w:rsidRPr="00E426D3">
        <w:t>nettleige</w:t>
      </w:r>
      <w:proofErr w:type="spellEnd"/>
      <w:r w:rsidRPr="00E426D3">
        <w:t xml:space="preserve"> til 15 pst. om lag 2 mrd. kroner </w:t>
      </w:r>
      <w:proofErr w:type="spellStart"/>
      <w:r w:rsidRPr="00E426D3">
        <w:t>årleg</w:t>
      </w:r>
      <w:proofErr w:type="spellEnd"/>
      <w:r w:rsidRPr="00E426D3">
        <w:t>.</w:t>
      </w:r>
    </w:p>
    <w:p w14:paraId="5F1C63A6" w14:textId="77777777" w:rsidR="00772748" w:rsidRPr="00E426D3" w:rsidRDefault="00772748" w:rsidP="00E426D3">
      <w:r w:rsidRPr="00E426D3">
        <w:t xml:space="preserve">For </w:t>
      </w:r>
      <w:proofErr w:type="spellStart"/>
      <w:r w:rsidRPr="00E426D3">
        <w:t>ytterlegare</w:t>
      </w:r>
      <w:proofErr w:type="spellEnd"/>
      <w:r w:rsidRPr="00E426D3">
        <w:t xml:space="preserve"> å redusere avgiftene på </w:t>
      </w:r>
      <w:proofErr w:type="spellStart"/>
      <w:r w:rsidRPr="00E426D3">
        <w:t>nettleige</w:t>
      </w:r>
      <w:proofErr w:type="spellEnd"/>
      <w:r w:rsidRPr="00E426D3">
        <w:t xml:space="preserve"> tar regjeringa sikte på å avvikle </w:t>
      </w:r>
      <w:proofErr w:type="spellStart"/>
      <w:r w:rsidRPr="00E426D3">
        <w:t>Enova</w:t>
      </w:r>
      <w:proofErr w:type="spellEnd"/>
      <w:r w:rsidRPr="00E426D3">
        <w:t xml:space="preserve">-avgifta </w:t>
      </w:r>
      <w:proofErr w:type="spellStart"/>
      <w:r w:rsidRPr="00E426D3">
        <w:t>frå</w:t>
      </w:r>
      <w:proofErr w:type="spellEnd"/>
      <w:r w:rsidRPr="00E426D3">
        <w:t xml:space="preserve"> 1. januar 2026 og vil vurdere </w:t>
      </w:r>
      <w:proofErr w:type="spellStart"/>
      <w:r w:rsidRPr="00E426D3">
        <w:t>ytterlegare</w:t>
      </w:r>
      <w:proofErr w:type="spellEnd"/>
      <w:r w:rsidRPr="00E426D3">
        <w:t xml:space="preserve"> </w:t>
      </w:r>
      <w:proofErr w:type="spellStart"/>
      <w:r w:rsidRPr="00E426D3">
        <w:t>reduksjonar</w:t>
      </w:r>
      <w:proofErr w:type="spellEnd"/>
      <w:r w:rsidRPr="00E426D3">
        <w:t xml:space="preserve"> i elavgifta i neste stortingsperiode. Ved å avvikle </w:t>
      </w:r>
      <w:proofErr w:type="spellStart"/>
      <w:r w:rsidRPr="00E426D3">
        <w:t>Enova</w:t>
      </w:r>
      <w:proofErr w:type="spellEnd"/>
      <w:r w:rsidRPr="00E426D3">
        <w:t xml:space="preserve">-avgifta vil òg </w:t>
      </w:r>
      <w:proofErr w:type="spellStart"/>
      <w:r w:rsidRPr="00E426D3">
        <w:t>hushalda</w:t>
      </w:r>
      <w:proofErr w:type="spellEnd"/>
      <w:r w:rsidRPr="00E426D3">
        <w:t xml:space="preserve"> og næringslivet i Nord-Troms og Finnmark få ei </w:t>
      </w:r>
      <w:proofErr w:type="spellStart"/>
      <w:r w:rsidRPr="00E426D3">
        <w:t>avgiftslette</w:t>
      </w:r>
      <w:proofErr w:type="spellEnd"/>
      <w:r w:rsidRPr="00E426D3">
        <w:t xml:space="preserve">. Det vil </w:t>
      </w:r>
      <w:proofErr w:type="spellStart"/>
      <w:r w:rsidRPr="00E426D3">
        <w:t>dessutan</w:t>
      </w:r>
      <w:proofErr w:type="spellEnd"/>
      <w:r w:rsidRPr="00E426D3">
        <w:t xml:space="preserve"> </w:t>
      </w:r>
      <w:proofErr w:type="spellStart"/>
      <w:r w:rsidRPr="00E426D3">
        <w:t>innebere</w:t>
      </w:r>
      <w:proofErr w:type="spellEnd"/>
      <w:r w:rsidRPr="00E426D3">
        <w:t xml:space="preserve"> ei forenkling for nettselskapa. Å avvikle </w:t>
      </w:r>
      <w:proofErr w:type="spellStart"/>
      <w:r w:rsidRPr="00E426D3">
        <w:t>Enova</w:t>
      </w:r>
      <w:proofErr w:type="spellEnd"/>
      <w:r w:rsidRPr="00E426D3">
        <w:t xml:space="preserve">-avgifta har </w:t>
      </w:r>
      <w:proofErr w:type="spellStart"/>
      <w:r w:rsidRPr="00E426D3">
        <w:t>ikkje</w:t>
      </w:r>
      <w:proofErr w:type="spellEnd"/>
      <w:r w:rsidRPr="00E426D3">
        <w:t xml:space="preserve"> betydning for </w:t>
      </w:r>
      <w:proofErr w:type="spellStart"/>
      <w:r w:rsidRPr="00E426D3">
        <w:t>løyvingane</w:t>
      </w:r>
      <w:proofErr w:type="spellEnd"/>
      <w:r w:rsidRPr="00E426D3">
        <w:t xml:space="preserve"> eller styringsmodellen til </w:t>
      </w:r>
      <w:proofErr w:type="spellStart"/>
      <w:r w:rsidRPr="00E426D3">
        <w:t>Enova</w:t>
      </w:r>
      <w:proofErr w:type="spellEnd"/>
      <w:r w:rsidRPr="00E426D3">
        <w:t xml:space="preserve">, som vil bli </w:t>
      </w:r>
      <w:proofErr w:type="spellStart"/>
      <w:r w:rsidRPr="00E426D3">
        <w:t>oppretthaldt</w:t>
      </w:r>
      <w:proofErr w:type="spellEnd"/>
      <w:r w:rsidRPr="00E426D3">
        <w:t xml:space="preserve">, men vil </w:t>
      </w:r>
      <w:proofErr w:type="spellStart"/>
      <w:r w:rsidRPr="00E426D3">
        <w:t>berre</w:t>
      </w:r>
      <w:proofErr w:type="spellEnd"/>
      <w:r w:rsidRPr="00E426D3">
        <w:t xml:space="preserve"> </w:t>
      </w:r>
      <w:proofErr w:type="spellStart"/>
      <w:r w:rsidRPr="00E426D3">
        <w:t>vere</w:t>
      </w:r>
      <w:proofErr w:type="spellEnd"/>
      <w:r w:rsidRPr="00E426D3">
        <w:t xml:space="preserve"> ei endring av finansieringa.</w:t>
      </w:r>
    </w:p>
    <w:p w14:paraId="5F27AE25" w14:textId="77777777" w:rsidR="00772748" w:rsidRPr="00E426D3" w:rsidRDefault="00772748" w:rsidP="00E426D3">
      <w:r w:rsidRPr="00E426D3">
        <w:lastRenderedPageBreak/>
        <w:t>Departementet syner til framlegg om endring av vedtak om elavgift § 1 fyrste ledd.</w:t>
      </w:r>
    </w:p>
    <w:p w14:paraId="1050AF4A" w14:textId="77777777" w:rsidR="00772748" w:rsidRPr="00E426D3" w:rsidRDefault="00772748" w:rsidP="00E426D3">
      <w:pPr>
        <w:pStyle w:val="Overskrift1"/>
      </w:pPr>
      <w:r w:rsidRPr="00E426D3">
        <w:t>Ny delingsordning for fornybar kraft tilpassa næringsområde</w:t>
      </w:r>
    </w:p>
    <w:p w14:paraId="0261684D" w14:textId="77777777" w:rsidR="00772748" w:rsidRPr="00E426D3" w:rsidRDefault="00772748" w:rsidP="00E426D3">
      <w:r w:rsidRPr="00E426D3">
        <w:t xml:space="preserve">Stortinget vedtok i juni 2023 tre oppmodingsvedtak (nr. 765, 768 og 924) som ber regjeringa </w:t>
      </w:r>
      <w:proofErr w:type="spellStart"/>
      <w:r w:rsidRPr="00E426D3">
        <w:t>gjere</w:t>
      </w:r>
      <w:proofErr w:type="spellEnd"/>
      <w:r w:rsidRPr="00E426D3">
        <w:t xml:space="preserve"> framlegg om tiltak for å </w:t>
      </w:r>
      <w:proofErr w:type="spellStart"/>
      <w:r w:rsidRPr="00E426D3">
        <w:t>leggje</w:t>
      </w:r>
      <w:proofErr w:type="spellEnd"/>
      <w:r w:rsidRPr="00E426D3">
        <w:t xml:space="preserve"> til rette for deling av fornybar kraft mellom </w:t>
      </w:r>
      <w:proofErr w:type="spellStart"/>
      <w:r w:rsidRPr="00E426D3">
        <w:t>eigedommar</w:t>
      </w:r>
      <w:proofErr w:type="spellEnd"/>
      <w:r w:rsidRPr="00E426D3">
        <w:t xml:space="preserve"> og i næringsområde. Deling av kraft </w:t>
      </w:r>
      <w:proofErr w:type="spellStart"/>
      <w:r w:rsidRPr="00E426D3">
        <w:t>inneber</w:t>
      </w:r>
      <w:proofErr w:type="spellEnd"/>
      <w:r w:rsidRPr="00E426D3">
        <w:t xml:space="preserve"> at </w:t>
      </w:r>
      <w:proofErr w:type="spellStart"/>
      <w:r w:rsidRPr="00E426D3">
        <w:t>overskot</w:t>
      </w:r>
      <w:proofErr w:type="spellEnd"/>
      <w:r w:rsidRPr="00E426D3">
        <w:t xml:space="preserve"> </w:t>
      </w:r>
      <w:proofErr w:type="spellStart"/>
      <w:r w:rsidRPr="00E426D3">
        <w:t>frå</w:t>
      </w:r>
      <w:proofErr w:type="spellEnd"/>
      <w:r w:rsidRPr="00E426D3">
        <w:t xml:space="preserve"> eigen kraftproduksjon kan </w:t>
      </w:r>
      <w:proofErr w:type="spellStart"/>
      <w:r w:rsidRPr="00E426D3">
        <w:t>delast</w:t>
      </w:r>
      <w:proofErr w:type="spellEnd"/>
      <w:r w:rsidRPr="00E426D3">
        <w:t xml:space="preserve"> med andre </w:t>
      </w:r>
      <w:proofErr w:type="spellStart"/>
      <w:r w:rsidRPr="00E426D3">
        <w:t>abonnentar</w:t>
      </w:r>
      <w:proofErr w:type="spellEnd"/>
      <w:r w:rsidRPr="00E426D3">
        <w:t xml:space="preserve"> </w:t>
      </w:r>
      <w:proofErr w:type="spellStart"/>
      <w:r w:rsidRPr="00E426D3">
        <w:t>utan</w:t>
      </w:r>
      <w:proofErr w:type="spellEnd"/>
      <w:r w:rsidRPr="00E426D3">
        <w:t xml:space="preserve"> at krafta vert ilagt elavgift og </w:t>
      </w:r>
      <w:proofErr w:type="spellStart"/>
      <w:r w:rsidRPr="00E426D3">
        <w:t>nettleige</w:t>
      </w:r>
      <w:proofErr w:type="spellEnd"/>
      <w:r w:rsidRPr="00E426D3">
        <w:t>.</w:t>
      </w:r>
    </w:p>
    <w:p w14:paraId="6DEB1136" w14:textId="77777777" w:rsidR="00772748" w:rsidRPr="00E426D3" w:rsidRDefault="00772748" w:rsidP="00E426D3">
      <w:proofErr w:type="spellStart"/>
      <w:r w:rsidRPr="00E426D3">
        <w:t>Føremålet</w:t>
      </w:r>
      <w:proofErr w:type="spellEnd"/>
      <w:r w:rsidRPr="00E426D3">
        <w:t xml:space="preserve"> med delingsordninga er å </w:t>
      </w:r>
      <w:proofErr w:type="spellStart"/>
      <w:r w:rsidRPr="00E426D3">
        <w:t>gje</w:t>
      </w:r>
      <w:proofErr w:type="spellEnd"/>
      <w:r w:rsidRPr="00E426D3">
        <w:t xml:space="preserve"> insentiv til å etablere ny fornybar kraftproduksjon i </w:t>
      </w:r>
      <w:proofErr w:type="spellStart"/>
      <w:r w:rsidRPr="00E426D3">
        <w:t>tilknyting</w:t>
      </w:r>
      <w:proofErr w:type="spellEnd"/>
      <w:r w:rsidRPr="00E426D3">
        <w:t xml:space="preserve"> til næringsområde, fyrst og fremst i form av solcelleanlegg på tak av næringsbygg. I Prop. 1 S (2024–2025) for Energidepartementet vart det varsla at Energidepartementet og Finansdepartementet </w:t>
      </w:r>
      <w:proofErr w:type="spellStart"/>
      <w:r w:rsidRPr="00E426D3">
        <w:t>tek</w:t>
      </w:r>
      <w:proofErr w:type="spellEnd"/>
      <w:r w:rsidRPr="00E426D3">
        <w:t xml:space="preserve"> sikte på å innføre ei slik ordning så raskt som </w:t>
      </w:r>
      <w:proofErr w:type="spellStart"/>
      <w:r w:rsidRPr="00E426D3">
        <w:t>mogleg</w:t>
      </w:r>
      <w:proofErr w:type="spellEnd"/>
      <w:r w:rsidRPr="00E426D3">
        <w:t xml:space="preserve"> med heimel i energiloven, særavgiftsloven og Stortinget sitt vedtak om avgift på elektrisk kraft.</w:t>
      </w:r>
    </w:p>
    <w:p w14:paraId="6E002A25" w14:textId="77777777" w:rsidR="00772748" w:rsidRPr="00E426D3" w:rsidRDefault="00772748" w:rsidP="00E426D3">
      <w:r w:rsidRPr="00E426D3">
        <w:t xml:space="preserve">Det vart 1. oktober 2023 innført ei delingsordning for fornybar kraft som </w:t>
      </w:r>
      <w:proofErr w:type="spellStart"/>
      <w:r w:rsidRPr="00E426D3">
        <w:t>delast</w:t>
      </w:r>
      <w:proofErr w:type="spellEnd"/>
      <w:r w:rsidRPr="00E426D3">
        <w:t xml:space="preserve"> </w:t>
      </w:r>
      <w:proofErr w:type="spellStart"/>
      <w:r w:rsidRPr="00E426D3">
        <w:t>innanfor</w:t>
      </w:r>
      <w:proofErr w:type="spellEnd"/>
      <w:r w:rsidRPr="00E426D3">
        <w:t xml:space="preserve"> same </w:t>
      </w:r>
      <w:proofErr w:type="spellStart"/>
      <w:r w:rsidRPr="00E426D3">
        <w:t>eigedom</w:t>
      </w:r>
      <w:proofErr w:type="spellEnd"/>
      <w:r w:rsidRPr="00E426D3">
        <w:t xml:space="preserve">. Ordninga har vorte </w:t>
      </w:r>
      <w:proofErr w:type="spellStart"/>
      <w:r w:rsidRPr="00E426D3">
        <w:t>vesentleg</w:t>
      </w:r>
      <w:proofErr w:type="spellEnd"/>
      <w:r w:rsidRPr="00E426D3">
        <w:t xml:space="preserve"> mindre brukt enn </w:t>
      </w:r>
      <w:proofErr w:type="spellStart"/>
      <w:r w:rsidRPr="00E426D3">
        <w:t>opphavleg</w:t>
      </w:r>
      <w:proofErr w:type="spellEnd"/>
      <w:r w:rsidRPr="00E426D3">
        <w:t xml:space="preserve"> lagt til grunn. I 2024 </w:t>
      </w:r>
      <w:proofErr w:type="spellStart"/>
      <w:r w:rsidRPr="00E426D3">
        <w:t>vart</w:t>
      </w:r>
      <w:proofErr w:type="spellEnd"/>
      <w:r w:rsidRPr="00E426D3">
        <w:t xml:space="preserve"> det </w:t>
      </w:r>
      <w:proofErr w:type="spellStart"/>
      <w:r w:rsidRPr="00E426D3">
        <w:t>berre</w:t>
      </w:r>
      <w:proofErr w:type="spellEnd"/>
      <w:r w:rsidRPr="00E426D3">
        <w:t xml:space="preserve"> delt 247 919 kWh gjennom delingsordninga, </w:t>
      </w:r>
      <w:proofErr w:type="spellStart"/>
      <w:r w:rsidRPr="00E426D3">
        <w:t>tilsvarande</w:t>
      </w:r>
      <w:proofErr w:type="spellEnd"/>
      <w:r w:rsidRPr="00E426D3">
        <w:t xml:space="preserve"> det </w:t>
      </w:r>
      <w:proofErr w:type="spellStart"/>
      <w:r w:rsidRPr="00E426D3">
        <w:t>årlege</w:t>
      </w:r>
      <w:proofErr w:type="spellEnd"/>
      <w:r w:rsidRPr="00E426D3">
        <w:t xml:space="preserve"> straumforbruket til 16 </w:t>
      </w:r>
      <w:proofErr w:type="spellStart"/>
      <w:r w:rsidRPr="00E426D3">
        <w:t>gjennomsnittlege</w:t>
      </w:r>
      <w:proofErr w:type="spellEnd"/>
      <w:r w:rsidRPr="00E426D3">
        <w:t xml:space="preserve"> </w:t>
      </w:r>
      <w:proofErr w:type="spellStart"/>
      <w:r w:rsidRPr="00E426D3">
        <w:t>hushald</w:t>
      </w:r>
      <w:proofErr w:type="spellEnd"/>
      <w:r w:rsidRPr="00E426D3">
        <w:t>. Den samla verdien av fritaket for elavgift utgjorde 38 025 kroner.</w:t>
      </w:r>
    </w:p>
    <w:p w14:paraId="175DC302" w14:textId="77777777" w:rsidR="00772748" w:rsidRPr="00E426D3" w:rsidRDefault="00772748" w:rsidP="00E426D3">
      <w:pPr>
        <w:pStyle w:val="Overskrift2"/>
      </w:pPr>
      <w:proofErr w:type="spellStart"/>
      <w:r w:rsidRPr="00E426D3">
        <w:t>Høyringa</w:t>
      </w:r>
      <w:proofErr w:type="spellEnd"/>
    </w:p>
    <w:p w14:paraId="030ED70E" w14:textId="77777777" w:rsidR="00772748" w:rsidRPr="00E426D3" w:rsidRDefault="00772748" w:rsidP="00E426D3">
      <w:r w:rsidRPr="00E426D3">
        <w:t xml:space="preserve">Energidepartementet og Finansdepartementet sende 9. desember 2024 </w:t>
      </w:r>
      <w:proofErr w:type="spellStart"/>
      <w:r w:rsidRPr="00E426D3">
        <w:t>eit</w:t>
      </w:r>
      <w:proofErr w:type="spellEnd"/>
      <w:r w:rsidRPr="00E426D3">
        <w:t xml:space="preserve"> framlegg på </w:t>
      </w:r>
      <w:proofErr w:type="spellStart"/>
      <w:r w:rsidRPr="00E426D3">
        <w:t>høyring</w:t>
      </w:r>
      <w:proofErr w:type="spellEnd"/>
      <w:r w:rsidRPr="00E426D3">
        <w:t xml:space="preserve"> med </w:t>
      </w:r>
      <w:proofErr w:type="spellStart"/>
      <w:r w:rsidRPr="00E426D3">
        <w:t>høyringsfrist</w:t>
      </w:r>
      <w:proofErr w:type="spellEnd"/>
      <w:r w:rsidRPr="00E426D3">
        <w:t xml:space="preserve"> 3. februar 2025. Framlegget i </w:t>
      </w:r>
      <w:proofErr w:type="spellStart"/>
      <w:r w:rsidRPr="00E426D3">
        <w:t>høyringa</w:t>
      </w:r>
      <w:proofErr w:type="spellEnd"/>
      <w:r w:rsidRPr="00E426D3">
        <w:t xml:space="preserve"> </w:t>
      </w:r>
      <w:proofErr w:type="spellStart"/>
      <w:r w:rsidRPr="00E426D3">
        <w:t>avgrensar</w:t>
      </w:r>
      <w:proofErr w:type="spellEnd"/>
      <w:r w:rsidRPr="00E426D3">
        <w:t xml:space="preserve"> delingsordninga etter produksjonskapasitet og areal. Den elektriske krafta må </w:t>
      </w:r>
      <w:proofErr w:type="spellStart"/>
      <w:r w:rsidRPr="00E426D3">
        <w:t>vere</w:t>
      </w:r>
      <w:proofErr w:type="spellEnd"/>
      <w:r w:rsidRPr="00E426D3">
        <w:t xml:space="preserve"> produsert av fornybare energikjelder i </w:t>
      </w:r>
      <w:proofErr w:type="spellStart"/>
      <w:r w:rsidRPr="00E426D3">
        <w:t>eitt</w:t>
      </w:r>
      <w:proofErr w:type="spellEnd"/>
      <w:r w:rsidRPr="00E426D3">
        <w:t xml:space="preserve"> eller </w:t>
      </w:r>
      <w:proofErr w:type="spellStart"/>
      <w:r w:rsidRPr="00E426D3">
        <w:t>fleire</w:t>
      </w:r>
      <w:proofErr w:type="spellEnd"/>
      <w:r w:rsidRPr="00E426D3">
        <w:t xml:space="preserve"> produksjonsanlegg som </w:t>
      </w:r>
      <w:proofErr w:type="spellStart"/>
      <w:r w:rsidRPr="00E426D3">
        <w:t>åleine</w:t>
      </w:r>
      <w:proofErr w:type="spellEnd"/>
      <w:r w:rsidRPr="00E426D3">
        <w:t xml:space="preserve"> eller til </w:t>
      </w:r>
      <w:proofErr w:type="spellStart"/>
      <w:r w:rsidRPr="00E426D3">
        <w:t>saman</w:t>
      </w:r>
      <w:proofErr w:type="spellEnd"/>
      <w:r w:rsidRPr="00E426D3">
        <w:t xml:space="preserve"> </w:t>
      </w:r>
      <w:proofErr w:type="spellStart"/>
      <w:r w:rsidRPr="00E426D3">
        <w:t>ikkje</w:t>
      </w:r>
      <w:proofErr w:type="spellEnd"/>
      <w:r w:rsidRPr="00E426D3">
        <w:t xml:space="preserve"> er større enn 5 MW (AC) per næringsområde (typisk solceller). </w:t>
      </w:r>
      <w:proofErr w:type="spellStart"/>
      <w:r w:rsidRPr="00E426D3">
        <w:t>Vidare</w:t>
      </w:r>
      <w:proofErr w:type="spellEnd"/>
      <w:r w:rsidRPr="00E426D3">
        <w:t xml:space="preserve"> må den elektriske krafta </w:t>
      </w:r>
      <w:proofErr w:type="spellStart"/>
      <w:r w:rsidRPr="00E426D3">
        <w:t>vere</w:t>
      </w:r>
      <w:proofErr w:type="spellEnd"/>
      <w:r w:rsidRPr="00E426D3">
        <w:t xml:space="preserve"> produsert av og levert til </w:t>
      </w:r>
      <w:proofErr w:type="spellStart"/>
      <w:r w:rsidRPr="00E426D3">
        <w:t>abonnentar</w:t>
      </w:r>
      <w:proofErr w:type="spellEnd"/>
      <w:r w:rsidRPr="00E426D3">
        <w:t xml:space="preserve"> </w:t>
      </w:r>
      <w:proofErr w:type="spellStart"/>
      <w:r w:rsidRPr="00E426D3">
        <w:t>innanfor</w:t>
      </w:r>
      <w:proofErr w:type="spellEnd"/>
      <w:r w:rsidRPr="00E426D3">
        <w:t xml:space="preserve"> same næringsområde. Med «same næringsområde» er det etter framlegget i </w:t>
      </w:r>
      <w:proofErr w:type="spellStart"/>
      <w:r w:rsidRPr="00E426D3">
        <w:t>høyringa</w:t>
      </w:r>
      <w:proofErr w:type="spellEnd"/>
      <w:r w:rsidRPr="00E426D3">
        <w:t xml:space="preserve"> meint </w:t>
      </w:r>
      <w:proofErr w:type="spellStart"/>
      <w:r w:rsidRPr="00E426D3">
        <w:t>eit</w:t>
      </w:r>
      <w:proofErr w:type="spellEnd"/>
      <w:r w:rsidRPr="00E426D3">
        <w:t xml:space="preserve"> geografisk avgrensa areal der </w:t>
      </w:r>
      <w:proofErr w:type="spellStart"/>
      <w:r w:rsidRPr="00E426D3">
        <w:t>næringsverksemd</w:t>
      </w:r>
      <w:proofErr w:type="spellEnd"/>
      <w:r w:rsidRPr="00E426D3">
        <w:t xml:space="preserve"> er samlokalisert. I </w:t>
      </w:r>
      <w:proofErr w:type="spellStart"/>
      <w:r w:rsidRPr="00E426D3">
        <w:t>høyringsnotatet</w:t>
      </w:r>
      <w:proofErr w:type="spellEnd"/>
      <w:r w:rsidRPr="00E426D3">
        <w:t xml:space="preserve"> vart det varsla at Energidepartementet og Finansdepartementet </w:t>
      </w:r>
      <w:proofErr w:type="spellStart"/>
      <w:r w:rsidRPr="00E426D3">
        <w:t>tek</w:t>
      </w:r>
      <w:proofErr w:type="spellEnd"/>
      <w:r w:rsidRPr="00E426D3">
        <w:t xml:space="preserve"> sikte på å </w:t>
      </w:r>
      <w:proofErr w:type="spellStart"/>
      <w:r w:rsidRPr="00E426D3">
        <w:t>setje</w:t>
      </w:r>
      <w:proofErr w:type="spellEnd"/>
      <w:r w:rsidRPr="00E426D3">
        <w:t xml:space="preserve"> i verk </w:t>
      </w:r>
      <w:proofErr w:type="spellStart"/>
      <w:r w:rsidRPr="00E426D3">
        <w:t>endringane</w:t>
      </w:r>
      <w:proofErr w:type="spellEnd"/>
      <w:r w:rsidRPr="00E426D3">
        <w:t xml:space="preserve"> </w:t>
      </w:r>
      <w:proofErr w:type="spellStart"/>
      <w:r w:rsidRPr="00E426D3">
        <w:t>frå</w:t>
      </w:r>
      <w:proofErr w:type="spellEnd"/>
      <w:r w:rsidRPr="00E426D3">
        <w:t xml:space="preserve"> 1. juli 2025 og at framlegget krev endring i Stortingets vedtak om avgift på elektrisk kraft.</w:t>
      </w:r>
    </w:p>
    <w:p w14:paraId="6B5CF7D2" w14:textId="77777777" w:rsidR="00772748" w:rsidRPr="00E426D3" w:rsidRDefault="00772748" w:rsidP="00E426D3">
      <w:pPr>
        <w:pStyle w:val="Overskrift2"/>
      </w:pPr>
      <w:proofErr w:type="spellStart"/>
      <w:r w:rsidRPr="00E426D3">
        <w:t>Høyringsfråsegner</w:t>
      </w:r>
      <w:proofErr w:type="spellEnd"/>
    </w:p>
    <w:p w14:paraId="689C14EC" w14:textId="77777777" w:rsidR="00772748" w:rsidRPr="00E426D3" w:rsidRDefault="00772748" w:rsidP="00E426D3">
      <w:r w:rsidRPr="00E426D3">
        <w:t xml:space="preserve">Departementa har </w:t>
      </w:r>
      <w:proofErr w:type="spellStart"/>
      <w:r w:rsidRPr="00E426D3">
        <w:t>motteke</w:t>
      </w:r>
      <w:proofErr w:type="spellEnd"/>
      <w:r w:rsidRPr="00E426D3">
        <w:t xml:space="preserve"> til </w:t>
      </w:r>
      <w:proofErr w:type="spellStart"/>
      <w:r w:rsidRPr="00E426D3">
        <w:t>saman</w:t>
      </w:r>
      <w:proofErr w:type="spellEnd"/>
      <w:r w:rsidRPr="00E426D3">
        <w:t xml:space="preserve"> 79 </w:t>
      </w:r>
      <w:proofErr w:type="spellStart"/>
      <w:r w:rsidRPr="00E426D3">
        <w:t>høyringsfråsegner</w:t>
      </w:r>
      <w:proofErr w:type="spellEnd"/>
      <w:r w:rsidRPr="00E426D3">
        <w:t xml:space="preserve">. </w:t>
      </w:r>
      <w:proofErr w:type="spellStart"/>
      <w:r w:rsidRPr="00E426D3">
        <w:t>Fleire</w:t>
      </w:r>
      <w:proofErr w:type="spellEnd"/>
      <w:r w:rsidRPr="00E426D3">
        <w:t xml:space="preserve"> </w:t>
      </w:r>
      <w:proofErr w:type="spellStart"/>
      <w:r w:rsidRPr="00E426D3">
        <w:t>høyringsinstansar</w:t>
      </w:r>
      <w:proofErr w:type="spellEnd"/>
      <w:r w:rsidRPr="00E426D3">
        <w:t xml:space="preserve"> er positive til framlegget. Dette </w:t>
      </w:r>
      <w:proofErr w:type="spellStart"/>
      <w:r w:rsidRPr="00E426D3">
        <w:t>gjeld</w:t>
      </w:r>
      <w:proofErr w:type="spellEnd"/>
      <w:r w:rsidRPr="00E426D3">
        <w:t xml:space="preserve"> mellom anna </w:t>
      </w:r>
      <w:r w:rsidRPr="00E426D3">
        <w:rPr>
          <w:rStyle w:val="kursiv"/>
        </w:rPr>
        <w:t xml:space="preserve">Akershus fylkeskommune, Coop Norge SA, Eigersund Næring og Hamn KF, </w:t>
      </w:r>
      <w:proofErr w:type="spellStart"/>
      <w:r w:rsidRPr="00E426D3">
        <w:rPr>
          <w:rStyle w:val="kursiv"/>
        </w:rPr>
        <w:t>Elhub</w:t>
      </w:r>
      <w:proofErr w:type="spellEnd"/>
      <w:r w:rsidRPr="00E426D3">
        <w:rPr>
          <w:rStyle w:val="kursiv"/>
        </w:rPr>
        <w:t xml:space="preserve"> AS, Kraftfylka, </w:t>
      </w:r>
      <w:proofErr w:type="spellStart"/>
      <w:r w:rsidRPr="00E426D3">
        <w:rPr>
          <w:rStyle w:val="kursiv"/>
        </w:rPr>
        <w:t>KRNCoaching</w:t>
      </w:r>
      <w:proofErr w:type="spellEnd"/>
      <w:r w:rsidRPr="00E426D3">
        <w:rPr>
          <w:rStyle w:val="kursiv"/>
        </w:rPr>
        <w:t xml:space="preserve"> AS, NBBL, Nettselskapet AS, Norsk Industri, Oslo kommune, Rogaland fylkeskommune, Statnett SF, Statsbygg, Østfold fylkeskommune og Å Energi.</w:t>
      </w:r>
    </w:p>
    <w:p w14:paraId="46DB8637" w14:textId="77777777" w:rsidR="00772748" w:rsidRPr="00E426D3" w:rsidRDefault="00772748" w:rsidP="00E426D3">
      <w:proofErr w:type="spellStart"/>
      <w:r w:rsidRPr="00E426D3">
        <w:t>Fleire</w:t>
      </w:r>
      <w:proofErr w:type="spellEnd"/>
      <w:r w:rsidRPr="00E426D3">
        <w:t xml:space="preserve"> </w:t>
      </w:r>
      <w:proofErr w:type="spellStart"/>
      <w:r w:rsidRPr="00E426D3">
        <w:t>høyringsinstansar</w:t>
      </w:r>
      <w:proofErr w:type="spellEnd"/>
      <w:r w:rsidRPr="00E426D3">
        <w:t xml:space="preserve"> (mellom anna </w:t>
      </w:r>
      <w:proofErr w:type="spellStart"/>
      <w:r w:rsidRPr="00E426D3">
        <w:rPr>
          <w:rStyle w:val="kursiv"/>
        </w:rPr>
        <w:t>Elvia</w:t>
      </w:r>
      <w:proofErr w:type="spellEnd"/>
      <w:r w:rsidRPr="00E426D3">
        <w:rPr>
          <w:rStyle w:val="kursiv"/>
        </w:rPr>
        <w:t xml:space="preserve"> AS, Glitre Nett AS, Lede AS, Samfunnsbedriftene Energi og </w:t>
      </w:r>
      <w:proofErr w:type="spellStart"/>
      <w:r w:rsidRPr="00E426D3">
        <w:rPr>
          <w:rStyle w:val="kursiv"/>
        </w:rPr>
        <w:t>Tensio</w:t>
      </w:r>
      <w:proofErr w:type="spellEnd"/>
      <w:r w:rsidRPr="00E426D3">
        <w:rPr>
          <w:rStyle w:val="kursiv"/>
        </w:rPr>
        <w:t xml:space="preserve"> AS</w:t>
      </w:r>
      <w:r w:rsidRPr="00E426D3">
        <w:t xml:space="preserve">) </w:t>
      </w:r>
      <w:proofErr w:type="spellStart"/>
      <w:r w:rsidRPr="00E426D3">
        <w:t>støttar</w:t>
      </w:r>
      <w:proofErr w:type="spellEnd"/>
      <w:r w:rsidRPr="00E426D3">
        <w:t xml:space="preserve"> </w:t>
      </w:r>
      <w:proofErr w:type="spellStart"/>
      <w:r w:rsidRPr="00E426D3">
        <w:t>ikkje</w:t>
      </w:r>
      <w:proofErr w:type="spellEnd"/>
      <w:r w:rsidRPr="00E426D3">
        <w:t xml:space="preserve"> framlegget i sin heilskap og </w:t>
      </w:r>
      <w:proofErr w:type="spellStart"/>
      <w:r w:rsidRPr="00E426D3">
        <w:t>peiker</w:t>
      </w:r>
      <w:proofErr w:type="spellEnd"/>
      <w:r w:rsidRPr="00E426D3">
        <w:t xml:space="preserve"> på andre alternativ for å </w:t>
      </w:r>
      <w:proofErr w:type="spellStart"/>
      <w:r w:rsidRPr="00E426D3">
        <w:t>gje</w:t>
      </w:r>
      <w:proofErr w:type="spellEnd"/>
      <w:r w:rsidRPr="00E426D3">
        <w:t xml:space="preserve"> støtte til deling av fornybar kraft i næringsområde. </w:t>
      </w:r>
      <w:proofErr w:type="spellStart"/>
      <w:r w:rsidRPr="00E426D3">
        <w:t>Elvia</w:t>
      </w:r>
      <w:proofErr w:type="spellEnd"/>
      <w:r w:rsidRPr="00E426D3">
        <w:t xml:space="preserve"> AS og </w:t>
      </w:r>
      <w:proofErr w:type="spellStart"/>
      <w:r w:rsidRPr="00E426D3">
        <w:t>Tensio</w:t>
      </w:r>
      <w:proofErr w:type="spellEnd"/>
      <w:r w:rsidRPr="00E426D3">
        <w:t xml:space="preserve"> AS meiner at direkte støtte er betre enn indirekte støtte i form av fritak for avgift.</w:t>
      </w:r>
    </w:p>
    <w:p w14:paraId="6EB8B5B5" w14:textId="77777777" w:rsidR="00772748" w:rsidRPr="00E426D3" w:rsidRDefault="00772748" w:rsidP="00E426D3">
      <w:proofErr w:type="spellStart"/>
      <w:r w:rsidRPr="00E426D3">
        <w:lastRenderedPageBreak/>
        <w:t>Fleire</w:t>
      </w:r>
      <w:proofErr w:type="spellEnd"/>
      <w:r w:rsidRPr="00E426D3">
        <w:t xml:space="preserve"> </w:t>
      </w:r>
      <w:proofErr w:type="spellStart"/>
      <w:r w:rsidRPr="00E426D3">
        <w:t>høyringsinstansar</w:t>
      </w:r>
      <w:proofErr w:type="spellEnd"/>
      <w:r w:rsidRPr="00E426D3">
        <w:t xml:space="preserve"> (mellom anna </w:t>
      </w:r>
      <w:r w:rsidRPr="00E426D3">
        <w:rPr>
          <w:rStyle w:val="kursiv"/>
        </w:rPr>
        <w:t xml:space="preserve">Bane NOR SF, E C Dahls Eiendom AS (ECDE), </w:t>
      </w:r>
      <w:proofErr w:type="spellStart"/>
      <w:r w:rsidRPr="00E426D3">
        <w:rPr>
          <w:rStyle w:val="kursiv"/>
        </w:rPr>
        <w:t>Elvia</w:t>
      </w:r>
      <w:proofErr w:type="spellEnd"/>
      <w:r w:rsidRPr="00E426D3">
        <w:rPr>
          <w:rStyle w:val="kursiv"/>
        </w:rPr>
        <w:t xml:space="preserve"> AS, Fornybar Norge, Forus Næringspark AS, Grønn </w:t>
      </w:r>
      <w:proofErr w:type="spellStart"/>
      <w:r w:rsidRPr="00E426D3">
        <w:rPr>
          <w:rStyle w:val="kursiv"/>
        </w:rPr>
        <w:t>Byggallianse</w:t>
      </w:r>
      <w:proofErr w:type="spellEnd"/>
      <w:r w:rsidRPr="00E426D3">
        <w:rPr>
          <w:rStyle w:val="kursiv"/>
        </w:rPr>
        <w:t xml:space="preserve"> og Norsk Eiendom, Lede AS, </w:t>
      </w:r>
      <w:proofErr w:type="spellStart"/>
      <w:r w:rsidRPr="00E426D3">
        <w:rPr>
          <w:rStyle w:val="kursiv"/>
        </w:rPr>
        <w:t>Lnett</w:t>
      </w:r>
      <w:proofErr w:type="spellEnd"/>
      <w:r w:rsidRPr="00E426D3">
        <w:rPr>
          <w:rStyle w:val="kursiv"/>
        </w:rPr>
        <w:t xml:space="preserve"> AS, NHO Byggenæringen, Norges vassdrags- og energidirektorat (NVE), </w:t>
      </w:r>
      <w:proofErr w:type="spellStart"/>
      <w:r w:rsidRPr="00E426D3">
        <w:rPr>
          <w:rStyle w:val="kursiv"/>
        </w:rPr>
        <w:t>Reguleringsmyndigheita</w:t>
      </w:r>
      <w:proofErr w:type="spellEnd"/>
      <w:r w:rsidRPr="00E426D3">
        <w:rPr>
          <w:rStyle w:val="kursiv"/>
        </w:rPr>
        <w:t xml:space="preserve"> for energi (RME), Skattedirektoratet, Solcellespesialisten, </w:t>
      </w:r>
      <w:proofErr w:type="spellStart"/>
      <w:r w:rsidRPr="00E426D3">
        <w:rPr>
          <w:rStyle w:val="kursiv"/>
        </w:rPr>
        <w:t>Tensio</w:t>
      </w:r>
      <w:proofErr w:type="spellEnd"/>
      <w:r w:rsidRPr="00E426D3">
        <w:rPr>
          <w:rStyle w:val="kursiv"/>
        </w:rPr>
        <w:t xml:space="preserve"> AS, Zero og Hovedorganisasjonen Virke</w:t>
      </w:r>
      <w:r w:rsidRPr="00E426D3">
        <w:t xml:space="preserve">) </w:t>
      </w:r>
      <w:proofErr w:type="spellStart"/>
      <w:r w:rsidRPr="00E426D3">
        <w:t>framhevar</w:t>
      </w:r>
      <w:proofErr w:type="spellEnd"/>
      <w:r w:rsidRPr="00E426D3">
        <w:t xml:space="preserve"> at vilkåret om «</w:t>
      </w:r>
      <w:proofErr w:type="spellStart"/>
      <w:r w:rsidRPr="00E426D3">
        <w:t>samanhengande</w:t>
      </w:r>
      <w:proofErr w:type="spellEnd"/>
      <w:r w:rsidRPr="00E426D3">
        <w:t xml:space="preserve"> næringsområde» kan </w:t>
      </w:r>
      <w:proofErr w:type="spellStart"/>
      <w:r w:rsidRPr="00E426D3">
        <w:t>vere</w:t>
      </w:r>
      <w:proofErr w:type="spellEnd"/>
      <w:r w:rsidRPr="00E426D3">
        <w:t xml:space="preserve"> </w:t>
      </w:r>
      <w:proofErr w:type="spellStart"/>
      <w:r w:rsidRPr="00E426D3">
        <w:t>utfordrande</w:t>
      </w:r>
      <w:proofErr w:type="spellEnd"/>
      <w:r w:rsidRPr="00E426D3">
        <w:t xml:space="preserve"> å praktisere og føre til tvil om kven som kan delta i ordninga. </w:t>
      </w:r>
      <w:proofErr w:type="spellStart"/>
      <w:r w:rsidRPr="00E426D3">
        <w:t>Fleire</w:t>
      </w:r>
      <w:proofErr w:type="spellEnd"/>
      <w:r w:rsidRPr="00E426D3">
        <w:t xml:space="preserve"> av </w:t>
      </w:r>
      <w:proofErr w:type="spellStart"/>
      <w:r w:rsidRPr="00E426D3">
        <w:t>instansane</w:t>
      </w:r>
      <w:proofErr w:type="spellEnd"/>
      <w:r w:rsidRPr="00E426D3">
        <w:t xml:space="preserve"> </w:t>
      </w:r>
      <w:proofErr w:type="spellStart"/>
      <w:r w:rsidRPr="00E426D3">
        <w:t>tek</w:t>
      </w:r>
      <w:proofErr w:type="spellEnd"/>
      <w:r w:rsidRPr="00E426D3">
        <w:t xml:space="preserve"> til orde for at ordninga kan bli administrativt </w:t>
      </w:r>
      <w:proofErr w:type="spellStart"/>
      <w:r w:rsidRPr="00E426D3">
        <w:t>krevjande</w:t>
      </w:r>
      <w:proofErr w:type="spellEnd"/>
      <w:r w:rsidRPr="00E426D3">
        <w:t xml:space="preserve"> med risiko for ulik behandling. Ei tilfeldig og lite presis avgrensing kan </w:t>
      </w:r>
      <w:proofErr w:type="spellStart"/>
      <w:r w:rsidRPr="00E426D3">
        <w:t>gje</w:t>
      </w:r>
      <w:proofErr w:type="spellEnd"/>
      <w:r w:rsidRPr="00E426D3">
        <w:t xml:space="preserve"> mindre utbreiing av lokal energiproduksjon og </w:t>
      </w:r>
      <w:proofErr w:type="spellStart"/>
      <w:r w:rsidRPr="00E426D3">
        <w:t>gjere</w:t>
      </w:r>
      <w:proofErr w:type="spellEnd"/>
      <w:r w:rsidRPr="00E426D3">
        <w:t xml:space="preserve"> det </w:t>
      </w:r>
      <w:proofErr w:type="spellStart"/>
      <w:r w:rsidRPr="00E426D3">
        <w:t>vanskeleg</w:t>
      </w:r>
      <w:proofErr w:type="spellEnd"/>
      <w:r w:rsidRPr="00E426D3">
        <w:t xml:space="preserve"> for </w:t>
      </w:r>
      <w:proofErr w:type="spellStart"/>
      <w:r w:rsidRPr="00E426D3">
        <w:t>aktørar</w:t>
      </w:r>
      <w:proofErr w:type="spellEnd"/>
      <w:r w:rsidRPr="00E426D3">
        <w:t xml:space="preserve"> å </w:t>
      </w:r>
      <w:proofErr w:type="spellStart"/>
      <w:r w:rsidRPr="00E426D3">
        <w:t>planleggje</w:t>
      </w:r>
      <w:proofErr w:type="spellEnd"/>
      <w:r w:rsidRPr="00E426D3">
        <w:t xml:space="preserve"> </w:t>
      </w:r>
      <w:proofErr w:type="spellStart"/>
      <w:r w:rsidRPr="00E426D3">
        <w:t>investeringar</w:t>
      </w:r>
      <w:proofErr w:type="spellEnd"/>
      <w:r w:rsidRPr="00E426D3">
        <w:t xml:space="preserve">. </w:t>
      </w:r>
      <w:proofErr w:type="spellStart"/>
      <w:r w:rsidRPr="00E426D3">
        <w:t>Fleire</w:t>
      </w:r>
      <w:proofErr w:type="spellEnd"/>
      <w:r w:rsidRPr="00E426D3">
        <w:t xml:space="preserve"> </w:t>
      </w:r>
      <w:proofErr w:type="spellStart"/>
      <w:r w:rsidRPr="00E426D3">
        <w:t>høyringsinstansar</w:t>
      </w:r>
      <w:proofErr w:type="spellEnd"/>
      <w:r w:rsidRPr="00E426D3">
        <w:t xml:space="preserve"> </w:t>
      </w:r>
      <w:proofErr w:type="spellStart"/>
      <w:r w:rsidRPr="00E426D3">
        <w:t>uttrykkjer</w:t>
      </w:r>
      <w:proofErr w:type="spellEnd"/>
      <w:r w:rsidRPr="00E426D3">
        <w:t xml:space="preserve"> </w:t>
      </w:r>
      <w:proofErr w:type="spellStart"/>
      <w:r w:rsidRPr="00E426D3">
        <w:t>bekymringar</w:t>
      </w:r>
      <w:proofErr w:type="spellEnd"/>
      <w:r w:rsidRPr="00E426D3">
        <w:t xml:space="preserve"> om </w:t>
      </w:r>
      <w:proofErr w:type="spellStart"/>
      <w:r w:rsidRPr="00E426D3">
        <w:t>administrasjonskostnadar</w:t>
      </w:r>
      <w:proofErr w:type="spellEnd"/>
      <w:r w:rsidRPr="00E426D3">
        <w:t xml:space="preserve"> og behov for klare </w:t>
      </w:r>
      <w:proofErr w:type="spellStart"/>
      <w:r w:rsidRPr="00E426D3">
        <w:t>avgrensingar</w:t>
      </w:r>
      <w:proofErr w:type="spellEnd"/>
      <w:r w:rsidRPr="00E426D3">
        <w:t xml:space="preserve"> for å unngå forskjellsbehandling.</w:t>
      </w:r>
    </w:p>
    <w:p w14:paraId="3F1FD6C4" w14:textId="77777777" w:rsidR="00772748" w:rsidRPr="00E426D3" w:rsidRDefault="00772748" w:rsidP="00E426D3">
      <w:pPr>
        <w:rPr>
          <w:rStyle w:val="kursiv"/>
        </w:rPr>
      </w:pPr>
      <w:r w:rsidRPr="00E426D3">
        <w:rPr>
          <w:rStyle w:val="kursiv"/>
        </w:rPr>
        <w:t>Samfunnsbedriftene Energi</w:t>
      </w:r>
      <w:r w:rsidRPr="00E426D3">
        <w:t xml:space="preserve"> tilrår at framlegget </w:t>
      </w:r>
      <w:proofErr w:type="spellStart"/>
      <w:r w:rsidRPr="00E426D3">
        <w:t>ikkje</w:t>
      </w:r>
      <w:proofErr w:type="spellEnd"/>
      <w:r w:rsidRPr="00E426D3">
        <w:t xml:space="preserve"> </w:t>
      </w:r>
      <w:proofErr w:type="spellStart"/>
      <w:r w:rsidRPr="00E426D3">
        <w:t>tek</w:t>
      </w:r>
      <w:proofErr w:type="spellEnd"/>
      <w:r w:rsidRPr="00E426D3">
        <w:t xml:space="preserve"> til å gjelde før juli 2026, slik at nettselskapa får betre tid til å tilpasse seg og forberede </w:t>
      </w:r>
      <w:proofErr w:type="spellStart"/>
      <w:r w:rsidRPr="00E426D3">
        <w:t>naudsynte</w:t>
      </w:r>
      <w:proofErr w:type="spellEnd"/>
      <w:r w:rsidRPr="00E426D3">
        <w:t xml:space="preserve"> </w:t>
      </w:r>
      <w:proofErr w:type="spellStart"/>
      <w:r w:rsidRPr="00E426D3">
        <w:t>investeringar</w:t>
      </w:r>
      <w:proofErr w:type="spellEnd"/>
      <w:r w:rsidRPr="00E426D3">
        <w:t>.</w:t>
      </w:r>
    </w:p>
    <w:p w14:paraId="437EFA57" w14:textId="77777777" w:rsidR="00772748" w:rsidRPr="00E426D3" w:rsidRDefault="00772748" w:rsidP="00E426D3">
      <w:proofErr w:type="spellStart"/>
      <w:r w:rsidRPr="00E426D3">
        <w:t>Fleire</w:t>
      </w:r>
      <w:proofErr w:type="spellEnd"/>
      <w:r w:rsidRPr="00E426D3">
        <w:t xml:space="preserve"> </w:t>
      </w:r>
      <w:proofErr w:type="spellStart"/>
      <w:r w:rsidRPr="00E426D3">
        <w:t>høyringsinstansar</w:t>
      </w:r>
      <w:proofErr w:type="spellEnd"/>
      <w:r w:rsidRPr="00E426D3">
        <w:t xml:space="preserve"> </w:t>
      </w:r>
      <w:r w:rsidRPr="00E426D3">
        <w:rPr>
          <w:rStyle w:val="kursiv"/>
        </w:rPr>
        <w:t xml:space="preserve">(Akershus fylkeskommune, Eigersund Næring og Hamn KF, </w:t>
      </w:r>
      <w:proofErr w:type="spellStart"/>
      <w:r w:rsidRPr="00E426D3">
        <w:rPr>
          <w:rStyle w:val="kursiv"/>
        </w:rPr>
        <w:t>Elhub</w:t>
      </w:r>
      <w:proofErr w:type="spellEnd"/>
      <w:r w:rsidRPr="00E426D3">
        <w:rPr>
          <w:rStyle w:val="kursiv"/>
        </w:rPr>
        <w:t xml:space="preserve"> AS, </w:t>
      </w:r>
      <w:proofErr w:type="spellStart"/>
      <w:r w:rsidRPr="00E426D3">
        <w:rPr>
          <w:rStyle w:val="kursiv"/>
        </w:rPr>
        <w:t>Elvia</w:t>
      </w:r>
      <w:proofErr w:type="spellEnd"/>
      <w:r w:rsidRPr="00E426D3">
        <w:rPr>
          <w:rStyle w:val="kursiv"/>
        </w:rPr>
        <w:t xml:space="preserve"> AS, </w:t>
      </w:r>
      <w:proofErr w:type="spellStart"/>
      <w:r w:rsidRPr="00E426D3">
        <w:rPr>
          <w:rStyle w:val="kursiv"/>
        </w:rPr>
        <w:t>Enova</w:t>
      </w:r>
      <w:proofErr w:type="spellEnd"/>
      <w:r w:rsidRPr="00E426D3">
        <w:rPr>
          <w:rStyle w:val="kursiv"/>
        </w:rPr>
        <w:t xml:space="preserve">, Fornybar Norge, Lede AS, </w:t>
      </w:r>
      <w:proofErr w:type="spellStart"/>
      <w:r w:rsidRPr="00E426D3">
        <w:rPr>
          <w:rStyle w:val="kursiv"/>
        </w:rPr>
        <w:t>Lnett</w:t>
      </w:r>
      <w:proofErr w:type="spellEnd"/>
      <w:r w:rsidRPr="00E426D3">
        <w:rPr>
          <w:rStyle w:val="kursiv"/>
        </w:rPr>
        <w:t xml:space="preserve"> AS, Norsk Hydro ASA, Rogaland fylkeskommune, Skattedirektoratet og Trondheim kommune</w:t>
      </w:r>
      <w:r w:rsidRPr="00E426D3">
        <w:t xml:space="preserve">) tilrår at det vert utarbeidd </w:t>
      </w:r>
      <w:proofErr w:type="spellStart"/>
      <w:r w:rsidRPr="00E426D3">
        <w:t>ein</w:t>
      </w:r>
      <w:proofErr w:type="spellEnd"/>
      <w:r w:rsidRPr="00E426D3">
        <w:t xml:space="preserve"> </w:t>
      </w:r>
      <w:proofErr w:type="spellStart"/>
      <w:r w:rsidRPr="00E426D3">
        <w:t>rettleiar</w:t>
      </w:r>
      <w:proofErr w:type="spellEnd"/>
      <w:r w:rsidRPr="00E426D3">
        <w:t xml:space="preserve"> om vilkåra i forskriftsføresegnene. </w:t>
      </w:r>
      <w:proofErr w:type="spellStart"/>
      <w:r w:rsidRPr="00E426D3">
        <w:t>Fleire</w:t>
      </w:r>
      <w:proofErr w:type="spellEnd"/>
      <w:r w:rsidRPr="00E426D3">
        <w:t xml:space="preserve"> av </w:t>
      </w:r>
      <w:proofErr w:type="spellStart"/>
      <w:r w:rsidRPr="00E426D3">
        <w:t>desse</w:t>
      </w:r>
      <w:proofErr w:type="spellEnd"/>
      <w:r w:rsidRPr="00E426D3">
        <w:t xml:space="preserve"> </w:t>
      </w:r>
      <w:proofErr w:type="spellStart"/>
      <w:r w:rsidRPr="00E426D3">
        <w:t>høyringsinstansane</w:t>
      </w:r>
      <w:proofErr w:type="spellEnd"/>
      <w:r w:rsidRPr="00E426D3">
        <w:t xml:space="preserve"> </w:t>
      </w:r>
      <w:proofErr w:type="spellStart"/>
      <w:r w:rsidRPr="00E426D3">
        <w:t>framhevar</w:t>
      </w:r>
      <w:proofErr w:type="spellEnd"/>
      <w:r w:rsidRPr="00E426D3">
        <w:t xml:space="preserve"> at </w:t>
      </w:r>
      <w:proofErr w:type="spellStart"/>
      <w:r w:rsidRPr="00E426D3">
        <w:t>ein</w:t>
      </w:r>
      <w:proofErr w:type="spellEnd"/>
      <w:r w:rsidRPr="00E426D3">
        <w:t xml:space="preserve"> </w:t>
      </w:r>
      <w:proofErr w:type="spellStart"/>
      <w:r w:rsidRPr="00E426D3">
        <w:t>rettleiar</w:t>
      </w:r>
      <w:proofErr w:type="spellEnd"/>
      <w:r w:rsidRPr="00E426D3">
        <w:t xml:space="preserve"> bør </w:t>
      </w:r>
      <w:proofErr w:type="spellStart"/>
      <w:r w:rsidRPr="00E426D3">
        <w:t>vere</w:t>
      </w:r>
      <w:proofErr w:type="spellEnd"/>
      <w:r w:rsidRPr="00E426D3">
        <w:t xml:space="preserve"> på plass før ordninga tek til å gjelde.</w:t>
      </w:r>
    </w:p>
    <w:p w14:paraId="7956ACF9" w14:textId="77777777" w:rsidR="00772748" w:rsidRPr="00E426D3" w:rsidRDefault="00772748" w:rsidP="00E426D3">
      <w:pPr>
        <w:rPr>
          <w:rStyle w:val="kursiv"/>
        </w:rPr>
      </w:pPr>
      <w:r w:rsidRPr="00E426D3">
        <w:rPr>
          <w:rStyle w:val="kursiv"/>
        </w:rPr>
        <w:t xml:space="preserve">Skattedirektoratet </w:t>
      </w:r>
      <w:proofErr w:type="spellStart"/>
      <w:r w:rsidRPr="00E426D3">
        <w:t>peikar</w:t>
      </w:r>
      <w:proofErr w:type="spellEnd"/>
      <w:r w:rsidRPr="00E426D3">
        <w:t xml:space="preserve"> på at den geografiske avgrensinga av ordninga kan by på </w:t>
      </w:r>
      <w:proofErr w:type="spellStart"/>
      <w:r w:rsidRPr="00E426D3">
        <w:t>utfordringar</w:t>
      </w:r>
      <w:proofErr w:type="spellEnd"/>
      <w:r w:rsidRPr="00E426D3">
        <w:t xml:space="preserve">, </w:t>
      </w:r>
      <w:proofErr w:type="spellStart"/>
      <w:r w:rsidRPr="00E426D3">
        <w:t>særleg</w:t>
      </w:r>
      <w:proofErr w:type="spellEnd"/>
      <w:r w:rsidRPr="00E426D3">
        <w:t xml:space="preserve"> i </w:t>
      </w:r>
      <w:proofErr w:type="spellStart"/>
      <w:r w:rsidRPr="00E426D3">
        <w:t>skiljet</w:t>
      </w:r>
      <w:proofErr w:type="spellEnd"/>
      <w:r w:rsidRPr="00E426D3">
        <w:t xml:space="preserve"> mellom «</w:t>
      </w:r>
      <w:proofErr w:type="spellStart"/>
      <w:r w:rsidRPr="00E426D3">
        <w:t>samanhengande</w:t>
      </w:r>
      <w:proofErr w:type="spellEnd"/>
      <w:r w:rsidRPr="00E426D3">
        <w:t xml:space="preserve"> næringsområde» og generelle </w:t>
      </w:r>
      <w:proofErr w:type="spellStart"/>
      <w:r w:rsidRPr="00E426D3">
        <w:t>næringsbygningar</w:t>
      </w:r>
      <w:proofErr w:type="spellEnd"/>
      <w:r w:rsidRPr="00E426D3">
        <w:t xml:space="preserve"> i </w:t>
      </w:r>
      <w:proofErr w:type="spellStart"/>
      <w:r w:rsidRPr="00E426D3">
        <w:t>byar</w:t>
      </w:r>
      <w:proofErr w:type="spellEnd"/>
      <w:r w:rsidRPr="00E426D3">
        <w:t xml:space="preserve">. Skattedirektoratet </w:t>
      </w:r>
      <w:proofErr w:type="spellStart"/>
      <w:r w:rsidRPr="00E426D3">
        <w:t>peikar</w:t>
      </w:r>
      <w:proofErr w:type="spellEnd"/>
      <w:r w:rsidRPr="00E426D3">
        <w:t xml:space="preserve"> òg på at det er tale om ei støtteordning som for elavgifta sin del må </w:t>
      </w:r>
      <w:proofErr w:type="spellStart"/>
      <w:r w:rsidRPr="00E426D3">
        <w:t>meldast</w:t>
      </w:r>
      <w:proofErr w:type="spellEnd"/>
      <w:r w:rsidRPr="00E426D3">
        <w:t xml:space="preserve"> til EFTA sitt </w:t>
      </w:r>
      <w:proofErr w:type="spellStart"/>
      <w:r w:rsidRPr="00E426D3">
        <w:t>sovervakingsorgan</w:t>
      </w:r>
      <w:proofErr w:type="spellEnd"/>
      <w:r w:rsidRPr="00E426D3">
        <w:t xml:space="preserve"> (ESA) etter gruppeunntaksforordninga art. 44. For å kunne nytte gruppeunntak må </w:t>
      </w:r>
      <w:proofErr w:type="spellStart"/>
      <w:r w:rsidRPr="00E426D3">
        <w:t>støttemottakarar</w:t>
      </w:r>
      <w:proofErr w:type="spellEnd"/>
      <w:r w:rsidRPr="00E426D3">
        <w:t xml:space="preserve"> kunne </w:t>
      </w:r>
      <w:proofErr w:type="spellStart"/>
      <w:r w:rsidRPr="00E426D3">
        <w:t>avgrensast</w:t>
      </w:r>
      <w:proofErr w:type="spellEnd"/>
      <w:r w:rsidRPr="00E426D3">
        <w:t xml:space="preserve"> etter objektive og transparente vilkår.</w:t>
      </w:r>
    </w:p>
    <w:p w14:paraId="0D36D6B4" w14:textId="77777777" w:rsidR="00772748" w:rsidRPr="00E426D3" w:rsidRDefault="00772748" w:rsidP="00E426D3">
      <w:proofErr w:type="spellStart"/>
      <w:r w:rsidRPr="00E426D3">
        <w:t>Einskilde</w:t>
      </w:r>
      <w:proofErr w:type="spellEnd"/>
      <w:r w:rsidRPr="00E426D3">
        <w:t xml:space="preserve"> </w:t>
      </w:r>
      <w:proofErr w:type="spellStart"/>
      <w:r w:rsidRPr="00E426D3">
        <w:t>høyringsinstansar</w:t>
      </w:r>
      <w:proofErr w:type="spellEnd"/>
      <w:r w:rsidRPr="00E426D3">
        <w:t xml:space="preserve"> (mellom anna </w:t>
      </w:r>
      <w:r w:rsidRPr="00E426D3">
        <w:rPr>
          <w:rStyle w:val="kursiv"/>
        </w:rPr>
        <w:t xml:space="preserve">Akershus fylkeskommune, Bane NOR SF, BKK AS, </w:t>
      </w:r>
      <w:proofErr w:type="spellStart"/>
      <w:r w:rsidRPr="00E426D3">
        <w:rPr>
          <w:rStyle w:val="kursiv"/>
        </w:rPr>
        <w:t>Distriktsenergi</w:t>
      </w:r>
      <w:proofErr w:type="spellEnd"/>
      <w:r w:rsidRPr="00E426D3">
        <w:rPr>
          <w:rStyle w:val="kursiv"/>
        </w:rPr>
        <w:t xml:space="preserve">, ECDE, Eigersund Næring og Havn KF, Fornybar Norge, Forus Næringspark AS, Glitre Nett AS, Hafslund, Hovedorganisasjonen Virke, Kraftfylka, Møre og Romsdal fylkeskommune, Nettselskapet AS, Norges Bondelag, Norsk Gartnerforbund, OBOS BBL, Rogaland fylkeskommune, SINTEF Energi, Solcellespesialisten AS, Trondheim kommune, Trøndelag fylkeskommune, </w:t>
      </w:r>
      <w:proofErr w:type="spellStart"/>
      <w:r w:rsidRPr="00E426D3">
        <w:rPr>
          <w:rStyle w:val="kursiv"/>
        </w:rPr>
        <w:t>Una’s</w:t>
      </w:r>
      <w:proofErr w:type="spellEnd"/>
      <w:r w:rsidRPr="00E426D3">
        <w:rPr>
          <w:rStyle w:val="kursiv"/>
        </w:rPr>
        <w:t xml:space="preserve"> AS, Verran Energisamfunn, ZERO og Æge Energy AS</w:t>
      </w:r>
      <w:r w:rsidRPr="00E426D3">
        <w:t xml:space="preserve">) </w:t>
      </w:r>
      <w:proofErr w:type="spellStart"/>
      <w:r w:rsidRPr="00E426D3">
        <w:t>gjer</w:t>
      </w:r>
      <w:proofErr w:type="spellEnd"/>
      <w:r w:rsidRPr="00E426D3">
        <w:t xml:space="preserve"> framlegg om </w:t>
      </w:r>
      <w:proofErr w:type="spellStart"/>
      <w:r w:rsidRPr="00E426D3">
        <w:t>utvidingar</w:t>
      </w:r>
      <w:proofErr w:type="spellEnd"/>
      <w:r w:rsidRPr="00E426D3">
        <w:t xml:space="preserve"> av ordninga. </w:t>
      </w:r>
      <w:proofErr w:type="spellStart"/>
      <w:r w:rsidRPr="00E426D3">
        <w:t>Fleire</w:t>
      </w:r>
      <w:proofErr w:type="spellEnd"/>
      <w:r w:rsidRPr="00E426D3">
        <w:t xml:space="preserve"> meiner at framlegget bør inkludere by- og sentrumsområde, jernbaneareal, </w:t>
      </w:r>
      <w:proofErr w:type="spellStart"/>
      <w:r w:rsidRPr="00E426D3">
        <w:t>offentlege</w:t>
      </w:r>
      <w:proofErr w:type="spellEnd"/>
      <w:r w:rsidRPr="00E426D3">
        <w:t xml:space="preserve"> bygg, </w:t>
      </w:r>
      <w:proofErr w:type="spellStart"/>
      <w:r w:rsidRPr="00E426D3">
        <w:t>landbrukseigedomar</w:t>
      </w:r>
      <w:proofErr w:type="spellEnd"/>
      <w:r w:rsidRPr="00E426D3">
        <w:t xml:space="preserve">, deponi, grustak, samt </w:t>
      </w:r>
      <w:proofErr w:type="spellStart"/>
      <w:r w:rsidRPr="00E426D3">
        <w:t>parkeringsplassar</w:t>
      </w:r>
      <w:proofErr w:type="spellEnd"/>
      <w:r w:rsidRPr="00E426D3">
        <w:t xml:space="preserve"> mv. Det vert òg gjort framlegg om å inkludere infrastruktur som areal langs jernbanen og interne </w:t>
      </w:r>
      <w:proofErr w:type="spellStart"/>
      <w:r w:rsidRPr="00E426D3">
        <w:t>vegar</w:t>
      </w:r>
      <w:proofErr w:type="spellEnd"/>
      <w:r w:rsidRPr="00E426D3">
        <w:t xml:space="preserve">, område langs </w:t>
      </w:r>
      <w:proofErr w:type="spellStart"/>
      <w:r w:rsidRPr="00E426D3">
        <w:t>vegar</w:t>
      </w:r>
      <w:proofErr w:type="spellEnd"/>
      <w:r w:rsidRPr="00E426D3">
        <w:t xml:space="preserve">, </w:t>
      </w:r>
      <w:proofErr w:type="spellStart"/>
      <w:r w:rsidRPr="00E426D3">
        <w:t>ladestasjonar</w:t>
      </w:r>
      <w:proofErr w:type="spellEnd"/>
      <w:r w:rsidRPr="00E426D3">
        <w:t xml:space="preserve">, </w:t>
      </w:r>
      <w:proofErr w:type="spellStart"/>
      <w:r w:rsidRPr="00E426D3">
        <w:t>vegstasjonar</w:t>
      </w:r>
      <w:proofErr w:type="spellEnd"/>
      <w:r w:rsidRPr="00E426D3">
        <w:t xml:space="preserve"> og veikroer. Det er òg </w:t>
      </w:r>
      <w:proofErr w:type="spellStart"/>
      <w:r w:rsidRPr="00E426D3">
        <w:t>motteke</w:t>
      </w:r>
      <w:proofErr w:type="spellEnd"/>
      <w:r w:rsidRPr="00E426D3">
        <w:t xml:space="preserve"> framlegg om å inkludere batteri og andre </w:t>
      </w:r>
      <w:proofErr w:type="spellStart"/>
      <w:r w:rsidRPr="00E426D3">
        <w:t>lagringsløysingar</w:t>
      </w:r>
      <w:proofErr w:type="spellEnd"/>
      <w:r w:rsidRPr="00E426D3">
        <w:t xml:space="preserve"> i delingsordninga.</w:t>
      </w:r>
    </w:p>
    <w:p w14:paraId="0BD76FD1" w14:textId="77777777" w:rsidR="00772748" w:rsidRPr="00E426D3" w:rsidRDefault="00772748" w:rsidP="00E426D3">
      <w:proofErr w:type="spellStart"/>
      <w:r w:rsidRPr="00E426D3">
        <w:t>Høyringsinstansane</w:t>
      </w:r>
      <w:proofErr w:type="spellEnd"/>
      <w:r w:rsidRPr="00E426D3">
        <w:t xml:space="preserve"> har delte </w:t>
      </w:r>
      <w:proofErr w:type="spellStart"/>
      <w:r w:rsidRPr="00E426D3">
        <w:t>meiningar</w:t>
      </w:r>
      <w:proofErr w:type="spellEnd"/>
      <w:r w:rsidRPr="00E426D3">
        <w:t xml:space="preserve"> om grensa for produksjonsanlegg på 5 MW (AC). </w:t>
      </w:r>
      <w:proofErr w:type="spellStart"/>
      <w:r w:rsidRPr="00E426D3">
        <w:t>Nokre</w:t>
      </w:r>
      <w:proofErr w:type="spellEnd"/>
      <w:r w:rsidRPr="00E426D3">
        <w:t xml:space="preserve"> </w:t>
      </w:r>
      <w:proofErr w:type="spellStart"/>
      <w:r w:rsidRPr="00E426D3">
        <w:t>instansar</w:t>
      </w:r>
      <w:proofErr w:type="spellEnd"/>
      <w:r w:rsidRPr="00E426D3">
        <w:t xml:space="preserve"> (</w:t>
      </w:r>
      <w:r w:rsidRPr="00E426D3">
        <w:rPr>
          <w:rStyle w:val="kursiv"/>
        </w:rPr>
        <w:t xml:space="preserve">Bane NOR SF, ECDE, </w:t>
      </w:r>
      <w:proofErr w:type="spellStart"/>
      <w:r w:rsidRPr="00E426D3">
        <w:rPr>
          <w:rStyle w:val="kursiv"/>
        </w:rPr>
        <w:t>Elvia</w:t>
      </w:r>
      <w:proofErr w:type="spellEnd"/>
      <w:r w:rsidRPr="00E426D3">
        <w:rPr>
          <w:rStyle w:val="kursiv"/>
        </w:rPr>
        <w:t xml:space="preserve"> AS, Energimester AS, Fornybar Norge, Grønn </w:t>
      </w:r>
      <w:proofErr w:type="spellStart"/>
      <w:r w:rsidRPr="00E426D3">
        <w:rPr>
          <w:rStyle w:val="kursiv"/>
        </w:rPr>
        <w:t>Byggallianse</w:t>
      </w:r>
      <w:proofErr w:type="spellEnd"/>
      <w:r w:rsidRPr="00E426D3">
        <w:rPr>
          <w:rStyle w:val="kursiv"/>
        </w:rPr>
        <w:t xml:space="preserve"> og Norsk Eiendom, NHO Elektro, NHO Byggenæringen, Norsk Gartnerforbund, Oslo kommune, Solcellespesialisten AS og </w:t>
      </w:r>
      <w:proofErr w:type="spellStart"/>
      <w:r w:rsidRPr="00E426D3">
        <w:rPr>
          <w:rStyle w:val="kursiv"/>
        </w:rPr>
        <w:t>Una’s</w:t>
      </w:r>
      <w:proofErr w:type="spellEnd"/>
      <w:r w:rsidRPr="00E426D3">
        <w:rPr>
          <w:rStyle w:val="kursiv"/>
        </w:rPr>
        <w:t xml:space="preserve"> AS</w:t>
      </w:r>
      <w:r w:rsidRPr="00E426D3">
        <w:t xml:space="preserve">) </w:t>
      </w:r>
      <w:proofErr w:type="spellStart"/>
      <w:r w:rsidRPr="00E426D3">
        <w:t>støttar</w:t>
      </w:r>
      <w:proofErr w:type="spellEnd"/>
      <w:r w:rsidRPr="00E426D3">
        <w:t xml:space="preserve"> grensa. Andre </w:t>
      </w:r>
      <w:proofErr w:type="spellStart"/>
      <w:r w:rsidRPr="00E426D3">
        <w:t>høyringsinstansar</w:t>
      </w:r>
      <w:proofErr w:type="spellEnd"/>
      <w:r w:rsidRPr="00E426D3">
        <w:t xml:space="preserve"> (mellom anna </w:t>
      </w:r>
      <w:r w:rsidRPr="00E426D3">
        <w:rPr>
          <w:rStyle w:val="kursiv"/>
        </w:rPr>
        <w:t xml:space="preserve">Coop Norge SA, Eidsiva Vekst, </w:t>
      </w:r>
      <w:proofErr w:type="spellStart"/>
      <w:r w:rsidRPr="00E426D3">
        <w:rPr>
          <w:rStyle w:val="kursiv"/>
        </w:rPr>
        <w:t>Enova</w:t>
      </w:r>
      <w:proofErr w:type="spellEnd"/>
      <w:r w:rsidRPr="00E426D3">
        <w:rPr>
          <w:rStyle w:val="kursiv"/>
        </w:rPr>
        <w:t xml:space="preserve">, Haugaland Næringspark AS, Nettselskapet AS, NITO, Næringsforum i Fjellregionen, OBOS BBL, Raufoss Industripark, Treklyngen Industripark AS, Verran Energisamfunn, ZERO, Æge Energy AS og </w:t>
      </w:r>
      <w:proofErr w:type="spellStart"/>
      <w:r w:rsidRPr="00E426D3">
        <w:rPr>
          <w:rStyle w:val="kursiv"/>
        </w:rPr>
        <w:t>fleire</w:t>
      </w:r>
      <w:proofErr w:type="spellEnd"/>
      <w:r w:rsidRPr="00E426D3">
        <w:rPr>
          <w:rStyle w:val="kursiv"/>
        </w:rPr>
        <w:t xml:space="preserve"> </w:t>
      </w:r>
      <w:proofErr w:type="spellStart"/>
      <w:r w:rsidRPr="00E426D3">
        <w:rPr>
          <w:rStyle w:val="kursiv"/>
        </w:rPr>
        <w:t>kommunar</w:t>
      </w:r>
      <w:proofErr w:type="spellEnd"/>
      <w:r w:rsidRPr="00E426D3">
        <w:rPr>
          <w:rStyle w:val="kursiv"/>
        </w:rPr>
        <w:t xml:space="preserve"> og </w:t>
      </w:r>
      <w:proofErr w:type="spellStart"/>
      <w:r w:rsidRPr="00E426D3">
        <w:rPr>
          <w:rStyle w:val="kursiv"/>
        </w:rPr>
        <w:lastRenderedPageBreak/>
        <w:t>fylkeskommunar</w:t>
      </w:r>
      <w:proofErr w:type="spellEnd"/>
      <w:r w:rsidRPr="00E426D3">
        <w:t xml:space="preserve">) meiner grensa bør </w:t>
      </w:r>
      <w:proofErr w:type="spellStart"/>
      <w:r w:rsidRPr="00E426D3">
        <w:t>aukast</w:t>
      </w:r>
      <w:proofErr w:type="spellEnd"/>
      <w:r w:rsidRPr="00E426D3">
        <w:t xml:space="preserve"> eller </w:t>
      </w:r>
      <w:proofErr w:type="spellStart"/>
      <w:r w:rsidRPr="00E426D3">
        <w:t>fjernast</w:t>
      </w:r>
      <w:proofErr w:type="spellEnd"/>
      <w:r w:rsidRPr="00E426D3">
        <w:t xml:space="preserve">. </w:t>
      </w:r>
      <w:proofErr w:type="spellStart"/>
      <w:r w:rsidRPr="00E426D3">
        <w:t>Fleire</w:t>
      </w:r>
      <w:proofErr w:type="spellEnd"/>
      <w:r w:rsidRPr="00E426D3">
        <w:t xml:space="preserve"> </w:t>
      </w:r>
      <w:proofErr w:type="spellStart"/>
      <w:r w:rsidRPr="00E426D3">
        <w:t>peiker</w:t>
      </w:r>
      <w:proofErr w:type="spellEnd"/>
      <w:r w:rsidRPr="00E426D3">
        <w:t xml:space="preserve"> på at grensa kan </w:t>
      </w:r>
      <w:proofErr w:type="spellStart"/>
      <w:r w:rsidRPr="00E426D3">
        <w:t>vere</w:t>
      </w:r>
      <w:proofErr w:type="spellEnd"/>
      <w:r w:rsidRPr="00E426D3">
        <w:t xml:space="preserve"> avhengig av lokale forhold og behov.</w:t>
      </w:r>
    </w:p>
    <w:p w14:paraId="62E94FC8" w14:textId="77777777" w:rsidR="00772748" w:rsidRPr="00E426D3" w:rsidRDefault="00772748" w:rsidP="00E426D3">
      <w:proofErr w:type="spellStart"/>
      <w:r w:rsidRPr="00E426D3">
        <w:t>Fleire</w:t>
      </w:r>
      <w:proofErr w:type="spellEnd"/>
      <w:r w:rsidRPr="00E426D3">
        <w:t xml:space="preserve"> </w:t>
      </w:r>
      <w:proofErr w:type="spellStart"/>
      <w:r w:rsidRPr="00E426D3">
        <w:t>høyringsinstansar</w:t>
      </w:r>
      <w:proofErr w:type="spellEnd"/>
      <w:r w:rsidRPr="00E426D3">
        <w:t xml:space="preserve"> (mellom anna </w:t>
      </w:r>
      <w:r w:rsidRPr="00E426D3">
        <w:rPr>
          <w:rStyle w:val="kursiv"/>
        </w:rPr>
        <w:t>Bodø kommune, Bodø Energi AS, Lede AS, NVE og RME)</w:t>
      </w:r>
      <w:r w:rsidRPr="00E426D3">
        <w:t xml:space="preserve"> </w:t>
      </w:r>
      <w:proofErr w:type="spellStart"/>
      <w:r w:rsidRPr="00E426D3">
        <w:t>framhevar</w:t>
      </w:r>
      <w:proofErr w:type="spellEnd"/>
      <w:r w:rsidRPr="00E426D3">
        <w:t xml:space="preserve"> at framlegget til delingsordning kan ha omfordelingsverknader. </w:t>
      </w:r>
      <w:proofErr w:type="spellStart"/>
      <w:r w:rsidRPr="00E426D3">
        <w:t>Kundar</w:t>
      </w:r>
      <w:proofErr w:type="spellEnd"/>
      <w:r w:rsidRPr="00E426D3">
        <w:t xml:space="preserve"> som mottar delt kraft, vil få redusert </w:t>
      </w:r>
      <w:proofErr w:type="spellStart"/>
      <w:r w:rsidRPr="00E426D3">
        <w:t>nettleige</w:t>
      </w:r>
      <w:proofErr w:type="spellEnd"/>
      <w:r w:rsidRPr="00E426D3">
        <w:t xml:space="preserve">, og denne reduksjonen må </w:t>
      </w:r>
      <w:proofErr w:type="spellStart"/>
      <w:r w:rsidRPr="00E426D3">
        <w:t>dekkast</w:t>
      </w:r>
      <w:proofErr w:type="spellEnd"/>
      <w:r w:rsidRPr="00E426D3">
        <w:t xml:space="preserve"> av andre </w:t>
      </w:r>
      <w:proofErr w:type="spellStart"/>
      <w:r w:rsidRPr="00E426D3">
        <w:t>kundar</w:t>
      </w:r>
      <w:proofErr w:type="spellEnd"/>
      <w:r w:rsidRPr="00E426D3">
        <w:t xml:space="preserve">. </w:t>
      </w:r>
      <w:proofErr w:type="spellStart"/>
      <w:r w:rsidRPr="00E426D3">
        <w:t>Fleire</w:t>
      </w:r>
      <w:proofErr w:type="spellEnd"/>
      <w:r w:rsidRPr="00E426D3">
        <w:t xml:space="preserve"> </w:t>
      </w:r>
      <w:proofErr w:type="spellStart"/>
      <w:r w:rsidRPr="00E426D3">
        <w:t>høyringsinstansar</w:t>
      </w:r>
      <w:proofErr w:type="spellEnd"/>
      <w:r w:rsidRPr="00E426D3">
        <w:t xml:space="preserve"> (</w:t>
      </w:r>
      <w:proofErr w:type="spellStart"/>
      <w:r w:rsidRPr="00E426D3">
        <w:rPr>
          <w:rStyle w:val="kursiv"/>
        </w:rPr>
        <w:t>Distriktsenergi</w:t>
      </w:r>
      <w:proofErr w:type="spellEnd"/>
      <w:r w:rsidRPr="00E426D3">
        <w:rPr>
          <w:rStyle w:val="kursiv"/>
        </w:rPr>
        <w:t>,</w:t>
      </w:r>
      <w:r w:rsidRPr="00E426D3">
        <w:t xml:space="preserve"> </w:t>
      </w:r>
      <w:proofErr w:type="spellStart"/>
      <w:r w:rsidRPr="00E426D3">
        <w:rPr>
          <w:rStyle w:val="kursiv"/>
        </w:rPr>
        <w:t>Elvia</w:t>
      </w:r>
      <w:proofErr w:type="spellEnd"/>
      <w:r w:rsidRPr="00E426D3">
        <w:rPr>
          <w:rStyle w:val="kursiv"/>
        </w:rPr>
        <w:t xml:space="preserve"> AS, Fornybar Norge, </w:t>
      </w:r>
      <w:proofErr w:type="spellStart"/>
      <w:r w:rsidRPr="00E426D3">
        <w:rPr>
          <w:rStyle w:val="kursiv"/>
        </w:rPr>
        <w:t>Lnett</w:t>
      </w:r>
      <w:proofErr w:type="spellEnd"/>
      <w:r w:rsidRPr="00E426D3">
        <w:rPr>
          <w:rStyle w:val="kursiv"/>
        </w:rPr>
        <w:t xml:space="preserve"> AS, SINTEF Energi og </w:t>
      </w:r>
      <w:proofErr w:type="spellStart"/>
      <w:r w:rsidRPr="00E426D3">
        <w:rPr>
          <w:rStyle w:val="kursiv"/>
        </w:rPr>
        <w:t>Tensio</w:t>
      </w:r>
      <w:proofErr w:type="spellEnd"/>
      <w:r w:rsidRPr="00E426D3">
        <w:rPr>
          <w:rStyle w:val="kursiv"/>
        </w:rPr>
        <w:t xml:space="preserve"> AS) </w:t>
      </w:r>
      <w:r w:rsidRPr="00E426D3">
        <w:t xml:space="preserve">meiner at delingsordninga må </w:t>
      </w:r>
      <w:proofErr w:type="spellStart"/>
      <w:r w:rsidRPr="00E426D3">
        <w:t>avgrensast</w:t>
      </w:r>
      <w:proofErr w:type="spellEnd"/>
      <w:r w:rsidRPr="00E426D3">
        <w:t xml:space="preserve"> til </w:t>
      </w:r>
      <w:proofErr w:type="spellStart"/>
      <w:r w:rsidRPr="00E426D3">
        <w:t>kundar</w:t>
      </w:r>
      <w:proofErr w:type="spellEnd"/>
      <w:r w:rsidRPr="00E426D3">
        <w:t xml:space="preserve"> med effekttariffar. </w:t>
      </w:r>
      <w:proofErr w:type="spellStart"/>
      <w:r w:rsidRPr="00E426D3">
        <w:t>Nokre</w:t>
      </w:r>
      <w:proofErr w:type="spellEnd"/>
      <w:r w:rsidRPr="00E426D3">
        <w:t xml:space="preserve"> av </w:t>
      </w:r>
      <w:proofErr w:type="spellStart"/>
      <w:r w:rsidRPr="00E426D3">
        <w:t>desse</w:t>
      </w:r>
      <w:proofErr w:type="spellEnd"/>
      <w:r w:rsidRPr="00E426D3">
        <w:t xml:space="preserve"> </w:t>
      </w:r>
      <w:proofErr w:type="spellStart"/>
      <w:r w:rsidRPr="00E426D3">
        <w:t>peiker</w:t>
      </w:r>
      <w:proofErr w:type="spellEnd"/>
      <w:r w:rsidRPr="00E426D3">
        <w:t xml:space="preserve"> på at det vil </w:t>
      </w:r>
      <w:proofErr w:type="spellStart"/>
      <w:r w:rsidRPr="00E426D3">
        <w:t>vere</w:t>
      </w:r>
      <w:proofErr w:type="spellEnd"/>
      <w:r w:rsidRPr="00E426D3">
        <w:t xml:space="preserve"> større omfordelingsverknader enn antyda i </w:t>
      </w:r>
      <w:proofErr w:type="spellStart"/>
      <w:r w:rsidRPr="00E426D3">
        <w:t>høyringsframlegget</w:t>
      </w:r>
      <w:proofErr w:type="spellEnd"/>
      <w:r w:rsidRPr="00E426D3">
        <w:t xml:space="preserve"> ettersom </w:t>
      </w:r>
      <w:proofErr w:type="spellStart"/>
      <w:r w:rsidRPr="00E426D3">
        <w:t>dei</w:t>
      </w:r>
      <w:proofErr w:type="spellEnd"/>
      <w:r w:rsidRPr="00E426D3">
        <w:t xml:space="preserve"> melder om at det er </w:t>
      </w:r>
      <w:proofErr w:type="spellStart"/>
      <w:r w:rsidRPr="00E426D3">
        <w:t>fleire</w:t>
      </w:r>
      <w:proofErr w:type="spellEnd"/>
      <w:r w:rsidRPr="00E426D3">
        <w:t xml:space="preserve"> </w:t>
      </w:r>
      <w:proofErr w:type="spellStart"/>
      <w:r w:rsidRPr="00E426D3">
        <w:t>næringskundar</w:t>
      </w:r>
      <w:proofErr w:type="spellEnd"/>
      <w:r w:rsidRPr="00E426D3">
        <w:t xml:space="preserve"> med årsforbruk under 100 000 kWh enn antatt </w:t>
      </w:r>
      <w:proofErr w:type="spellStart"/>
      <w:r w:rsidRPr="00E426D3">
        <w:t>tidlegare</w:t>
      </w:r>
      <w:proofErr w:type="spellEnd"/>
      <w:r w:rsidRPr="00E426D3">
        <w:t>.</w:t>
      </w:r>
    </w:p>
    <w:p w14:paraId="2BA6A7F7" w14:textId="77777777" w:rsidR="00772748" w:rsidRPr="00E426D3" w:rsidRDefault="00772748" w:rsidP="00E426D3">
      <w:r w:rsidRPr="00E426D3">
        <w:t xml:space="preserve">NVE og RME har to </w:t>
      </w:r>
      <w:proofErr w:type="spellStart"/>
      <w:r w:rsidRPr="00E426D3">
        <w:t>hovudinnvendingar</w:t>
      </w:r>
      <w:proofErr w:type="spellEnd"/>
      <w:r w:rsidRPr="00E426D3">
        <w:t xml:space="preserve"> til framlegget: (i) At avgrensinga «</w:t>
      </w:r>
      <w:proofErr w:type="spellStart"/>
      <w:r w:rsidRPr="00E426D3">
        <w:t>sammanhengande</w:t>
      </w:r>
      <w:proofErr w:type="spellEnd"/>
      <w:r w:rsidRPr="00E426D3">
        <w:t xml:space="preserve"> næringsområde» er uklar og lite eigna som avgrensing i delingsordninga, og (ii) at økonomisk støtte gjennom fritak for </w:t>
      </w:r>
      <w:proofErr w:type="spellStart"/>
      <w:r w:rsidRPr="00E426D3">
        <w:t>nettleige</w:t>
      </w:r>
      <w:proofErr w:type="spellEnd"/>
      <w:r w:rsidRPr="00E426D3">
        <w:t xml:space="preserve"> er </w:t>
      </w:r>
      <w:proofErr w:type="spellStart"/>
      <w:r w:rsidRPr="00E426D3">
        <w:t>ein</w:t>
      </w:r>
      <w:proofErr w:type="spellEnd"/>
      <w:r w:rsidRPr="00E426D3">
        <w:t xml:space="preserve"> lite transparent måte å støtte næring på.</w:t>
      </w:r>
    </w:p>
    <w:p w14:paraId="33866F52" w14:textId="77777777" w:rsidR="00772748" w:rsidRPr="00E426D3" w:rsidRDefault="00772748" w:rsidP="00E426D3">
      <w:r w:rsidRPr="00E426D3">
        <w:t xml:space="preserve">NVE og RME ser at det er behov for </w:t>
      </w:r>
      <w:proofErr w:type="spellStart"/>
      <w:r w:rsidRPr="00E426D3">
        <w:t>fleire</w:t>
      </w:r>
      <w:proofErr w:type="spellEnd"/>
      <w:r w:rsidRPr="00E426D3">
        <w:t xml:space="preserve"> </w:t>
      </w:r>
      <w:proofErr w:type="spellStart"/>
      <w:r w:rsidRPr="00E426D3">
        <w:t>presiseringar</w:t>
      </w:r>
      <w:proofErr w:type="spellEnd"/>
      <w:r w:rsidRPr="00E426D3">
        <w:t xml:space="preserve"> og </w:t>
      </w:r>
      <w:proofErr w:type="spellStart"/>
      <w:r w:rsidRPr="00E426D3">
        <w:t>avklaringar</w:t>
      </w:r>
      <w:proofErr w:type="spellEnd"/>
      <w:r w:rsidRPr="00E426D3">
        <w:t xml:space="preserve"> før «</w:t>
      </w:r>
      <w:proofErr w:type="spellStart"/>
      <w:r w:rsidRPr="00E426D3">
        <w:t>samanhengande</w:t>
      </w:r>
      <w:proofErr w:type="spellEnd"/>
      <w:r w:rsidRPr="00E426D3">
        <w:t xml:space="preserve"> næringsområde» eventuelt kan fungere som ei geografisk avgrensing.</w:t>
      </w:r>
    </w:p>
    <w:p w14:paraId="4769664B" w14:textId="77777777" w:rsidR="00772748" w:rsidRPr="00E426D3" w:rsidRDefault="00772748" w:rsidP="00E426D3">
      <w:pPr>
        <w:pStyle w:val="Overskrift2"/>
      </w:pPr>
      <w:proofErr w:type="spellStart"/>
      <w:r w:rsidRPr="00E426D3">
        <w:t>Vurderingar</w:t>
      </w:r>
      <w:proofErr w:type="spellEnd"/>
      <w:r w:rsidRPr="00E426D3">
        <w:t xml:space="preserve"> og framlegg</w:t>
      </w:r>
    </w:p>
    <w:p w14:paraId="31862C5B" w14:textId="77777777" w:rsidR="00772748" w:rsidRPr="00E426D3" w:rsidRDefault="00772748" w:rsidP="00E426D3">
      <w:r w:rsidRPr="00E426D3">
        <w:t xml:space="preserve">Målet med delingsordninga er å stimulere til ny fornybar kraftproduksjon, </w:t>
      </w:r>
      <w:proofErr w:type="spellStart"/>
      <w:r w:rsidRPr="00E426D3">
        <w:t>utan</w:t>
      </w:r>
      <w:proofErr w:type="spellEnd"/>
      <w:r w:rsidRPr="00E426D3">
        <w:t xml:space="preserve"> større naturinngrep og med minst </w:t>
      </w:r>
      <w:proofErr w:type="spellStart"/>
      <w:r w:rsidRPr="00E426D3">
        <w:t>mogleg</w:t>
      </w:r>
      <w:proofErr w:type="spellEnd"/>
      <w:r w:rsidRPr="00E426D3">
        <w:t xml:space="preserve"> negativ verknad på kraftsystemet. Ordninga kan utløyse </w:t>
      </w:r>
      <w:proofErr w:type="spellStart"/>
      <w:r w:rsidRPr="00E426D3">
        <w:t>investeringar</w:t>
      </w:r>
      <w:proofErr w:type="spellEnd"/>
      <w:r w:rsidRPr="00E426D3">
        <w:t xml:space="preserve"> i nye produksjonsanlegg, og samtidig hjelpe </w:t>
      </w:r>
      <w:proofErr w:type="spellStart"/>
      <w:r w:rsidRPr="00E426D3">
        <w:t>næringsverksemder</w:t>
      </w:r>
      <w:proofErr w:type="spellEnd"/>
      <w:r w:rsidRPr="00E426D3">
        <w:t xml:space="preserve"> med å få ned energikostnadene sine gjennom å investere i eigen produksjon.</w:t>
      </w:r>
    </w:p>
    <w:p w14:paraId="03606220" w14:textId="77777777" w:rsidR="00772748" w:rsidRPr="00E426D3" w:rsidRDefault="00772748" w:rsidP="00E426D3">
      <w:proofErr w:type="spellStart"/>
      <w:r w:rsidRPr="00E426D3">
        <w:t>Eit</w:t>
      </w:r>
      <w:proofErr w:type="spellEnd"/>
      <w:r w:rsidRPr="00E426D3">
        <w:t xml:space="preserve"> fritak for elavgift kjem i utgangspunktet </w:t>
      </w:r>
      <w:proofErr w:type="spellStart"/>
      <w:r w:rsidRPr="00E426D3">
        <w:t>dei</w:t>
      </w:r>
      <w:proofErr w:type="spellEnd"/>
      <w:r w:rsidRPr="00E426D3">
        <w:t xml:space="preserve"> som bruker elektrisk kraft til gode. For at ordninga skal utløyse </w:t>
      </w:r>
      <w:proofErr w:type="spellStart"/>
      <w:r w:rsidRPr="00E426D3">
        <w:t>meir</w:t>
      </w:r>
      <w:proofErr w:type="spellEnd"/>
      <w:r w:rsidRPr="00E426D3">
        <w:t xml:space="preserve"> produksjon må </w:t>
      </w:r>
      <w:proofErr w:type="spellStart"/>
      <w:r w:rsidRPr="00E426D3">
        <w:t>utbyggar</w:t>
      </w:r>
      <w:proofErr w:type="spellEnd"/>
      <w:r w:rsidRPr="00E426D3">
        <w:t xml:space="preserve"> syte for at han får </w:t>
      </w:r>
      <w:proofErr w:type="spellStart"/>
      <w:r w:rsidRPr="00E426D3">
        <w:t>delar</w:t>
      </w:r>
      <w:proofErr w:type="spellEnd"/>
      <w:r w:rsidRPr="00E426D3">
        <w:t xml:space="preserve"> av støtta gjennom </w:t>
      </w:r>
      <w:proofErr w:type="spellStart"/>
      <w:r w:rsidRPr="00E426D3">
        <w:t>avtalar</w:t>
      </w:r>
      <w:proofErr w:type="spellEnd"/>
      <w:r w:rsidRPr="00E426D3">
        <w:t xml:space="preserve"> med </w:t>
      </w:r>
      <w:proofErr w:type="spellStart"/>
      <w:r w:rsidRPr="00E426D3">
        <w:t>forbrukarar</w:t>
      </w:r>
      <w:proofErr w:type="spellEnd"/>
      <w:r w:rsidRPr="00E426D3">
        <w:t xml:space="preserve">. </w:t>
      </w:r>
      <w:proofErr w:type="spellStart"/>
      <w:r w:rsidRPr="00E426D3">
        <w:t>Ein</w:t>
      </w:r>
      <w:proofErr w:type="spellEnd"/>
      <w:r w:rsidRPr="00E426D3">
        <w:t xml:space="preserve"> direkte støtte til ny fornybar kraft kan </w:t>
      </w:r>
      <w:proofErr w:type="spellStart"/>
      <w:r w:rsidRPr="00E426D3">
        <w:t>difor</w:t>
      </w:r>
      <w:proofErr w:type="spellEnd"/>
      <w:r w:rsidRPr="00E426D3">
        <w:t xml:space="preserve"> være </w:t>
      </w:r>
      <w:proofErr w:type="spellStart"/>
      <w:r w:rsidRPr="00E426D3">
        <w:t>eit</w:t>
      </w:r>
      <w:proofErr w:type="spellEnd"/>
      <w:r w:rsidRPr="00E426D3">
        <w:t xml:space="preserve"> </w:t>
      </w:r>
      <w:proofErr w:type="spellStart"/>
      <w:r w:rsidRPr="00E426D3">
        <w:t>meir</w:t>
      </w:r>
      <w:proofErr w:type="spellEnd"/>
      <w:r w:rsidRPr="00E426D3">
        <w:t xml:space="preserve"> effektivt </w:t>
      </w:r>
      <w:proofErr w:type="spellStart"/>
      <w:r w:rsidRPr="00E426D3">
        <w:t>verkemiddel</w:t>
      </w:r>
      <w:proofErr w:type="spellEnd"/>
      <w:r w:rsidRPr="00E426D3">
        <w:t xml:space="preserve">. Regjeringa legg likevel vekt på å fremme ny fornybar kraftproduksjon og følgjer opp oppmodingsvedtaka </w:t>
      </w:r>
      <w:proofErr w:type="spellStart"/>
      <w:r w:rsidRPr="00E426D3">
        <w:t>frå</w:t>
      </w:r>
      <w:proofErr w:type="spellEnd"/>
      <w:r w:rsidRPr="00E426D3">
        <w:t xml:space="preserve"> Stortinget. Departementet </w:t>
      </w:r>
      <w:proofErr w:type="spellStart"/>
      <w:r w:rsidRPr="00E426D3">
        <w:t>gjer</w:t>
      </w:r>
      <w:proofErr w:type="spellEnd"/>
      <w:r w:rsidRPr="00E426D3">
        <w:t xml:space="preserve"> framlegg om å innføre fritaket for delingsordninga tilpassa næringsområde gjennom ei endring i stortingsvedtaket om avgift på elektrisk kraft. I lys av </w:t>
      </w:r>
      <w:proofErr w:type="spellStart"/>
      <w:r w:rsidRPr="00E426D3">
        <w:t>høyringa</w:t>
      </w:r>
      <w:proofErr w:type="spellEnd"/>
      <w:r w:rsidRPr="00E426D3">
        <w:t xml:space="preserve"> er det behov for å vurdere om avgrensinga av ordninga til </w:t>
      </w:r>
      <w:proofErr w:type="spellStart"/>
      <w:r w:rsidRPr="00E426D3">
        <w:t>samanhengande</w:t>
      </w:r>
      <w:proofErr w:type="spellEnd"/>
      <w:r w:rsidRPr="00E426D3">
        <w:t xml:space="preserve"> næringsområde bør </w:t>
      </w:r>
      <w:proofErr w:type="spellStart"/>
      <w:r w:rsidRPr="00E426D3">
        <w:t>tydeleggjerast</w:t>
      </w:r>
      <w:proofErr w:type="spellEnd"/>
      <w:r w:rsidRPr="00E426D3">
        <w:t xml:space="preserve"> eller om avgrensinga bør skje på anna måte. Det vil </w:t>
      </w:r>
      <w:proofErr w:type="spellStart"/>
      <w:r w:rsidRPr="00E426D3">
        <w:t>verte</w:t>
      </w:r>
      <w:proofErr w:type="spellEnd"/>
      <w:r w:rsidRPr="00E426D3">
        <w:t xml:space="preserve"> utarbeid </w:t>
      </w:r>
      <w:proofErr w:type="spellStart"/>
      <w:r w:rsidRPr="00E426D3">
        <w:t>endelege</w:t>
      </w:r>
      <w:proofErr w:type="spellEnd"/>
      <w:r w:rsidRPr="00E426D3">
        <w:t xml:space="preserve"> forskriftsføresegner og </w:t>
      </w:r>
      <w:proofErr w:type="spellStart"/>
      <w:r w:rsidRPr="00E426D3">
        <w:t>ein</w:t>
      </w:r>
      <w:proofErr w:type="spellEnd"/>
      <w:r w:rsidRPr="00E426D3">
        <w:t xml:space="preserve"> </w:t>
      </w:r>
      <w:proofErr w:type="spellStart"/>
      <w:r w:rsidRPr="00E426D3">
        <w:t>tek</w:t>
      </w:r>
      <w:proofErr w:type="spellEnd"/>
      <w:r w:rsidRPr="00E426D3">
        <w:t xml:space="preserve"> sikte på å </w:t>
      </w:r>
      <w:proofErr w:type="spellStart"/>
      <w:r w:rsidRPr="00E426D3">
        <w:t>setje</w:t>
      </w:r>
      <w:proofErr w:type="spellEnd"/>
      <w:r w:rsidRPr="00E426D3">
        <w:t xml:space="preserve"> i verk endringa så raskt som </w:t>
      </w:r>
      <w:proofErr w:type="spellStart"/>
      <w:r w:rsidRPr="00E426D3">
        <w:t>mogleg</w:t>
      </w:r>
      <w:proofErr w:type="spellEnd"/>
      <w:r w:rsidRPr="00E426D3">
        <w:t>.</w:t>
      </w:r>
    </w:p>
    <w:p w14:paraId="23A1088B" w14:textId="77777777" w:rsidR="00772748" w:rsidRPr="00E426D3" w:rsidRDefault="00772748" w:rsidP="00E426D3">
      <w:r w:rsidRPr="00E426D3">
        <w:t xml:space="preserve">Departementet syner til framlegg om endring i stortingsvedtaket </w:t>
      </w:r>
      <w:proofErr w:type="spellStart"/>
      <w:r w:rsidRPr="00E426D3">
        <w:t>romartal</w:t>
      </w:r>
      <w:proofErr w:type="spellEnd"/>
      <w:r w:rsidRPr="00E426D3">
        <w:t xml:space="preserve"> I § 2 fyrste ledd om avgift på elektrisk kraft. Framlegget </w:t>
      </w:r>
      <w:proofErr w:type="spellStart"/>
      <w:r w:rsidRPr="00E426D3">
        <w:t>inneber</w:t>
      </w:r>
      <w:proofErr w:type="spellEnd"/>
      <w:r w:rsidRPr="00E426D3">
        <w:t xml:space="preserve"> at </w:t>
      </w:r>
      <w:proofErr w:type="spellStart"/>
      <w:r w:rsidRPr="00E426D3">
        <w:t>gjeldande</w:t>
      </w:r>
      <w:proofErr w:type="spellEnd"/>
      <w:r w:rsidRPr="00E426D3">
        <w:t xml:space="preserve"> delingsordning vert </w:t>
      </w:r>
      <w:proofErr w:type="spellStart"/>
      <w:r w:rsidRPr="00E426D3">
        <w:t>vidareført</w:t>
      </w:r>
      <w:proofErr w:type="spellEnd"/>
      <w:r w:rsidRPr="00E426D3">
        <w:t xml:space="preserve"> i vedtaket bokstav f, men med endra ordlyd </w:t>
      </w:r>
      <w:proofErr w:type="spellStart"/>
      <w:r w:rsidRPr="00E426D3">
        <w:t>utan</w:t>
      </w:r>
      <w:proofErr w:type="spellEnd"/>
      <w:r w:rsidRPr="00E426D3">
        <w:t xml:space="preserve"> materiell </w:t>
      </w:r>
      <w:proofErr w:type="spellStart"/>
      <w:r w:rsidRPr="00E426D3">
        <w:t>betyding</w:t>
      </w:r>
      <w:proofErr w:type="spellEnd"/>
      <w:r w:rsidRPr="00E426D3">
        <w:t xml:space="preserve">. Ny delingsordning vert foreslått i vedtaket ny bokstav g. Endringa tek til å gjelde </w:t>
      </w:r>
      <w:proofErr w:type="spellStart"/>
      <w:r w:rsidRPr="00E426D3">
        <w:t>frå</w:t>
      </w:r>
      <w:proofErr w:type="spellEnd"/>
      <w:r w:rsidRPr="00E426D3">
        <w:t xml:space="preserve"> den tid departementet </w:t>
      </w:r>
      <w:proofErr w:type="spellStart"/>
      <w:r w:rsidRPr="00E426D3">
        <w:t>avgjer</w:t>
      </w:r>
      <w:proofErr w:type="spellEnd"/>
      <w:r w:rsidRPr="00E426D3">
        <w:t>.</w:t>
      </w:r>
    </w:p>
    <w:p w14:paraId="73D188B2" w14:textId="77777777" w:rsidR="00772748" w:rsidRPr="00E426D3" w:rsidRDefault="00772748" w:rsidP="00E426D3">
      <w:r w:rsidRPr="00E426D3">
        <w:t xml:space="preserve">Framlegget gjev </w:t>
      </w:r>
      <w:proofErr w:type="spellStart"/>
      <w:r w:rsidRPr="00E426D3">
        <w:t>eit</w:t>
      </w:r>
      <w:proofErr w:type="spellEnd"/>
      <w:r w:rsidRPr="00E426D3">
        <w:t xml:space="preserve"> anslått provenytap på 15 mill. kroner påløpt og 8 mill. kroner bokført i 2025. Budsjetteknisk er det lagt til grunn </w:t>
      </w:r>
      <w:proofErr w:type="spellStart"/>
      <w:r w:rsidRPr="00E426D3">
        <w:t>iverksetjing</w:t>
      </w:r>
      <w:proofErr w:type="spellEnd"/>
      <w:r w:rsidRPr="00E426D3">
        <w:t xml:space="preserve"> 1. juli 2025. </w:t>
      </w:r>
      <w:proofErr w:type="spellStart"/>
      <w:r w:rsidRPr="00E426D3">
        <w:t>Helårsverknaden</w:t>
      </w:r>
      <w:proofErr w:type="spellEnd"/>
      <w:r w:rsidRPr="00E426D3">
        <w:t xml:space="preserve"> av framlegget er </w:t>
      </w:r>
      <w:proofErr w:type="spellStart"/>
      <w:r w:rsidRPr="00E426D3">
        <w:t>eit</w:t>
      </w:r>
      <w:proofErr w:type="spellEnd"/>
      <w:r w:rsidRPr="00E426D3">
        <w:t xml:space="preserve"> provenytap på 30 mill. kroner.</w:t>
      </w:r>
    </w:p>
    <w:p w14:paraId="48760A73" w14:textId="77777777" w:rsidR="00772748" w:rsidRPr="00E426D3" w:rsidRDefault="00772748" w:rsidP="00E426D3"/>
    <w:p w14:paraId="737BCC4B" w14:textId="77777777" w:rsidR="00772748" w:rsidRPr="00E426D3" w:rsidRDefault="00772748" w:rsidP="00E426D3">
      <w:pPr>
        <w:pStyle w:val="Overskrift1"/>
      </w:pPr>
      <w:r w:rsidRPr="00E426D3">
        <w:lastRenderedPageBreak/>
        <w:t>Jordbrukskonto</w:t>
      </w:r>
    </w:p>
    <w:p w14:paraId="6F595660" w14:textId="77777777" w:rsidR="00772748" w:rsidRPr="00E426D3" w:rsidRDefault="00772748" w:rsidP="00E426D3">
      <w:pPr>
        <w:pStyle w:val="Overskrift2"/>
      </w:pPr>
      <w:r w:rsidRPr="00E426D3">
        <w:t xml:space="preserve">Innleiing og </w:t>
      </w:r>
      <w:proofErr w:type="spellStart"/>
      <w:r w:rsidRPr="00E426D3">
        <w:t>samandrag</w:t>
      </w:r>
      <w:proofErr w:type="spellEnd"/>
    </w:p>
    <w:p w14:paraId="515387E7" w14:textId="77777777" w:rsidR="00772748" w:rsidRPr="00E426D3" w:rsidRDefault="00772748" w:rsidP="00E426D3">
      <w:r w:rsidRPr="00E426D3">
        <w:t xml:space="preserve">Regjeringa </w:t>
      </w:r>
      <w:proofErr w:type="spellStart"/>
      <w:r w:rsidRPr="00E426D3">
        <w:t>gjer</w:t>
      </w:r>
      <w:proofErr w:type="spellEnd"/>
      <w:r w:rsidRPr="00E426D3">
        <w:t xml:space="preserve"> framlegg om å innføre </w:t>
      </w:r>
      <w:proofErr w:type="spellStart"/>
      <w:r w:rsidRPr="00E426D3">
        <w:t>ein</w:t>
      </w:r>
      <w:proofErr w:type="spellEnd"/>
      <w:r w:rsidRPr="00E426D3">
        <w:t xml:space="preserve"> jordbrukskonto, </w:t>
      </w:r>
      <w:proofErr w:type="spellStart"/>
      <w:r w:rsidRPr="00E426D3">
        <w:t>liknande</w:t>
      </w:r>
      <w:proofErr w:type="spellEnd"/>
      <w:r w:rsidRPr="00E426D3">
        <w:t xml:space="preserve"> tømmerkontoordninga for skogbruket. Bakgrunnen er </w:t>
      </w:r>
      <w:proofErr w:type="spellStart"/>
      <w:r w:rsidRPr="00E426D3">
        <w:t>dei</w:t>
      </w:r>
      <w:proofErr w:type="spellEnd"/>
      <w:r w:rsidRPr="00E426D3">
        <w:t xml:space="preserve"> </w:t>
      </w:r>
      <w:proofErr w:type="gramStart"/>
      <w:r w:rsidRPr="00E426D3">
        <w:t>potensielt</w:t>
      </w:r>
      <w:proofErr w:type="gramEnd"/>
      <w:r w:rsidRPr="00E426D3">
        <w:t xml:space="preserve"> </w:t>
      </w:r>
      <w:proofErr w:type="spellStart"/>
      <w:r w:rsidRPr="00E426D3">
        <w:t>svingande</w:t>
      </w:r>
      <w:proofErr w:type="spellEnd"/>
      <w:r w:rsidRPr="00E426D3">
        <w:t xml:space="preserve"> inntektene i jordbruket, som mellom anna kan medføre ujamn skattebelastning og problem med </w:t>
      </w:r>
      <w:proofErr w:type="spellStart"/>
      <w:r w:rsidRPr="00E426D3">
        <w:t>opptening</w:t>
      </w:r>
      <w:proofErr w:type="spellEnd"/>
      <w:r w:rsidRPr="00E426D3">
        <w:t xml:space="preserve"> av </w:t>
      </w:r>
      <w:proofErr w:type="spellStart"/>
      <w:r w:rsidRPr="00E426D3">
        <w:t>trygdeytingar</w:t>
      </w:r>
      <w:proofErr w:type="spellEnd"/>
      <w:r w:rsidRPr="00E426D3">
        <w:t xml:space="preserve">. Ei slik ordning vil mellom anna </w:t>
      </w:r>
      <w:proofErr w:type="spellStart"/>
      <w:r w:rsidRPr="00E426D3">
        <w:t>innebere</w:t>
      </w:r>
      <w:proofErr w:type="spellEnd"/>
      <w:r w:rsidRPr="00E426D3">
        <w:t xml:space="preserve"> at </w:t>
      </w:r>
      <w:proofErr w:type="spellStart"/>
      <w:r w:rsidRPr="00E426D3">
        <w:t>enkeltpersonføretak</w:t>
      </w:r>
      <w:proofErr w:type="spellEnd"/>
      <w:r w:rsidRPr="00E426D3">
        <w:t xml:space="preserve"> kan </w:t>
      </w:r>
      <w:proofErr w:type="spellStart"/>
      <w:r w:rsidRPr="00E426D3">
        <w:t>velje</w:t>
      </w:r>
      <w:proofErr w:type="spellEnd"/>
      <w:r w:rsidRPr="00E426D3">
        <w:t xml:space="preserve"> om årets </w:t>
      </w:r>
      <w:proofErr w:type="spellStart"/>
      <w:r w:rsidRPr="00E426D3">
        <w:t>overskot</w:t>
      </w:r>
      <w:proofErr w:type="spellEnd"/>
      <w:r w:rsidRPr="00E426D3">
        <w:t xml:space="preserve"> skal </w:t>
      </w:r>
      <w:proofErr w:type="spellStart"/>
      <w:r w:rsidRPr="00E426D3">
        <w:t>inntektsførast</w:t>
      </w:r>
      <w:proofErr w:type="spellEnd"/>
      <w:r w:rsidRPr="00E426D3">
        <w:t xml:space="preserve"> direkte i inntektsåret eller </w:t>
      </w:r>
      <w:proofErr w:type="spellStart"/>
      <w:r w:rsidRPr="00E426D3">
        <w:t>førast</w:t>
      </w:r>
      <w:proofErr w:type="spellEnd"/>
      <w:r w:rsidRPr="00E426D3">
        <w:t xml:space="preserve"> på jordbrukskonto. Er saldoen på kontoen positiv ved slutten av året, skal minst 85 pst. av saldoen </w:t>
      </w:r>
      <w:proofErr w:type="spellStart"/>
      <w:r w:rsidRPr="00E426D3">
        <w:t>inntektsførast</w:t>
      </w:r>
      <w:proofErr w:type="spellEnd"/>
      <w:r w:rsidRPr="00E426D3">
        <w:t xml:space="preserve">. Er saldoen negativ, skal inntil 85 pst. </w:t>
      </w:r>
      <w:proofErr w:type="spellStart"/>
      <w:r w:rsidRPr="00E426D3">
        <w:t>frådragsførast</w:t>
      </w:r>
      <w:proofErr w:type="spellEnd"/>
      <w:r w:rsidRPr="00E426D3">
        <w:t xml:space="preserve">. Framlegget vil </w:t>
      </w:r>
      <w:proofErr w:type="spellStart"/>
      <w:r w:rsidRPr="00E426D3">
        <w:t>gje</w:t>
      </w:r>
      <w:proofErr w:type="spellEnd"/>
      <w:r w:rsidRPr="00E426D3">
        <w:t xml:space="preserve"> </w:t>
      </w:r>
      <w:proofErr w:type="spellStart"/>
      <w:r w:rsidRPr="00E426D3">
        <w:t>moglegheit</w:t>
      </w:r>
      <w:proofErr w:type="spellEnd"/>
      <w:r w:rsidRPr="00E426D3">
        <w:t xml:space="preserve"> for </w:t>
      </w:r>
      <w:proofErr w:type="spellStart"/>
      <w:r w:rsidRPr="00E426D3">
        <w:t>jamnare</w:t>
      </w:r>
      <w:proofErr w:type="spellEnd"/>
      <w:r w:rsidRPr="00E426D3">
        <w:t xml:space="preserve"> skattlegging, </w:t>
      </w:r>
      <w:proofErr w:type="spellStart"/>
      <w:r w:rsidRPr="00E426D3">
        <w:t>gunstigare</w:t>
      </w:r>
      <w:proofErr w:type="spellEnd"/>
      <w:r w:rsidRPr="00E426D3">
        <w:t xml:space="preserve"> </w:t>
      </w:r>
      <w:proofErr w:type="spellStart"/>
      <w:r w:rsidRPr="00E426D3">
        <w:t>pensjonsopptening</w:t>
      </w:r>
      <w:proofErr w:type="spellEnd"/>
      <w:r w:rsidRPr="00E426D3">
        <w:t xml:space="preserve"> og betre </w:t>
      </w:r>
      <w:proofErr w:type="spellStart"/>
      <w:r w:rsidRPr="00E426D3">
        <w:t>rettar</w:t>
      </w:r>
      <w:proofErr w:type="spellEnd"/>
      <w:r w:rsidRPr="00E426D3">
        <w:t xml:space="preserve"> i velferdssystemet.</w:t>
      </w:r>
    </w:p>
    <w:p w14:paraId="0C917978" w14:textId="77777777" w:rsidR="00772748" w:rsidRPr="00E426D3" w:rsidRDefault="00772748" w:rsidP="00E426D3">
      <w:r w:rsidRPr="00E426D3">
        <w:t xml:space="preserve">Inntekter som kan </w:t>
      </w:r>
      <w:proofErr w:type="spellStart"/>
      <w:r w:rsidRPr="00E426D3">
        <w:t>førast</w:t>
      </w:r>
      <w:proofErr w:type="spellEnd"/>
      <w:r w:rsidRPr="00E426D3">
        <w:t xml:space="preserve"> på jordbrukskonto, vert foreslått avgrensa </w:t>
      </w:r>
      <w:proofErr w:type="spellStart"/>
      <w:r w:rsidRPr="00E426D3">
        <w:t>tilsvarande</w:t>
      </w:r>
      <w:proofErr w:type="spellEnd"/>
      <w:r w:rsidRPr="00E426D3">
        <w:t xml:space="preserve"> grunnlaget for </w:t>
      </w:r>
      <w:proofErr w:type="spellStart"/>
      <w:r w:rsidRPr="00E426D3">
        <w:t>jordbruksfrådrag</w:t>
      </w:r>
      <w:proofErr w:type="spellEnd"/>
      <w:r w:rsidRPr="00E426D3">
        <w:t xml:space="preserve">, men med unntak for enkelte inntekter som </w:t>
      </w:r>
      <w:proofErr w:type="spellStart"/>
      <w:r w:rsidRPr="00E426D3">
        <w:t>ikkje</w:t>
      </w:r>
      <w:proofErr w:type="spellEnd"/>
      <w:r w:rsidRPr="00E426D3">
        <w:t xml:space="preserve"> er knytt til produksjon av mat og fôr. Det </w:t>
      </w:r>
      <w:proofErr w:type="spellStart"/>
      <w:r w:rsidRPr="00E426D3">
        <w:t>gjeld</w:t>
      </w:r>
      <w:proofErr w:type="spellEnd"/>
      <w:r w:rsidRPr="00E426D3">
        <w:t xml:space="preserve"> mellom anna inntekter </w:t>
      </w:r>
      <w:proofErr w:type="spellStart"/>
      <w:r w:rsidRPr="00E426D3">
        <w:t>frå</w:t>
      </w:r>
      <w:proofErr w:type="spellEnd"/>
      <w:r w:rsidRPr="00E426D3">
        <w:t xml:space="preserve"> utnytting av jakt- og </w:t>
      </w:r>
      <w:proofErr w:type="spellStart"/>
      <w:r w:rsidRPr="00E426D3">
        <w:t>fiskerettar</w:t>
      </w:r>
      <w:proofErr w:type="spellEnd"/>
      <w:r w:rsidRPr="00E426D3">
        <w:t xml:space="preserve">, uttak av sand og grus, </w:t>
      </w:r>
      <w:proofErr w:type="spellStart"/>
      <w:r w:rsidRPr="00E426D3">
        <w:t>utleige</w:t>
      </w:r>
      <w:proofErr w:type="spellEnd"/>
      <w:r w:rsidRPr="00E426D3">
        <w:t xml:space="preserve"> av </w:t>
      </w:r>
      <w:proofErr w:type="spellStart"/>
      <w:r w:rsidRPr="00E426D3">
        <w:t>bygningar</w:t>
      </w:r>
      <w:proofErr w:type="spellEnd"/>
      <w:r w:rsidRPr="00E426D3">
        <w:t xml:space="preserve"> og </w:t>
      </w:r>
      <w:proofErr w:type="spellStart"/>
      <w:r w:rsidRPr="00E426D3">
        <w:t>reiskapar</w:t>
      </w:r>
      <w:proofErr w:type="spellEnd"/>
      <w:r w:rsidRPr="00E426D3">
        <w:t xml:space="preserve"> mv.</w:t>
      </w:r>
    </w:p>
    <w:p w14:paraId="43EDAE2F" w14:textId="77777777" w:rsidR="00772748" w:rsidRPr="00E426D3" w:rsidRDefault="00772748" w:rsidP="00E426D3">
      <w:r w:rsidRPr="00E426D3">
        <w:t xml:space="preserve">Framlegget vert anslått å </w:t>
      </w:r>
      <w:proofErr w:type="spellStart"/>
      <w:r w:rsidRPr="00E426D3">
        <w:t>gje</w:t>
      </w:r>
      <w:proofErr w:type="spellEnd"/>
      <w:r w:rsidRPr="00E426D3">
        <w:t xml:space="preserve"> </w:t>
      </w:r>
      <w:proofErr w:type="spellStart"/>
      <w:r w:rsidRPr="00E426D3">
        <w:t>eit</w:t>
      </w:r>
      <w:proofErr w:type="spellEnd"/>
      <w:r w:rsidRPr="00E426D3">
        <w:t xml:space="preserve"> påløpt og bokført provenytap i 2025 på om lag 570 mill. kroner. På lang sikt er ordninga anslått å ha </w:t>
      </w:r>
      <w:proofErr w:type="spellStart"/>
      <w:r w:rsidRPr="00E426D3">
        <w:t>eit</w:t>
      </w:r>
      <w:proofErr w:type="spellEnd"/>
      <w:r w:rsidRPr="00E426D3">
        <w:t xml:space="preserve"> </w:t>
      </w:r>
      <w:proofErr w:type="spellStart"/>
      <w:r w:rsidRPr="00E426D3">
        <w:t>årleg</w:t>
      </w:r>
      <w:proofErr w:type="spellEnd"/>
      <w:r w:rsidRPr="00E426D3">
        <w:t xml:space="preserve"> provenytap på om lag 40 mill. kroner, som er renteeffekten av </w:t>
      </w:r>
      <w:proofErr w:type="gramStart"/>
      <w:r w:rsidRPr="00E426D3">
        <w:t>utsette</w:t>
      </w:r>
      <w:proofErr w:type="gramEnd"/>
      <w:r w:rsidRPr="00E426D3">
        <w:t xml:space="preserve"> </w:t>
      </w:r>
      <w:proofErr w:type="spellStart"/>
      <w:r w:rsidRPr="00E426D3">
        <w:t>skatteinnbetalingar</w:t>
      </w:r>
      <w:proofErr w:type="spellEnd"/>
      <w:r w:rsidRPr="00E426D3">
        <w:t xml:space="preserve">. Ei ny skatteordning med jordbrukskonto vil òg komplisere regelverket, og dermed </w:t>
      </w:r>
      <w:proofErr w:type="spellStart"/>
      <w:r w:rsidRPr="00E426D3">
        <w:t>gje</w:t>
      </w:r>
      <w:proofErr w:type="spellEnd"/>
      <w:r w:rsidRPr="00E426D3">
        <w:t xml:space="preserve"> administrative </w:t>
      </w:r>
      <w:proofErr w:type="spellStart"/>
      <w:r w:rsidRPr="00E426D3">
        <w:t>kostnadar</w:t>
      </w:r>
      <w:proofErr w:type="spellEnd"/>
      <w:r w:rsidRPr="00E426D3">
        <w:t>.</w:t>
      </w:r>
    </w:p>
    <w:p w14:paraId="104026C1" w14:textId="77777777" w:rsidR="00772748" w:rsidRPr="00E426D3" w:rsidRDefault="00772748" w:rsidP="00E426D3">
      <w:r w:rsidRPr="00E426D3">
        <w:t xml:space="preserve">Departementet syner til framlegg til ny føresegn i skatteloven § 14-82. Det vert gjort framlegg om at endringa trer i kraft straks med verknad </w:t>
      </w:r>
      <w:proofErr w:type="spellStart"/>
      <w:r w:rsidRPr="00E426D3">
        <w:t>frå</w:t>
      </w:r>
      <w:proofErr w:type="spellEnd"/>
      <w:r w:rsidRPr="00E426D3">
        <w:t xml:space="preserve"> og med inntektsåret 2025.</w:t>
      </w:r>
    </w:p>
    <w:p w14:paraId="081B8040" w14:textId="77777777" w:rsidR="00772748" w:rsidRPr="00E426D3" w:rsidRDefault="00772748" w:rsidP="00E426D3">
      <w:pPr>
        <w:pStyle w:val="Overskrift2"/>
      </w:pPr>
      <w:r w:rsidRPr="00E426D3">
        <w:t>Bakgrunn</w:t>
      </w:r>
    </w:p>
    <w:p w14:paraId="2213CB54" w14:textId="77777777" w:rsidR="00772748" w:rsidRPr="00E426D3" w:rsidRDefault="00772748" w:rsidP="00E426D3">
      <w:r w:rsidRPr="00E426D3">
        <w:t xml:space="preserve">I samband med </w:t>
      </w:r>
      <w:proofErr w:type="spellStart"/>
      <w:r w:rsidRPr="00E426D3">
        <w:t>jordbruksforhandlingane</w:t>
      </w:r>
      <w:proofErr w:type="spellEnd"/>
      <w:r w:rsidRPr="00E426D3">
        <w:t xml:space="preserve"> i 2024 sende </w:t>
      </w:r>
      <w:proofErr w:type="spellStart"/>
      <w:r w:rsidRPr="00E426D3">
        <w:t>dåverande</w:t>
      </w:r>
      <w:proofErr w:type="spellEnd"/>
      <w:r w:rsidRPr="00E426D3">
        <w:t xml:space="preserve"> finansminister den 16. mai 2024 </w:t>
      </w:r>
      <w:proofErr w:type="spellStart"/>
      <w:r w:rsidRPr="00E426D3">
        <w:t>eit</w:t>
      </w:r>
      <w:proofErr w:type="spellEnd"/>
      <w:r w:rsidRPr="00E426D3">
        <w:t xml:space="preserve"> brev til landbruks- og matministeren. Der gjorde han greie for at han i samband med arbeidet med statsbudsjettet for 2025, ville vurdere om det er grunnlag for ei ordning med jordbrukskonto etter modell </w:t>
      </w:r>
      <w:proofErr w:type="spellStart"/>
      <w:r w:rsidRPr="00E426D3">
        <w:t>frå</w:t>
      </w:r>
      <w:proofErr w:type="spellEnd"/>
      <w:r w:rsidRPr="00E426D3">
        <w:t xml:space="preserve"> tømmerkontoordninga i skogbruket. Dette kunne </w:t>
      </w:r>
      <w:proofErr w:type="spellStart"/>
      <w:r w:rsidRPr="00E426D3">
        <w:t>gjerast</w:t>
      </w:r>
      <w:proofErr w:type="spellEnd"/>
      <w:r w:rsidRPr="00E426D3">
        <w:t xml:space="preserve"> kjent, og dermed bli </w:t>
      </w:r>
      <w:proofErr w:type="spellStart"/>
      <w:r w:rsidRPr="00E426D3">
        <w:t>ein</w:t>
      </w:r>
      <w:proofErr w:type="spellEnd"/>
      <w:r w:rsidRPr="00E426D3">
        <w:t xml:space="preserve"> del av rammevilkåra i samband med </w:t>
      </w:r>
      <w:proofErr w:type="spellStart"/>
      <w:r w:rsidRPr="00E426D3">
        <w:t>forhandlingane</w:t>
      </w:r>
      <w:proofErr w:type="spellEnd"/>
      <w:r w:rsidRPr="00E426D3">
        <w:t>.</w:t>
      </w:r>
    </w:p>
    <w:p w14:paraId="6C6C1235" w14:textId="77777777" w:rsidR="00772748" w:rsidRPr="00E426D3" w:rsidRDefault="00772748" w:rsidP="00E426D3">
      <w:r w:rsidRPr="00E426D3">
        <w:t xml:space="preserve">I Prop. 1 LS (2024–2025) </w:t>
      </w:r>
      <w:r w:rsidRPr="00E426D3">
        <w:rPr>
          <w:rStyle w:val="kursiv"/>
        </w:rPr>
        <w:t>Skatter og avgifter 2025</w:t>
      </w:r>
      <w:r w:rsidRPr="00E426D3">
        <w:t xml:space="preserve"> kapittel 15 går det fram at </w:t>
      </w:r>
      <w:proofErr w:type="spellStart"/>
      <w:r w:rsidRPr="00E426D3">
        <w:t>ein</w:t>
      </w:r>
      <w:proofErr w:type="spellEnd"/>
      <w:r w:rsidRPr="00E426D3">
        <w:t xml:space="preserve"> jordbrukskonto skal </w:t>
      </w:r>
      <w:proofErr w:type="spellStart"/>
      <w:r w:rsidRPr="00E426D3">
        <w:t>greiast</w:t>
      </w:r>
      <w:proofErr w:type="spellEnd"/>
      <w:r w:rsidRPr="00E426D3">
        <w:t xml:space="preserve"> ut </w:t>
      </w:r>
      <w:proofErr w:type="spellStart"/>
      <w:r w:rsidRPr="00E426D3">
        <w:t>ytterlegare</w:t>
      </w:r>
      <w:proofErr w:type="spellEnd"/>
      <w:r w:rsidRPr="00E426D3">
        <w:t xml:space="preserve">, og at </w:t>
      </w:r>
      <w:proofErr w:type="spellStart"/>
      <w:r w:rsidRPr="00E426D3">
        <w:t>jordbruksorganisasjonane</w:t>
      </w:r>
      <w:proofErr w:type="spellEnd"/>
      <w:r w:rsidRPr="00E426D3">
        <w:t xml:space="preserve"> vert invitert til å </w:t>
      </w:r>
      <w:proofErr w:type="spellStart"/>
      <w:r w:rsidRPr="00E426D3">
        <w:t>kome</w:t>
      </w:r>
      <w:proofErr w:type="spellEnd"/>
      <w:r w:rsidRPr="00E426D3">
        <w:t xml:space="preserve"> med </w:t>
      </w:r>
      <w:proofErr w:type="spellStart"/>
      <w:r w:rsidRPr="00E426D3">
        <w:t>innspel</w:t>
      </w:r>
      <w:proofErr w:type="spellEnd"/>
      <w:r w:rsidRPr="00E426D3">
        <w:t>.</w:t>
      </w:r>
    </w:p>
    <w:p w14:paraId="09035A0B" w14:textId="77777777" w:rsidR="00772748" w:rsidRPr="00E426D3" w:rsidRDefault="00772748" w:rsidP="00E426D3">
      <w:r w:rsidRPr="00E426D3">
        <w:t xml:space="preserve">På Stortinget den 3. februar 2025 inngjekk </w:t>
      </w:r>
      <w:proofErr w:type="spellStart"/>
      <w:r w:rsidRPr="00E426D3">
        <w:t>Arbeidarpartiet</w:t>
      </w:r>
      <w:proofErr w:type="spellEnd"/>
      <w:r w:rsidRPr="00E426D3">
        <w:t xml:space="preserve">, Senterpartiet, Venstre, </w:t>
      </w:r>
      <w:proofErr w:type="spellStart"/>
      <w:r w:rsidRPr="00E426D3">
        <w:t>Kristeleg</w:t>
      </w:r>
      <w:proofErr w:type="spellEnd"/>
      <w:r w:rsidRPr="00E426D3">
        <w:t xml:space="preserve"> Folkeparti og Pasientfokus </w:t>
      </w:r>
      <w:proofErr w:type="gramStart"/>
      <w:r w:rsidRPr="00E426D3">
        <w:t>ei avtale</w:t>
      </w:r>
      <w:proofErr w:type="gramEnd"/>
      <w:r w:rsidRPr="00E426D3">
        <w:t xml:space="preserve"> der punkt 4 lyder: «[r]</w:t>
      </w:r>
      <w:proofErr w:type="spellStart"/>
      <w:r w:rsidRPr="00E426D3">
        <w:t>egjeringa</w:t>
      </w:r>
      <w:proofErr w:type="spellEnd"/>
      <w:r w:rsidRPr="00E426D3">
        <w:t xml:space="preserve"> kjem i vår med framlegg til jordbrukskonto, med verknad </w:t>
      </w:r>
      <w:proofErr w:type="spellStart"/>
      <w:r w:rsidRPr="00E426D3">
        <w:t>frå</w:t>
      </w:r>
      <w:proofErr w:type="spellEnd"/>
      <w:r w:rsidRPr="00E426D3">
        <w:t xml:space="preserve"> og med inntektsåret 2025». I Meld. St. 10 (2024–2025) </w:t>
      </w:r>
      <w:r w:rsidRPr="00E426D3">
        <w:rPr>
          <w:rStyle w:val="kursiv"/>
        </w:rPr>
        <w:t xml:space="preserve">Prinsipp for </w:t>
      </w:r>
      <w:proofErr w:type="spellStart"/>
      <w:r w:rsidRPr="00E426D3">
        <w:rPr>
          <w:rStyle w:val="kursiv"/>
        </w:rPr>
        <w:t>talgrunnlag</w:t>
      </w:r>
      <w:proofErr w:type="spellEnd"/>
      <w:r w:rsidRPr="00E426D3">
        <w:rPr>
          <w:rStyle w:val="kursiv"/>
        </w:rPr>
        <w:t xml:space="preserve"> m.m. i jordbrukspolitikken</w:t>
      </w:r>
      <w:r w:rsidRPr="00E426D3">
        <w:t xml:space="preserve"> skriv regjeringa at ho vil </w:t>
      </w:r>
      <w:proofErr w:type="spellStart"/>
      <w:r w:rsidRPr="00E426D3">
        <w:t>følgje</w:t>
      </w:r>
      <w:proofErr w:type="spellEnd"/>
      <w:r w:rsidRPr="00E426D3">
        <w:t xml:space="preserve"> opp </w:t>
      </w:r>
      <w:proofErr w:type="spellStart"/>
      <w:r w:rsidRPr="00E426D3">
        <w:t>avtala</w:t>
      </w:r>
      <w:proofErr w:type="spellEnd"/>
      <w:r w:rsidRPr="00E426D3">
        <w:t xml:space="preserve"> i </w:t>
      </w:r>
      <w:proofErr w:type="spellStart"/>
      <w:r w:rsidRPr="00E426D3">
        <w:t>jordbruksoppgjeret</w:t>
      </w:r>
      <w:proofErr w:type="spellEnd"/>
      <w:r w:rsidRPr="00E426D3">
        <w:t xml:space="preserve"> og andre relevante </w:t>
      </w:r>
      <w:proofErr w:type="spellStart"/>
      <w:r w:rsidRPr="00E426D3">
        <w:t>prosessar</w:t>
      </w:r>
      <w:proofErr w:type="spellEnd"/>
      <w:r w:rsidRPr="00E426D3">
        <w:t xml:space="preserve">. Det vart </w:t>
      </w:r>
      <w:proofErr w:type="spellStart"/>
      <w:r w:rsidRPr="00E426D3">
        <w:t>synt</w:t>
      </w:r>
      <w:proofErr w:type="spellEnd"/>
      <w:r w:rsidRPr="00E426D3">
        <w:t xml:space="preserve"> til at jordbrukskonto er under utgreiing, og at finansministeren vil </w:t>
      </w:r>
      <w:proofErr w:type="spellStart"/>
      <w:r w:rsidRPr="00E426D3">
        <w:t>kome</w:t>
      </w:r>
      <w:proofErr w:type="spellEnd"/>
      <w:r w:rsidRPr="00E426D3">
        <w:t xml:space="preserve"> tilbake til Stortinget med ei </w:t>
      </w:r>
      <w:proofErr w:type="spellStart"/>
      <w:r w:rsidRPr="00E426D3">
        <w:t>endeleg</w:t>
      </w:r>
      <w:proofErr w:type="spellEnd"/>
      <w:r w:rsidRPr="00E426D3">
        <w:t xml:space="preserve"> utgreiing av saka.</w:t>
      </w:r>
    </w:p>
    <w:p w14:paraId="60A202EE" w14:textId="77777777" w:rsidR="00772748" w:rsidRPr="00E426D3" w:rsidRDefault="00772748" w:rsidP="00E426D3">
      <w:r w:rsidRPr="00E426D3">
        <w:t xml:space="preserve">I samband med </w:t>
      </w:r>
      <w:proofErr w:type="spellStart"/>
      <w:r w:rsidRPr="00E426D3">
        <w:t>eit</w:t>
      </w:r>
      <w:proofErr w:type="spellEnd"/>
      <w:r w:rsidRPr="00E426D3">
        <w:t xml:space="preserve"> møte i departementet den 17. mars 2025 </w:t>
      </w:r>
      <w:proofErr w:type="spellStart"/>
      <w:r w:rsidRPr="00E426D3">
        <w:t>fekk</w:t>
      </w:r>
      <w:proofErr w:type="spellEnd"/>
      <w:r w:rsidRPr="00E426D3">
        <w:t xml:space="preserve"> Norges bondelag og Norsk bonde- og småbrukarlag høve til å </w:t>
      </w:r>
      <w:proofErr w:type="spellStart"/>
      <w:r w:rsidRPr="00E426D3">
        <w:t>kome</w:t>
      </w:r>
      <w:proofErr w:type="spellEnd"/>
      <w:r w:rsidRPr="00E426D3">
        <w:t xml:space="preserve"> med </w:t>
      </w:r>
      <w:proofErr w:type="spellStart"/>
      <w:r w:rsidRPr="00E426D3">
        <w:t>innspel</w:t>
      </w:r>
      <w:proofErr w:type="spellEnd"/>
      <w:r w:rsidRPr="00E426D3">
        <w:t xml:space="preserve"> til utforminga av jordbrukskonto.</w:t>
      </w:r>
    </w:p>
    <w:p w14:paraId="4257415F" w14:textId="77777777" w:rsidR="00772748" w:rsidRPr="00E426D3" w:rsidRDefault="00772748" w:rsidP="00E426D3">
      <w:pPr>
        <w:pStyle w:val="Overskrift2"/>
      </w:pPr>
      <w:proofErr w:type="spellStart"/>
      <w:r w:rsidRPr="00E426D3">
        <w:lastRenderedPageBreak/>
        <w:t>Gjeldande</w:t>
      </w:r>
      <w:proofErr w:type="spellEnd"/>
      <w:r w:rsidRPr="00E426D3">
        <w:t xml:space="preserve"> rett</w:t>
      </w:r>
    </w:p>
    <w:p w14:paraId="2873BC58" w14:textId="77777777" w:rsidR="00772748" w:rsidRPr="00E426D3" w:rsidRDefault="00772748" w:rsidP="00E426D3">
      <w:r w:rsidRPr="00E426D3">
        <w:t xml:space="preserve">Dei fleste </w:t>
      </w:r>
      <w:proofErr w:type="spellStart"/>
      <w:r w:rsidRPr="00E426D3">
        <w:t>jordbruksverksemder</w:t>
      </w:r>
      <w:proofErr w:type="spellEnd"/>
      <w:r w:rsidRPr="00E426D3">
        <w:t xml:space="preserve"> er organiserte som </w:t>
      </w:r>
      <w:proofErr w:type="spellStart"/>
      <w:r w:rsidRPr="00E426D3">
        <w:t>enkeltpersonføretak</w:t>
      </w:r>
      <w:proofErr w:type="spellEnd"/>
      <w:r w:rsidRPr="00E426D3">
        <w:t xml:space="preserve">. Inntekt </w:t>
      </w:r>
      <w:proofErr w:type="spellStart"/>
      <w:r w:rsidRPr="00E426D3">
        <w:t>frå</w:t>
      </w:r>
      <w:proofErr w:type="spellEnd"/>
      <w:r w:rsidRPr="00E426D3">
        <w:t xml:space="preserve"> </w:t>
      </w:r>
      <w:proofErr w:type="spellStart"/>
      <w:r w:rsidRPr="00E426D3">
        <w:t>næringsverksemd</w:t>
      </w:r>
      <w:proofErr w:type="spellEnd"/>
      <w:r w:rsidRPr="00E426D3">
        <w:t xml:space="preserve"> inngår i </w:t>
      </w:r>
      <w:proofErr w:type="spellStart"/>
      <w:r w:rsidRPr="00E426D3">
        <w:t>alminneleg</w:t>
      </w:r>
      <w:proofErr w:type="spellEnd"/>
      <w:r w:rsidRPr="00E426D3">
        <w:t xml:space="preserve"> inntekt </w:t>
      </w:r>
      <w:proofErr w:type="spellStart"/>
      <w:r w:rsidRPr="00E426D3">
        <w:t>saman</w:t>
      </w:r>
      <w:proofErr w:type="spellEnd"/>
      <w:r w:rsidRPr="00E426D3">
        <w:t xml:space="preserve"> med inntekter </w:t>
      </w:r>
      <w:proofErr w:type="spellStart"/>
      <w:r w:rsidRPr="00E426D3">
        <w:t>frå</w:t>
      </w:r>
      <w:proofErr w:type="spellEnd"/>
      <w:r w:rsidRPr="00E426D3">
        <w:t xml:space="preserve"> andre kjelder, og vert </w:t>
      </w:r>
      <w:proofErr w:type="spellStart"/>
      <w:r w:rsidRPr="00E426D3">
        <w:t>skattlagde</w:t>
      </w:r>
      <w:proofErr w:type="spellEnd"/>
      <w:r w:rsidRPr="00E426D3">
        <w:t xml:space="preserve"> </w:t>
      </w:r>
      <w:proofErr w:type="spellStart"/>
      <w:r w:rsidRPr="00E426D3">
        <w:t>laupande</w:t>
      </w:r>
      <w:proofErr w:type="spellEnd"/>
      <w:r w:rsidRPr="00E426D3">
        <w:t xml:space="preserve"> med </w:t>
      </w:r>
      <w:proofErr w:type="spellStart"/>
      <w:r w:rsidRPr="00E426D3">
        <w:t>ein</w:t>
      </w:r>
      <w:proofErr w:type="spellEnd"/>
      <w:r w:rsidRPr="00E426D3">
        <w:t xml:space="preserve"> sats på 22 pst. I tillegg inngår </w:t>
      </w:r>
      <w:proofErr w:type="spellStart"/>
      <w:r w:rsidRPr="00E426D3">
        <w:t>verksemdsinntekta</w:t>
      </w:r>
      <w:proofErr w:type="spellEnd"/>
      <w:r w:rsidRPr="00E426D3">
        <w:t xml:space="preserve"> i </w:t>
      </w:r>
      <w:proofErr w:type="spellStart"/>
      <w:r w:rsidRPr="00E426D3">
        <w:t>fastsetjinga</w:t>
      </w:r>
      <w:proofErr w:type="spellEnd"/>
      <w:r w:rsidRPr="00E426D3">
        <w:t xml:space="preserve"> av </w:t>
      </w:r>
      <w:proofErr w:type="spellStart"/>
      <w:r w:rsidRPr="00E426D3">
        <w:t>skattytaren</w:t>
      </w:r>
      <w:proofErr w:type="spellEnd"/>
      <w:r w:rsidRPr="00E426D3">
        <w:t xml:space="preserve"> si personinntekt, som er grunnlaget for å </w:t>
      </w:r>
      <w:proofErr w:type="spellStart"/>
      <w:r w:rsidRPr="00E426D3">
        <w:t>berekne</w:t>
      </w:r>
      <w:proofErr w:type="spellEnd"/>
      <w:r w:rsidRPr="00E426D3">
        <w:t xml:space="preserve"> trygdeavgift og trinnskatt. </w:t>
      </w:r>
      <w:proofErr w:type="spellStart"/>
      <w:r w:rsidRPr="00E426D3">
        <w:t>Berekninga</w:t>
      </w:r>
      <w:proofErr w:type="spellEnd"/>
      <w:r w:rsidRPr="00E426D3">
        <w:t xml:space="preserve"> av personinntekta </w:t>
      </w:r>
      <w:proofErr w:type="spellStart"/>
      <w:r w:rsidRPr="00E426D3">
        <w:t>frå</w:t>
      </w:r>
      <w:proofErr w:type="spellEnd"/>
      <w:r w:rsidRPr="00E426D3">
        <w:t xml:space="preserve"> </w:t>
      </w:r>
      <w:proofErr w:type="spellStart"/>
      <w:r w:rsidRPr="00E426D3">
        <w:t>verksemd</w:t>
      </w:r>
      <w:proofErr w:type="spellEnd"/>
      <w:r w:rsidRPr="00E426D3">
        <w:t xml:space="preserve"> skjer etter </w:t>
      </w:r>
      <w:proofErr w:type="spellStart"/>
      <w:r w:rsidRPr="00E426D3">
        <w:t>føretaksmodellen</w:t>
      </w:r>
      <w:proofErr w:type="spellEnd"/>
      <w:r w:rsidRPr="00E426D3">
        <w:t>.</w:t>
      </w:r>
    </w:p>
    <w:p w14:paraId="7B0D45D8" w14:textId="77777777" w:rsidR="00772748" w:rsidRPr="00E426D3" w:rsidRDefault="00772748" w:rsidP="00E426D3">
      <w:proofErr w:type="spellStart"/>
      <w:r w:rsidRPr="00E426D3">
        <w:t>Føretaksmodellen</w:t>
      </w:r>
      <w:proofErr w:type="spellEnd"/>
      <w:r w:rsidRPr="00E426D3">
        <w:t xml:space="preserve"> </w:t>
      </w:r>
      <w:proofErr w:type="spellStart"/>
      <w:r w:rsidRPr="00E426D3">
        <w:t>fastset</w:t>
      </w:r>
      <w:proofErr w:type="spellEnd"/>
      <w:r w:rsidRPr="00E426D3">
        <w:t xml:space="preserve"> berekna personinntekt til næringsinntekta utover risikofri avkastning på kapitalen i </w:t>
      </w:r>
      <w:proofErr w:type="spellStart"/>
      <w:r w:rsidRPr="00E426D3">
        <w:t>føretaket</w:t>
      </w:r>
      <w:proofErr w:type="spellEnd"/>
      <w:r w:rsidRPr="00E426D3">
        <w:t xml:space="preserve"> (</w:t>
      </w:r>
      <w:proofErr w:type="spellStart"/>
      <w:r w:rsidRPr="00E426D3">
        <w:t>skjermingsfrådraget</w:t>
      </w:r>
      <w:proofErr w:type="spellEnd"/>
      <w:r w:rsidRPr="00E426D3">
        <w:t xml:space="preserve">). </w:t>
      </w:r>
      <w:proofErr w:type="spellStart"/>
      <w:r w:rsidRPr="00E426D3">
        <w:t>Føretaksmodellen</w:t>
      </w:r>
      <w:proofErr w:type="spellEnd"/>
      <w:r w:rsidRPr="00E426D3">
        <w:t xml:space="preserve"> </w:t>
      </w:r>
      <w:proofErr w:type="spellStart"/>
      <w:r w:rsidRPr="00E426D3">
        <w:t>byggjer</w:t>
      </w:r>
      <w:proofErr w:type="spellEnd"/>
      <w:r w:rsidRPr="00E426D3">
        <w:t xml:space="preserve"> på same prinsipp som aksjonærmodellen for </w:t>
      </w:r>
      <w:proofErr w:type="spellStart"/>
      <w:r w:rsidRPr="00E426D3">
        <w:t>aksjonærar</w:t>
      </w:r>
      <w:proofErr w:type="spellEnd"/>
      <w:r w:rsidRPr="00E426D3">
        <w:t xml:space="preserve"> og </w:t>
      </w:r>
      <w:proofErr w:type="spellStart"/>
      <w:r w:rsidRPr="00E426D3">
        <w:t>deltakarmodellen</w:t>
      </w:r>
      <w:proofErr w:type="spellEnd"/>
      <w:r w:rsidRPr="00E426D3">
        <w:t xml:space="preserve"> for </w:t>
      </w:r>
      <w:proofErr w:type="spellStart"/>
      <w:r w:rsidRPr="00E426D3">
        <w:t>personlege</w:t>
      </w:r>
      <w:proofErr w:type="spellEnd"/>
      <w:r w:rsidRPr="00E426D3">
        <w:t xml:space="preserve"> </w:t>
      </w:r>
      <w:proofErr w:type="spellStart"/>
      <w:r w:rsidRPr="00E426D3">
        <w:t>deltakarar</w:t>
      </w:r>
      <w:proofErr w:type="spellEnd"/>
      <w:r w:rsidRPr="00E426D3">
        <w:t xml:space="preserve"> om å </w:t>
      </w:r>
      <w:proofErr w:type="spellStart"/>
      <w:r w:rsidRPr="00E426D3">
        <w:t>skattleggje</w:t>
      </w:r>
      <w:proofErr w:type="spellEnd"/>
      <w:r w:rsidRPr="00E426D3">
        <w:t xml:space="preserve"> avkastning utover det som </w:t>
      </w:r>
      <w:proofErr w:type="spellStart"/>
      <w:r w:rsidRPr="00E426D3">
        <w:t>svarar</w:t>
      </w:r>
      <w:proofErr w:type="spellEnd"/>
      <w:r w:rsidRPr="00E426D3">
        <w:t xml:space="preserve"> til risikofri rente. </w:t>
      </w:r>
      <w:proofErr w:type="spellStart"/>
      <w:r w:rsidRPr="00E426D3">
        <w:t>Ein</w:t>
      </w:r>
      <w:proofErr w:type="spellEnd"/>
      <w:r w:rsidRPr="00E426D3">
        <w:t xml:space="preserve"> skilnad mellom aksjonærmodellen og </w:t>
      </w:r>
      <w:proofErr w:type="spellStart"/>
      <w:r w:rsidRPr="00E426D3">
        <w:t>føretaksmodellen</w:t>
      </w:r>
      <w:proofErr w:type="spellEnd"/>
      <w:r w:rsidRPr="00E426D3">
        <w:t xml:space="preserve"> er at skattlegging utover skatt på </w:t>
      </w:r>
      <w:proofErr w:type="spellStart"/>
      <w:r w:rsidRPr="00E426D3">
        <w:t>alminneleg</w:t>
      </w:r>
      <w:proofErr w:type="spellEnd"/>
      <w:r w:rsidRPr="00E426D3">
        <w:t xml:space="preserve"> inntekt skjer </w:t>
      </w:r>
      <w:proofErr w:type="spellStart"/>
      <w:r w:rsidRPr="00E426D3">
        <w:t>laupande</w:t>
      </w:r>
      <w:proofErr w:type="spellEnd"/>
      <w:r w:rsidRPr="00E426D3">
        <w:t xml:space="preserve"> i </w:t>
      </w:r>
      <w:proofErr w:type="spellStart"/>
      <w:r w:rsidRPr="00E426D3">
        <w:t>føretaksmodellen</w:t>
      </w:r>
      <w:proofErr w:type="spellEnd"/>
      <w:r w:rsidRPr="00E426D3">
        <w:t xml:space="preserve">. Dette vert kompensert ved at reinvestering av opptent </w:t>
      </w:r>
      <w:proofErr w:type="spellStart"/>
      <w:r w:rsidRPr="00E426D3">
        <w:t>overskot</w:t>
      </w:r>
      <w:proofErr w:type="spellEnd"/>
      <w:r w:rsidRPr="00E426D3">
        <w:t xml:space="preserve"> </w:t>
      </w:r>
      <w:proofErr w:type="spellStart"/>
      <w:r w:rsidRPr="00E426D3">
        <w:t>aukar</w:t>
      </w:r>
      <w:proofErr w:type="spellEnd"/>
      <w:r w:rsidRPr="00E426D3">
        <w:t xml:space="preserve"> skjermingsgrunnlaget i </w:t>
      </w:r>
      <w:proofErr w:type="spellStart"/>
      <w:r w:rsidRPr="00E426D3">
        <w:t>føretaksmodellen</w:t>
      </w:r>
      <w:proofErr w:type="spellEnd"/>
      <w:r w:rsidRPr="00E426D3">
        <w:t xml:space="preserve"> og </w:t>
      </w:r>
      <w:proofErr w:type="spellStart"/>
      <w:r w:rsidRPr="00E426D3">
        <w:t>ikkje</w:t>
      </w:r>
      <w:proofErr w:type="spellEnd"/>
      <w:r w:rsidRPr="00E426D3">
        <w:t xml:space="preserve"> i aksjonærmodellen. Dermed er </w:t>
      </w:r>
      <w:proofErr w:type="spellStart"/>
      <w:r w:rsidRPr="00E426D3">
        <w:t>noverdien</w:t>
      </w:r>
      <w:proofErr w:type="spellEnd"/>
      <w:r w:rsidRPr="00E426D3">
        <w:t xml:space="preserve"> av skatten i </w:t>
      </w:r>
      <w:proofErr w:type="spellStart"/>
      <w:r w:rsidRPr="00E426D3">
        <w:t>dei</w:t>
      </w:r>
      <w:proofErr w:type="spellEnd"/>
      <w:r w:rsidRPr="00E426D3">
        <w:t xml:space="preserve"> to </w:t>
      </w:r>
      <w:proofErr w:type="spellStart"/>
      <w:r w:rsidRPr="00E426D3">
        <w:t>modellane</w:t>
      </w:r>
      <w:proofErr w:type="spellEnd"/>
      <w:r w:rsidRPr="00E426D3">
        <w:t xml:space="preserve"> den same.</w:t>
      </w:r>
    </w:p>
    <w:p w14:paraId="473D736B" w14:textId="77777777" w:rsidR="00772748" w:rsidRPr="00E426D3" w:rsidRDefault="00772748" w:rsidP="00E426D3">
      <w:r w:rsidRPr="00E426D3">
        <w:t xml:space="preserve">Jordbruk og skogbruk har ei </w:t>
      </w:r>
      <w:proofErr w:type="spellStart"/>
      <w:r w:rsidRPr="00E426D3">
        <w:t>rekkje</w:t>
      </w:r>
      <w:proofErr w:type="spellEnd"/>
      <w:r w:rsidRPr="00E426D3">
        <w:t xml:space="preserve"> </w:t>
      </w:r>
      <w:proofErr w:type="spellStart"/>
      <w:r w:rsidRPr="00E426D3">
        <w:t>særskilde</w:t>
      </w:r>
      <w:proofErr w:type="spellEnd"/>
      <w:r w:rsidRPr="00E426D3">
        <w:t xml:space="preserve"> </w:t>
      </w:r>
      <w:proofErr w:type="spellStart"/>
      <w:r w:rsidRPr="00E426D3">
        <w:t>skatteordningar</w:t>
      </w:r>
      <w:proofErr w:type="spellEnd"/>
      <w:r w:rsidRPr="00E426D3">
        <w:t xml:space="preserve">. Ei slik ordning er </w:t>
      </w:r>
      <w:proofErr w:type="spellStart"/>
      <w:r w:rsidRPr="00E426D3">
        <w:t>jordbruksfrådraget</w:t>
      </w:r>
      <w:proofErr w:type="spellEnd"/>
      <w:r w:rsidRPr="00E426D3">
        <w:t xml:space="preserve">. Etter skatteloven § 8-1 femte ledd har produsenten ved </w:t>
      </w:r>
      <w:proofErr w:type="spellStart"/>
      <w:r w:rsidRPr="00E426D3">
        <w:t>fastsetjing</w:t>
      </w:r>
      <w:proofErr w:type="spellEnd"/>
      <w:r w:rsidRPr="00E426D3">
        <w:t xml:space="preserve"> av positiv </w:t>
      </w:r>
      <w:proofErr w:type="spellStart"/>
      <w:r w:rsidRPr="00E426D3">
        <w:t>alminneleg</w:t>
      </w:r>
      <w:proofErr w:type="spellEnd"/>
      <w:r w:rsidRPr="00E426D3">
        <w:t xml:space="preserve"> inntekt </w:t>
      </w:r>
      <w:proofErr w:type="spellStart"/>
      <w:r w:rsidRPr="00E426D3">
        <w:t>frå</w:t>
      </w:r>
      <w:proofErr w:type="spellEnd"/>
      <w:r w:rsidRPr="00E426D3">
        <w:t xml:space="preserve"> jord- og hagebruk krav på </w:t>
      </w:r>
      <w:proofErr w:type="spellStart"/>
      <w:r w:rsidRPr="00E426D3">
        <w:t>eit</w:t>
      </w:r>
      <w:proofErr w:type="spellEnd"/>
      <w:r w:rsidRPr="00E426D3">
        <w:t xml:space="preserve"> generelt </w:t>
      </w:r>
      <w:proofErr w:type="spellStart"/>
      <w:r w:rsidRPr="00E426D3">
        <w:t>jordbruksfrådrag</w:t>
      </w:r>
      <w:proofErr w:type="spellEnd"/>
      <w:r w:rsidRPr="00E426D3">
        <w:t xml:space="preserve"> på inntil 95 800 kroner. I tillegg vert det etter femte ledd tredje punktum gjeve </w:t>
      </w:r>
      <w:proofErr w:type="spellStart"/>
      <w:r w:rsidRPr="00E426D3">
        <w:t>eit</w:t>
      </w:r>
      <w:proofErr w:type="spellEnd"/>
      <w:r w:rsidRPr="00E426D3">
        <w:t xml:space="preserve"> </w:t>
      </w:r>
      <w:proofErr w:type="spellStart"/>
      <w:r w:rsidRPr="00E426D3">
        <w:t>frådrag</w:t>
      </w:r>
      <w:proofErr w:type="spellEnd"/>
      <w:r w:rsidRPr="00E426D3">
        <w:t xml:space="preserve"> med 38 pst. av den </w:t>
      </w:r>
      <w:proofErr w:type="spellStart"/>
      <w:r w:rsidRPr="00E426D3">
        <w:t>jordbruksinntekta</w:t>
      </w:r>
      <w:proofErr w:type="spellEnd"/>
      <w:r w:rsidRPr="00E426D3">
        <w:t xml:space="preserve"> som overstig 95 800 kroner, opp til </w:t>
      </w:r>
      <w:proofErr w:type="spellStart"/>
      <w:r w:rsidRPr="00E426D3">
        <w:t>eit</w:t>
      </w:r>
      <w:proofErr w:type="spellEnd"/>
      <w:r w:rsidRPr="00E426D3">
        <w:t xml:space="preserve"> samla </w:t>
      </w:r>
      <w:proofErr w:type="spellStart"/>
      <w:r w:rsidRPr="00E426D3">
        <w:t>frådrag</w:t>
      </w:r>
      <w:proofErr w:type="spellEnd"/>
      <w:r w:rsidRPr="00E426D3">
        <w:t xml:space="preserve"> på 200 850 kroner. Jord- og hagebruk er definert som </w:t>
      </w:r>
      <w:proofErr w:type="spellStart"/>
      <w:r w:rsidRPr="00E426D3">
        <w:t>verksemd</w:t>
      </w:r>
      <w:proofErr w:type="spellEnd"/>
      <w:r w:rsidRPr="00E426D3">
        <w:t xml:space="preserve"> som ved bruk av jorda og/eller i samband med </w:t>
      </w:r>
      <w:proofErr w:type="spellStart"/>
      <w:r w:rsidRPr="00E426D3">
        <w:t>husdyrhald</w:t>
      </w:r>
      <w:proofErr w:type="spellEnd"/>
      <w:r w:rsidRPr="00E426D3">
        <w:t xml:space="preserve"> produserer mat eller fôr, jf. Finansdepartementets forskrift til skatteloven (FSFIN) 19. november 1999 nr. 1158 § 8-1-11. Som jord- og hagebruk etter denne føresegna vert etter bokstav a mellom anna òg </w:t>
      </w:r>
      <w:proofErr w:type="spellStart"/>
      <w:r w:rsidRPr="00E426D3">
        <w:t>rekna</w:t>
      </w:r>
      <w:proofErr w:type="spellEnd"/>
      <w:r w:rsidRPr="00E426D3">
        <w:t>:</w:t>
      </w:r>
    </w:p>
    <w:p w14:paraId="1B81A4C4" w14:textId="77777777" w:rsidR="00772748" w:rsidRPr="00E426D3" w:rsidRDefault="00772748" w:rsidP="00E426D3">
      <w:pPr>
        <w:pStyle w:val="Liste"/>
      </w:pPr>
      <w:r w:rsidRPr="00E426D3">
        <w:t>nr. 3, pelsdyroppdrett</w:t>
      </w:r>
    </w:p>
    <w:p w14:paraId="579AC553" w14:textId="77777777" w:rsidR="00772748" w:rsidRPr="00E426D3" w:rsidRDefault="00772748" w:rsidP="00E426D3">
      <w:pPr>
        <w:pStyle w:val="Liste"/>
      </w:pPr>
      <w:r w:rsidRPr="00E426D3">
        <w:t>nr. 4, avl, oppdrett og oppstalling av hest, og</w:t>
      </w:r>
    </w:p>
    <w:p w14:paraId="6790DDFD" w14:textId="77777777" w:rsidR="00772748" w:rsidRPr="00E426D3" w:rsidRDefault="00772748" w:rsidP="00E426D3">
      <w:pPr>
        <w:pStyle w:val="Liste"/>
      </w:pPr>
      <w:r w:rsidRPr="00E426D3">
        <w:t xml:space="preserve">nr. 6, inntekt </w:t>
      </w:r>
      <w:proofErr w:type="spellStart"/>
      <w:r w:rsidRPr="00E426D3">
        <w:t>frå</w:t>
      </w:r>
      <w:proofErr w:type="spellEnd"/>
      <w:r w:rsidRPr="00E426D3">
        <w:t xml:space="preserve"> til dømes utnytting av jakt- og </w:t>
      </w:r>
      <w:proofErr w:type="spellStart"/>
      <w:r w:rsidRPr="00E426D3">
        <w:t>fiskerettar</w:t>
      </w:r>
      <w:proofErr w:type="spellEnd"/>
      <w:r w:rsidRPr="00E426D3">
        <w:t xml:space="preserve">, uttak av sand og grus, og </w:t>
      </w:r>
      <w:proofErr w:type="spellStart"/>
      <w:r w:rsidRPr="00E426D3">
        <w:t>utleige</w:t>
      </w:r>
      <w:proofErr w:type="spellEnd"/>
      <w:r w:rsidRPr="00E426D3">
        <w:t xml:space="preserve"> av </w:t>
      </w:r>
      <w:proofErr w:type="spellStart"/>
      <w:r w:rsidRPr="00E426D3">
        <w:t>bygningar</w:t>
      </w:r>
      <w:proofErr w:type="spellEnd"/>
      <w:r w:rsidRPr="00E426D3">
        <w:t xml:space="preserve">. Det same gjeld utføring av </w:t>
      </w:r>
      <w:proofErr w:type="spellStart"/>
      <w:r w:rsidRPr="00E426D3">
        <w:t>tenester</w:t>
      </w:r>
      <w:proofErr w:type="spellEnd"/>
      <w:r w:rsidRPr="00E426D3">
        <w:t xml:space="preserve"> for andre med </w:t>
      </w:r>
      <w:proofErr w:type="spellStart"/>
      <w:r w:rsidRPr="00E426D3">
        <w:t>betydelege</w:t>
      </w:r>
      <w:proofErr w:type="spellEnd"/>
      <w:r w:rsidRPr="00E426D3">
        <w:t xml:space="preserve"> driftsmiddel som minst 60 pst. vert nytta i eigen jord- eller </w:t>
      </w:r>
      <w:proofErr w:type="spellStart"/>
      <w:r w:rsidRPr="00E426D3">
        <w:t>skogbruksverksemd</w:t>
      </w:r>
      <w:proofErr w:type="spellEnd"/>
      <w:r w:rsidRPr="00E426D3">
        <w:t xml:space="preserve"> (</w:t>
      </w:r>
      <w:proofErr w:type="spellStart"/>
      <w:r w:rsidRPr="00E426D3">
        <w:t>leigekøyring</w:t>
      </w:r>
      <w:proofErr w:type="spellEnd"/>
      <w:r w:rsidRPr="00E426D3">
        <w:t xml:space="preserve">) eller </w:t>
      </w:r>
      <w:proofErr w:type="spellStart"/>
      <w:r w:rsidRPr="00E426D3">
        <w:t>utleige</w:t>
      </w:r>
      <w:proofErr w:type="spellEnd"/>
      <w:r w:rsidRPr="00E426D3">
        <w:t xml:space="preserve"> av slike </w:t>
      </w:r>
      <w:proofErr w:type="spellStart"/>
      <w:r w:rsidRPr="00E426D3">
        <w:t>driftsmidlar</w:t>
      </w:r>
      <w:proofErr w:type="spellEnd"/>
      <w:r w:rsidRPr="00E426D3">
        <w:t>.</w:t>
      </w:r>
    </w:p>
    <w:p w14:paraId="3BA10EC6" w14:textId="77777777" w:rsidR="00772748" w:rsidRPr="00E426D3" w:rsidRDefault="00772748" w:rsidP="00E426D3">
      <w:r w:rsidRPr="00E426D3">
        <w:t xml:space="preserve">Etter bokstav b kan òg omsetning i </w:t>
      </w:r>
      <w:proofErr w:type="spellStart"/>
      <w:r w:rsidRPr="00E426D3">
        <w:t>annan</w:t>
      </w:r>
      <w:proofErr w:type="spellEnd"/>
      <w:r w:rsidRPr="00E426D3">
        <w:t xml:space="preserve"> </w:t>
      </w:r>
      <w:proofErr w:type="spellStart"/>
      <w:r w:rsidRPr="00E426D3">
        <w:t>næringsverksemd</w:t>
      </w:r>
      <w:proofErr w:type="spellEnd"/>
      <w:r w:rsidRPr="00E426D3">
        <w:t xml:space="preserve"> </w:t>
      </w:r>
      <w:proofErr w:type="spellStart"/>
      <w:r w:rsidRPr="00E426D3">
        <w:t>utanfor</w:t>
      </w:r>
      <w:proofErr w:type="spellEnd"/>
      <w:r w:rsidRPr="00E426D3">
        <w:t xml:space="preserve"> jordbruket som </w:t>
      </w:r>
      <w:proofErr w:type="spellStart"/>
      <w:r w:rsidRPr="00E426D3">
        <w:t>ikkje</w:t>
      </w:r>
      <w:proofErr w:type="spellEnd"/>
      <w:r w:rsidRPr="00E426D3">
        <w:t xml:space="preserve"> overstig 30 000 kroner, inngå i grunnlaget for </w:t>
      </w:r>
      <w:proofErr w:type="spellStart"/>
      <w:r w:rsidRPr="00E426D3">
        <w:t>jordbruksfrådrag</w:t>
      </w:r>
      <w:proofErr w:type="spellEnd"/>
      <w:r w:rsidRPr="00E426D3">
        <w:t>.</w:t>
      </w:r>
    </w:p>
    <w:p w14:paraId="2CC08FEE" w14:textId="77777777" w:rsidR="00772748" w:rsidRPr="00E426D3" w:rsidRDefault="00772748" w:rsidP="00E426D3">
      <w:proofErr w:type="spellStart"/>
      <w:r w:rsidRPr="00E426D3">
        <w:t>Offentlege</w:t>
      </w:r>
      <w:proofErr w:type="spellEnd"/>
      <w:r w:rsidRPr="00E426D3">
        <w:t xml:space="preserve"> </w:t>
      </w:r>
      <w:proofErr w:type="spellStart"/>
      <w:r w:rsidRPr="00E426D3">
        <w:t>tilskot</w:t>
      </w:r>
      <w:proofErr w:type="spellEnd"/>
      <w:r w:rsidRPr="00E426D3">
        <w:t xml:space="preserve"> er skattepliktig inntekt, jf. skatteloven § 5-1. Inntekt </w:t>
      </w:r>
      <w:proofErr w:type="spellStart"/>
      <w:r w:rsidRPr="00E426D3">
        <w:t>frå</w:t>
      </w:r>
      <w:proofErr w:type="spellEnd"/>
      <w:r w:rsidRPr="00E426D3">
        <w:t xml:space="preserve"> </w:t>
      </w:r>
      <w:proofErr w:type="spellStart"/>
      <w:r w:rsidRPr="00E426D3">
        <w:t>tilskots</w:t>
      </w:r>
      <w:proofErr w:type="spellEnd"/>
      <w:r w:rsidRPr="00E426D3">
        <w:t xml:space="preserve">-, erstatnings- og </w:t>
      </w:r>
      <w:proofErr w:type="spellStart"/>
      <w:r w:rsidRPr="00E426D3">
        <w:t>kompensasjonsordningane</w:t>
      </w:r>
      <w:proofErr w:type="spellEnd"/>
      <w:r w:rsidRPr="00E426D3">
        <w:t xml:space="preserve"> som vert gjeve til </w:t>
      </w:r>
      <w:proofErr w:type="spellStart"/>
      <w:r w:rsidRPr="00E426D3">
        <w:t>næringsdrivande</w:t>
      </w:r>
      <w:proofErr w:type="spellEnd"/>
      <w:r w:rsidRPr="00E426D3">
        <w:t xml:space="preserve"> </w:t>
      </w:r>
      <w:proofErr w:type="spellStart"/>
      <w:r w:rsidRPr="00E426D3">
        <w:t>innanfor</w:t>
      </w:r>
      <w:proofErr w:type="spellEnd"/>
      <w:r w:rsidRPr="00E426D3">
        <w:t xml:space="preserve"> jordbruk, vert i praksis </w:t>
      </w:r>
      <w:proofErr w:type="spellStart"/>
      <w:r w:rsidRPr="00E426D3">
        <w:t>rekna</w:t>
      </w:r>
      <w:proofErr w:type="spellEnd"/>
      <w:r w:rsidRPr="00E426D3">
        <w:t xml:space="preserve"> å ha </w:t>
      </w:r>
      <w:proofErr w:type="spellStart"/>
      <w:r w:rsidRPr="00E426D3">
        <w:t>tilstrekkeleg</w:t>
      </w:r>
      <w:proofErr w:type="spellEnd"/>
      <w:r w:rsidRPr="00E426D3">
        <w:t xml:space="preserve"> nærleik til denne aktiviteten til at det fell inn under definisjonen av «</w:t>
      </w:r>
      <w:proofErr w:type="spellStart"/>
      <w:r w:rsidRPr="00E426D3">
        <w:t>alminneleg</w:t>
      </w:r>
      <w:proofErr w:type="spellEnd"/>
      <w:r w:rsidRPr="00E426D3">
        <w:t xml:space="preserve"> inntekt </w:t>
      </w:r>
      <w:proofErr w:type="spellStart"/>
      <w:r w:rsidRPr="00E426D3">
        <w:t>frå</w:t>
      </w:r>
      <w:proofErr w:type="spellEnd"/>
      <w:r w:rsidRPr="00E426D3">
        <w:t xml:space="preserve"> jord- og hagebruk».</w:t>
      </w:r>
    </w:p>
    <w:p w14:paraId="725E7AAB" w14:textId="77777777" w:rsidR="00772748" w:rsidRPr="00E426D3" w:rsidRDefault="00772748" w:rsidP="00E426D3">
      <w:r w:rsidRPr="00E426D3">
        <w:t xml:space="preserve">Inntekt </w:t>
      </w:r>
      <w:proofErr w:type="spellStart"/>
      <w:r w:rsidRPr="00E426D3">
        <w:t>frå</w:t>
      </w:r>
      <w:proofErr w:type="spellEnd"/>
      <w:r w:rsidRPr="00E426D3">
        <w:t xml:space="preserve"> skogbruk vert skattlagt særskilt. I skogbruket kan det </w:t>
      </w:r>
      <w:proofErr w:type="spellStart"/>
      <w:r w:rsidRPr="00E426D3">
        <w:t>vere</w:t>
      </w:r>
      <w:proofErr w:type="spellEnd"/>
      <w:r w:rsidRPr="00E426D3">
        <w:t xml:space="preserve"> store </w:t>
      </w:r>
      <w:proofErr w:type="gramStart"/>
      <w:r w:rsidRPr="00E426D3">
        <w:t>potensielle</w:t>
      </w:r>
      <w:proofErr w:type="gramEnd"/>
      <w:r w:rsidRPr="00E426D3">
        <w:t xml:space="preserve"> </w:t>
      </w:r>
      <w:proofErr w:type="spellStart"/>
      <w:r w:rsidRPr="00E426D3">
        <w:t>svingingar</w:t>
      </w:r>
      <w:proofErr w:type="spellEnd"/>
      <w:r w:rsidRPr="00E426D3">
        <w:t xml:space="preserve"> i inntekter på grunn av det lange tidsrommet </w:t>
      </w:r>
      <w:proofErr w:type="spellStart"/>
      <w:r w:rsidRPr="00E426D3">
        <w:t>frå</w:t>
      </w:r>
      <w:proofErr w:type="spellEnd"/>
      <w:r w:rsidRPr="00E426D3">
        <w:t xml:space="preserve"> forynginga av skogen til felling av tømmeret, kombinert med </w:t>
      </w:r>
      <w:proofErr w:type="spellStart"/>
      <w:r w:rsidRPr="00E426D3">
        <w:t>flatehogster</w:t>
      </w:r>
      <w:proofErr w:type="spellEnd"/>
      <w:r w:rsidRPr="00E426D3">
        <w:t xml:space="preserve"> der store mengder tømmer vert </w:t>
      </w:r>
      <w:proofErr w:type="spellStart"/>
      <w:r w:rsidRPr="00E426D3">
        <w:t>teke</w:t>
      </w:r>
      <w:proofErr w:type="spellEnd"/>
      <w:r w:rsidRPr="00E426D3">
        <w:t xml:space="preserve"> ut på same tid. Som </w:t>
      </w:r>
      <w:proofErr w:type="spellStart"/>
      <w:r w:rsidRPr="00E426D3">
        <w:t>følgje</w:t>
      </w:r>
      <w:proofErr w:type="spellEnd"/>
      <w:r w:rsidRPr="00E426D3">
        <w:t xml:space="preserve"> av at trinnskatten er progressiv, vil </w:t>
      </w:r>
      <w:proofErr w:type="spellStart"/>
      <w:r w:rsidRPr="00E426D3">
        <w:t>ein</w:t>
      </w:r>
      <w:proofErr w:type="spellEnd"/>
      <w:r w:rsidRPr="00E426D3">
        <w:t xml:space="preserve"> kunne </w:t>
      </w:r>
      <w:proofErr w:type="spellStart"/>
      <w:r w:rsidRPr="00E426D3">
        <w:t>kome</w:t>
      </w:r>
      <w:proofErr w:type="spellEnd"/>
      <w:r w:rsidRPr="00E426D3">
        <w:t xml:space="preserve"> i posisjon til å betale høg trinnskatt i </w:t>
      </w:r>
      <w:proofErr w:type="spellStart"/>
      <w:r w:rsidRPr="00E426D3">
        <w:t>hogtståra</w:t>
      </w:r>
      <w:proofErr w:type="spellEnd"/>
      <w:r w:rsidRPr="00E426D3">
        <w:t xml:space="preserve">. I åra </w:t>
      </w:r>
      <w:proofErr w:type="spellStart"/>
      <w:r w:rsidRPr="00E426D3">
        <w:t>utan</w:t>
      </w:r>
      <w:proofErr w:type="spellEnd"/>
      <w:r w:rsidRPr="00E426D3">
        <w:t xml:space="preserve"> hogst vil inntektene kunne </w:t>
      </w:r>
      <w:proofErr w:type="spellStart"/>
      <w:r w:rsidRPr="00E426D3">
        <w:t>vere</w:t>
      </w:r>
      <w:proofErr w:type="spellEnd"/>
      <w:r w:rsidRPr="00E426D3">
        <w:t xml:space="preserve"> </w:t>
      </w:r>
      <w:proofErr w:type="spellStart"/>
      <w:r w:rsidRPr="00E426D3">
        <w:t>betrakteleg</w:t>
      </w:r>
      <w:proofErr w:type="spellEnd"/>
      <w:r w:rsidRPr="00E426D3">
        <w:t xml:space="preserve"> </w:t>
      </w:r>
      <w:proofErr w:type="spellStart"/>
      <w:r w:rsidRPr="00E426D3">
        <w:t>lågare</w:t>
      </w:r>
      <w:proofErr w:type="spellEnd"/>
      <w:r w:rsidRPr="00E426D3">
        <w:t xml:space="preserve">. Tømmerkontoordninga reduserer </w:t>
      </w:r>
      <w:proofErr w:type="spellStart"/>
      <w:r w:rsidRPr="00E426D3">
        <w:t>auken</w:t>
      </w:r>
      <w:proofErr w:type="spellEnd"/>
      <w:r w:rsidRPr="00E426D3">
        <w:t xml:space="preserve"> i trinnskatt </w:t>
      </w:r>
      <w:proofErr w:type="spellStart"/>
      <w:r w:rsidRPr="00E426D3">
        <w:t>frå</w:t>
      </w:r>
      <w:proofErr w:type="spellEnd"/>
      <w:r w:rsidRPr="00E426D3">
        <w:t xml:space="preserve"> </w:t>
      </w:r>
      <w:proofErr w:type="spellStart"/>
      <w:r w:rsidRPr="00E426D3">
        <w:t>dei</w:t>
      </w:r>
      <w:proofErr w:type="spellEnd"/>
      <w:r w:rsidRPr="00E426D3">
        <w:t xml:space="preserve"> </w:t>
      </w:r>
      <w:proofErr w:type="spellStart"/>
      <w:r w:rsidRPr="00E426D3">
        <w:t>svingande</w:t>
      </w:r>
      <w:proofErr w:type="spellEnd"/>
      <w:r w:rsidRPr="00E426D3">
        <w:t xml:space="preserve"> inntektene til skogbruket.</w:t>
      </w:r>
    </w:p>
    <w:p w14:paraId="2D94F0D4" w14:textId="77777777" w:rsidR="00772748" w:rsidRPr="00E426D3" w:rsidRDefault="00772748" w:rsidP="00E426D3">
      <w:r w:rsidRPr="00E426D3">
        <w:lastRenderedPageBreak/>
        <w:t xml:space="preserve">Med tømmerkonto kan </w:t>
      </w:r>
      <w:proofErr w:type="spellStart"/>
      <w:r w:rsidRPr="00E426D3">
        <w:t>personar</w:t>
      </w:r>
      <w:proofErr w:type="spellEnd"/>
      <w:r w:rsidRPr="00E426D3">
        <w:t xml:space="preserve"> med </w:t>
      </w:r>
      <w:proofErr w:type="spellStart"/>
      <w:r w:rsidRPr="00E426D3">
        <w:t>enkeltpersonføretak</w:t>
      </w:r>
      <w:proofErr w:type="spellEnd"/>
      <w:r w:rsidRPr="00E426D3">
        <w:t xml:space="preserve"> i skogbruket </w:t>
      </w:r>
      <w:proofErr w:type="spellStart"/>
      <w:r w:rsidRPr="00E426D3">
        <w:rPr>
          <w:rStyle w:val="kursiv"/>
        </w:rPr>
        <w:t>velje</w:t>
      </w:r>
      <w:proofErr w:type="spellEnd"/>
      <w:r w:rsidRPr="00E426D3">
        <w:t xml:space="preserve"> om årets </w:t>
      </w:r>
      <w:proofErr w:type="spellStart"/>
      <w:r w:rsidRPr="00E426D3">
        <w:t>overskot</w:t>
      </w:r>
      <w:proofErr w:type="spellEnd"/>
      <w:r w:rsidRPr="00E426D3">
        <w:t xml:space="preserve"> </w:t>
      </w:r>
      <w:proofErr w:type="spellStart"/>
      <w:r w:rsidRPr="00E426D3">
        <w:t>frå</w:t>
      </w:r>
      <w:proofErr w:type="spellEnd"/>
      <w:r w:rsidRPr="00E426D3">
        <w:t xml:space="preserve"> skogen skal </w:t>
      </w:r>
      <w:proofErr w:type="spellStart"/>
      <w:r w:rsidRPr="00E426D3">
        <w:t>inntektsførast</w:t>
      </w:r>
      <w:proofErr w:type="spellEnd"/>
      <w:r w:rsidRPr="00E426D3">
        <w:t xml:space="preserve"> direkte i inntektsåret eller </w:t>
      </w:r>
      <w:proofErr w:type="spellStart"/>
      <w:r w:rsidRPr="00E426D3">
        <w:t>verte</w:t>
      </w:r>
      <w:proofErr w:type="spellEnd"/>
      <w:r w:rsidRPr="00E426D3">
        <w:t xml:space="preserve"> overført på tømmerkonto, jf. skatteloven § 14-81. Årets </w:t>
      </w:r>
      <w:proofErr w:type="spellStart"/>
      <w:r w:rsidRPr="00E426D3">
        <w:t>underskot</w:t>
      </w:r>
      <w:proofErr w:type="spellEnd"/>
      <w:r w:rsidRPr="00E426D3">
        <w:t xml:space="preserve"> </w:t>
      </w:r>
      <w:r w:rsidRPr="00E426D3">
        <w:rPr>
          <w:rStyle w:val="kursiv"/>
        </w:rPr>
        <w:t xml:space="preserve">skal </w:t>
      </w:r>
      <w:proofErr w:type="spellStart"/>
      <w:r w:rsidRPr="00E426D3">
        <w:t>førast</w:t>
      </w:r>
      <w:proofErr w:type="spellEnd"/>
      <w:r w:rsidRPr="00E426D3">
        <w:t xml:space="preserve"> på tømmerkonto. </w:t>
      </w:r>
      <w:proofErr w:type="spellStart"/>
      <w:r w:rsidRPr="00E426D3">
        <w:t>Inngåande</w:t>
      </w:r>
      <w:proofErr w:type="spellEnd"/>
      <w:r w:rsidRPr="00E426D3">
        <w:t xml:space="preserve"> saldo på tømmerkonto vert regulert med nye inntekter og </w:t>
      </w:r>
      <w:proofErr w:type="spellStart"/>
      <w:r w:rsidRPr="00E426D3">
        <w:t>kostnadar</w:t>
      </w:r>
      <w:proofErr w:type="spellEnd"/>
      <w:r w:rsidRPr="00E426D3">
        <w:t xml:space="preserve"> i løpet av året, og inntekts- eller </w:t>
      </w:r>
      <w:proofErr w:type="spellStart"/>
      <w:r w:rsidRPr="00E426D3">
        <w:t>frådragsføringa</w:t>
      </w:r>
      <w:proofErr w:type="spellEnd"/>
      <w:r w:rsidRPr="00E426D3">
        <w:t xml:space="preserve"> vert berekna av saldo ved slutten av året. Er saldoen på tømmerkontoen positiv, skal minst 20 pst. av saldoen </w:t>
      </w:r>
      <w:proofErr w:type="spellStart"/>
      <w:r w:rsidRPr="00E426D3">
        <w:t>inntektsførast</w:t>
      </w:r>
      <w:proofErr w:type="spellEnd"/>
      <w:r w:rsidRPr="00E426D3">
        <w:t xml:space="preserve">. Er saldoen negativ, skal inntil 20 pst. av saldoen </w:t>
      </w:r>
      <w:proofErr w:type="spellStart"/>
      <w:r w:rsidRPr="00E426D3">
        <w:t>frådragsførast</w:t>
      </w:r>
      <w:proofErr w:type="spellEnd"/>
      <w:r w:rsidRPr="00E426D3">
        <w:t xml:space="preserve">. </w:t>
      </w:r>
      <w:proofErr w:type="spellStart"/>
      <w:r w:rsidRPr="00E426D3">
        <w:t>Inngåande</w:t>
      </w:r>
      <w:proofErr w:type="spellEnd"/>
      <w:r w:rsidRPr="00E426D3">
        <w:t xml:space="preserve"> negativ saldo på tømmerkonto kan alltid </w:t>
      </w:r>
      <w:proofErr w:type="spellStart"/>
      <w:r w:rsidRPr="00E426D3">
        <w:t>førast</w:t>
      </w:r>
      <w:proofErr w:type="spellEnd"/>
      <w:r w:rsidRPr="00E426D3">
        <w:t xml:space="preserve"> mot årets </w:t>
      </w:r>
      <w:proofErr w:type="spellStart"/>
      <w:r w:rsidRPr="00E426D3">
        <w:t>overskot</w:t>
      </w:r>
      <w:proofErr w:type="spellEnd"/>
      <w:r w:rsidRPr="00E426D3">
        <w:t xml:space="preserve"> </w:t>
      </w:r>
      <w:proofErr w:type="spellStart"/>
      <w:r w:rsidRPr="00E426D3">
        <w:t>frå</w:t>
      </w:r>
      <w:proofErr w:type="spellEnd"/>
      <w:r w:rsidRPr="00E426D3">
        <w:t xml:space="preserve"> skogen.</w:t>
      </w:r>
    </w:p>
    <w:p w14:paraId="45E7AE7C" w14:textId="77777777" w:rsidR="00772748" w:rsidRPr="00E426D3" w:rsidRDefault="00772748" w:rsidP="00E426D3">
      <w:r w:rsidRPr="00E426D3">
        <w:t xml:space="preserve">Inntekter </w:t>
      </w:r>
      <w:proofErr w:type="spellStart"/>
      <w:r w:rsidRPr="00E426D3">
        <w:t>frå</w:t>
      </w:r>
      <w:proofErr w:type="spellEnd"/>
      <w:r w:rsidRPr="00E426D3">
        <w:t xml:space="preserve"> jakt, fiske, torvuttak og </w:t>
      </w:r>
      <w:proofErr w:type="spellStart"/>
      <w:r w:rsidRPr="00E426D3">
        <w:t>liknande</w:t>
      </w:r>
      <w:proofErr w:type="spellEnd"/>
      <w:r w:rsidRPr="00E426D3">
        <w:t xml:space="preserve">, samt </w:t>
      </w:r>
      <w:proofErr w:type="spellStart"/>
      <w:r w:rsidRPr="00E426D3">
        <w:t>leigeinntekter</w:t>
      </w:r>
      <w:proofErr w:type="spellEnd"/>
      <w:r w:rsidRPr="00E426D3">
        <w:t xml:space="preserve"> </w:t>
      </w:r>
      <w:proofErr w:type="spellStart"/>
      <w:r w:rsidRPr="00E426D3">
        <w:t>frå</w:t>
      </w:r>
      <w:proofErr w:type="spellEnd"/>
      <w:r w:rsidRPr="00E426D3">
        <w:t xml:space="preserve"> slike </w:t>
      </w:r>
      <w:proofErr w:type="spellStart"/>
      <w:r w:rsidRPr="00E426D3">
        <w:t>aktivitetar</w:t>
      </w:r>
      <w:proofErr w:type="spellEnd"/>
      <w:r w:rsidRPr="00E426D3">
        <w:t xml:space="preserve">, kan </w:t>
      </w:r>
      <w:proofErr w:type="spellStart"/>
      <w:r w:rsidRPr="00E426D3">
        <w:t>ikkje</w:t>
      </w:r>
      <w:proofErr w:type="spellEnd"/>
      <w:r w:rsidRPr="00E426D3">
        <w:t xml:space="preserve"> </w:t>
      </w:r>
      <w:proofErr w:type="spellStart"/>
      <w:r w:rsidRPr="00E426D3">
        <w:t>førast</w:t>
      </w:r>
      <w:proofErr w:type="spellEnd"/>
      <w:r w:rsidRPr="00E426D3">
        <w:t xml:space="preserve"> på tømmerkonto, jf. skatteloven § 14-81 andre ledd. </w:t>
      </w:r>
      <w:proofErr w:type="spellStart"/>
      <w:r w:rsidRPr="00E426D3">
        <w:t>Grunngjevinga</w:t>
      </w:r>
      <w:proofErr w:type="spellEnd"/>
      <w:r w:rsidRPr="00E426D3">
        <w:t xml:space="preserve"> er at denne typen inntekter, eller </w:t>
      </w:r>
      <w:proofErr w:type="spellStart"/>
      <w:r w:rsidRPr="00E426D3">
        <w:t>kostnadar</w:t>
      </w:r>
      <w:proofErr w:type="spellEnd"/>
      <w:r w:rsidRPr="00E426D3">
        <w:t xml:space="preserve"> knytt til </w:t>
      </w:r>
      <w:proofErr w:type="spellStart"/>
      <w:r w:rsidRPr="00E426D3">
        <w:t>desse</w:t>
      </w:r>
      <w:proofErr w:type="spellEnd"/>
      <w:r w:rsidRPr="00E426D3">
        <w:t xml:space="preserve"> inntektene, </w:t>
      </w:r>
      <w:proofErr w:type="spellStart"/>
      <w:r w:rsidRPr="00E426D3">
        <w:t>ikkje</w:t>
      </w:r>
      <w:proofErr w:type="spellEnd"/>
      <w:r w:rsidRPr="00E426D3">
        <w:t xml:space="preserve"> </w:t>
      </w:r>
      <w:proofErr w:type="spellStart"/>
      <w:r w:rsidRPr="00E426D3">
        <w:t>svingar</w:t>
      </w:r>
      <w:proofErr w:type="spellEnd"/>
      <w:r w:rsidRPr="00E426D3">
        <w:t xml:space="preserve"> på same måte som inntekter </w:t>
      </w:r>
      <w:proofErr w:type="spellStart"/>
      <w:r w:rsidRPr="00E426D3">
        <w:t>frå</w:t>
      </w:r>
      <w:proofErr w:type="spellEnd"/>
      <w:r w:rsidRPr="00E426D3">
        <w:t xml:space="preserve"> sal av tømmer, jf. Prop. 1 LS (2016–2017) </w:t>
      </w:r>
      <w:r w:rsidRPr="00E426D3">
        <w:rPr>
          <w:rStyle w:val="kursiv"/>
        </w:rPr>
        <w:t>Skatter, avgifter og toll 2017</w:t>
      </w:r>
      <w:r w:rsidRPr="00E426D3">
        <w:t xml:space="preserve"> punkt 7.4.</w:t>
      </w:r>
    </w:p>
    <w:p w14:paraId="641DB119" w14:textId="77777777" w:rsidR="00772748" w:rsidRPr="00E426D3" w:rsidRDefault="00772748" w:rsidP="00E426D3">
      <w:pPr>
        <w:pStyle w:val="Overskrift2"/>
      </w:pPr>
      <w:proofErr w:type="spellStart"/>
      <w:r w:rsidRPr="00E426D3">
        <w:t>Vurderingar</w:t>
      </w:r>
      <w:proofErr w:type="spellEnd"/>
      <w:r w:rsidRPr="00E426D3">
        <w:t xml:space="preserve"> og framlegg</w:t>
      </w:r>
    </w:p>
    <w:p w14:paraId="621FF50E" w14:textId="77777777" w:rsidR="00772748" w:rsidRPr="00E426D3" w:rsidRDefault="00772748" w:rsidP="00E426D3">
      <w:pPr>
        <w:pStyle w:val="Overskrift3"/>
      </w:pPr>
      <w:r w:rsidRPr="00E426D3">
        <w:t>Inntekter som inngår i ordninga</w:t>
      </w:r>
    </w:p>
    <w:p w14:paraId="7F090647" w14:textId="77777777" w:rsidR="00772748" w:rsidRPr="00E426D3" w:rsidRDefault="00772748" w:rsidP="00E426D3">
      <w:r w:rsidRPr="00E426D3">
        <w:t xml:space="preserve">Kva for type inntekter </w:t>
      </w:r>
      <w:proofErr w:type="spellStart"/>
      <w:r w:rsidRPr="00E426D3">
        <w:t>ein</w:t>
      </w:r>
      <w:proofErr w:type="spellEnd"/>
      <w:r w:rsidRPr="00E426D3">
        <w:t xml:space="preserve"> skal kunne føre på jordbrukskonto, skal ta utgangspunkt i grunnlaget for </w:t>
      </w:r>
      <w:proofErr w:type="spellStart"/>
      <w:r w:rsidRPr="00E426D3">
        <w:t>jordbruksfrådraget</w:t>
      </w:r>
      <w:proofErr w:type="spellEnd"/>
      <w:r w:rsidRPr="00E426D3">
        <w:t xml:space="preserve">. Det er mellom anna fordi dette grunnlaget er </w:t>
      </w:r>
      <w:proofErr w:type="spellStart"/>
      <w:r w:rsidRPr="00E426D3">
        <w:t>klårt</w:t>
      </w:r>
      <w:proofErr w:type="spellEnd"/>
      <w:r w:rsidRPr="00E426D3">
        <w:t xml:space="preserve"> avgrensa gjennom definisjonen i Finansdepartementet si forskrift til skatteloven § 8-1-11. Dette </w:t>
      </w:r>
      <w:proofErr w:type="spellStart"/>
      <w:r w:rsidRPr="00E426D3">
        <w:t>gjeld</w:t>
      </w:r>
      <w:proofErr w:type="spellEnd"/>
      <w:r w:rsidRPr="00E426D3">
        <w:t xml:space="preserve"> inntekt </w:t>
      </w:r>
      <w:proofErr w:type="spellStart"/>
      <w:r w:rsidRPr="00E426D3">
        <w:t>frå</w:t>
      </w:r>
      <w:proofErr w:type="spellEnd"/>
      <w:r w:rsidRPr="00E426D3">
        <w:t xml:space="preserve"> </w:t>
      </w:r>
      <w:proofErr w:type="spellStart"/>
      <w:r w:rsidRPr="00E426D3">
        <w:t>verksemd</w:t>
      </w:r>
      <w:proofErr w:type="spellEnd"/>
      <w:r w:rsidRPr="00E426D3">
        <w:t xml:space="preserve"> som ved bruk av jorda og/eller gjennom </w:t>
      </w:r>
      <w:proofErr w:type="spellStart"/>
      <w:r w:rsidRPr="00E426D3">
        <w:t>husdyrhald</w:t>
      </w:r>
      <w:proofErr w:type="spellEnd"/>
      <w:r w:rsidRPr="00E426D3">
        <w:t xml:space="preserve"> produserer mat eller fôr. Jordbrukskonto bør </w:t>
      </w:r>
      <w:proofErr w:type="spellStart"/>
      <w:r w:rsidRPr="00E426D3">
        <w:t>berre</w:t>
      </w:r>
      <w:proofErr w:type="spellEnd"/>
      <w:r w:rsidRPr="00E426D3">
        <w:t xml:space="preserve"> gjelde for jordbruksinntekter. Som </w:t>
      </w:r>
      <w:proofErr w:type="spellStart"/>
      <w:r w:rsidRPr="00E426D3">
        <w:t>nemnt</w:t>
      </w:r>
      <w:proofErr w:type="spellEnd"/>
      <w:r w:rsidRPr="00E426D3">
        <w:t xml:space="preserve"> </w:t>
      </w:r>
      <w:proofErr w:type="spellStart"/>
      <w:r w:rsidRPr="00E426D3">
        <w:t>ovanfor</w:t>
      </w:r>
      <w:proofErr w:type="spellEnd"/>
      <w:r w:rsidRPr="00E426D3">
        <w:t xml:space="preserve"> er det </w:t>
      </w:r>
      <w:proofErr w:type="spellStart"/>
      <w:r w:rsidRPr="00E426D3">
        <w:t>fleire</w:t>
      </w:r>
      <w:proofErr w:type="spellEnd"/>
      <w:r w:rsidRPr="00E426D3">
        <w:t xml:space="preserve"> inntekter som inngår i </w:t>
      </w:r>
      <w:proofErr w:type="spellStart"/>
      <w:r w:rsidRPr="00E426D3">
        <w:t>jordbruksfrådraget</w:t>
      </w:r>
      <w:proofErr w:type="spellEnd"/>
      <w:r w:rsidRPr="00E426D3">
        <w:t xml:space="preserve"> som </w:t>
      </w:r>
      <w:proofErr w:type="spellStart"/>
      <w:r w:rsidRPr="00E426D3">
        <w:t>ikkje</w:t>
      </w:r>
      <w:proofErr w:type="spellEnd"/>
      <w:r w:rsidRPr="00E426D3">
        <w:t xml:space="preserve"> er knytt til produksjon av mat og fôr. Dette gjeld til dømes inntekter </w:t>
      </w:r>
      <w:proofErr w:type="spellStart"/>
      <w:r w:rsidRPr="00E426D3">
        <w:t>frå</w:t>
      </w:r>
      <w:proofErr w:type="spellEnd"/>
      <w:r w:rsidRPr="00E426D3">
        <w:t xml:space="preserve"> utnytting av jakt- og </w:t>
      </w:r>
      <w:proofErr w:type="spellStart"/>
      <w:r w:rsidRPr="00E426D3">
        <w:t>fiskerettar</w:t>
      </w:r>
      <w:proofErr w:type="spellEnd"/>
      <w:r w:rsidRPr="00E426D3">
        <w:t xml:space="preserve">, uttak av sand og grus, </w:t>
      </w:r>
      <w:proofErr w:type="spellStart"/>
      <w:r w:rsidRPr="00E426D3">
        <w:t>utleige</w:t>
      </w:r>
      <w:proofErr w:type="spellEnd"/>
      <w:r w:rsidRPr="00E426D3">
        <w:t xml:space="preserve"> av </w:t>
      </w:r>
      <w:proofErr w:type="spellStart"/>
      <w:r w:rsidRPr="00E426D3">
        <w:t>bygningar</w:t>
      </w:r>
      <w:proofErr w:type="spellEnd"/>
      <w:r w:rsidRPr="00E426D3">
        <w:t xml:space="preserve"> og </w:t>
      </w:r>
      <w:proofErr w:type="spellStart"/>
      <w:r w:rsidRPr="00E426D3">
        <w:t>reiskapar</w:t>
      </w:r>
      <w:proofErr w:type="spellEnd"/>
      <w:r w:rsidRPr="00E426D3">
        <w:t>, avl, oppdrett og oppstalling av hest mv.</w:t>
      </w:r>
    </w:p>
    <w:p w14:paraId="1842DD16" w14:textId="77777777" w:rsidR="00772748" w:rsidRPr="00E426D3" w:rsidRDefault="00772748" w:rsidP="00E426D3">
      <w:r w:rsidRPr="00E426D3">
        <w:t xml:space="preserve">Inntekter </w:t>
      </w:r>
      <w:proofErr w:type="spellStart"/>
      <w:r w:rsidRPr="00E426D3">
        <w:t>frå</w:t>
      </w:r>
      <w:proofErr w:type="spellEnd"/>
      <w:r w:rsidRPr="00E426D3">
        <w:t xml:space="preserve"> </w:t>
      </w:r>
      <w:proofErr w:type="spellStart"/>
      <w:r w:rsidRPr="00E426D3">
        <w:t>leigekøyring</w:t>
      </w:r>
      <w:proofErr w:type="spellEnd"/>
      <w:r w:rsidRPr="00E426D3">
        <w:t xml:space="preserve"> inngår òg i </w:t>
      </w:r>
      <w:proofErr w:type="spellStart"/>
      <w:r w:rsidRPr="00E426D3">
        <w:t>jordbruksfrådraget</w:t>
      </w:r>
      <w:proofErr w:type="spellEnd"/>
      <w:r w:rsidRPr="00E426D3">
        <w:t xml:space="preserve"> og kan </w:t>
      </w:r>
      <w:proofErr w:type="spellStart"/>
      <w:r w:rsidRPr="00E426D3">
        <w:t>vere</w:t>
      </w:r>
      <w:proofErr w:type="spellEnd"/>
      <w:r w:rsidRPr="00E426D3">
        <w:t xml:space="preserve"> nært knytt til </w:t>
      </w:r>
      <w:proofErr w:type="spellStart"/>
      <w:r w:rsidRPr="00E426D3">
        <w:t>jordbruksverksemd</w:t>
      </w:r>
      <w:proofErr w:type="spellEnd"/>
      <w:r w:rsidRPr="00E426D3">
        <w:t xml:space="preserve">. Dette gjeld til dømes ved </w:t>
      </w:r>
      <w:proofErr w:type="spellStart"/>
      <w:r w:rsidRPr="00E426D3">
        <w:t>aktivitetar</w:t>
      </w:r>
      <w:proofErr w:type="spellEnd"/>
      <w:r w:rsidRPr="00E426D3">
        <w:t xml:space="preserve"> som slått og pressing av </w:t>
      </w:r>
      <w:proofErr w:type="spellStart"/>
      <w:r w:rsidRPr="00E426D3">
        <w:t>rundballar</w:t>
      </w:r>
      <w:proofErr w:type="spellEnd"/>
      <w:r w:rsidRPr="00E426D3">
        <w:t xml:space="preserve">. </w:t>
      </w:r>
      <w:proofErr w:type="spellStart"/>
      <w:r w:rsidRPr="00E426D3">
        <w:t>Leigekøyring</w:t>
      </w:r>
      <w:proofErr w:type="spellEnd"/>
      <w:r w:rsidRPr="00E426D3">
        <w:t xml:space="preserve"> kan òg i mindre grad, eller </w:t>
      </w:r>
      <w:proofErr w:type="spellStart"/>
      <w:r w:rsidRPr="00E426D3">
        <w:t>ikkje</w:t>
      </w:r>
      <w:proofErr w:type="spellEnd"/>
      <w:r w:rsidRPr="00E426D3">
        <w:t xml:space="preserve"> i det heile tatt, </w:t>
      </w:r>
      <w:proofErr w:type="spellStart"/>
      <w:r w:rsidRPr="00E426D3">
        <w:t>vere</w:t>
      </w:r>
      <w:proofErr w:type="spellEnd"/>
      <w:r w:rsidRPr="00E426D3">
        <w:t xml:space="preserve"> knytt til </w:t>
      </w:r>
      <w:proofErr w:type="spellStart"/>
      <w:r w:rsidRPr="00E426D3">
        <w:t>jordbruksverksemda</w:t>
      </w:r>
      <w:proofErr w:type="spellEnd"/>
      <w:r w:rsidRPr="00E426D3">
        <w:t xml:space="preserve">, til dømes gjeld dette </w:t>
      </w:r>
      <w:proofErr w:type="spellStart"/>
      <w:r w:rsidRPr="00E426D3">
        <w:t>snømoking</w:t>
      </w:r>
      <w:proofErr w:type="spellEnd"/>
      <w:r w:rsidRPr="00E426D3">
        <w:t xml:space="preserve">. Administrative omsyn taler for å inkludere alle </w:t>
      </w:r>
      <w:proofErr w:type="spellStart"/>
      <w:r w:rsidRPr="00E426D3">
        <w:t>typar</w:t>
      </w:r>
      <w:proofErr w:type="spellEnd"/>
      <w:r w:rsidRPr="00E426D3">
        <w:t xml:space="preserve"> inntekter </w:t>
      </w:r>
      <w:proofErr w:type="spellStart"/>
      <w:r w:rsidRPr="00E426D3">
        <w:t>frå</w:t>
      </w:r>
      <w:proofErr w:type="spellEnd"/>
      <w:r w:rsidRPr="00E426D3">
        <w:t xml:space="preserve"> </w:t>
      </w:r>
      <w:proofErr w:type="spellStart"/>
      <w:r w:rsidRPr="00E426D3">
        <w:t>leigekøyring</w:t>
      </w:r>
      <w:proofErr w:type="spellEnd"/>
      <w:r w:rsidRPr="00E426D3">
        <w:t xml:space="preserve"> i ordninga for å unngå å fordele </w:t>
      </w:r>
      <w:proofErr w:type="spellStart"/>
      <w:r w:rsidRPr="00E426D3">
        <w:t>kostnadane</w:t>
      </w:r>
      <w:proofErr w:type="spellEnd"/>
      <w:r w:rsidRPr="00E426D3">
        <w:t xml:space="preserve"> </w:t>
      </w:r>
      <w:proofErr w:type="spellStart"/>
      <w:r w:rsidRPr="00E426D3">
        <w:t>frå</w:t>
      </w:r>
      <w:proofErr w:type="spellEnd"/>
      <w:r w:rsidRPr="00E426D3">
        <w:t xml:space="preserve"> til dømes leasing, </w:t>
      </w:r>
      <w:proofErr w:type="spellStart"/>
      <w:r w:rsidRPr="00E426D3">
        <w:t>avskrivingar</w:t>
      </w:r>
      <w:proofErr w:type="spellEnd"/>
      <w:r w:rsidRPr="00E426D3">
        <w:t xml:space="preserve">, </w:t>
      </w:r>
      <w:proofErr w:type="spellStart"/>
      <w:r w:rsidRPr="00E426D3">
        <w:t>vedlikehald</w:t>
      </w:r>
      <w:proofErr w:type="spellEnd"/>
      <w:r w:rsidRPr="00E426D3">
        <w:t xml:space="preserve"> og drivstoff. Samstundes </w:t>
      </w:r>
      <w:proofErr w:type="spellStart"/>
      <w:r w:rsidRPr="00E426D3">
        <w:t>ynskjer</w:t>
      </w:r>
      <w:proofErr w:type="spellEnd"/>
      <w:r w:rsidRPr="00E426D3">
        <w:t xml:space="preserve"> </w:t>
      </w:r>
      <w:proofErr w:type="spellStart"/>
      <w:r w:rsidRPr="00E426D3">
        <w:t>ein</w:t>
      </w:r>
      <w:proofErr w:type="spellEnd"/>
      <w:r w:rsidRPr="00E426D3">
        <w:t xml:space="preserve"> å unngå at inntekter som </w:t>
      </w:r>
      <w:proofErr w:type="spellStart"/>
      <w:r w:rsidRPr="00E426D3">
        <w:t>ikkje</w:t>
      </w:r>
      <w:proofErr w:type="spellEnd"/>
      <w:r w:rsidRPr="00E426D3">
        <w:t xml:space="preserve"> kjem </w:t>
      </w:r>
      <w:proofErr w:type="spellStart"/>
      <w:r w:rsidRPr="00E426D3">
        <w:t>frå</w:t>
      </w:r>
      <w:proofErr w:type="spellEnd"/>
      <w:r w:rsidRPr="00E426D3">
        <w:t xml:space="preserve"> </w:t>
      </w:r>
      <w:proofErr w:type="spellStart"/>
      <w:r w:rsidRPr="00E426D3">
        <w:t>jordbruksverksemd</w:t>
      </w:r>
      <w:proofErr w:type="spellEnd"/>
      <w:r w:rsidRPr="00E426D3">
        <w:t>, skal inngå i ordninga.</w:t>
      </w:r>
    </w:p>
    <w:p w14:paraId="5828623E" w14:textId="77777777" w:rsidR="00772748" w:rsidRPr="00E426D3" w:rsidRDefault="00772748" w:rsidP="00E426D3">
      <w:r w:rsidRPr="00E426D3">
        <w:t xml:space="preserve">For å rette ordninga mot jordbruksinntekt og for å unngå </w:t>
      </w:r>
      <w:proofErr w:type="spellStart"/>
      <w:r w:rsidRPr="00E426D3">
        <w:t>ytterlegare</w:t>
      </w:r>
      <w:proofErr w:type="spellEnd"/>
      <w:r w:rsidRPr="00E426D3">
        <w:t xml:space="preserve"> administrative </w:t>
      </w:r>
      <w:proofErr w:type="spellStart"/>
      <w:r w:rsidRPr="00E426D3">
        <w:t>kostnadar</w:t>
      </w:r>
      <w:proofErr w:type="spellEnd"/>
      <w:r w:rsidRPr="00E426D3">
        <w:t xml:space="preserve">, meiner departementet at </w:t>
      </w:r>
      <w:proofErr w:type="spellStart"/>
      <w:r w:rsidRPr="00E426D3">
        <w:t>leigekøyring</w:t>
      </w:r>
      <w:proofErr w:type="spellEnd"/>
      <w:r w:rsidRPr="00E426D3">
        <w:t xml:space="preserve"> eller </w:t>
      </w:r>
      <w:proofErr w:type="spellStart"/>
      <w:r w:rsidRPr="00E426D3">
        <w:t>utleige</w:t>
      </w:r>
      <w:proofErr w:type="spellEnd"/>
      <w:r w:rsidRPr="00E426D3">
        <w:t xml:space="preserve"> av </w:t>
      </w:r>
      <w:proofErr w:type="spellStart"/>
      <w:r w:rsidRPr="00E426D3">
        <w:t>driftsmidlar</w:t>
      </w:r>
      <w:proofErr w:type="spellEnd"/>
      <w:r w:rsidRPr="00E426D3">
        <w:t xml:space="preserve">, samt omsetning i anna </w:t>
      </w:r>
      <w:proofErr w:type="spellStart"/>
      <w:r w:rsidRPr="00E426D3">
        <w:t>næringsverksemd</w:t>
      </w:r>
      <w:proofErr w:type="spellEnd"/>
      <w:r w:rsidRPr="00E426D3">
        <w:t xml:space="preserve"> opp til 30 000 kroner, </w:t>
      </w:r>
      <w:proofErr w:type="spellStart"/>
      <w:r w:rsidRPr="00E426D3">
        <w:t>ikkje</w:t>
      </w:r>
      <w:proofErr w:type="spellEnd"/>
      <w:r w:rsidRPr="00E426D3">
        <w:t xml:space="preserve"> bør inngå i ordninga. Det same gjeld inntekt </w:t>
      </w:r>
      <w:proofErr w:type="spellStart"/>
      <w:r w:rsidRPr="00E426D3">
        <w:t>frå</w:t>
      </w:r>
      <w:proofErr w:type="spellEnd"/>
      <w:r w:rsidRPr="00E426D3">
        <w:t xml:space="preserve"> </w:t>
      </w:r>
      <w:proofErr w:type="spellStart"/>
      <w:r w:rsidRPr="00E426D3">
        <w:t>bygningsutleige</w:t>
      </w:r>
      <w:proofErr w:type="spellEnd"/>
      <w:r w:rsidRPr="00E426D3">
        <w:t xml:space="preserve">, utnytting av jakt- og </w:t>
      </w:r>
      <w:proofErr w:type="spellStart"/>
      <w:r w:rsidRPr="00E426D3">
        <w:t>fiskerettar</w:t>
      </w:r>
      <w:proofErr w:type="spellEnd"/>
      <w:r w:rsidRPr="00E426D3">
        <w:t xml:space="preserve">, uttak av jord, sand og stein mv. Lovteknisk kan det </w:t>
      </w:r>
      <w:proofErr w:type="spellStart"/>
      <w:r w:rsidRPr="00E426D3">
        <w:t>løysast</w:t>
      </w:r>
      <w:proofErr w:type="spellEnd"/>
      <w:r w:rsidRPr="00E426D3">
        <w:t xml:space="preserve"> ved at visse inntekter som inngår i </w:t>
      </w:r>
      <w:proofErr w:type="spellStart"/>
      <w:r w:rsidRPr="00E426D3">
        <w:t>jordbruksfrådraget</w:t>
      </w:r>
      <w:proofErr w:type="spellEnd"/>
      <w:r w:rsidRPr="00E426D3">
        <w:t xml:space="preserve">, jf. Finansdepartementet si forskrift til skatteloven § 8-1-11 bokstav a) nr. 3, 4 og 6 samt bokstav b, </w:t>
      </w:r>
      <w:proofErr w:type="spellStart"/>
      <w:r w:rsidRPr="00E426D3">
        <w:t>ikkje</w:t>
      </w:r>
      <w:proofErr w:type="spellEnd"/>
      <w:r w:rsidRPr="00E426D3">
        <w:t xml:space="preserve"> vert inkludert i ordninga med jordbrukskonto.</w:t>
      </w:r>
    </w:p>
    <w:p w14:paraId="204DC8C8" w14:textId="77777777" w:rsidR="00772748" w:rsidRPr="00E426D3" w:rsidRDefault="00772748" w:rsidP="00E426D3">
      <w:pPr>
        <w:pStyle w:val="Overskrift3"/>
      </w:pPr>
      <w:r w:rsidRPr="00E426D3">
        <w:lastRenderedPageBreak/>
        <w:t>Sats for inntektsføring</w:t>
      </w:r>
    </w:p>
    <w:p w14:paraId="631C557B" w14:textId="77777777" w:rsidR="00772748" w:rsidRPr="00E426D3" w:rsidRDefault="00772748" w:rsidP="00E426D3">
      <w:r w:rsidRPr="00E426D3">
        <w:t xml:space="preserve">I tømmerkontoordninga er minimum for inntektsføring 20 pst. av saldo. Skogbruket står i ei særstilling på grunn av det lange tidsrommet </w:t>
      </w:r>
      <w:proofErr w:type="spellStart"/>
      <w:r w:rsidRPr="00E426D3">
        <w:t>frå</w:t>
      </w:r>
      <w:proofErr w:type="spellEnd"/>
      <w:r w:rsidRPr="00E426D3">
        <w:t xml:space="preserve"> forynging av skogen til </w:t>
      </w:r>
      <w:proofErr w:type="spellStart"/>
      <w:r w:rsidRPr="00E426D3">
        <w:t>avverking</w:t>
      </w:r>
      <w:proofErr w:type="spellEnd"/>
      <w:r w:rsidRPr="00E426D3">
        <w:t xml:space="preserve"> av tømmeret. Planteproduksjonen i jordbruket vert derimot drive i </w:t>
      </w:r>
      <w:proofErr w:type="spellStart"/>
      <w:r w:rsidRPr="00E426D3">
        <w:t>ein</w:t>
      </w:r>
      <w:proofErr w:type="spellEnd"/>
      <w:r w:rsidRPr="00E426D3">
        <w:t xml:space="preserve"> </w:t>
      </w:r>
      <w:proofErr w:type="spellStart"/>
      <w:r w:rsidRPr="00E426D3">
        <w:t>årleg</w:t>
      </w:r>
      <w:proofErr w:type="spellEnd"/>
      <w:r w:rsidRPr="00E426D3">
        <w:t xml:space="preserve"> syklus med såing og </w:t>
      </w:r>
      <w:proofErr w:type="spellStart"/>
      <w:r w:rsidRPr="00E426D3">
        <w:t>hausting</w:t>
      </w:r>
      <w:proofErr w:type="spellEnd"/>
      <w:r w:rsidRPr="00E426D3">
        <w:t xml:space="preserve">. </w:t>
      </w:r>
      <w:proofErr w:type="spellStart"/>
      <w:r w:rsidRPr="00E426D3">
        <w:t>Variasjonar</w:t>
      </w:r>
      <w:proofErr w:type="spellEnd"/>
      <w:r w:rsidRPr="00E426D3">
        <w:t xml:space="preserve"> i </w:t>
      </w:r>
      <w:proofErr w:type="spellStart"/>
      <w:r w:rsidRPr="00E426D3">
        <w:t>ver</w:t>
      </w:r>
      <w:proofErr w:type="spellEnd"/>
      <w:r w:rsidRPr="00E426D3">
        <w:t xml:space="preserve"> kan bidra til </w:t>
      </w:r>
      <w:proofErr w:type="spellStart"/>
      <w:r w:rsidRPr="00E426D3">
        <w:t>variasjonar</w:t>
      </w:r>
      <w:proofErr w:type="spellEnd"/>
      <w:r w:rsidRPr="00E426D3">
        <w:t xml:space="preserve"> i </w:t>
      </w:r>
      <w:proofErr w:type="spellStart"/>
      <w:r w:rsidRPr="00E426D3">
        <w:t>avlingar</w:t>
      </w:r>
      <w:proofErr w:type="spellEnd"/>
      <w:r w:rsidRPr="00E426D3">
        <w:t xml:space="preserve"> </w:t>
      </w:r>
      <w:proofErr w:type="spellStart"/>
      <w:r w:rsidRPr="00E426D3">
        <w:t>frå</w:t>
      </w:r>
      <w:proofErr w:type="spellEnd"/>
      <w:r w:rsidRPr="00E426D3">
        <w:t xml:space="preserve"> år til år. At inntektene i jordbruket i det store og heile </w:t>
      </w:r>
      <w:proofErr w:type="spellStart"/>
      <w:r w:rsidRPr="00E426D3">
        <w:t>svingar</w:t>
      </w:r>
      <w:proofErr w:type="spellEnd"/>
      <w:r w:rsidRPr="00E426D3">
        <w:t xml:space="preserve"> mindre enn inntektene i skogbruket, </w:t>
      </w:r>
      <w:proofErr w:type="spellStart"/>
      <w:r w:rsidRPr="00E426D3">
        <w:t>tilseier</w:t>
      </w:r>
      <w:proofErr w:type="spellEnd"/>
      <w:r w:rsidRPr="00E426D3">
        <w:t xml:space="preserve"> at jordbruket bør ha </w:t>
      </w:r>
      <w:proofErr w:type="spellStart"/>
      <w:r w:rsidRPr="00E426D3">
        <w:t>ein</w:t>
      </w:r>
      <w:proofErr w:type="spellEnd"/>
      <w:r w:rsidRPr="00E426D3">
        <w:t xml:space="preserve"> </w:t>
      </w:r>
      <w:proofErr w:type="spellStart"/>
      <w:r w:rsidRPr="00E426D3">
        <w:t>høgare</w:t>
      </w:r>
      <w:proofErr w:type="spellEnd"/>
      <w:r w:rsidRPr="00E426D3">
        <w:t xml:space="preserve"> inntektsføring.</w:t>
      </w:r>
    </w:p>
    <w:p w14:paraId="51082BB2" w14:textId="77777777" w:rsidR="00772748" w:rsidRPr="00E426D3" w:rsidRDefault="00772748" w:rsidP="00E426D3">
      <w:r w:rsidRPr="00E426D3">
        <w:t xml:space="preserve">Minstesatsen for inntektsføring bør òg </w:t>
      </w:r>
      <w:proofErr w:type="spellStart"/>
      <w:r w:rsidRPr="00E426D3">
        <w:t>sjåast</w:t>
      </w:r>
      <w:proofErr w:type="spellEnd"/>
      <w:r w:rsidRPr="00E426D3">
        <w:t xml:space="preserve"> i </w:t>
      </w:r>
      <w:proofErr w:type="spellStart"/>
      <w:r w:rsidRPr="00E426D3">
        <w:t>samanheng</w:t>
      </w:r>
      <w:proofErr w:type="spellEnd"/>
      <w:r w:rsidRPr="00E426D3">
        <w:t xml:space="preserve"> med andre </w:t>
      </w:r>
      <w:proofErr w:type="spellStart"/>
      <w:r w:rsidRPr="00E426D3">
        <w:t>tilskot</w:t>
      </w:r>
      <w:proofErr w:type="spellEnd"/>
      <w:r w:rsidRPr="00E426D3">
        <w:t xml:space="preserve"> og anna støtte til jordbruket. Ordninga er </w:t>
      </w:r>
      <w:proofErr w:type="spellStart"/>
      <w:r w:rsidRPr="00E426D3">
        <w:t>eit</w:t>
      </w:r>
      <w:proofErr w:type="spellEnd"/>
      <w:r w:rsidRPr="00E426D3">
        <w:t xml:space="preserve"> tillegg til </w:t>
      </w:r>
      <w:proofErr w:type="spellStart"/>
      <w:r w:rsidRPr="00E426D3">
        <w:t>desse</w:t>
      </w:r>
      <w:proofErr w:type="spellEnd"/>
      <w:r w:rsidRPr="00E426D3">
        <w:t xml:space="preserve">, og i mange tilfelle er det andre målretta </w:t>
      </w:r>
      <w:proofErr w:type="spellStart"/>
      <w:r w:rsidRPr="00E426D3">
        <w:t>tilskot</w:t>
      </w:r>
      <w:proofErr w:type="spellEnd"/>
      <w:r w:rsidRPr="00E426D3">
        <w:t xml:space="preserve"> som er best eigna til å kompensere jordbruket. På den bakgrunnen </w:t>
      </w:r>
      <w:proofErr w:type="spellStart"/>
      <w:r w:rsidRPr="00E426D3">
        <w:t>gjer</w:t>
      </w:r>
      <w:proofErr w:type="spellEnd"/>
      <w:r w:rsidRPr="00E426D3">
        <w:t xml:space="preserve"> departementet framlegg om at satsen vert sett til 85 pst. Det </w:t>
      </w:r>
      <w:proofErr w:type="spellStart"/>
      <w:r w:rsidRPr="00E426D3">
        <w:t>inneber</w:t>
      </w:r>
      <w:proofErr w:type="spellEnd"/>
      <w:r w:rsidRPr="00E426D3">
        <w:t xml:space="preserve"> at dersom saldoen på jordbrukskontoen er positiv, skal minst 85 pst. av denne </w:t>
      </w:r>
      <w:proofErr w:type="spellStart"/>
      <w:r w:rsidRPr="00E426D3">
        <w:t>inntektsførast</w:t>
      </w:r>
      <w:proofErr w:type="spellEnd"/>
      <w:r w:rsidRPr="00E426D3">
        <w:t xml:space="preserve">. Er saldoen negativ, skal inntil 85 pst. av saldoen </w:t>
      </w:r>
      <w:proofErr w:type="spellStart"/>
      <w:r w:rsidRPr="00E426D3">
        <w:t>førast</w:t>
      </w:r>
      <w:proofErr w:type="spellEnd"/>
      <w:r w:rsidRPr="00E426D3">
        <w:t xml:space="preserve"> til </w:t>
      </w:r>
      <w:proofErr w:type="spellStart"/>
      <w:r w:rsidRPr="00E426D3">
        <w:t>frådrag</w:t>
      </w:r>
      <w:proofErr w:type="spellEnd"/>
      <w:r w:rsidRPr="00E426D3">
        <w:t xml:space="preserve">. </w:t>
      </w:r>
      <w:proofErr w:type="spellStart"/>
      <w:r w:rsidRPr="00E426D3">
        <w:t>Inngåande</w:t>
      </w:r>
      <w:proofErr w:type="spellEnd"/>
      <w:r w:rsidRPr="00E426D3">
        <w:t xml:space="preserve"> negativ saldo på jordbrukskonto kan alltid </w:t>
      </w:r>
      <w:proofErr w:type="spellStart"/>
      <w:r w:rsidRPr="00E426D3">
        <w:t>førast</w:t>
      </w:r>
      <w:proofErr w:type="spellEnd"/>
      <w:r w:rsidRPr="00E426D3">
        <w:t xml:space="preserve"> mot årets </w:t>
      </w:r>
      <w:proofErr w:type="spellStart"/>
      <w:r w:rsidRPr="00E426D3">
        <w:t>overskot</w:t>
      </w:r>
      <w:proofErr w:type="spellEnd"/>
      <w:r w:rsidRPr="00E426D3">
        <w:t xml:space="preserve"> </w:t>
      </w:r>
      <w:proofErr w:type="spellStart"/>
      <w:r w:rsidRPr="00E426D3">
        <w:t>frå</w:t>
      </w:r>
      <w:proofErr w:type="spellEnd"/>
      <w:r w:rsidRPr="00E426D3">
        <w:t xml:space="preserve"> jordbruket. Dette vil </w:t>
      </w:r>
      <w:proofErr w:type="spellStart"/>
      <w:r w:rsidRPr="00E426D3">
        <w:t>gje</w:t>
      </w:r>
      <w:proofErr w:type="spellEnd"/>
      <w:r w:rsidRPr="00E426D3">
        <w:t xml:space="preserve"> </w:t>
      </w:r>
      <w:proofErr w:type="spellStart"/>
      <w:r w:rsidRPr="00E426D3">
        <w:t>tilstrekkeleg</w:t>
      </w:r>
      <w:proofErr w:type="spellEnd"/>
      <w:r w:rsidRPr="00E426D3">
        <w:t xml:space="preserve"> rom for å jamne ut skattebelastninga, samstundes som </w:t>
      </w:r>
      <w:proofErr w:type="spellStart"/>
      <w:r w:rsidRPr="00E426D3">
        <w:t>ein</w:t>
      </w:r>
      <w:proofErr w:type="spellEnd"/>
      <w:r w:rsidRPr="00E426D3">
        <w:t xml:space="preserve"> unngår at det vert bygd opp for store </w:t>
      </w:r>
      <w:proofErr w:type="spellStart"/>
      <w:r w:rsidRPr="00E426D3">
        <w:t>skattekredittar</w:t>
      </w:r>
      <w:proofErr w:type="spellEnd"/>
      <w:r w:rsidRPr="00E426D3">
        <w:t>.</w:t>
      </w:r>
    </w:p>
    <w:p w14:paraId="4181279A" w14:textId="77777777" w:rsidR="00772748" w:rsidRPr="00E426D3" w:rsidRDefault="00772748" w:rsidP="00E426D3">
      <w:pPr>
        <w:pStyle w:val="Overskrift3"/>
      </w:pPr>
      <w:r w:rsidRPr="00E426D3">
        <w:t xml:space="preserve">Jordbrukskonto gjeld </w:t>
      </w:r>
      <w:proofErr w:type="spellStart"/>
      <w:r w:rsidRPr="00E426D3">
        <w:t>enkeltpersonføretak</w:t>
      </w:r>
      <w:proofErr w:type="spellEnd"/>
    </w:p>
    <w:p w14:paraId="12D913EB" w14:textId="77777777" w:rsidR="00772748" w:rsidRPr="00E426D3" w:rsidRDefault="00772748" w:rsidP="00E426D3">
      <w:r w:rsidRPr="00E426D3">
        <w:t xml:space="preserve">Jordbrukskonto skal </w:t>
      </w:r>
      <w:proofErr w:type="spellStart"/>
      <w:r w:rsidRPr="00E426D3">
        <w:t>berre</w:t>
      </w:r>
      <w:proofErr w:type="spellEnd"/>
      <w:r w:rsidRPr="00E426D3">
        <w:t xml:space="preserve"> gjelde for </w:t>
      </w:r>
      <w:proofErr w:type="spellStart"/>
      <w:r w:rsidRPr="00E426D3">
        <w:t>enkeltpersonføretak</w:t>
      </w:r>
      <w:proofErr w:type="spellEnd"/>
      <w:r w:rsidRPr="00E426D3">
        <w:t xml:space="preserve">, </w:t>
      </w:r>
      <w:proofErr w:type="spellStart"/>
      <w:r w:rsidRPr="00E426D3">
        <w:t>ikkje</w:t>
      </w:r>
      <w:proofErr w:type="spellEnd"/>
      <w:r w:rsidRPr="00E426D3">
        <w:t xml:space="preserve"> selskap. For tømmerkontoordninga er det òg slik. Det er </w:t>
      </w:r>
      <w:proofErr w:type="spellStart"/>
      <w:r w:rsidRPr="00E426D3">
        <w:t>ikkje</w:t>
      </w:r>
      <w:proofErr w:type="spellEnd"/>
      <w:r w:rsidRPr="00E426D3">
        <w:t xml:space="preserve"> same behov for ei kontoordning for </w:t>
      </w:r>
      <w:proofErr w:type="spellStart"/>
      <w:r w:rsidRPr="00E426D3">
        <w:t>dei</w:t>
      </w:r>
      <w:proofErr w:type="spellEnd"/>
      <w:r w:rsidRPr="00E426D3">
        <w:t xml:space="preserve"> som </w:t>
      </w:r>
      <w:proofErr w:type="spellStart"/>
      <w:r w:rsidRPr="00E426D3">
        <w:t>ikkje</w:t>
      </w:r>
      <w:proofErr w:type="spellEnd"/>
      <w:r w:rsidRPr="00E426D3">
        <w:t xml:space="preserve"> er sjølvstendig </w:t>
      </w:r>
      <w:proofErr w:type="spellStart"/>
      <w:r w:rsidRPr="00E426D3">
        <w:t>næringsdrivande</w:t>
      </w:r>
      <w:proofErr w:type="spellEnd"/>
      <w:r w:rsidRPr="00E426D3">
        <w:t xml:space="preserve">. Bakgrunnen er at skattlegginga av </w:t>
      </w:r>
      <w:proofErr w:type="spellStart"/>
      <w:r w:rsidRPr="00E426D3">
        <w:t>deltakarar</w:t>
      </w:r>
      <w:proofErr w:type="spellEnd"/>
      <w:r w:rsidRPr="00E426D3">
        <w:t xml:space="preserve"> og </w:t>
      </w:r>
      <w:proofErr w:type="spellStart"/>
      <w:r w:rsidRPr="00E426D3">
        <w:t>aksjonærar</w:t>
      </w:r>
      <w:proofErr w:type="spellEnd"/>
      <w:r w:rsidRPr="00E426D3">
        <w:t xml:space="preserve"> er basert på </w:t>
      </w:r>
      <w:proofErr w:type="spellStart"/>
      <w:r w:rsidRPr="00E426D3">
        <w:t>ein</w:t>
      </w:r>
      <w:proofErr w:type="spellEnd"/>
      <w:r w:rsidRPr="00E426D3">
        <w:t xml:space="preserve"> kombinasjon av </w:t>
      </w:r>
      <w:proofErr w:type="spellStart"/>
      <w:r w:rsidRPr="00E426D3">
        <w:t>laupande</w:t>
      </w:r>
      <w:proofErr w:type="spellEnd"/>
      <w:r w:rsidRPr="00E426D3">
        <w:t xml:space="preserve"> skattlegging av </w:t>
      </w:r>
      <w:proofErr w:type="spellStart"/>
      <w:r w:rsidRPr="00E426D3">
        <w:t>selskapsoverskotet</w:t>
      </w:r>
      <w:proofErr w:type="spellEnd"/>
      <w:r w:rsidRPr="00E426D3">
        <w:t xml:space="preserve"> med tillegg av skatt ved utdeling </w:t>
      </w:r>
      <w:proofErr w:type="spellStart"/>
      <w:r w:rsidRPr="00E426D3">
        <w:t>frå</w:t>
      </w:r>
      <w:proofErr w:type="spellEnd"/>
      <w:r w:rsidRPr="00E426D3">
        <w:t xml:space="preserve"> selskapet til </w:t>
      </w:r>
      <w:proofErr w:type="spellStart"/>
      <w:r w:rsidRPr="00E426D3">
        <w:t>personlege</w:t>
      </w:r>
      <w:proofErr w:type="spellEnd"/>
      <w:r w:rsidRPr="00E426D3">
        <w:t xml:space="preserve"> </w:t>
      </w:r>
      <w:proofErr w:type="spellStart"/>
      <w:r w:rsidRPr="00E426D3">
        <w:t>deltakarar</w:t>
      </w:r>
      <w:proofErr w:type="spellEnd"/>
      <w:r w:rsidRPr="00E426D3">
        <w:t>/</w:t>
      </w:r>
      <w:proofErr w:type="spellStart"/>
      <w:r w:rsidRPr="00E426D3">
        <w:t>aksjonærar</w:t>
      </w:r>
      <w:proofErr w:type="spellEnd"/>
      <w:r w:rsidRPr="00E426D3">
        <w:t xml:space="preserve">. Den </w:t>
      </w:r>
      <w:proofErr w:type="spellStart"/>
      <w:r w:rsidRPr="00E426D3">
        <w:t>laupande</w:t>
      </w:r>
      <w:proofErr w:type="spellEnd"/>
      <w:r w:rsidRPr="00E426D3">
        <w:t xml:space="preserve"> skattlegginga </w:t>
      </w:r>
      <w:proofErr w:type="spellStart"/>
      <w:r w:rsidRPr="00E426D3">
        <w:t>omfattar</w:t>
      </w:r>
      <w:proofErr w:type="spellEnd"/>
      <w:r w:rsidRPr="00E426D3">
        <w:t xml:space="preserve"> </w:t>
      </w:r>
      <w:proofErr w:type="spellStart"/>
      <w:r w:rsidRPr="00E426D3">
        <w:t>berre</w:t>
      </w:r>
      <w:proofErr w:type="spellEnd"/>
      <w:r w:rsidRPr="00E426D3">
        <w:t xml:space="preserve"> allmenn inntekt, slik at </w:t>
      </w:r>
      <w:proofErr w:type="spellStart"/>
      <w:r w:rsidRPr="00E426D3">
        <w:t>deltakaren</w:t>
      </w:r>
      <w:proofErr w:type="spellEnd"/>
      <w:r w:rsidRPr="00E426D3">
        <w:t xml:space="preserve"> har </w:t>
      </w:r>
      <w:proofErr w:type="spellStart"/>
      <w:r w:rsidRPr="00E426D3">
        <w:t>moglegheit</w:t>
      </w:r>
      <w:proofErr w:type="spellEnd"/>
      <w:r w:rsidRPr="00E426D3">
        <w:t xml:space="preserve"> til å styre </w:t>
      </w:r>
      <w:proofErr w:type="spellStart"/>
      <w:r w:rsidRPr="00E426D3">
        <w:t>utdelingane</w:t>
      </w:r>
      <w:proofErr w:type="spellEnd"/>
      <w:r w:rsidRPr="00E426D3">
        <w:t xml:space="preserve"> som </w:t>
      </w:r>
      <w:proofErr w:type="gramStart"/>
      <w:r w:rsidRPr="00E426D3">
        <w:t>gjev grunnlag</w:t>
      </w:r>
      <w:proofErr w:type="gramEnd"/>
      <w:r w:rsidRPr="00E426D3">
        <w:t xml:space="preserve"> for skattlegging utover dette.</w:t>
      </w:r>
    </w:p>
    <w:p w14:paraId="2CDDD119" w14:textId="77777777" w:rsidR="00772748" w:rsidRPr="00E426D3" w:rsidRDefault="00772748" w:rsidP="00E426D3">
      <w:pPr>
        <w:pStyle w:val="Overskrift3"/>
      </w:pPr>
      <w:r w:rsidRPr="00E426D3">
        <w:t>Andre forhold</w:t>
      </w:r>
    </w:p>
    <w:p w14:paraId="54AB84CC" w14:textId="77777777" w:rsidR="00772748" w:rsidRPr="00E426D3" w:rsidRDefault="00772748" w:rsidP="00E426D3">
      <w:r w:rsidRPr="00E426D3">
        <w:t xml:space="preserve">Det er årets </w:t>
      </w:r>
      <w:proofErr w:type="spellStart"/>
      <w:r w:rsidRPr="00E426D3">
        <w:t>overskot</w:t>
      </w:r>
      <w:proofErr w:type="spellEnd"/>
      <w:r w:rsidRPr="00E426D3">
        <w:t xml:space="preserve"> </w:t>
      </w:r>
      <w:proofErr w:type="spellStart"/>
      <w:r w:rsidRPr="00E426D3">
        <w:t>frå</w:t>
      </w:r>
      <w:proofErr w:type="spellEnd"/>
      <w:r w:rsidRPr="00E426D3">
        <w:t xml:space="preserve"> jordbruk (som definert </w:t>
      </w:r>
      <w:proofErr w:type="spellStart"/>
      <w:r w:rsidRPr="00E426D3">
        <w:t>ovanfor</w:t>
      </w:r>
      <w:proofErr w:type="spellEnd"/>
      <w:r w:rsidRPr="00E426D3">
        <w:t xml:space="preserve">), </w:t>
      </w:r>
      <w:proofErr w:type="spellStart"/>
      <w:r w:rsidRPr="00E426D3">
        <w:t>utan</w:t>
      </w:r>
      <w:proofErr w:type="spellEnd"/>
      <w:r w:rsidRPr="00E426D3">
        <w:t xml:space="preserve"> </w:t>
      </w:r>
      <w:proofErr w:type="spellStart"/>
      <w:r w:rsidRPr="00E426D3">
        <w:t>frådrag</w:t>
      </w:r>
      <w:proofErr w:type="spellEnd"/>
      <w:r w:rsidRPr="00E426D3">
        <w:t xml:space="preserve"> for gjeldsrenter, som </w:t>
      </w:r>
      <w:proofErr w:type="spellStart"/>
      <w:r w:rsidRPr="00E426D3">
        <w:t>ein</w:t>
      </w:r>
      <w:proofErr w:type="spellEnd"/>
      <w:r w:rsidRPr="00E426D3">
        <w:t xml:space="preserve"> kan overføre på jordbrukskonto. Gjeldsrenter det siste året vert ført til </w:t>
      </w:r>
      <w:proofErr w:type="spellStart"/>
      <w:r w:rsidRPr="00E426D3">
        <w:t>frådrag</w:t>
      </w:r>
      <w:proofErr w:type="spellEnd"/>
      <w:r w:rsidRPr="00E426D3">
        <w:t xml:space="preserve"> særskilt.</w:t>
      </w:r>
    </w:p>
    <w:p w14:paraId="53126258" w14:textId="77777777" w:rsidR="00772748" w:rsidRPr="00E426D3" w:rsidRDefault="00772748" w:rsidP="00E426D3">
      <w:proofErr w:type="spellStart"/>
      <w:r w:rsidRPr="00E426D3">
        <w:t>Kostnadar</w:t>
      </w:r>
      <w:proofErr w:type="spellEnd"/>
      <w:r w:rsidRPr="00E426D3">
        <w:t xml:space="preserve"> knytte til </w:t>
      </w:r>
      <w:proofErr w:type="spellStart"/>
      <w:r w:rsidRPr="00E426D3">
        <w:t>driftsmidlar</w:t>
      </w:r>
      <w:proofErr w:type="spellEnd"/>
      <w:r w:rsidRPr="00E426D3">
        <w:t xml:space="preserve"> brukt i </w:t>
      </w:r>
      <w:proofErr w:type="spellStart"/>
      <w:r w:rsidRPr="00E426D3">
        <w:t>aktivitetar</w:t>
      </w:r>
      <w:proofErr w:type="spellEnd"/>
      <w:r w:rsidRPr="00E426D3">
        <w:t xml:space="preserve"> både </w:t>
      </w:r>
      <w:proofErr w:type="spellStart"/>
      <w:r w:rsidRPr="00E426D3">
        <w:t>innanfor</w:t>
      </w:r>
      <w:proofErr w:type="spellEnd"/>
      <w:r w:rsidRPr="00E426D3">
        <w:t xml:space="preserve"> og </w:t>
      </w:r>
      <w:proofErr w:type="spellStart"/>
      <w:r w:rsidRPr="00E426D3">
        <w:t>utanfor</w:t>
      </w:r>
      <w:proofErr w:type="spellEnd"/>
      <w:r w:rsidRPr="00E426D3">
        <w:t xml:space="preserve"> jordbrukskontoordninga, </w:t>
      </w:r>
      <w:proofErr w:type="spellStart"/>
      <w:r w:rsidRPr="00E426D3">
        <w:t>medrekna</w:t>
      </w:r>
      <w:proofErr w:type="spellEnd"/>
      <w:r w:rsidRPr="00E426D3">
        <w:t xml:space="preserve"> </w:t>
      </w:r>
      <w:proofErr w:type="spellStart"/>
      <w:r w:rsidRPr="00E426D3">
        <w:t>avskrivingar</w:t>
      </w:r>
      <w:proofErr w:type="spellEnd"/>
      <w:r w:rsidRPr="00E426D3">
        <w:t xml:space="preserve">, må </w:t>
      </w:r>
      <w:proofErr w:type="spellStart"/>
      <w:r w:rsidRPr="00E426D3">
        <w:t>fordelast</w:t>
      </w:r>
      <w:proofErr w:type="spellEnd"/>
      <w:r w:rsidRPr="00E426D3">
        <w:t xml:space="preserve"> mellom </w:t>
      </w:r>
      <w:proofErr w:type="spellStart"/>
      <w:r w:rsidRPr="00E426D3">
        <w:t>desse</w:t>
      </w:r>
      <w:proofErr w:type="spellEnd"/>
      <w:r w:rsidRPr="00E426D3">
        <w:t xml:space="preserve"> </w:t>
      </w:r>
      <w:proofErr w:type="spellStart"/>
      <w:r w:rsidRPr="00E426D3">
        <w:t>aktivitetane</w:t>
      </w:r>
      <w:proofErr w:type="spellEnd"/>
      <w:r w:rsidRPr="00E426D3">
        <w:t xml:space="preserve"> i høve til utnyttinga av </w:t>
      </w:r>
      <w:proofErr w:type="spellStart"/>
      <w:r w:rsidRPr="00E426D3">
        <w:t>driftsmidlane</w:t>
      </w:r>
      <w:proofErr w:type="spellEnd"/>
      <w:r w:rsidRPr="00E426D3">
        <w:t>.</w:t>
      </w:r>
    </w:p>
    <w:p w14:paraId="0353BAD1" w14:textId="77777777" w:rsidR="00772748" w:rsidRPr="00E426D3" w:rsidRDefault="00772748" w:rsidP="00E426D3">
      <w:r w:rsidRPr="00E426D3">
        <w:t xml:space="preserve">Det kan </w:t>
      </w:r>
      <w:proofErr w:type="spellStart"/>
      <w:r w:rsidRPr="00E426D3">
        <w:t>vere</w:t>
      </w:r>
      <w:proofErr w:type="spellEnd"/>
      <w:r w:rsidRPr="00E426D3">
        <w:t xml:space="preserve"> behov for å </w:t>
      </w:r>
      <w:proofErr w:type="spellStart"/>
      <w:r w:rsidRPr="00E426D3">
        <w:t>gje</w:t>
      </w:r>
      <w:proofErr w:type="spellEnd"/>
      <w:r w:rsidRPr="00E426D3">
        <w:t xml:space="preserve"> </w:t>
      </w:r>
      <w:proofErr w:type="spellStart"/>
      <w:r w:rsidRPr="00E426D3">
        <w:t>nærare</w:t>
      </w:r>
      <w:proofErr w:type="spellEnd"/>
      <w:r w:rsidRPr="00E426D3">
        <w:t xml:space="preserve"> forskrifter mellom anna når det </w:t>
      </w:r>
      <w:proofErr w:type="spellStart"/>
      <w:r w:rsidRPr="00E426D3">
        <w:t>gjeld</w:t>
      </w:r>
      <w:proofErr w:type="spellEnd"/>
      <w:r w:rsidRPr="00E426D3">
        <w:t xml:space="preserve"> kva utgifter og inntekter som skal kunne </w:t>
      </w:r>
      <w:proofErr w:type="spellStart"/>
      <w:r w:rsidRPr="00E426D3">
        <w:t>førast</w:t>
      </w:r>
      <w:proofErr w:type="spellEnd"/>
      <w:r w:rsidRPr="00E426D3">
        <w:t xml:space="preserve"> på jordbrukskonto. Det vert </w:t>
      </w:r>
      <w:proofErr w:type="spellStart"/>
      <w:r w:rsidRPr="00E426D3">
        <w:t>difor</w:t>
      </w:r>
      <w:proofErr w:type="spellEnd"/>
      <w:r w:rsidRPr="00E426D3">
        <w:t xml:space="preserve"> gjort framlegg om at departementet vert gjeve fullmakt til å </w:t>
      </w:r>
      <w:proofErr w:type="spellStart"/>
      <w:r w:rsidRPr="00E426D3">
        <w:t>gje</w:t>
      </w:r>
      <w:proofErr w:type="spellEnd"/>
      <w:r w:rsidRPr="00E426D3">
        <w:t xml:space="preserve"> </w:t>
      </w:r>
      <w:proofErr w:type="spellStart"/>
      <w:r w:rsidRPr="00E426D3">
        <w:t>nærare</w:t>
      </w:r>
      <w:proofErr w:type="spellEnd"/>
      <w:r w:rsidRPr="00E426D3">
        <w:t xml:space="preserve"> </w:t>
      </w:r>
      <w:proofErr w:type="spellStart"/>
      <w:r w:rsidRPr="00E426D3">
        <w:t>reglar</w:t>
      </w:r>
      <w:proofErr w:type="spellEnd"/>
      <w:r w:rsidRPr="00E426D3">
        <w:t xml:space="preserve"> til utfylling og gjennomføring.</w:t>
      </w:r>
    </w:p>
    <w:p w14:paraId="3E32862B" w14:textId="77777777" w:rsidR="00772748" w:rsidRPr="00E426D3" w:rsidRDefault="00772748" w:rsidP="00E426D3">
      <w:r w:rsidRPr="00E426D3">
        <w:t xml:space="preserve">For realisasjon av driftsmiddel </w:t>
      </w:r>
      <w:proofErr w:type="spellStart"/>
      <w:r w:rsidRPr="00E426D3">
        <w:t>finst</w:t>
      </w:r>
      <w:proofErr w:type="spellEnd"/>
      <w:r w:rsidRPr="00E426D3">
        <w:t xml:space="preserve"> det òg </w:t>
      </w:r>
      <w:proofErr w:type="spellStart"/>
      <w:r w:rsidRPr="00E426D3">
        <w:t>ein</w:t>
      </w:r>
      <w:proofErr w:type="spellEnd"/>
      <w:r w:rsidRPr="00E426D3">
        <w:t xml:space="preserve"> konto for </w:t>
      </w:r>
      <w:proofErr w:type="spellStart"/>
      <w:r w:rsidRPr="00E426D3">
        <w:t>gevinstar</w:t>
      </w:r>
      <w:proofErr w:type="spellEnd"/>
      <w:r w:rsidRPr="00E426D3">
        <w:t xml:space="preserve"> og tap. I samsvar med skatteloven § 14-45 kan </w:t>
      </w:r>
      <w:proofErr w:type="spellStart"/>
      <w:r w:rsidRPr="00E426D3">
        <w:t>skattytar</w:t>
      </w:r>
      <w:proofErr w:type="spellEnd"/>
      <w:r w:rsidRPr="00E426D3">
        <w:t xml:space="preserve"> </w:t>
      </w:r>
      <w:proofErr w:type="spellStart"/>
      <w:r w:rsidRPr="00E426D3">
        <w:t>velje</w:t>
      </w:r>
      <w:proofErr w:type="spellEnd"/>
      <w:r w:rsidRPr="00E426D3">
        <w:t xml:space="preserve"> å føre slike på gevinst- og tapskonto. Er saldoen positiv skal minst 20 pst. av saldoen </w:t>
      </w:r>
      <w:proofErr w:type="spellStart"/>
      <w:r w:rsidRPr="00E426D3">
        <w:t>inntektsførast</w:t>
      </w:r>
      <w:proofErr w:type="spellEnd"/>
      <w:r w:rsidRPr="00E426D3">
        <w:t xml:space="preserve">. Er saldoen negativ skal inntil 20 pst. </w:t>
      </w:r>
      <w:proofErr w:type="spellStart"/>
      <w:r w:rsidRPr="00E426D3">
        <w:t>frådragsførast</w:t>
      </w:r>
      <w:proofErr w:type="spellEnd"/>
      <w:r w:rsidRPr="00E426D3">
        <w:t xml:space="preserve">. På </w:t>
      </w:r>
      <w:proofErr w:type="spellStart"/>
      <w:r w:rsidRPr="00E426D3">
        <w:t>tilsvarande</w:t>
      </w:r>
      <w:proofErr w:type="spellEnd"/>
      <w:r w:rsidRPr="00E426D3">
        <w:t xml:space="preserve"> måte som for tømmerkontoordninga vert det foreslått ei føresegn om at </w:t>
      </w:r>
      <w:proofErr w:type="spellStart"/>
      <w:r w:rsidRPr="00E426D3">
        <w:t>reglane</w:t>
      </w:r>
      <w:proofErr w:type="spellEnd"/>
      <w:r w:rsidRPr="00E426D3">
        <w:t xml:space="preserve"> om gevinst- og tapskonto gjeld </w:t>
      </w:r>
      <w:proofErr w:type="spellStart"/>
      <w:r w:rsidRPr="00E426D3">
        <w:t>tilsvarande</w:t>
      </w:r>
      <w:proofErr w:type="spellEnd"/>
      <w:r w:rsidRPr="00E426D3">
        <w:t xml:space="preserve"> så langt </w:t>
      </w:r>
      <w:proofErr w:type="spellStart"/>
      <w:r w:rsidRPr="00E426D3">
        <w:t>dei</w:t>
      </w:r>
      <w:proofErr w:type="spellEnd"/>
      <w:r w:rsidRPr="00E426D3">
        <w:t xml:space="preserve"> </w:t>
      </w:r>
      <w:proofErr w:type="spellStart"/>
      <w:r w:rsidRPr="00E426D3">
        <w:t>passar</w:t>
      </w:r>
      <w:proofErr w:type="spellEnd"/>
      <w:r w:rsidRPr="00E426D3">
        <w:t xml:space="preserve"> òg for jordbrukskonto. Det vil kunne gjelde spørsmål mellom anna om </w:t>
      </w:r>
      <w:proofErr w:type="spellStart"/>
      <w:r w:rsidRPr="00E426D3">
        <w:t>vidareføring</w:t>
      </w:r>
      <w:proofErr w:type="spellEnd"/>
      <w:r w:rsidRPr="00E426D3">
        <w:t xml:space="preserve"> av kontoen ved realisasjon, arv, </w:t>
      </w:r>
      <w:proofErr w:type="spellStart"/>
      <w:r w:rsidRPr="00E426D3">
        <w:t>gåve</w:t>
      </w:r>
      <w:proofErr w:type="spellEnd"/>
      <w:r w:rsidRPr="00E426D3">
        <w:t xml:space="preserve"> og </w:t>
      </w:r>
      <w:proofErr w:type="spellStart"/>
      <w:r w:rsidRPr="00E426D3">
        <w:t>gåvesal</w:t>
      </w:r>
      <w:proofErr w:type="spellEnd"/>
      <w:r w:rsidRPr="00E426D3">
        <w:t xml:space="preserve"> og ved </w:t>
      </w:r>
      <w:proofErr w:type="spellStart"/>
      <w:r w:rsidRPr="00E426D3">
        <w:t>opphøyr</w:t>
      </w:r>
      <w:proofErr w:type="spellEnd"/>
      <w:r w:rsidRPr="00E426D3">
        <w:t xml:space="preserve"> av </w:t>
      </w:r>
      <w:proofErr w:type="spellStart"/>
      <w:r w:rsidRPr="00E426D3">
        <w:t>verksemd</w:t>
      </w:r>
      <w:proofErr w:type="spellEnd"/>
      <w:r w:rsidRPr="00E426D3">
        <w:t>.</w:t>
      </w:r>
    </w:p>
    <w:p w14:paraId="3351F9D7" w14:textId="77777777" w:rsidR="00772748" w:rsidRPr="00E426D3" w:rsidRDefault="00772748" w:rsidP="00E426D3">
      <w:proofErr w:type="spellStart"/>
      <w:r w:rsidRPr="00E426D3">
        <w:lastRenderedPageBreak/>
        <w:t>Ein</w:t>
      </w:r>
      <w:proofErr w:type="spellEnd"/>
      <w:r w:rsidRPr="00E426D3">
        <w:t xml:space="preserve"> ny paragraf i skatteloven om jordbrukskonto vil systematisk passe best inn som ny § 14-82. Det </w:t>
      </w:r>
      <w:proofErr w:type="spellStart"/>
      <w:r w:rsidRPr="00E426D3">
        <w:t>inneber</w:t>
      </w:r>
      <w:proofErr w:type="spellEnd"/>
      <w:r w:rsidRPr="00E426D3">
        <w:t xml:space="preserve"> at </w:t>
      </w:r>
      <w:proofErr w:type="spellStart"/>
      <w:r w:rsidRPr="00E426D3">
        <w:t>gjeldande</w:t>
      </w:r>
      <w:proofErr w:type="spellEnd"/>
      <w:r w:rsidRPr="00E426D3">
        <w:t xml:space="preserve"> §§ 14-82 og 14-83 vert §§ 14-83 og 14-84. Skatteloven § 8-1 tredje ledd har ei tilvising til § 14-83, som må </w:t>
      </w:r>
      <w:proofErr w:type="spellStart"/>
      <w:r w:rsidRPr="00E426D3">
        <w:t>endrast</w:t>
      </w:r>
      <w:proofErr w:type="spellEnd"/>
      <w:r w:rsidRPr="00E426D3">
        <w:t xml:space="preserve"> til § 14-84. På same måte må </w:t>
      </w:r>
      <w:proofErr w:type="spellStart"/>
      <w:r w:rsidRPr="00E426D3">
        <w:t>tilvisingane</w:t>
      </w:r>
      <w:proofErr w:type="spellEnd"/>
      <w:r w:rsidRPr="00E426D3">
        <w:t xml:space="preserve"> til § 14-82 i § 8-3 andre og femte ledd, </w:t>
      </w:r>
      <w:proofErr w:type="spellStart"/>
      <w:r w:rsidRPr="00E426D3">
        <w:t>endrast</w:t>
      </w:r>
      <w:proofErr w:type="spellEnd"/>
      <w:r w:rsidRPr="00E426D3">
        <w:t xml:space="preserve"> til § 14-83.</w:t>
      </w:r>
    </w:p>
    <w:p w14:paraId="6AEA6BE5" w14:textId="77777777" w:rsidR="00772748" w:rsidRPr="00E426D3" w:rsidRDefault="00772748" w:rsidP="00E426D3">
      <w:r w:rsidRPr="00E426D3">
        <w:t xml:space="preserve">Departementet syner til framlegg til ny § 14-82 og </w:t>
      </w:r>
      <w:proofErr w:type="spellStart"/>
      <w:r w:rsidRPr="00E426D3">
        <w:t>endringar</w:t>
      </w:r>
      <w:proofErr w:type="spellEnd"/>
      <w:r w:rsidRPr="00E426D3">
        <w:t xml:space="preserve"> i § 8-1 og § 8-3 i skatteloven.</w:t>
      </w:r>
    </w:p>
    <w:p w14:paraId="3E3A1246" w14:textId="77777777" w:rsidR="00772748" w:rsidRPr="00E426D3" w:rsidRDefault="00772748" w:rsidP="00E426D3">
      <w:pPr>
        <w:pStyle w:val="Overskrift2"/>
      </w:pPr>
      <w:r w:rsidRPr="00E426D3">
        <w:t xml:space="preserve">Økonomiske og administrative </w:t>
      </w:r>
      <w:proofErr w:type="spellStart"/>
      <w:r w:rsidRPr="00E426D3">
        <w:t>konsekvensar</w:t>
      </w:r>
      <w:proofErr w:type="spellEnd"/>
    </w:p>
    <w:p w14:paraId="54DBD86D" w14:textId="77777777" w:rsidR="00772748" w:rsidRPr="00E426D3" w:rsidRDefault="00772748" w:rsidP="00E426D3">
      <w:r w:rsidRPr="00E426D3">
        <w:t xml:space="preserve">Ei ordning med jordbrukskonto er i fyrste </w:t>
      </w:r>
      <w:proofErr w:type="spellStart"/>
      <w:r w:rsidRPr="00E426D3">
        <w:t>rekkje</w:t>
      </w:r>
      <w:proofErr w:type="spellEnd"/>
      <w:r w:rsidRPr="00E426D3">
        <w:t xml:space="preserve"> ei </w:t>
      </w:r>
      <w:proofErr w:type="spellStart"/>
      <w:r w:rsidRPr="00E426D3">
        <w:t>skatteutsetjing</w:t>
      </w:r>
      <w:proofErr w:type="spellEnd"/>
      <w:r w:rsidRPr="00E426D3">
        <w:t xml:space="preserve"> som gjev </w:t>
      </w:r>
      <w:proofErr w:type="spellStart"/>
      <w:r w:rsidRPr="00E426D3">
        <w:t>ein</w:t>
      </w:r>
      <w:proofErr w:type="spellEnd"/>
      <w:r w:rsidRPr="00E426D3">
        <w:t xml:space="preserve"> rentefordel (skattekreditt). Ordninga kan i tillegg </w:t>
      </w:r>
      <w:proofErr w:type="spellStart"/>
      <w:r w:rsidRPr="00E426D3">
        <w:t>gje</w:t>
      </w:r>
      <w:proofErr w:type="spellEnd"/>
      <w:r w:rsidRPr="00E426D3">
        <w:t xml:space="preserve"> høve til </w:t>
      </w:r>
      <w:proofErr w:type="spellStart"/>
      <w:r w:rsidRPr="00E426D3">
        <w:t>lågare</w:t>
      </w:r>
      <w:proofErr w:type="spellEnd"/>
      <w:r w:rsidRPr="00E426D3">
        <w:t xml:space="preserve"> trinnskatt og trygdeavgift og større utnytting av </w:t>
      </w:r>
      <w:proofErr w:type="spellStart"/>
      <w:r w:rsidRPr="00E426D3">
        <w:t>jordbruksfrådraget</w:t>
      </w:r>
      <w:proofErr w:type="spellEnd"/>
      <w:r w:rsidRPr="00E426D3">
        <w:t xml:space="preserve">. Med ei inntektsføring på 85 pst. er det anslått at det påløpte og bokførte provenytapet vert om lag 570 mill. kroner i 2025. I </w:t>
      </w:r>
      <w:proofErr w:type="spellStart"/>
      <w:r w:rsidRPr="00E426D3">
        <w:t>seinare</w:t>
      </w:r>
      <w:proofErr w:type="spellEnd"/>
      <w:r w:rsidRPr="00E426D3">
        <w:t xml:space="preserve"> år vil </w:t>
      </w:r>
      <w:proofErr w:type="spellStart"/>
      <w:r w:rsidRPr="00E426D3">
        <w:t>skattytarane</w:t>
      </w:r>
      <w:proofErr w:type="spellEnd"/>
      <w:r w:rsidRPr="00E426D3">
        <w:t xml:space="preserve"> betale skatt av </w:t>
      </w:r>
      <w:proofErr w:type="spellStart"/>
      <w:r w:rsidRPr="00E426D3">
        <w:t>tidlegare</w:t>
      </w:r>
      <w:proofErr w:type="spellEnd"/>
      <w:r w:rsidRPr="00E426D3">
        <w:t xml:space="preserve"> års utsette inntekter slik at provenyet </w:t>
      </w:r>
      <w:proofErr w:type="spellStart"/>
      <w:r w:rsidRPr="00E426D3">
        <w:t>aukar</w:t>
      </w:r>
      <w:proofErr w:type="spellEnd"/>
      <w:r w:rsidRPr="00E426D3">
        <w:t xml:space="preserve"> med 480 mill. kroner </w:t>
      </w:r>
      <w:proofErr w:type="spellStart"/>
      <w:r w:rsidRPr="00E426D3">
        <w:t>frå</w:t>
      </w:r>
      <w:proofErr w:type="spellEnd"/>
      <w:r w:rsidRPr="00E426D3">
        <w:t xml:space="preserve"> 2025 til 2026 og 50 mill. kroner </w:t>
      </w:r>
      <w:proofErr w:type="spellStart"/>
      <w:r w:rsidRPr="00E426D3">
        <w:t>frå</w:t>
      </w:r>
      <w:proofErr w:type="spellEnd"/>
      <w:r w:rsidRPr="00E426D3">
        <w:t xml:space="preserve"> 2026 til 2027. Provenytapet kjem som </w:t>
      </w:r>
      <w:proofErr w:type="spellStart"/>
      <w:r w:rsidRPr="00E426D3">
        <w:t>følgje</w:t>
      </w:r>
      <w:proofErr w:type="spellEnd"/>
      <w:r w:rsidRPr="00E426D3">
        <w:t xml:space="preserve"> av at det vert </w:t>
      </w:r>
      <w:proofErr w:type="spellStart"/>
      <w:r w:rsidRPr="00E426D3">
        <w:t>lønsamt</w:t>
      </w:r>
      <w:proofErr w:type="spellEnd"/>
      <w:r w:rsidRPr="00E426D3">
        <w:t xml:space="preserve"> for </w:t>
      </w:r>
      <w:proofErr w:type="spellStart"/>
      <w:r w:rsidRPr="00E426D3">
        <w:t>skattytarane</w:t>
      </w:r>
      <w:proofErr w:type="spellEnd"/>
      <w:r w:rsidRPr="00E426D3">
        <w:t xml:space="preserve"> å </w:t>
      </w:r>
      <w:proofErr w:type="spellStart"/>
      <w:r w:rsidRPr="00E426D3">
        <w:t>utsetje</w:t>
      </w:r>
      <w:proofErr w:type="spellEnd"/>
      <w:r w:rsidRPr="00E426D3">
        <w:t xml:space="preserve"> mest </w:t>
      </w:r>
      <w:proofErr w:type="spellStart"/>
      <w:r w:rsidRPr="00E426D3">
        <w:t>mogleg</w:t>
      </w:r>
      <w:proofErr w:type="spellEnd"/>
      <w:r w:rsidRPr="00E426D3">
        <w:t xml:space="preserve"> skatt. </w:t>
      </w:r>
      <w:proofErr w:type="spellStart"/>
      <w:r w:rsidRPr="00E426D3">
        <w:t>Ein</w:t>
      </w:r>
      <w:proofErr w:type="spellEnd"/>
      <w:r w:rsidRPr="00E426D3">
        <w:t xml:space="preserve"> har lagt til grunn at heile </w:t>
      </w:r>
      <w:proofErr w:type="spellStart"/>
      <w:r w:rsidRPr="00E426D3">
        <w:t>overskotet</w:t>
      </w:r>
      <w:proofErr w:type="spellEnd"/>
      <w:r w:rsidRPr="00E426D3">
        <w:t xml:space="preserve"> vert overført til jordbrukskontoen kvart år, og at </w:t>
      </w:r>
      <w:proofErr w:type="spellStart"/>
      <w:r w:rsidRPr="00E426D3">
        <w:t>ein</w:t>
      </w:r>
      <w:proofErr w:type="spellEnd"/>
      <w:r w:rsidRPr="00E426D3">
        <w:t xml:space="preserve"> betaler skatt av 85 pst. av saldoen på kontoen.</w:t>
      </w:r>
    </w:p>
    <w:p w14:paraId="110AB500" w14:textId="77777777" w:rsidR="00772748" w:rsidRPr="00E426D3" w:rsidRDefault="00772748" w:rsidP="00E426D3">
      <w:r w:rsidRPr="00E426D3">
        <w:t xml:space="preserve">På lang sikt vil provenyverknaden av sjølve forskyvinga av </w:t>
      </w:r>
      <w:proofErr w:type="spellStart"/>
      <w:r w:rsidRPr="00E426D3">
        <w:t>skatteinnbetalingane</w:t>
      </w:r>
      <w:proofErr w:type="spellEnd"/>
      <w:r w:rsidRPr="00E426D3">
        <w:t xml:space="preserve"> forsvinne, og provenytapet vil </w:t>
      </w:r>
      <w:proofErr w:type="spellStart"/>
      <w:r w:rsidRPr="00E426D3">
        <w:t>vere</w:t>
      </w:r>
      <w:proofErr w:type="spellEnd"/>
      <w:r w:rsidRPr="00E426D3">
        <w:t xml:space="preserve"> renteeffekten av </w:t>
      </w:r>
      <w:proofErr w:type="gramStart"/>
      <w:r w:rsidRPr="00E426D3">
        <w:t>utsette</w:t>
      </w:r>
      <w:proofErr w:type="gramEnd"/>
      <w:r w:rsidRPr="00E426D3">
        <w:t xml:space="preserve"> </w:t>
      </w:r>
      <w:proofErr w:type="spellStart"/>
      <w:r w:rsidRPr="00E426D3">
        <w:t>innbetalingar</w:t>
      </w:r>
      <w:proofErr w:type="spellEnd"/>
      <w:r w:rsidRPr="00E426D3">
        <w:t xml:space="preserve">. Med ei realrente på 4 pst. vert provenytapet om lag 40 mill. kroner </w:t>
      </w:r>
      <w:proofErr w:type="spellStart"/>
      <w:r w:rsidRPr="00E426D3">
        <w:t>årleg</w:t>
      </w:r>
      <w:proofErr w:type="spellEnd"/>
      <w:r w:rsidRPr="00E426D3">
        <w:t>.</w:t>
      </w:r>
    </w:p>
    <w:p w14:paraId="62CE8DF3" w14:textId="77777777" w:rsidR="00772748" w:rsidRPr="00E426D3" w:rsidRDefault="00772748" w:rsidP="00E426D3">
      <w:r w:rsidRPr="00E426D3">
        <w:t xml:space="preserve">Dette anslaget inkluderer </w:t>
      </w:r>
      <w:proofErr w:type="spellStart"/>
      <w:r w:rsidRPr="00E426D3">
        <w:t>ikkje</w:t>
      </w:r>
      <w:proofErr w:type="spellEnd"/>
      <w:r w:rsidRPr="00E426D3">
        <w:t xml:space="preserve"> provenyverknaden av </w:t>
      </w:r>
      <w:proofErr w:type="spellStart"/>
      <w:r w:rsidRPr="00E426D3">
        <w:t>lågare</w:t>
      </w:r>
      <w:proofErr w:type="spellEnd"/>
      <w:r w:rsidRPr="00E426D3">
        <w:t xml:space="preserve"> trinnskatt og større utnytting av </w:t>
      </w:r>
      <w:proofErr w:type="spellStart"/>
      <w:r w:rsidRPr="00E426D3">
        <w:t>jordbruksfrådraget</w:t>
      </w:r>
      <w:proofErr w:type="spellEnd"/>
      <w:r w:rsidRPr="00E426D3">
        <w:t xml:space="preserve">. Kor </w:t>
      </w:r>
      <w:proofErr w:type="spellStart"/>
      <w:r w:rsidRPr="00E426D3">
        <w:t>mykje</w:t>
      </w:r>
      <w:proofErr w:type="spellEnd"/>
      <w:r w:rsidRPr="00E426D3">
        <w:t xml:space="preserve"> </w:t>
      </w:r>
      <w:proofErr w:type="spellStart"/>
      <w:r w:rsidRPr="00E426D3">
        <w:t>ein</w:t>
      </w:r>
      <w:proofErr w:type="spellEnd"/>
      <w:r w:rsidRPr="00E426D3">
        <w:t xml:space="preserve"> </w:t>
      </w:r>
      <w:proofErr w:type="spellStart"/>
      <w:r w:rsidRPr="00E426D3">
        <w:t>skattytar</w:t>
      </w:r>
      <w:proofErr w:type="spellEnd"/>
      <w:r w:rsidRPr="00E426D3">
        <w:t xml:space="preserve"> kan spare i trinnskatt som </w:t>
      </w:r>
      <w:proofErr w:type="spellStart"/>
      <w:r w:rsidRPr="00E426D3">
        <w:t>følgje</w:t>
      </w:r>
      <w:proofErr w:type="spellEnd"/>
      <w:r w:rsidRPr="00E426D3">
        <w:t xml:space="preserve"> av jordbrukskonto, vil variere. Bønder som </w:t>
      </w:r>
      <w:proofErr w:type="spellStart"/>
      <w:r w:rsidRPr="00E426D3">
        <w:t>tener</w:t>
      </w:r>
      <w:proofErr w:type="spellEnd"/>
      <w:r w:rsidRPr="00E426D3">
        <w:t xml:space="preserve"> under 500 000 kroner, vil </w:t>
      </w:r>
      <w:proofErr w:type="spellStart"/>
      <w:r w:rsidRPr="00E426D3">
        <w:t>tene</w:t>
      </w:r>
      <w:proofErr w:type="spellEnd"/>
      <w:r w:rsidRPr="00E426D3">
        <w:t xml:space="preserve"> relativt lite i form av </w:t>
      </w:r>
      <w:proofErr w:type="spellStart"/>
      <w:r w:rsidRPr="00E426D3">
        <w:t>lågare</w:t>
      </w:r>
      <w:proofErr w:type="spellEnd"/>
      <w:r w:rsidRPr="00E426D3">
        <w:t xml:space="preserve"> trinnskatt, òg i forhold til inntekt. Dei med gjennomsnittsinntekt rundt trinn 3 i trinnskatten (697 000 kroner) og store </w:t>
      </w:r>
      <w:proofErr w:type="spellStart"/>
      <w:r w:rsidRPr="00E426D3">
        <w:t>variasjonar</w:t>
      </w:r>
      <w:proofErr w:type="spellEnd"/>
      <w:r w:rsidRPr="00E426D3">
        <w:t xml:space="preserve"> i inntekta si vil kunne </w:t>
      </w:r>
      <w:proofErr w:type="spellStart"/>
      <w:r w:rsidRPr="00E426D3">
        <w:t>tene</w:t>
      </w:r>
      <w:proofErr w:type="spellEnd"/>
      <w:r w:rsidRPr="00E426D3">
        <w:t xml:space="preserve"> mest på dette.</w:t>
      </w:r>
    </w:p>
    <w:p w14:paraId="29289206" w14:textId="77777777" w:rsidR="00772748" w:rsidRPr="00E426D3" w:rsidRDefault="00772748" w:rsidP="00E426D3">
      <w:r w:rsidRPr="00E426D3">
        <w:t xml:space="preserve">Ei ordning med jordbrukskonto vil komplisere regelverket og </w:t>
      </w:r>
      <w:proofErr w:type="spellStart"/>
      <w:r w:rsidRPr="00E426D3">
        <w:t>gje</w:t>
      </w:r>
      <w:proofErr w:type="spellEnd"/>
      <w:r w:rsidRPr="00E426D3">
        <w:t xml:space="preserve"> administrative </w:t>
      </w:r>
      <w:proofErr w:type="spellStart"/>
      <w:r w:rsidRPr="00E426D3">
        <w:t>kostnadar</w:t>
      </w:r>
      <w:proofErr w:type="spellEnd"/>
      <w:r w:rsidRPr="00E426D3">
        <w:t>.</w:t>
      </w:r>
    </w:p>
    <w:p w14:paraId="1476B57E" w14:textId="77777777" w:rsidR="00772748" w:rsidRPr="00E426D3" w:rsidRDefault="00772748" w:rsidP="00E426D3">
      <w:pPr>
        <w:pStyle w:val="Overskrift2"/>
      </w:pPr>
      <w:proofErr w:type="spellStart"/>
      <w:r w:rsidRPr="00E426D3">
        <w:t>Iverksetjing</w:t>
      </w:r>
      <w:proofErr w:type="spellEnd"/>
    </w:p>
    <w:p w14:paraId="291D56ED" w14:textId="77777777" w:rsidR="00772748" w:rsidRPr="00E426D3" w:rsidRDefault="00772748" w:rsidP="00E426D3">
      <w:r w:rsidRPr="00E426D3">
        <w:t xml:space="preserve">Departementet </w:t>
      </w:r>
      <w:proofErr w:type="spellStart"/>
      <w:r w:rsidRPr="00E426D3">
        <w:t>gjer</w:t>
      </w:r>
      <w:proofErr w:type="spellEnd"/>
      <w:r w:rsidRPr="00E426D3">
        <w:t xml:space="preserve"> framlegg om at </w:t>
      </w:r>
      <w:proofErr w:type="spellStart"/>
      <w:r w:rsidRPr="00E426D3">
        <w:t>endringane</w:t>
      </w:r>
      <w:proofErr w:type="spellEnd"/>
      <w:r w:rsidRPr="00E426D3">
        <w:t xml:space="preserve"> trer i kraft straks med verknad </w:t>
      </w:r>
      <w:proofErr w:type="spellStart"/>
      <w:r w:rsidRPr="00E426D3">
        <w:t>frå</w:t>
      </w:r>
      <w:proofErr w:type="spellEnd"/>
      <w:r w:rsidRPr="00E426D3">
        <w:t xml:space="preserve"> og med inntektsåret 2025.</w:t>
      </w:r>
    </w:p>
    <w:p w14:paraId="659C85C2" w14:textId="77777777" w:rsidR="00772748" w:rsidRPr="00E426D3" w:rsidRDefault="00772748" w:rsidP="00E426D3">
      <w:pPr>
        <w:pStyle w:val="Overskrift1"/>
      </w:pPr>
      <w:r w:rsidRPr="00E426D3">
        <w:t>Skatteplikt for yting i ungdomsprogram</w:t>
      </w:r>
    </w:p>
    <w:p w14:paraId="40C43E24" w14:textId="77777777" w:rsidR="00772748" w:rsidRPr="00E426D3" w:rsidRDefault="00772748" w:rsidP="00E426D3">
      <w:r w:rsidRPr="00E426D3">
        <w:t xml:space="preserve">Regjeringa innfører </w:t>
      </w:r>
      <w:proofErr w:type="spellStart"/>
      <w:r w:rsidRPr="00E426D3">
        <w:t>frå</w:t>
      </w:r>
      <w:proofErr w:type="spellEnd"/>
      <w:r w:rsidRPr="00E426D3">
        <w:t xml:space="preserve"> </w:t>
      </w:r>
      <w:proofErr w:type="spellStart"/>
      <w:r w:rsidRPr="00E426D3">
        <w:t>hausten</w:t>
      </w:r>
      <w:proofErr w:type="spellEnd"/>
      <w:r w:rsidRPr="00E426D3">
        <w:t xml:space="preserve"> 2025 forsøk med ungdomsprogram og ny </w:t>
      </w:r>
      <w:proofErr w:type="spellStart"/>
      <w:r w:rsidRPr="00E426D3">
        <w:t>statleg</w:t>
      </w:r>
      <w:proofErr w:type="spellEnd"/>
      <w:r w:rsidRPr="00E426D3">
        <w:t xml:space="preserve"> yting til </w:t>
      </w:r>
      <w:proofErr w:type="spellStart"/>
      <w:r w:rsidRPr="00E426D3">
        <w:t>deltakarar</w:t>
      </w:r>
      <w:proofErr w:type="spellEnd"/>
      <w:r w:rsidRPr="00E426D3">
        <w:t xml:space="preserve"> i programmet. Forsøket følgjer opp framlegg i Meld. St. 33 (2023–2024) </w:t>
      </w:r>
      <w:r w:rsidRPr="00E426D3">
        <w:rPr>
          <w:rStyle w:val="kursiv"/>
        </w:rPr>
        <w:t>En forsterket arbeidslinje – flere i jobb og færre på trygd</w:t>
      </w:r>
      <w:r w:rsidRPr="00E426D3">
        <w:t xml:space="preserve">, og skal forsterke og </w:t>
      </w:r>
      <w:proofErr w:type="spellStart"/>
      <w:r w:rsidRPr="00E426D3">
        <w:t>vidareutvikle</w:t>
      </w:r>
      <w:proofErr w:type="spellEnd"/>
      <w:r w:rsidRPr="00E426D3">
        <w:t xml:space="preserve"> innsatsen for at </w:t>
      </w:r>
      <w:proofErr w:type="spellStart"/>
      <w:r w:rsidRPr="00E426D3">
        <w:t>fleire</w:t>
      </w:r>
      <w:proofErr w:type="spellEnd"/>
      <w:r w:rsidRPr="00E426D3">
        <w:t xml:space="preserve"> unge skal få ei stabil </w:t>
      </w:r>
      <w:proofErr w:type="spellStart"/>
      <w:r w:rsidRPr="00E426D3">
        <w:t>tilknyting</w:t>
      </w:r>
      <w:proofErr w:type="spellEnd"/>
      <w:r w:rsidRPr="00E426D3">
        <w:t xml:space="preserve"> til arbeidslivet. Arbeids- og inkluderingsdepartementet sende 21. mars 2025 </w:t>
      </w:r>
      <w:proofErr w:type="spellStart"/>
      <w:r w:rsidRPr="00E426D3">
        <w:t>eit</w:t>
      </w:r>
      <w:proofErr w:type="spellEnd"/>
      <w:r w:rsidRPr="00E426D3">
        <w:t xml:space="preserve"> framlegg om dette på </w:t>
      </w:r>
      <w:proofErr w:type="spellStart"/>
      <w:r w:rsidRPr="00E426D3">
        <w:t>høyring</w:t>
      </w:r>
      <w:proofErr w:type="spellEnd"/>
      <w:r w:rsidRPr="00E426D3">
        <w:t>.</w:t>
      </w:r>
    </w:p>
    <w:p w14:paraId="4390BCAD" w14:textId="77777777" w:rsidR="00772748" w:rsidRPr="00E426D3" w:rsidRDefault="00772748" w:rsidP="00E426D3">
      <w:r w:rsidRPr="00E426D3">
        <w:t xml:space="preserve">Forsøket skal </w:t>
      </w:r>
      <w:proofErr w:type="spellStart"/>
      <w:r w:rsidRPr="00E426D3">
        <w:t>undersøkje</w:t>
      </w:r>
      <w:proofErr w:type="spellEnd"/>
      <w:r w:rsidRPr="00E426D3">
        <w:t xml:space="preserve"> om </w:t>
      </w:r>
      <w:proofErr w:type="spellStart"/>
      <w:r w:rsidRPr="00E426D3">
        <w:t>eit</w:t>
      </w:r>
      <w:proofErr w:type="spellEnd"/>
      <w:r w:rsidRPr="00E426D3">
        <w:t xml:space="preserve"> fulltidsprogram med strenge aktivitetskrav og ei alternativ inntektssikring til </w:t>
      </w:r>
      <w:proofErr w:type="spellStart"/>
      <w:r w:rsidRPr="00E426D3">
        <w:t>arbeidsavklaringspengar</w:t>
      </w:r>
      <w:proofErr w:type="spellEnd"/>
      <w:r w:rsidRPr="00E426D3">
        <w:t xml:space="preserve"> </w:t>
      </w:r>
      <w:proofErr w:type="spellStart"/>
      <w:r w:rsidRPr="00E426D3">
        <w:t>utan</w:t>
      </w:r>
      <w:proofErr w:type="spellEnd"/>
      <w:r w:rsidRPr="00E426D3">
        <w:t xml:space="preserve"> medisinske inngangsvilkår, vil bidra til at </w:t>
      </w:r>
      <w:proofErr w:type="spellStart"/>
      <w:r w:rsidRPr="00E426D3">
        <w:t>fleire</w:t>
      </w:r>
      <w:proofErr w:type="spellEnd"/>
      <w:r w:rsidRPr="00E426D3">
        <w:t xml:space="preserve"> unge oppnår ei stabil </w:t>
      </w:r>
      <w:proofErr w:type="spellStart"/>
      <w:r w:rsidRPr="00E426D3">
        <w:t>tilknyting</w:t>
      </w:r>
      <w:proofErr w:type="spellEnd"/>
      <w:r w:rsidRPr="00E426D3">
        <w:t xml:space="preserve"> til arbeidslivet. Forsøket vil </w:t>
      </w:r>
      <w:proofErr w:type="spellStart"/>
      <w:r w:rsidRPr="00E426D3">
        <w:t>heimlast</w:t>
      </w:r>
      <w:proofErr w:type="spellEnd"/>
      <w:r w:rsidRPr="00E426D3">
        <w:t xml:space="preserve"> som </w:t>
      </w:r>
      <w:proofErr w:type="spellStart"/>
      <w:r w:rsidRPr="00E426D3">
        <w:t>arbeidsmarknadstiltak</w:t>
      </w:r>
      <w:proofErr w:type="spellEnd"/>
      <w:r w:rsidRPr="00E426D3">
        <w:t xml:space="preserve"> i </w:t>
      </w:r>
      <w:proofErr w:type="spellStart"/>
      <w:r w:rsidRPr="00E426D3">
        <w:t>medhald</w:t>
      </w:r>
      <w:proofErr w:type="spellEnd"/>
      <w:r w:rsidRPr="00E426D3">
        <w:t xml:space="preserve"> av arbeidsmarkedsloven § 12 tredje ledd og § 13 fjerde ledd.</w:t>
      </w:r>
    </w:p>
    <w:p w14:paraId="22A30B45" w14:textId="77777777" w:rsidR="00772748" w:rsidRPr="00E426D3" w:rsidRDefault="00772748" w:rsidP="00E426D3">
      <w:r w:rsidRPr="00E426D3">
        <w:lastRenderedPageBreak/>
        <w:t xml:space="preserve">Programmet kan tildelast </w:t>
      </w:r>
      <w:proofErr w:type="spellStart"/>
      <w:r w:rsidRPr="00E426D3">
        <w:t>personar</w:t>
      </w:r>
      <w:proofErr w:type="spellEnd"/>
      <w:r w:rsidRPr="00E426D3">
        <w:t xml:space="preserve"> som har fylt 18 år, og som </w:t>
      </w:r>
      <w:proofErr w:type="spellStart"/>
      <w:r w:rsidRPr="00E426D3">
        <w:t>enno</w:t>
      </w:r>
      <w:proofErr w:type="spellEnd"/>
      <w:r w:rsidRPr="00E426D3">
        <w:t xml:space="preserve"> </w:t>
      </w:r>
      <w:proofErr w:type="spellStart"/>
      <w:r w:rsidRPr="00E426D3">
        <w:t>ikkje</w:t>
      </w:r>
      <w:proofErr w:type="spellEnd"/>
      <w:r w:rsidRPr="00E426D3">
        <w:t xml:space="preserve"> har fylt 29 år. Det kan som </w:t>
      </w:r>
      <w:proofErr w:type="spellStart"/>
      <w:r w:rsidRPr="00E426D3">
        <w:t>hovudregel</w:t>
      </w:r>
      <w:proofErr w:type="spellEnd"/>
      <w:r w:rsidRPr="00E426D3">
        <w:t xml:space="preserve"> vare i inntil 52 veker. Programmet vil for det fyrste kunne </w:t>
      </w:r>
      <w:proofErr w:type="spellStart"/>
      <w:r w:rsidRPr="00E426D3">
        <w:t>innebere</w:t>
      </w:r>
      <w:proofErr w:type="spellEnd"/>
      <w:r w:rsidRPr="00E426D3">
        <w:t xml:space="preserve"> deltaking i </w:t>
      </w:r>
      <w:proofErr w:type="spellStart"/>
      <w:r w:rsidRPr="00E426D3">
        <w:t>arbeidsmarknadstiltak</w:t>
      </w:r>
      <w:proofErr w:type="spellEnd"/>
      <w:r w:rsidRPr="00E426D3">
        <w:t xml:space="preserve">. Det kan </w:t>
      </w:r>
      <w:proofErr w:type="spellStart"/>
      <w:r w:rsidRPr="00E426D3">
        <w:t>vidare</w:t>
      </w:r>
      <w:proofErr w:type="spellEnd"/>
      <w:r w:rsidRPr="00E426D3">
        <w:t xml:space="preserve"> inkludere </w:t>
      </w:r>
      <w:proofErr w:type="spellStart"/>
      <w:r w:rsidRPr="00E426D3">
        <w:t>eigenaktivitetar</w:t>
      </w:r>
      <w:proofErr w:type="spellEnd"/>
      <w:r w:rsidRPr="00E426D3">
        <w:t xml:space="preserve"> som jobbsøking, utarbeiding av CV og andre </w:t>
      </w:r>
      <w:proofErr w:type="spellStart"/>
      <w:r w:rsidRPr="00E426D3">
        <w:t>arbeidsretta</w:t>
      </w:r>
      <w:proofErr w:type="spellEnd"/>
      <w:r w:rsidRPr="00E426D3">
        <w:t xml:space="preserve"> </w:t>
      </w:r>
      <w:proofErr w:type="spellStart"/>
      <w:r w:rsidRPr="00E426D3">
        <w:t>aktivitetar</w:t>
      </w:r>
      <w:proofErr w:type="spellEnd"/>
      <w:r w:rsidRPr="00E426D3">
        <w:t xml:space="preserve">. Individuell rettleiing og oppfølging </w:t>
      </w:r>
      <w:proofErr w:type="spellStart"/>
      <w:r w:rsidRPr="00E426D3">
        <w:t>frå</w:t>
      </w:r>
      <w:proofErr w:type="spellEnd"/>
      <w:r w:rsidRPr="00E426D3">
        <w:t xml:space="preserve"> Arbeids- og velferdsetaten vil òg </w:t>
      </w:r>
      <w:proofErr w:type="spellStart"/>
      <w:r w:rsidRPr="00E426D3">
        <w:t>vere</w:t>
      </w:r>
      <w:proofErr w:type="spellEnd"/>
      <w:r w:rsidRPr="00E426D3">
        <w:t xml:space="preserve"> sentrale element.</w:t>
      </w:r>
    </w:p>
    <w:p w14:paraId="63F42869" w14:textId="77777777" w:rsidR="00772748" w:rsidRPr="00E426D3" w:rsidRDefault="00772748" w:rsidP="00E426D3">
      <w:proofErr w:type="spellStart"/>
      <w:r w:rsidRPr="00E426D3">
        <w:t>Deltakarar</w:t>
      </w:r>
      <w:proofErr w:type="spellEnd"/>
      <w:r w:rsidRPr="00E426D3">
        <w:t xml:space="preserve"> i ungdomsprogrammet skal få ei livsopphaldsyting, </w:t>
      </w:r>
      <w:proofErr w:type="spellStart"/>
      <w:r w:rsidRPr="00E426D3">
        <w:t>utan</w:t>
      </w:r>
      <w:proofErr w:type="spellEnd"/>
      <w:r w:rsidRPr="00E426D3">
        <w:t xml:space="preserve"> at det må </w:t>
      </w:r>
      <w:proofErr w:type="spellStart"/>
      <w:r w:rsidRPr="00E426D3">
        <w:t>vurderast</w:t>
      </w:r>
      <w:proofErr w:type="spellEnd"/>
      <w:r w:rsidRPr="00E426D3">
        <w:t xml:space="preserve"> om </w:t>
      </w:r>
      <w:proofErr w:type="spellStart"/>
      <w:r w:rsidRPr="00E426D3">
        <w:t>dei</w:t>
      </w:r>
      <w:proofErr w:type="spellEnd"/>
      <w:r w:rsidRPr="00E426D3">
        <w:t xml:space="preserve"> har nedsett arbeidsevne eller </w:t>
      </w:r>
      <w:proofErr w:type="spellStart"/>
      <w:r w:rsidRPr="00E426D3">
        <w:t>ikkje</w:t>
      </w:r>
      <w:proofErr w:type="spellEnd"/>
      <w:r w:rsidRPr="00E426D3">
        <w:t xml:space="preserve">. </w:t>
      </w:r>
      <w:proofErr w:type="spellStart"/>
      <w:r w:rsidRPr="00E426D3">
        <w:t>Årleg</w:t>
      </w:r>
      <w:proofErr w:type="spellEnd"/>
      <w:r w:rsidRPr="00E426D3">
        <w:t xml:space="preserve"> yting for </w:t>
      </w:r>
      <w:proofErr w:type="spellStart"/>
      <w:r w:rsidRPr="00E426D3">
        <w:t>deltakarar</w:t>
      </w:r>
      <w:proofErr w:type="spellEnd"/>
      <w:r w:rsidRPr="00E426D3">
        <w:t xml:space="preserve"> som har fylt 25 år, vil </w:t>
      </w:r>
      <w:proofErr w:type="spellStart"/>
      <w:r w:rsidRPr="00E426D3">
        <w:t>utgjere</w:t>
      </w:r>
      <w:proofErr w:type="spellEnd"/>
      <w:r w:rsidRPr="00E426D3">
        <w:t xml:space="preserve"> 2,041 gonger grunnbeløpet i folketrygda (G). </w:t>
      </w:r>
      <w:proofErr w:type="spellStart"/>
      <w:r w:rsidRPr="00E426D3">
        <w:t>Årleg</w:t>
      </w:r>
      <w:proofErr w:type="spellEnd"/>
      <w:r w:rsidRPr="00E426D3">
        <w:t xml:space="preserve"> yting for </w:t>
      </w:r>
      <w:proofErr w:type="spellStart"/>
      <w:r w:rsidRPr="00E426D3">
        <w:t>personar</w:t>
      </w:r>
      <w:proofErr w:type="spellEnd"/>
      <w:r w:rsidRPr="00E426D3">
        <w:t xml:space="preserve"> under 25 år vil </w:t>
      </w:r>
      <w:proofErr w:type="spellStart"/>
      <w:r w:rsidRPr="00E426D3">
        <w:t>utgjere</w:t>
      </w:r>
      <w:proofErr w:type="spellEnd"/>
      <w:r w:rsidRPr="00E426D3">
        <w:t xml:space="preserve"> to </w:t>
      </w:r>
      <w:proofErr w:type="spellStart"/>
      <w:r w:rsidRPr="00E426D3">
        <w:t>tredjedelar</w:t>
      </w:r>
      <w:proofErr w:type="spellEnd"/>
      <w:r w:rsidRPr="00E426D3">
        <w:t xml:space="preserve"> av 2,041 G, altså </w:t>
      </w:r>
      <w:proofErr w:type="gramStart"/>
      <w:r w:rsidRPr="00E426D3">
        <w:t>omlag</w:t>
      </w:r>
      <w:proofErr w:type="gramEnd"/>
      <w:r w:rsidRPr="00E426D3">
        <w:t xml:space="preserve"> 1,36 G.</w:t>
      </w:r>
    </w:p>
    <w:p w14:paraId="28BF35E3" w14:textId="77777777" w:rsidR="00772748" w:rsidRPr="00E426D3" w:rsidRDefault="00772748" w:rsidP="00E426D3">
      <w:r w:rsidRPr="00E426D3">
        <w:t xml:space="preserve">Departementet </w:t>
      </w:r>
      <w:proofErr w:type="spellStart"/>
      <w:r w:rsidRPr="00E426D3">
        <w:t>gjer</w:t>
      </w:r>
      <w:proofErr w:type="spellEnd"/>
      <w:r w:rsidRPr="00E426D3">
        <w:t xml:space="preserve"> framlegg om at ytinga til </w:t>
      </w:r>
      <w:proofErr w:type="spellStart"/>
      <w:r w:rsidRPr="00E426D3">
        <w:t>deltakarar</w:t>
      </w:r>
      <w:proofErr w:type="spellEnd"/>
      <w:r w:rsidRPr="00E426D3">
        <w:t xml:space="preserve"> i ungdomsprogrammet skal </w:t>
      </w:r>
      <w:proofErr w:type="spellStart"/>
      <w:r w:rsidRPr="00E426D3">
        <w:t>skattleggjast</w:t>
      </w:r>
      <w:proofErr w:type="spellEnd"/>
      <w:r w:rsidRPr="00E426D3">
        <w:t xml:space="preserve"> som </w:t>
      </w:r>
      <w:proofErr w:type="spellStart"/>
      <w:r w:rsidRPr="00E426D3">
        <w:t>løn</w:t>
      </w:r>
      <w:proofErr w:type="spellEnd"/>
      <w:r w:rsidRPr="00E426D3">
        <w:t xml:space="preserve"> og </w:t>
      </w:r>
      <w:proofErr w:type="spellStart"/>
      <w:r w:rsidRPr="00E426D3">
        <w:t>reknast</w:t>
      </w:r>
      <w:proofErr w:type="spellEnd"/>
      <w:r w:rsidRPr="00E426D3">
        <w:t xml:space="preserve"> som </w:t>
      </w:r>
      <w:proofErr w:type="spellStart"/>
      <w:r w:rsidRPr="00E426D3">
        <w:t>pensjonsgivande</w:t>
      </w:r>
      <w:proofErr w:type="spellEnd"/>
      <w:r w:rsidRPr="00E426D3">
        <w:t xml:space="preserve"> inntekt. Når ytinga er skattepliktig, vil den òg </w:t>
      </w:r>
      <w:proofErr w:type="spellStart"/>
      <w:r w:rsidRPr="00E426D3">
        <w:t>vere</w:t>
      </w:r>
      <w:proofErr w:type="spellEnd"/>
      <w:r w:rsidRPr="00E426D3">
        <w:t xml:space="preserve"> rapporteringspliktig etter skatteforvaltningsloven § 7-2 fyrste ledd bokstav b, og trekkpliktig etter skattebetalingsloven § 5-6 fyrste ledd bokstav b.</w:t>
      </w:r>
    </w:p>
    <w:p w14:paraId="4A8314F7" w14:textId="77777777" w:rsidR="00772748" w:rsidRPr="00E426D3" w:rsidRDefault="00772748" w:rsidP="00E426D3">
      <w:r w:rsidRPr="00E426D3">
        <w:t>Departementet syner til framlegg til endring av skatteloven §§ 5-42 bokstav a, 6-32 fyrste ledd bokstav a, 12-2 fyrste ledd bokstav c og folketrygdloven § 23-3 andre ledd nr. 2 bokstav b.</w:t>
      </w:r>
    </w:p>
    <w:p w14:paraId="21C816DB" w14:textId="77777777" w:rsidR="00772748" w:rsidRPr="00E426D3" w:rsidRDefault="00772748" w:rsidP="00E426D3">
      <w:pPr>
        <w:pStyle w:val="Overskrift1"/>
      </w:pPr>
      <w:r w:rsidRPr="00E426D3">
        <w:t>Oppheving av skattefritak for Biblioteksentralen SA</w:t>
      </w:r>
    </w:p>
    <w:p w14:paraId="1421A235" w14:textId="77777777" w:rsidR="00772748" w:rsidRPr="00E426D3" w:rsidRDefault="00772748" w:rsidP="00E426D3">
      <w:r w:rsidRPr="00E426D3">
        <w:t xml:space="preserve">Skatteloven § 2-30 fyrste ledd bokstav g </w:t>
      </w:r>
      <w:proofErr w:type="spellStart"/>
      <w:r w:rsidRPr="00E426D3">
        <w:t>listar</w:t>
      </w:r>
      <w:proofErr w:type="spellEnd"/>
      <w:r w:rsidRPr="00E426D3">
        <w:t xml:space="preserve"> opp </w:t>
      </w:r>
      <w:proofErr w:type="spellStart"/>
      <w:r w:rsidRPr="00E426D3">
        <w:t>fleire</w:t>
      </w:r>
      <w:proofErr w:type="spellEnd"/>
      <w:r w:rsidRPr="00E426D3">
        <w:t xml:space="preserve"> </w:t>
      </w:r>
      <w:proofErr w:type="spellStart"/>
      <w:r w:rsidRPr="00E426D3">
        <w:t>offentlege</w:t>
      </w:r>
      <w:proofErr w:type="spellEnd"/>
      <w:r w:rsidRPr="00E426D3">
        <w:t xml:space="preserve"> </w:t>
      </w:r>
      <w:proofErr w:type="spellStart"/>
      <w:r w:rsidRPr="00E426D3">
        <w:t>verksemder</w:t>
      </w:r>
      <w:proofErr w:type="spellEnd"/>
      <w:r w:rsidRPr="00E426D3">
        <w:t xml:space="preserve"> som er heilt </w:t>
      </w:r>
      <w:proofErr w:type="spellStart"/>
      <w:r w:rsidRPr="00E426D3">
        <w:t>fritekne</w:t>
      </w:r>
      <w:proofErr w:type="spellEnd"/>
      <w:r w:rsidRPr="00E426D3">
        <w:t xml:space="preserve"> </w:t>
      </w:r>
      <w:proofErr w:type="spellStart"/>
      <w:r w:rsidRPr="00E426D3">
        <w:t>frå</w:t>
      </w:r>
      <w:proofErr w:type="spellEnd"/>
      <w:r w:rsidRPr="00E426D3">
        <w:t xml:space="preserve"> skatteplikt. </w:t>
      </w:r>
      <w:proofErr w:type="spellStart"/>
      <w:r w:rsidRPr="00E426D3">
        <w:t>Ein</w:t>
      </w:r>
      <w:proofErr w:type="spellEnd"/>
      <w:r w:rsidRPr="00E426D3">
        <w:t xml:space="preserve"> av </w:t>
      </w:r>
      <w:proofErr w:type="spellStart"/>
      <w:r w:rsidRPr="00E426D3">
        <w:t>desse</w:t>
      </w:r>
      <w:proofErr w:type="spellEnd"/>
      <w:r w:rsidRPr="00E426D3">
        <w:t xml:space="preserve"> er «Andelslaget Biblioteksentralen», jf. § 2-30 fyrste ledd bokstav g nr. 2. Biblioteksentralen er </w:t>
      </w:r>
      <w:proofErr w:type="spellStart"/>
      <w:r w:rsidRPr="00E426D3">
        <w:t>eit</w:t>
      </w:r>
      <w:proofErr w:type="spellEnd"/>
      <w:r w:rsidRPr="00E426D3">
        <w:t xml:space="preserve"> </w:t>
      </w:r>
      <w:proofErr w:type="spellStart"/>
      <w:r w:rsidRPr="00E426D3">
        <w:t>samvirkeføretak</w:t>
      </w:r>
      <w:proofErr w:type="spellEnd"/>
      <w:r w:rsidRPr="00E426D3">
        <w:t xml:space="preserve"> som </w:t>
      </w:r>
      <w:proofErr w:type="spellStart"/>
      <w:r w:rsidRPr="00E426D3">
        <w:t>vart</w:t>
      </w:r>
      <w:proofErr w:type="spellEnd"/>
      <w:r w:rsidRPr="00E426D3">
        <w:t xml:space="preserve"> etablert i 1952 for å utvikle og drive </w:t>
      </w:r>
      <w:proofErr w:type="spellStart"/>
      <w:r w:rsidRPr="00E426D3">
        <w:t>fellestenester</w:t>
      </w:r>
      <w:proofErr w:type="spellEnd"/>
      <w:r w:rsidRPr="00E426D3">
        <w:t xml:space="preserve"> for bibliotek. </w:t>
      </w:r>
      <w:proofErr w:type="spellStart"/>
      <w:r w:rsidRPr="00E426D3">
        <w:t>Føretaket</w:t>
      </w:r>
      <w:proofErr w:type="spellEnd"/>
      <w:r w:rsidRPr="00E426D3">
        <w:t xml:space="preserve"> har i dag </w:t>
      </w:r>
      <w:proofErr w:type="spellStart"/>
      <w:r w:rsidRPr="00E426D3">
        <w:t>kommunar</w:t>
      </w:r>
      <w:proofErr w:type="spellEnd"/>
      <w:r w:rsidRPr="00E426D3">
        <w:t xml:space="preserve">, </w:t>
      </w:r>
      <w:proofErr w:type="spellStart"/>
      <w:r w:rsidRPr="00E426D3">
        <w:t>fylkeskommunar</w:t>
      </w:r>
      <w:proofErr w:type="spellEnd"/>
      <w:r w:rsidRPr="00E426D3">
        <w:t xml:space="preserve">, KS og Norsk Bibliotekforening som </w:t>
      </w:r>
      <w:proofErr w:type="spellStart"/>
      <w:r w:rsidRPr="00E426D3">
        <w:t>medlemar</w:t>
      </w:r>
      <w:proofErr w:type="spellEnd"/>
      <w:r w:rsidRPr="00E426D3">
        <w:t>.</w:t>
      </w:r>
    </w:p>
    <w:p w14:paraId="69588C24" w14:textId="77777777" w:rsidR="00772748" w:rsidRPr="00E426D3" w:rsidRDefault="00772748" w:rsidP="00E426D3">
      <w:r w:rsidRPr="00E426D3">
        <w:t xml:space="preserve">Biblioteksentralen </w:t>
      </w:r>
      <w:proofErr w:type="spellStart"/>
      <w:r w:rsidRPr="00E426D3">
        <w:t>fekk</w:t>
      </w:r>
      <w:proofErr w:type="spellEnd"/>
      <w:r w:rsidRPr="00E426D3">
        <w:t xml:space="preserve"> skattefritak i 1958. I forarbeida til lovendringa (Ot.prp. nr. 28. (1958) side 2) framheva Finansdepartementet at:</w:t>
      </w:r>
    </w:p>
    <w:p w14:paraId="05052676" w14:textId="77777777" w:rsidR="00772748" w:rsidRPr="00E426D3" w:rsidRDefault="00772748" w:rsidP="00E426D3">
      <w:pPr>
        <w:pStyle w:val="blokksit"/>
      </w:pPr>
      <w:r w:rsidRPr="00E426D3">
        <w:t>«sentralen bare leverer til biblioteker og boksamlinger som har offentlig støtte og at det ikke ut fra hensynet til det private ervervsliv synes å kunne reises innvendinger mot en fritagelse».</w:t>
      </w:r>
    </w:p>
    <w:p w14:paraId="31A12721" w14:textId="77777777" w:rsidR="00772748" w:rsidRPr="00E426D3" w:rsidRDefault="00772748" w:rsidP="00E426D3">
      <w:r w:rsidRPr="00E426D3">
        <w:t xml:space="preserve">Komiteen på Stortinget delte seg i </w:t>
      </w:r>
      <w:proofErr w:type="spellStart"/>
      <w:r w:rsidRPr="00E426D3">
        <w:t>eit</w:t>
      </w:r>
      <w:proofErr w:type="spellEnd"/>
      <w:r w:rsidRPr="00E426D3">
        <w:t xml:space="preserve"> </w:t>
      </w:r>
      <w:proofErr w:type="spellStart"/>
      <w:r w:rsidRPr="00E426D3">
        <w:t>mindretal</w:t>
      </w:r>
      <w:proofErr w:type="spellEnd"/>
      <w:r w:rsidRPr="00E426D3">
        <w:t xml:space="preserve"> og </w:t>
      </w:r>
      <w:proofErr w:type="spellStart"/>
      <w:r w:rsidRPr="00E426D3">
        <w:t>eit</w:t>
      </w:r>
      <w:proofErr w:type="spellEnd"/>
      <w:r w:rsidRPr="00E426D3">
        <w:t xml:space="preserve"> </w:t>
      </w:r>
      <w:proofErr w:type="spellStart"/>
      <w:r w:rsidRPr="00E426D3">
        <w:t>fleirtal</w:t>
      </w:r>
      <w:proofErr w:type="spellEnd"/>
      <w:r w:rsidRPr="00E426D3">
        <w:t xml:space="preserve">, sjå </w:t>
      </w:r>
      <w:proofErr w:type="spellStart"/>
      <w:r w:rsidRPr="00E426D3">
        <w:t>Innst</w:t>
      </w:r>
      <w:proofErr w:type="spellEnd"/>
      <w:r w:rsidRPr="00E426D3">
        <w:t xml:space="preserve">. O. II. (1958) side 1. </w:t>
      </w:r>
      <w:proofErr w:type="spellStart"/>
      <w:r w:rsidRPr="00E426D3">
        <w:t>Mindretalet</w:t>
      </w:r>
      <w:proofErr w:type="spellEnd"/>
      <w:r w:rsidRPr="00E426D3">
        <w:t xml:space="preserve"> </w:t>
      </w:r>
      <w:proofErr w:type="spellStart"/>
      <w:r w:rsidRPr="00E426D3">
        <w:t>peikte</w:t>
      </w:r>
      <w:proofErr w:type="spellEnd"/>
      <w:r w:rsidRPr="00E426D3">
        <w:t xml:space="preserve"> på at </w:t>
      </w:r>
      <w:proofErr w:type="spellStart"/>
      <w:r w:rsidRPr="00E426D3">
        <w:t>dei</w:t>
      </w:r>
      <w:proofErr w:type="spellEnd"/>
      <w:r w:rsidRPr="00E426D3">
        <w:t xml:space="preserve"> </w:t>
      </w:r>
      <w:proofErr w:type="spellStart"/>
      <w:r w:rsidRPr="00E426D3">
        <w:t>fann</w:t>
      </w:r>
      <w:proofErr w:type="spellEnd"/>
      <w:r w:rsidRPr="00E426D3">
        <w:t xml:space="preserve"> det prinsipielt urett å stille Biblioteksentralen i ei skattemessig, og dermed òg konkurransemessig, </w:t>
      </w:r>
      <w:proofErr w:type="spellStart"/>
      <w:r w:rsidRPr="00E426D3">
        <w:t>gunstigare</w:t>
      </w:r>
      <w:proofErr w:type="spellEnd"/>
      <w:r w:rsidRPr="00E426D3">
        <w:t xml:space="preserve"> stilling enn </w:t>
      </w:r>
      <w:proofErr w:type="spellStart"/>
      <w:r w:rsidRPr="00E426D3">
        <w:t>dei</w:t>
      </w:r>
      <w:proofErr w:type="spellEnd"/>
      <w:r w:rsidRPr="00E426D3">
        <w:t xml:space="preserve"> private </w:t>
      </w:r>
      <w:proofErr w:type="spellStart"/>
      <w:r w:rsidRPr="00E426D3">
        <w:t>verksemdene</w:t>
      </w:r>
      <w:proofErr w:type="spellEnd"/>
      <w:r w:rsidRPr="00E426D3">
        <w:t xml:space="preserve"> som han konkurrerte med. </w:t>
      </w:r>
      <w:proofErr w:type="spellStart"/>
      <w:r w:rsidRPr="00E426D3">
        <w:t>Fleirtalet</w:t>
      </w:r>
      <w:proofErr w:type="spellEnd"/>
      <w:r w:rsidRPr="00E426D3">
        <w:t xml:space="preserve"> slutta seg til departementet sitt framlegg, mellom anna med tilvising til at det handla om </w:t>
      </w:r>
      <w:proofErr w:type="spellStart"/>
      <w:r w:rsidRPr="00E426D3">
        <w:t>ein</w:t>
      </w:r>
      <w:proofErr w:type="spellEnd"/>
      <w:r w:rsidRPr="00E426D3">
        <w:t xml:space="preserve"> institusjon med «et avgrenset virkefelt og offentlig betont karakter». </w:t>
      </w:r>
      <w:proofErr w:type="spellStart"/>
      <w:r w:rsidRPr="00E426D3">
        <w:t>Fleirtalet</w:t>
      </w:r>
      <w:proofErr w:type="spellEnd"/>
      <w:r w:rsidRPr="00E426D3">
        <w:t xml:space="preserve"> </w:t>
      </w:r>
      <w:proofErr w:type="spellStart"/>
      <w:r w:rsidRPr="00E426D3">
        <w:t>peikte</w:t>
      </w:r>
      <w:proofErr w:type="spellEnd"/>
      <w:r w:rsidRPr="00E426D3">
        <w:t xml:space="preserve"> òg på at </w:t>
      </w:r>
      <w:proofErr w:type="spellStart"/>
      <w:r w:rsidRPr="00E426D3">
        <w:t>ein</w:t>
      </w:r>
      <w:proofErr w:type="spellEnd"/>
      <w:r w:rsidRPr="00E426D3">
        <w:t xml:space="preserve"> </w:t>
      </w:r>
      <w:proofErr w:type="spellStart"/>
      <w:r w:rsidRPr="00E426D3">
        <w:t>ikkje</w:t>
      </w:r>
      <w:proofErr w:type="spellEnd"/>
      <w:r w:rsidRPr="00E426D3">
        <w:t xml:space="preserve"> kunne sjå bort </w:t>
      </w:r>
      <w:proofErr w:type="spellStart"/>
      <w:r w:rsidRPr="00E426D3">
        <w:t>frå</w:t>
      </w:r>
      <w:proofErr w:type="spellEnd"/>
      <w:r w:rsidRPr="00E426D3">
        <w:t xml:space="preserve"> at det var </w:t>
      </w:r>
      <w:proofErr w:type="spellStart"/>
      <w:r w:rsidRPr="00E426D3">
        <w:t>eit</w:t>
      </w:r>
      <w:proofErr w:type="spellEnd"/>
      <w:r w:rsidRPr="00E426D3">
        <w:t xml:space="preserve"> visst konkurranseforhold til </w:t>
      </w:r>
      <w:proofErr w:type="spellStart"/>
      <w:r w:rsidRPr="00E426D3">
        <w:t>stades</w:t>
      </w:r>
      <w:proofErr w:type="spellEnd"/>
      <w:r w:rsidRPr="00E426D3">
        <w:t xml:space="preserve"> mellom Biblioteksentralen og private </w:t>
      </w:r>
      <w:proofErr w:type="spellStart"/>
      <w:r w:rsidRPr="00E426D3">
        <w:t>bokbindarar</w:t>
      </w:r>
      <w:proofErr w:type="spellEnd"/>
      <w:r w:rsidRPr="00E426D3">
        <w:t xml:space="preserve"> og </w:t>
      </w:r>
      <w:proofErr w:type="spellStart"/>
      <w:r w:rsidRPr="00E426D3">
        <w:t>bokhandlarar</w:t>
      </w:r>
      <w:proofErr w:type="spellEnd"/>
      <w:r w:rsidRPr="00E426D3">
        <w:t xml:space="preserve">. </w:t>
      </w:r>
      <w:proofErr w:type="spellStart"/>
      <w:r w:rsidRPr="00E426D3">
        <w:t>Fleirtalet</w:t>
      </w:r>
      <w:proofErr w:type="spellEnd"/>
      <w:r w:rsidRPr="00E426D3">
        <w:t xml:space="preserve"> uttalte at det likevel var «lite rimelig at Oslo kommune skal ha skatt av innskottsbeløpene og av det mulige overskott av virksomheten i et slikt felles offentlig tiltak». </w:t>
      </w:r>
      <w:proofErr w:type="spellStart"/>
      <w:r w:rsidRPr="00E426D3">
        <w:t>Fleirtalet</w:t>
      </w:r>
      <w:proofErr w:type="spellEnd"/>
      <w:r w:rsidRPr="00E426D3">
        <w:t xml:space="preserve"> synte </w:t>
      </w:r>
      <w:proofErr w:type="spellStart"/>
      <w:r w:rsidRPr="00E426D3">
        <w:t>vidare</w:t>
      </w:r>
      <w:proofErr w:type="spellEnd"/>
      <w:r w:rsidRPr="00E426D3">
        <w:t xml:space="preserve"> til at Biblioteksentralen var </w:t>
      </w:r>
      <w:proofErr w:type="spellStart"/>
      <w:r w:rsidRPr="00E426D3">
        <w:t>ein</w:t>
      </w:r>
      <w:proofErr w:type="spellEnd"/>
      <w:r w:rsidRPr="00E426D3">
        <w:t xml:space="preserve"> institusjon som betente </w:t>
      </w:r>
      <w:proofErr w:type="spellStart"/>
      <w:r w:rsidRPr="00E426D3">
        <w:t>offentlege</w:t>
      </w:r>
      <w:proofErr w:type="spellEnd"/>
      <w:r w:rsidRPr="00E426D3">
        <w:t xml:space="preserve"> bibliotek. Dersom Biblioteksentralen skulle betale skatt, ville det i røynda </w:t>
      </w:r>
      <w:proofErr w:type="spellStart"/>
      <w:r w:rsidRPr="00E426D3">
        <w:t>berre</w:t>
      </w:r>
      <w:proofErr w:type="spellEnd"/>
      <w:r w:rsidRPr="00E426D3">
        <w:t xml:space="preserve"> handle om </w:t>
      </w:r>
      <w:proofErr w:type="spellStart"/>
      <w:r w:rsidRPr="00E426D3">
        <w:t>ein</w:t>
      </w:r>
      <w:proofErr w:type="spellEnd"/>
      <w:r w:rsidRPr="00E426D3">
        <w:t xml:space="preserve"> «ompostering av offentlige midler».</w:t>
      </w:r>
    </w:p>
    <w:p w14:paraId="0E66E18D" w14:textId="77777777" w:rsidR="00772748" w:rsidRPr="00E426D3" w:rsidRDefault="00772748" w:rsidP="00E426D3">
      <w:r w:rsidRPr="00E426D3">
        <w:t xml:space="preserve">Biblioteksentralen kontakta Finansdepartementet </w:t>
      </w:r>
      <w:proofErr w:type="spellStart"/>
      <w:r w:rsidRPr="00E426D3">
        <w:t>hausten</w:t>
      </w:r>
      <w:proofErr w:type="spellEnd"/>
      <w:r w:rsidRPr="00E426D3">
        <w:t xml:space="preserve"> 2024 og bad om at skattefritaket vert oppheva, då </w:t>
      </w:r>
      <w:proofErr w:type="spellStart"/>
      <w:r w:rsidRPr="00E426D3">
        <w:t>føresetnadene</w:t>
      </w:r>
      <w:proofErr w:type="spellEnd"/>
      <w:r w:rsidRPr="00E426D3">
        <w:t xml:space="preserve"> for fritaket </w:t>
      </w:r>
      <w:proofErr w:type="spellStart"/>
      <w:r w:rsidRPr="00E426D3">
        <w:t>ikkje</w:t>
      </w:r>
      <w:proofErr w:type="spellEnd"/>
      <w:r w:rsidRPr="00E426D3">
        <w:t xml:space="preserve"> lenger er til </w:t>
      </w:r>
      <w:proofErr w:type="spellStart"/>
      <w:r w:rsidRPr="00E426D3">
        <w:t>stades</w:t>
      </w:r>
      <w:proofErr w:type="spellEnd"/>
      <w:r w:rsidRPr="00E426D3">
        <w:t xml:space="preserve">. Biblioteksentralen synte til at </w:t>
      </w:r>
      <w:proofErr w:type="spellStart"/>
      <w:r w:rsidRPr="00E426D3">
        <w:t>sjølv</w:t>
      </w:r>
      <w:proofErr w:type="spellEnd"/>
      <w:r w:rsidRPr="00E426D3">
        <w:t xml:space="preserve"> om </w:t>
      </w:r>
      <w:proofErr w:type="spellStart"/>
      <w:r w:rsidRPr="00E426D3">
        <w:t>dei</w:t>
      </w:r>
      <w:proofErr w:type="spellEnd"/>
      <w:r w:rsidRPr="00E426D3">
        <w:t xml:space="preserve"> i samsvar med vedtektene </w:t>
      </w:r>
      <w:proofErr w:type="spellStart"/>
      <w:r w:rsidRPr="00E426D3">
        <w:t>ikkje</w:t>
      </w:r>
      <w:proofErr w:type="spellEnd"/>
      <w:r w:rsidRPr="00E426D3">
        <w:t xml:space="preserve"> har økonomisk vinst som </w:t>
      </w:r>
      <w:proofErr w:type="spellStart"/>
      <w:r w:rsidRPr="00E426D3">
        <w:t>føremål</w:t>
      </w:r>
      <w:proofErr w:type="spellEnd"/>
      <w:r w:rsidRPr="00E426D3">
        <w:t xml:space="preserve">, er </w:t>
      </w:r>
      <w:proofErr w:type="spellStart"/>
      <w:r w:rsidRPr="00E426D3">
        <w:t>dei</w:t>
      </w:r>
      <w:proofErr w:type="spellEnd"/>
      <w:r w:rsidRPr="00E426D3">
        <w:t xml:space="preserve"> i dag </w:t>
      </w:r>
      <w:proofErr w:type="spellStart"/>
      <w:r w:rsidRPr="00E426D3">
        <w:t>ein</w:t>
      </w:r>
      <w:proofErr w:type="spellEnd"/>
      <w:r w:rsidRPr="00E426D3">
        <w:t xml:space="preserve"> </w:t>
      </w:r>
      <w:proofErr w:type="spellStart"/>
      <w:r w:rsidRPr="00E426D3">
        <w:lastRenderedPageBreak/>
        <w:t>marknadsaktør</w:t>
      </w:r>
      <w:proofErr w:type="spellEnd"/>
      <w:r w:rsidRPr="00E426D3">
        <w:t xml:space="preserve"> som </w:t>
      </w:r>
      <w:proofErr w:type="gramStart"/>
      <w:r w:rsidRPr="00E426D3">
        <w:t>genererer</w:t>
      </w:r>
      <w:proofErr w:type="gramEnd"/>
      <w:r w:rsidRPr="00E426D3">
        <w:t xml:space="preserve"> inntekter gjennom sal av produkt og </w:t>
      </w:r>
      <w:proofErr w:type="spellStart"/>
      <w:r w:rsidRPr="00E426D3">
        <w:t>tenester</w:t>
      </w:r>
      <w:proofErr w:type="spellEnd"/>
      <w:r w:rsidRPr="00E426D3">
        <w:t xml:space="preserve"> i </w:t>
      </w:r>
      <w:proofErr w:type="spellStart"/>
      <w:r w:rsidRPr="00E426D3">
        <w:t>ein</w:t>
      </w:r>
      <w:proofErr w:type="spellEnd"/>
      <w:r w:rsidRPr="00E426D3">
        <w:t xml:space="preserve"> konkurranseutsett </w:t>
      </w:r>
      <w:proofErr w:type="spellStart"/>
      <w:r w:rsidRPr="00E426D3">
        <w:t>marknad</w:t>
      </w:r>
      <w:proofErr w:type="spellEnd"/>
      <w:r w:rsidRPr="00E426D3">
        <w:t>.</w:t>
      </w:r>
    </w:p>
    <w:p w14:paraId="1BE7996B" w14:textId="77777777" w:rsidR="00772748" w:rsidRPr="00E426D3" w:rsidRDefault="00772748" w:rsidP="00E426D3">
      <w:r w:rsidRPr="00E426D3">
        <w:t xml:space="preserve">Departementet </w:t>
      </w:r>
      <w:proofErr w:type="spellStart"/>
      <w:r w:rsidRPr="00E426D3">
        <w:t>gjer</w:t>
      </w:r>
      <w:proofErr w:type="spellEnd"/>
      <w:r w:rsidRPr="00E426D3">
        <w:t xml:space="preserve"> framlegg om at skattefritaket for Biblioteksentralen i skatteloven § 2-30 fyrste ledd bokstav g nr. 2 vert oppheva. </w:t>
      </w:r>
      <w:proofErr w:type="spellStart"/>
      <w:r w:rsidRPr="00E426D3">
        <w:t>Verksemda</w:t>
      </w:r>
      <w:proofErr w:type="spellEnd"/>
      <w:r w:rsidRPr="00E426D3">
        <w:t xml:space="preserve"> til Biblioteksentralen har endra seg </w:t>
      </w:r>
      <w:proofErr w:type="spellStart"/>
      <w:r w:rsidRPr="00E426D3">
        <w:t>betydeleg</w:t>
      </w:r>
      <w:proofErr w:type="spellEnd"/>
      <w:r w:rsidRPr="00E426D3">
        <w:t xml:space="preserve"> </w:t>
      </w:r>
      <w:proofErr w:type="spellStart"/>
      <w:r w:rsidRPr="00E426D3">
        <w:t>sidan</w:t>
      </w:r>
      <w:proofErr w:type="spellEnd"/>
      <w:r w:rsidRPr="00E426D3">
        <w:t xml:space="preserve"> 1958 og til i dag. Den opphavlege </w:t>
      </w:r>
      <w:proofErr w:type="spellStart"/>
      <w:r w:rsidRPr="00E426D3">
        <w:t>grunngjevinga</w:t>
      </w:r>
      <w:proofErr w:type="spellEnd"/>
      <w:r w:rsidRPr="00E426D3">
        <w:t xml:space="preserve"> for skattefritaket etter skatteloven § 2-30 </w:t>
      </w:r>
      <w:proofErr w:type="spellStart"/>
      <w:r w:rsidRPr="00E426D3">
        <w:t>gjer</w:t>
      </w:r>
      <w:proofErr w:type="spellEnd"/>
      <w:r w:rsidRPr="00E426D3">
        <w:t xml:space="preserve"> seg </w:t>
      </w:r>
      <w:proofErr w:type="spellStart"/>
      <w:r w:rsidRPr="00E426D3">
        <w:t>ikkje</w:t>
      </w:r>
      <w:proofErr w:type="spellEnd"/>
      <w:r w:rsidRPr="00E426D3">
        <w:t xml:space="preserve"> lenger </w:t>
      </w:r>
      <w:proofErr w:type="spellStart"/>
      <w:r w:rsidRPr="00E426D3">
        <w:t>gjeldande</w:t>
      </w:r>
      <w:proofErr w:type="spellEnd"/>
      <w:r w:rsidRPr="00E426D3">
        <w:t>.</w:t>
      </w:r>
    </w:p>
    <w:p w14:paraId="1EF56462" w14:textId="77777777" w:rsidR="00772748" w:rsidRPr="00E426D3" w:rsidRDefault="00772748" w:rsidP="00E426D3">
      <w:r w:rsidRPr="00E426D3">
        <w:t xml:space="preserve">Ved en overgang til skatteplikt må Biblioteksentralen </w:t>
      </w:r>
      <w:proofErr w:type="spellStart"/>
      <w:r w:rsidRPr="00E426D3">
        <w:t>fastsetje</w:t>
      </w:r>
      <w:proofErr w:type="spellEnd"/>
      <w:r w:rsidRPr="00E426D3">
        <w:t xml:space="preserve"> skattemessige </w:t>
      </w:r>
      <w:proofErr w:type="spellStart"/>
      <w:r w:rsidRPr="00E426D3">
        <w:t>inngangsverdiar</w:t>
      </w:r>
      <w:proofErr w:type="spellEnd"/>
      <w:r w:rsidRPr="00E426D3">
        <w:t xml:space="preserve"> på </w:t>
      </w:r>
      <w:proofErr w:type="spellStart"/>
      <w:r w:rsidRPr="00E426D3">
        <w:t>eigedelane</w:t>
      </w:r>
      <w:proofErr w:type="spellEnd"/>
      <w:r w:rsidRPr="00E426D3">
        <w:t xml:space="preserve"> sine. Etter </w:t>
      </w:r>
      <w:proofErr w:type="spellStart"/>
      <w:r w:rsidRPr="00E426D3">
        <w:t>gjeldande</w:t>
      </w:r>
      <w:proofErr w:type="spellEnd"/>
      <w:r w:rsidRPr="00E426D3">
        <w:t xml:space="preserve"> praksis skal </w:t>
      </w:r>
      <w:proofErr w:type="spellStart"/>
      <w:r w:rsidRPr="00E426D3">
        <w:t>inngangsverdiane</w:t>
      </w:r>
      <w:proofErr w:type="spellEnd"/>
      <w:r w:rsidRPr="00E426D3">
        <w:t xml:space="preserve"> </w:t>
      </w:r>
      <w:proofErr w:type="spellStart"/>
      <w:r w:rsidRPr="00E426D3">
        <w:t>fastsetjast</w:t>
      </w:r>
      <w:proofErr w:type="spellEnd"/>
      <w:r w:rsidRPr="00E426D3">
        <w:t xml:space="preserve"> slik at </w:t>
      </w:r>
      <w:proofErr w:type="spellStart"/>
      <w:r w:rsidRPr="00E426D3">
        <w:t>verdiar</w:t>
      </w:r>
      <w:proofErr w:type="spellEnd"/>
      <w:r w:rsidRPr="00E426D3">
        <w:t xml:space="preserve"> som er skapte eller tapte i det skattefrie regimet, vert skjerma ved overgangen til skatteplikt. I tråd med dette meiner departementet at </w:t>
      </w:r>
      <w:proofErr w:type="spellStart"/>
      <w:r w:rsidRPr="00E426D3">
        <w:t>marknadsverdien</w:t>
      </w:r>
      <w:proofErr w:type="spellEnd"/>
      <w:r w:rsidRPr="00E426D3">
        <w:t xml:space="preserve"> på overgangstidspunktet kan </w:t>
      </w:r>
      <w:proofErr w:type="spellStart"/>
      <w:r w:rsidRPr="00E426D3">
        <w:t>nyttast</w:t>
      </w:r>
      <w:proofErr w:type="spellEnd"/>
      <w:r w:rsidRPr="00E426D3">
        <w:t xml:space="preserve"> som utgangspunkt for </w:t>
      </w:r>
      <w:proofErr w:type="spellStart"/>
      <w:r w:rsidRPr="00E426D3">
        <w:t>fastsetjinga</w:t>
      </w:r>
      <w:proofErr w:type="spellEnd"/>
      <w:r w:rsidRPr="00E426D3">
        <w:t xml:space="preserve"> av </w:t>
      </w:r>
      <w:proofErr w:type="spellStart"/>
      <w:r w:rsidRPr="00E426D3">
        <w:t>inngangsverdiane</w:t>
      </w:r>
      <w:proofErr w:type="spellEnd"/>
      <w:r w:rsidRPr="00E426D3">
        <w:t xml:space="preserve"> på </w:t>
      </w:r>
      <w:proofErr w:type="spellStart"/>
      <w:r w:rsidRPr="00E426D3">
        <w:t>eigedelane</w:t>
      </w:r>
      <w:proofErr w:type="spellEnd"/>
      <w:r w:rsidRPr="00E426D3">
        <w:t xml:space="preserve"> til Biblioteksentralen.</w:t>
      </w:r>
    </w:p>
    <w:p w14:paraId="4718B428" w14:textId="77777777" w:rsidR="00772748" w:rsidRPr="00E426D3" w:rsidRDefault="00772748" w:rsidP="00E426D3">
      <w:r w:rsidRPr="00E426D3">
        <w:t xml:space="preserve">Biblioteksentralen er </w:t>
      </w:r>
      <w:proofErr w:type="spellStart"/>
      <w:r w:rsidRPr="00E426D3">
        <w:t>eit</w:t>
      </w:r>
      <w:proofErr w:type="spellEnd"/>
      <w:r w:rsidRPr="00E426D3">
        <w:t xml:space="preserve"> </w:t>
      </w:r>
      <w:proofErr w:type="spellStart"/>
      <w:r w:rsidRPr="00E426D3">
        <w:t>samvirkeføretak</w:t>
      </w:r>
      <w:proofErr w:type="spellEnd"/>
      <w:r w:rsidRPr="00E426D3">
        <w:t xml:space="preserve">. </w:t>
      </w:r>
      <w:proofErr w:type="spellStart"/>
      <w:r w:rsidRPr="00E426D3">
        <w:t>Samvirkeføretak</w:t>
      </w:r>
      <w:proofErr w:type="spellEnd"/>
      <w:r w:rsidRPr="00E426D3">
        <w:t xml:space="preserve"> er formuesskattepliktige. Ei oppheving av skattefritaket vil òg medføre plikt til å svare formuesskatt for selskapet etter </w:t>
      </w:r>
      <w:proofErr w:type="spellStart"/>
      <w:r w:rsidRPr="00E426D3">
        <w:t>dei</w:t>
      </w:r>
      <w:proofErr w:type="spellEnd"/>
      <w:r w:rsidRPr="00E426D3">
        <w:t xml:space="preserve"> </w:t>
      </w:r>
      <w:proofErr w:type="spellStart"/>
      <w:r w:rsidRPr="00E426D3">
        <w:t>vanlege</w:t>
      </w:r>
      <w:proofErr w:type="spellEnd"/>
      <w:r w:rsidRPr="00E426D3">
        <w:t xml:space="preserve"> </w:t>
      </w:r>
      <w:proofErr w:type="spellStart"/>
      <w:r w:rsidRPr="00E426D3">
        <w:t>reglane</w:t>
      </w:r>
      <w:proofErr w:type="spellEnd"/>
      <w:r w:rsidRPr="00E426D3">
        <w:t xml:space="preserve">. Dette vil </w:t>
      </w:r>
      <w:proofErr w:type="spellStart"/>
      <w:r w:rsidRPr="00E426D3">
        <w:t>innebere</w:t>
      </w:r>
      <w:proofErr w:type="spellEnd"/>
      <w:r w:rsidRPr="00E426D3">
        <w:t xml:space="preserve"> at det vert svara formuesskatt til Staten, men </w:t>
      </w:r>
      <w:proofErr w:type="spellStart"/>
      <w:r w:rsidRPr="00E426D3">
        <w:t>ikkje</w:t>
      </w:r>
      <w:proofErr w:type="spellEnd"/>
      <w:r w:rsidRPr="00E426D3">
        <w:t xml:space="preserve"> til kommune og fylkeskommune, jf. skatteloven § 2-36 andre ledd. Ved </w:t>
      </w:r>
      <w:proofErr w:type="spellStart"/>
      <w:r w:rsidRPr="00E426D3">
        <w:t>formuesfastsetjinga</w:t>
      </w:r>
      <w:proofErr w:type="spellEnd"/>
      <w:r w:rsidRPr="00E426D3">
        <w:t xml:space="preserve"> må </w:t>
      </w:r>
      <w:proofErr w:type="spellStart"/>
      <w:r w:rsidRPr="00E426D3">
        <w:t>eigedelane</w:t>
      </w:r>
      <w:proofErr w:type="spellEnd"/>
      <w:r w:rsidRPr="00E426D3">
        <w:t xml:space="preserve"> til Biblioteksentralen </w:t>
      </w:r>
      <w:proofErr w:type="spellStart"/>
      <w:r w:rsidRPr="00E426D3">
        <w:t>verdsetjast</w:t>
      </w:r>
      <w:proofErr w:type="spellEnd"/>
      <w:r w:rsidRPr="00E426D3">
        <w:t xml:space="preserve"> etter </w:t>
      </w:r>
      <w:proofErr w:type="spellStart"/>
      <w:r w:rsidRPr="00E426D3">
        <w:t>dei</w:t>
      </w:r>
      <w:proofErr w:type="spellEnd"/>
      <w:r w:rsidRPr="00E426D3">
        <w:t xml:space="preserve"> </w:t>
      </w:r>
      <w:proofErr w:type="spellStart"/>
      <w:r w:rsidRPr="00E426D3">
        <w:t>reglane</w:t>
      </w:r>
      <w:proofErr w:type="spellEnd"/>
      <w:r w:rsidRPr="00E426D3">
        <w:t xml:space="preserve"> som </w:t>
      </w:r>
      <w:proofErr w:type="spellStart"/>
      <w:r w:rsidRPr="00E426D3">
        <w:t>gjeld</w:t>
      </w:r>
      <w:proofErr w:type="spellEnd"/>
      <w:r w:rsidRPr="00E426D3">
        <w:t xml:space="preserve"> for </w:t>
      </w:r>
      <w:proofErr w:type="spellStart"/>
      <w:r w:rsidRPr="00E426D3">
        <w:t>dei</w:t>
      </w:r>
      <w:proofErr w:type="spellEnd"/>
      <w:r w:rsidRPr="00E426D3">
        <w:t xml:space="preserve"> aktuelle </w:t>
      </w:r>
      <w:proofErr w:type="spellStart"/>
      <w:r w:rsidRPr="00E426D3">
        <w:t>eigedelane</w:t>
      </w:r>
      <w:proofErr w:type="spellEnd"/>
      <w:r w:rsidRPr="00E426D3">
        <w:t>.</w:t>
      </w:r>
    </w:p>
    <w:p w14:paraId="19C430FC" w14:textId="77777777" w:rsidR="00772748" w:rsidRPr="00E426D3" w:rsidRDefault="00772748" w:rsidP="00E426D3">
      <w:r w:rsidRPr="00E426D3">
        <w:t xml:space="preserve">Departementet </w:t>
      </w:r>
      <w:proofErr w:type="spellStart"/>
      <w:r w:rsidRPr="00E426D3">
        <w:t>tek</w:t>
      </w:r>
      <w:proofErr w:type="spellEnd"/>
      <w:r w:rsidRPr="00E426D3">
        <w:t xml:space="preserve"> </w:t>
      </w:r>
      <w:proofErr w:type="spellStart"/>
      <w:r w:rsidRPr="00E426D3">
        <w:t>ikkje</w:t>
      </w:r>
      <w:proofErr w:type="spellEnd"/>
      <w:r w:rsidRPr="00E426D3">
        <w:t xml:space="preserve"> stilling til om Biblioteksentralen kan </w:t>
      </w:r>
      <w:proofErr w:type="spellStart"/>
      <w:r w:rsidRPr="00E426D3">
        <w:t>verte</w:t>
      </w:r>
      <w:proofErr w:type="spellEnd"/>
      <w:r w:rsidRPr="00E426D3">
        <w:t xml:space="preserve"> </w:t>
      </w:r>
      <w:proofErr w:type="spellStart"/>
      <w:r w:rsidRPr="00E426D3">
        <w:t>friteken</w:t>
      </w:r>
      <w:proofErr w:type="spellEnd"/>
      <w:r w:rsidRPr="00E426D3">
        <w:t xml:space="preserve"> </w:t>
      </w:r>
      <w:proofErr w:type="spellStart"/>
      <w:r w:rsidRPr="00E426D3">
        <w:t>frå</w:t>
      </w:r>
      <w:proofErr w:type="spellEnd"/>
      <w:r w:rsidRPr="00E426D3">
        <w:t xml:space="preserve"> skatt etter skatteloven § 2-32. Skatteloven § 2-32 </w:t>
      </w:r>
      <w:proofErr w:type="spellStart"/>
      <w:r w:rsidRPr="00E426D3">
        <w:t>fritek</w:t>
      </w:r>
      <w:proofErr w:type="spellEnd"/>
      <w:r w:rsidRPr="00E426D3">
        <w:t xml:space="preserve"> «selskap eller innretning som ikke har erverv til formål», for formues- og inntektsskatt. Det er Skatteetaten, og i siste instans </w:t>
      </w:r>
      <w:proofErr w:type="spellStart"/>
      <w:r w:rsidRPr="00E426D3">
        <w:t>domstolane</w:t>
      </w:r>
      <w:proofErr w:type="spellEnd"/>
      <w:r w:rsidRPr="00E426D3">
        <w:t xml:space="preserve">, som </w:t>
      </w:r>
      <w:proofErr w:type="spellStart"/>
      <w:r w:rsidRPr="00E426D3">
        <w:t>avgjer</w:t>
      </w:r>
      <w:proofErr w:type="spellEnd"/>
      <w:r w:rsidRPr="00E426D3">
        <w:t xml:space="preserve"> om </w:t>
      </w:r>
      <w:proofErr w:type="spellStart"/>
      <w:r w:rsidRPr="00E426D3">
        <w:t>eit</w:t>
      </w:r>
      <w:proofErr w:type="spellEnd"/>
      <w:r w:rsidRPr="00E426D3">
        <w:t xml:space="preserve"> selskap er omfatta av denne føresegna.</w:t>
      </w:r>
    </w:p>
    <w:p w14:paraId="1697EDD8" w14:textId="77777777" w:rsidR="00772748" w:rsidRPr="00E426D3" w:rsidRDefault="00772748" w:rsidP="00E426D3">
      <w:r w:rsidRPr="00E426D3">
        <w:t xml:space="preserve">Departementet </w:t>
      </w:r>
      <w:proofErr w:type="spellStart"/>
      <w:r w:rsidRPr="00E426D3">
        <w:t>legg</w:t>
      </w:r>
      <w:proofErr w:type="spellEnd"/>
      <w:r w:rsidRPr="00E426D3">
        <w:t xml:space="preserve"> til grunn at endringa </w:t>
      </w:r>
      <w:proofErr w:type="spellStart"/>
      <w:r w:rsidRPr="00E426D3">
        <w:t>ikkje</w:t>
      </w:r>
      <w:proofErr w:type="spellEnd"/>
      <w:r w:rsidRPr="00E426D3">
        <w:t xml:space="preserve"> vil </w:t>
      </w:r>
      <w:proofErr w:type="spellStart"/>
      <w:r w:rsidRPr="00E426D3">
        <w:t>innebere</w:t>
      </w:r>
      <w:proofErr w:type="spellEnd"/>
      <w:r w:rsidRPr="00E426D3">
        <w:t xml:space="preserve"> </w:t>
      </w:r>
      <w:proofErr w:type="spellStart"/>
      <w:r w:rsidRPr="00E426D3">
        <w:t>nemneverdige</w:t>
      </w:r>
      <w:proofErr w:type="spellEnd"/>
      <w:r w:rsidRPr="00E426D3">
        <w:t xml:space="preserve"> provenyverknader.</w:t>
      </w:r>
    </w:p>
    <w:p w14:paraId="5D8C3715" w14:textId="77777777" w:rsidR="00772748" w:rsidRPr="00E426D3" w:rsidRDefault="00772748" w:rsidP="00E426D3">
      <w:r w:rsidRPr="00E426D3">
        <w:t xml:space="preserve">Departementet syner til framlegg om endring i skatteloven § 2-30 fyrste ledd bokstav g nr. 2. Departementet foreslår at endringa tek til å gjelde </w:t>
      </w:r>
      <w:proofErr w:type="spellStart"/>
      <w:r w:rsidRPr="00E426D3">
        <w:t>frå</w:t>
      </w:r>
      <w:proofErr w:type="spellEnd"/>
      <w:r w:rsidRPr="00E426D3">
        <w:t xml:space="preserve"> 1. juli 2025. Biblioteksentralen vert då skattepliktig </w:t>
      </w:r>
      <w:proofErr w:type="spellStart"/>
      <w:r w:rsidRPr="00E426D3">
        <w:t>frå</w:t>
      </w:r>
      <w:proofErr w:type="spellEnd"/>
      <w:r w:rsidRPr="00E426D3">
        <w:t xml:space="preserve"> same tidspunkt.</w:t>
      </w:r>
    </w:p>
    <w:p w14:paraId="672A02A2" w14:textId="019976CD" w:rsidR="00772748" w:rsidRPr="00E426D3" w:rsidRDefault="00772748" w:rsidP="00E426D3">
      <w:pPr>
        <w:pStyle w:val="Overskrift1"/>
      </w:pPr>
      <w:r w:rsidRPr="00E426D3">
        <w:t>Refusjon av CO</w:t>
      </w:r>
      <w:r w:rsidRPr="00E426D3">
        <w:rPr>
          <w:rStyle w:val="skrift-senket"/>
        </w:rPr>
        <w:t>2</w:t>
      </w:r>
      <w:r w:rsidRPr="00E426D3">
        <w:t xml:space="preserve">-avgift på drivstoff kjøpt </w:t>
      </w:r>
      <w:proofErr w:type="spellStart"/>
      <w:r w:rsidRPr="00E426D3">
        <w:t>frå</w:t>
      </w:r>
      <w:proofErr w:type="spellEnd"/>
      <w:r w:rsidRPr="00E426D3">
        <w:t xml:space="preserve"> Forsvarets tankanlegg</w:t>
      </w:r>
    </w:p>
    <w:p w14:paraId="51B3F12B" w14:textId="77777777" w:rsidR="00772748" w:rsidRPr="00E426D3" w:rsidRDefault="00772748" w:rsidP="00E426D3">
      <w:r w:rsidRPr="00E426D3">
        <w:t>For 2025 er den generelle CO</w:t>
      </w:r>
      <w:r w:rsidRPr="00E426D3">
        <w:rPr>
          <w:rStyle w:val="skrift-senket"/>
        </w:rPr>
        <w:t>2</w:t>
      </w:r>
      <w:r w:rsidRPr="00E426D3">
        <w:t xml:space="preserve">-avgiftssatsen 3,79 kroner per liter drivstoff. For </w:t>
      </w:r>
      <w:proofErr w:type="spellStart"/>
      <w:r w:rsidRPr="00E426D3">
        <w:t>ikkje</w:t>
      </w:r>
      <w:proofErr w:type="spellEnd"/>
      <w:r w:rsidRPr="00E426D3">
        <w:t xml:space="preserve">-kvotepliktig </w:t>
      </w:r>
      <w:proofErr w:type="spellStart"/>
      <w:r w:rsidRPr="00E426D3">
        <w:t>innanriks</w:t>
      </w:r>
      <w:proofErr w:type="spellEnd"/>
      <w:r w:rsidRPr="00E426D3">
        <w:t xml:space="preserve"> luftfart og </w:t>
      </w:r>
      <w:proofErr w:type="spellStart"/>
      <w:r w:rsidRPr="00E426D3">
        <w:t>ikkje</w:t>
      </w:r>
      <w:proofErr w:type="spellEnd"/>
      <w:r w:rsidRPr="00E426D3">
        <w:t xml:space="preserve">-kommersielle </w:t>
      </w:r>
      <w:proofErr w:type="spellStart"/>
      <w:r w:rsidRPr="00E426D3">
        <w:t>privatflygingar</w:t>
      </w:r>
      <w:proofErr w:type="spellEnd"/>
      <w:r w:rsidRPr="00E426D3">
        <w:t xml:space="preserve"> er det </w:t>
      </w:r>
      <w:proofErr w:type="spellStart"/>
      <w:r w:rsidRPr="00E426D3">
        <w:t>ein</w:t>
      </w:r>
      <w:proofErr w:type="spellEnd"/>
      <w:r w:rsidRPr="00E426D3">
        <w:t xml:space="preserve"> </w:t>
      </w:r>
      <w:proofErr w:type="spellStart"/>
      <w:r w:rsidRPr="00E426D3">
        <w:t>særleg</w:t>
      </w:r>
      <w:proofErr w:type="spellEnd"/>
      <w:r w:rsidRPr="00E426D3">
        <w:t xml:space="preserve"> sats på 3,58 kroner. Kvotepliktig </w:t>
      </w:r>
      <w:proofErr w:type="spellStart"/>
      <w:r w:rsidRPr="00E426D3">
        <w:t>innanriks</w:t>
      </w:r>
      <w:proofErr w:type="spellEnd"/>
      <w:r w:rsidRPr="00E426D3">
        <w:t xml:space="preserve"> luftfart har </w:t>
      </w:r>
      <w:proofErr w:type="spellStart"/>
      <w:r w:rsidRPr="00E426D3">
        <w:t>ein</w:t>
      </w:r>
      <w:proofErr w:type="spellEnd"/>
      <w:r w:rsidRPr="00E426D3">
        <w:t xml:space="preserve"> redusert sats på 1,77 kroner per liter. Mineralolje til fly i </w:t>
      </w:r>
      <w:proofErr w:type="spellStart"/>
      <w:r w:rsidRPr="00E426D3">
        <w:t>utanriksfart</w:t>
      </w:r>
      <w:proofErr w:type="spellEnd"/>
      <w:r w:rsidRPr="00E426D3">
        <w:t xml:space="preserve"> er </w:t>
      </w:r>
      <w:proofErr w:type="spellStart"/>
      <w:r w:rsidRPr="00E426D3">
        <w:t>friteke</w:t>
      </w:r>
      <w:proofErr w:type="spellEnd"/>
      <w:r w:rsidRPr="00E426D3">
        <w:t xml:space="preserve"> for avgift. Dei ulike </w:t>
      </w:r>
      <w:proofErr w:type="spellStart"/>
      <w:r w:rsidRPr="00E426D3">
        <w:t>avgiftssatsane</w:t>
      </w:r>
      <w:proofErr w:type="spellEnd"/>
      <w:r w:rsidRPr="00E426D3">
        <w:t xml:space="preserve"> vert gjennomførte ved at </w:t>
      </w:r>
      <w:proofErr w:type="spellStart"/>
      <w:r w:rsidRPr="00E426D3">
        <w:t>verksemder</w:t>
      </w:r>
      <w:proofErr w:type="spellEnd"/>
      <w:r w:rsidRPr="00E426D3">
        <w:t xml:space="preserve"> som er registrerte hos Skatteetaten, kan selje mineralolje med redusert sats/</w:t>
      </w:r>
      <w:proofErr w:type="spellStart"/>
      <w:r w:rsidRPr="00E426D3">
        <w:t>utan</w:t>
      </w:r>
      <w:proofErr w:type="spellEnd"/>
      <w:r w:rsidRPr="00E426D3">
        <w:t xml:space="preserve"> avgift. Dersom det </w:t>
      </w:r>
      <w:proofErr w:type="spellStart"/>
      <w:r w:rsidRPr="00E426D3">
        <w:t>ikkje</w:t>
      </w:r>
      <w:proofErr w:type="spellEnd"/>
      <w:r w:rsidRPr="00E426D3">
        <w:t xml:space="preserve"> er klart kva drivstoffet skal brukast til, må det </w:t>
      </w:r>
      <w:proofErr w:type="spellStart"/>
      <w:r w:rsidRPr="00E426D3">
        <w:t>reknast</w:t>
      </w:r>
      <w:proofErr w:type="spellEnd"/>
      <w:r w:rsidRPr="00E426D3">
        <w:t xml:space="preserve"> generell sats.</w:t>
      </w:r>
    </w:p>
    <w:p w14:paraId="7F37E32C" w14:textId="77777777" w:rsidR="00772748" w:rsidRPr="00E426D3" w:rsidRDefault="00772748" w:rsidP="00E426D3">
      <w:r w:rsidRPr="00E426D3">
        <w:t xml:space="preserve">På enkelte </w:t>
      </w:r>
      <w:proofErr w:type="spellStart"/>
      <w:r w:rsidRPr="00E426D3">
        <w:t>flyplassar</w:t>
      </w:r>
      <w:proofErr w:type="spellEnd"/>
      <w:r w:rsidRPr="00E426D3">
        <w:t xml:space="preserve"> er det Forsvaret som </w:t>
      </w:r>
      <w:proofErr w:type="spellStart"/>
      <w:r w:rsidRPr="00E426D3">
        <w:t>eig</w:t>
      </w:r>
      <w:proofErr w:type="spellEnd"/>
      <w:r w:rsidRPr="00E426D3">
        <w:t xml:space="preserve"> og driv tankanlegget for flydrivstoff. Forsvaret kjøper inn drivstoff til eige bruk, men </w:t>
      </w:r>
      <w:proofErr w:type="spellStart"/>
      <w:r w:rsidRPr="00E426D3">
        <w:t>vidaresel</w:t>
      </w:r>
      <w:proofErr w:type="spellEnd"/>
      <w:r w:rsidRPr="00E426D3">
        <w:t xml:space="preserve"> òg </w:t>
      </w:r>
      <w:proofErr w:type="spellStart"/>
      <w:r w:rsidRPr="00E426D3">
        <w:t>delar</w:t>
      </w:r>
      <w:proofErr w:type="spellEnd"/>
      <w:r w:rsidRPr="00E426D3">
        <w:t xml:space="preserve"> av drivstoffet til kommersielle </w:t>
      </w:r>
      <w:proofErr w:type="spellStart"/>
      <w:r w:rsidRPr="00E426D3">
        <w:t>flygingar</w:t>
      </w:r>
      <w:proofErr w:type="spellEnd"/>
      <w:r w:rsidRPr="00E426D3">
        <w:t xml:space="preserve">. Forsvaret er </w:t>
      </w:r>
      <w:proofErr w:type="spellStart"/>
      <w:r w:rsidRPr="00E426D3">
        <w:t>ikkje</w:t>
      </w:r>
      <w:proofErr w:type="spellEnd"/>
      <w:r w:rsidRPr="00E426D3">
        <w:t xml:space="preserve"> registrert for særavgifter hos Skatteetaten og har heller </w:t>
      </w:r>
      <w:proofErr w:type="spellStart"/>
      <w:r w:rsidRPr="00E426D3">
        <w:t>ikkje</w:t>
      </w:r>
      <w:proofErr w:type="spellEnd"/>
      <w:r w:rsidRPr="00E426D3">
        <w:t xml:space="preserve"> rett til fritak/redusert sats for eige bruk. Drivstoffet må </w:t>
      </w:r>
      <w:proofErr w:type="spellStart"/>
      <w:r w:rsidRPr="00E426D3">
        <w:t>difor</w:t>
      </w:r>
      <w:proofErr w:type="spellEnd"/>
      <w:r w:rsidRPr="00E426D3">
        <w:t xml:space="preserve"> </w:t>
      </w:r>
      <w:proofErr w:type="spellStart"/>
      <w:r w:rsidRPr="00E426D3">
        <w:t>kjøpast</w:t>
      </w:r>
      <w:proofErr w:type="spellEnd"/>
      <w:r w:rsidRPr="00E426D3">
        <w:t xml:space="preserve"> og </w:t>
      </w:r>
      <w:proofErr w:type="spellStart"/>
      <w:r w:rsidRPr="00E426D3">
        <w:t>seljast</w:t>
      </w:r>
      <w:proofErr w:type="spellEnd"/>
      <w:r w:rsidRPr="00E426D3">
        <w:t xml:space="preserve"> med den høge satsen på 3,58 kroner per liter, </w:t>
      </w:r>
      <w:proofErr w:type="spellStart"/>
      <w:r w:rsidRPr="00E426D3">
        <w:t>sjølv</w:t>
      </w:r>
      <w:proofErr w:type="spellEnd"/>
      <w:r w:rsidRPr="00E426D3">
        <w:t xml:space="preserve"> om </w:t>
      </w:r>
      <w:proofErr w:type="spellStart"/>
      <w:r w:rsidRPr="00E426D3">
        <w:t>sluttbrukaren</w:t>
      </w:r>
      <w:proofErr w:type="spellEnd"/>
      <w:r w:rsidRPr="00E426D3">
        <w:t xml:space="preserve"> kan ha rett til fritak/redusert sats.</w:t>
      </w:r>
    </w:p>
    <w:p w14:paraId="1E13060C" w14:textId="77777777" w:rsidR="00772748" w:rsidRPr="00E426D3" w:rsidRDefault="00772748" w:rsidP="00E426D3">
      <w:r w:rsidRPr="00E426D3">
        <w:lastRenderedPageBreak/>
        <w:t xml:space="preserve">For </w:t>
      </w:r>
      <w:proofErr w:type="spellStart"/>
      <w:r w:rsidRPr="00E426D3">
        <w:t>innanriks</w:t>
      </w:r>
      <w:proofErr w:type="spellEnd"/>
      <w:r w:rsidRPr="00E426D3">
        <w:t xml:space="preserve"> kvotepliktig luftfart og </w:t>
      </w:r>
      <w:proofErr w:type="spellStart"/>
      <w:r w:rsidRPr="00E426D3">
        <w:t>utanriks</w:t>
      </w:r>
      <w:proofErr w:type="spellEnd"/>
      <w:r w:rsidRPr="00E426D3">
        <w:t xml:space="preserve"> luftfart er det </w:t>
      </w:r>
      <w:proofErr w:type="spellStart"/>
      <w:r w:rsidRPr="00E426D3">
        <w:t>dyrare</w:t>
      </w:r>
      <w:proofErr w:type="spellEnd"/>
      <w:r w:rsidRPr="00E426D3">
        <w:t xml:space="preserve"> å tanke </w:t>
      </w:r>
      <w:proofErr w:type="spellStart"/>
      <w:r w:rsidRPr="00E426D3">
        <w:t>frå</w:t>
      </w:r>
      <w:proofErr w:type="spellEnd"/>
      <w:r w:rsidRPr="00E426D3">
        <w:t xml:space="preserve"> Forsvarets tankanlegg enn </w:t>
      </w:r>
      <w:proofErr w:type="spellStart"/>
      <w:r w:rsidRPr="00E426D3">
        <w:t>frå</w:t>
      </w:r>
      <w:proofErr w:type="spellEnd"/>
      <w:r w:rsidRPr="00E426D3">
        <w:t xml:space="preserve"> andre. Dette kan </w:t>
      </w:r>
      <w:proofErr w:type="spellStart"/>
      <w:r w:rsidRPr="00E426D3">
        <w:t>påverke</w:t>
      </w:r>
      <w:proofErr w:type="spellEnd"/>
      <w:r w:rsidRPr="00E426D3">
        <w:t xml:space="preserve"> konkurransen mellom flyplassene og medføre </w:t>
      </w:r>
      <w:proofErr w:type="spellStart"/>
      <w:r w:rsidRPr="00E426D3">
        <w:t>auka</w:t>
      </w:r>
      <w:proofErr w:type="spellEnd"/>
      <w:r w:rsidRPr="00E426D3">
        <w:t xml:space="preserve"> klimagassutslepp ved at det </w:t>
      </w:r>
      <w:proofErr w:type="spellStart"/>
      <w:r w:rsidRPr="00E426D3">
        <w:t>ikkje</w:t>
      </w:r>
      <w:proofErr w:type="spellEnd"/>
      <w:r w:rsidRPr="00E426D3">
        <w:t xml:space="preserve"> vert tanka på </w:t>
      </w:r>
      <w:proofErr w:type="spellStart"/>
      <w:r w:rsidRPr="00E426D3">
        <w:t>næraste</w:t>
      </w:r>
      <w:proofErr w:type="spellEnd"/>
      <w:r w:rsidRPr="00E426D3">
        <w:t xml:space="preserve"> flyplass.</w:t>
      </w:r>
    </w:p>
    <w:p w14:paraId="5ADBC5F6" w14:textId="77777777" w:rsidR="00772748" w:rsidRPr="00E426D3" w:rsidRDefault="00772748" w:rsidP="00E426D3">
      <w:r w:rsidRPr="00E426D3">
        <w:t>Departementet foreslår ei ordning med refusjon av CO</w:t>
      </w:r>
      <w:r w:rsidRPr="00E426D3">
        <w:rPr>
          <w:rStyle w:val="skrift-senket"/>
        </w:rPr>
        <w:t>2</w:t>
      </w:r>
      <w:r w:rsidRPr="00E426D3">
        <w:t xml:space="preserve">-avgift for mineralolje som er kjøpt </w:t>
      </w:r>
      <w:proofErr w:type="spellStart"/>
      <w:r w:rsidRPr="00E426D3">
        <w:t>frå</w:t>
      </w:r>
      <w:proofErr w:type="spellEnd"/>
      <w:r w:rsidRPr="00E426D3">
        <w:t xml:space="preserve"> Forsvarets tankanlegg dersom </w:t>
      </w:r>
      <w:proofErr w:type="spellStart"/>
      <w:r w:rsidRPr="00E426D3">
        <w:t>brukaren</w:t>
      </w:r>
      <w:proofErr w:type="spellEnd"/>
      <w:r w:rsidRPr="00E426D3">
        <w:t xml:space="preserve"> har rett til fritak eller redusert sats. Ordninga vil </w:t>
      </w:r>
      <w:proofErr w:type="spellStart"/>
      <w:r w:rsidRPr="00E426D3">
        <w:t>verte</w:t>
      </w:r>
      <w:proofErr w:type="spellEnd"/>
      <w:r w:rsidRPr="00E426D3">
        <w:t xml:space="preserve"> </w:t>
      </w:r>
      <w:proofErr w:type="spellStart"/>
      <w:r w:rsidRPr="00E426D3">
        <w:t>nærare</w:t>
      </w:r>
      <w:proofErr w:type="spellEnd"/>
      <w:r w:rsidRPr="00E426D3">
        <w:t xml:space="preserve"> regulert i </w:t>
      </w:r>
      <w:proofErr w:type="spellStart"/>
      <w:r w:rsidRPr="00E426D3">
        <w:t>særavgiftsforskrifta</w:t>
      </w:r>
      <w:proofErr w:type="spellEnd"/>
      <w:r w:rsidRPr="00E426D3">
        <w:t xml:space="preserve">, fastsett i </w:t>
      </w:r>
      <w:proofErr w:type="gramStart"/>
      <w:r w:rsidRPr="00E426D3">
        <w:t>medhold av</w:t>
      </w:r>
      <w:proofErr w:type="gramEnd"/>
      <w:r w:rsidRPr="00E426D3">
        <w:t xml:space="preserve"> særavgiftsloven og Stortinget sitt vedtak om CO</w:t>
      </w:r>
      <w:r w:rsidRPr="00E426D3">
        <w:rPr>
          <w:rStyle w:val="skrift-senket"/>
        </w:rPr>
        <w:t>2</w:t>
      </w:r>
      <w:r w:rsidRPr="00E426D3">
        <w:t xml:space="preserve">-avgift på mineralske produkt. Framlegget har </w:t>
      </w:r>
      <w:proofErr w:type="spellStart"/>
      <w:r w:rsidRPr="00E426D3">
        <w:t>vore</w:t>
      </w:r>
      <w:proofErr w:type="spellEnd"/>
      <w:r w:rsidRPr="00E426D3">
        <w:t xml:space="preserve"> på </w:t>
      </w:r>
      <w:proofErr w:type="spellStart"/>
      <w:r w:rsidRPr="00E426D3">
        <w:t>høyring</w:t>
      </w:r>
      <w:proofErr w:type="spellEnd"/>
      <w:r w:rsidRPr="00E426D3">
        <w:t xml:space="preserve">. </w:t>
      </w:r>
      <w:proofErr w:type="spellStart"/>
      <w:r w:rsidRPr="00E426D3">
        <w:t>Høyringsinstansane</w:t>
      </w:r>
      <w:proofErr w:type="spellEnd"/>
      <w:r w:rsidRPr="00E426D3">
        <w:t xml:space="preserve"> er positive til framlegget. Enkelte merknader er knytte til tekniske forhold ved ordninga. Departementet vil sjå </w:t>
      </w:r>
      <w:proofErr w:type="spellStart"/>
      <w:r w:rsidRPr="00E426D3">
        <w:t>nærare</w:t>
      </w:r>
      <w:proofErr w:type="spellEnd"/>
      <w:r w:rsidRPr="00E426D3">
        <w:t xml:space="preserve"> på </w:t>
      </w:r>
      <w:proofErr w:type="spellStart"/>
      <w:r w:rsidRPr="00E426D3">
        <w:t>desse</w:t>
      </w:r>
      <w:proofErr w:type="spellEnd"/>
      <w:r w:rsidRPr="00E426D3">
        <w:t xml:space="preserve"> ved </w:t>
      </w:r>
      <w:proofErr w:type="spellStart"/>
      <w:r w:rsidRPr="00E426D3">
        <w:t>fastsetjing</w:t>
      </w:r>
      <w:proofErr w:type="spellEnd"/>
      <w:r w:rsidRPr="00E426D3">
        <w:t xml:space="preserve"> av forskriftsføresegner. </w:t>
      </w:r>
      <w:proofErr w:type="spellStart"/>
      <w:r w:rsidRPr="00E426D3">
        <w:t>Nokre</w:t>
      </w:r>
      <w:proofErr w:type="spellEnd"/>
      <w:r w:rsidRPr="00E426D3">
        <w:t xml:space="preserve"> </w:t>
      </w:r>
      <w:proofErr w:type="spellStart"/>
      <w:r w:rsidRPr="00E426D3">
        <w:t>høyringsinstansar</w:t>
      </w:r>
      <w:proofErr w:type="spellEnd"/>
      <w:r w:rsidRPr="00E426D3">
        <w:t xml:space="preserve"> meiner at ordninga må gjelde for kjøp som </w:t>
      </w:r>
      <w:proofErr w:type="spellStart"/>
      <w:r w:rsidRPr="00E426D3">
        <w:t>allereie</w:t>
      </w:r>
      <w:proofErr w:type="spellEnd"/>
      <w:r w:rsidRPr="00E426D3">
        <w:t xml:space="preserve"> er gjennomført. I tråd med </w:t>
      </w:r>
      <w:proofErr w:type="spellStart"/>
      <w:r w:rsidRPr="00E426D3">
        <w:t>hovudregelen</w:t>
      </w:r>
      <w:proofErr w:type="spellEnd"/>
      <w:r w:rsidRPr="00E426D3">
        <w:t xml:space="preserve"> om at </w:t>
      </w:r>
      <w:proofErr w:type="spellStart"/>
      <w:r w:rsidRPr="00E426D3">
        <w:t>regelendringar</w:t>
      </w:r>
      <w:proofErr w:type="spellEnd"/>
      <w:r w:rsidRPr="00E426D3">
        <w:t xml:space="preserve"> skal verka framover i tid, legg departementet til grunn at ordninga skal gjelde for kjøp etter 1. juli 2025.</w:t>
      </w:r>
    </w:p>
    <w:p w14:paraId="3C4652C6" w14:textId="77777777" w:rsidR="00772748" w:rsidRPr="00E426D3" w:rsidRDefault="00772748" w:rsidP="00E426D3">
      <w:r w:rsidRPr="00E426D3">
        <w:t xml:space="preserve">Framlegget gjev </w:t>
      </w:r>
      <w:proofErr w:type="spellStart"/>
      <w:r w:rsidRPr="00E426D3">
        <w:t>eit</w:t>
      </w:r>
      <w:proofErr w:type="spellEnd"/>
      <w:r w:rsidRPr="00E426D3">
        <w:t xml:space="preserve"> provenytap på 8 mill. kroner påløpt og 6 mill. kroner bokført i 2025. Heilårsverknaden av framlegget er </w:t>
      </w:r>
      <w:proofErr w:type="spellStart"/>
      <w:r w:rsidRPr="00E426D3">
        <w:t>eit</w:t>
      </w:r>
      <w:proofErr w:type="spellEnd"/>
      <w:r w:rsidRPr="00E426D3">
        <w:t xml:space="preserve"> provenytap på 15 mill. kroner.</w:t>
      </w:r>
    </w:p>
    <w:p w14:paraId="70E238B0" w14:textId="776F3A23" w:rsidR="00772748" w:rsidRPr="00E426D3" w:rsidRDefault="00772748" w:rsidP="00E426D3">
      <w:pPr>
        <w:pStyle w:val="Overskrift1"/>
      </w:pPr>
      <w:r w:rsidRPr="00E426D3">
        <w:t xml:space="preserve">Tilhøvet mellom obligatorisk og lokal reduksjonsfaktor i </w:t>
      </w:r>
      <w:proofErr w:type="spellStart"/>
      <w:r w:rsidRPr="00E426D3">
        <w:t>eigedomsskatt</w:t>
      </w:r>
      <w:proofErr w:type="spellEnd"/>
      <w:r w:rsidRPr="00E426D3">
        <w:t xml:space="preserve"> på bustad- og </w:t>
      </w:r>
      <w:proofErr w:type="spellStart"/>
      <w:r w:rsidRPr="00E426D3">
        <w:t>fritidsbustader</w:t>
      </w:r>
      <w:proofErr w:type="spellEnd"/>
    </w:p>
    <w:p w14:paraId="31A5B212" w14:textId="77777777" w:rsidR="00772748" w:rsidRPr="00E426D3" w:rsidRDefault="00772748" w:rsidP="00E426D3">
      <w:pPr>
        <w:pStyle w:val="Overskrift2"/>
      </w:pPr>
      <w:r w:rsidRPr="00E426D3">
        <w:t xml:space="preserve">Innleiing og </w:t>
      </w:r>
      <w:proofErr w:type="spellStart"/>
      <w:r w:rsidRPr="00E426D3">
        <w:t>samandrag</w:t>
      </w:r>
      <w:proofErr w:type="spellEnd"/>
    </w:p>
    <w:p w14:paraId="3CAD3960" w14:textId="77777777" w:rsidR="00772748" w:rsidRPr="00E426D3" w:rsidRDefault="00772748" w:rsidP="00E426D3">
      <w:r w:rsidRPr="00E426D3">
        <w:t xml:space="preserve">Eidsivating lagmannsrett avsa den 9. oktober 2023 dom i sak mellom Elverum kommune og Mastemoen borettslag. Saka </w:t>
      </w:r>
      <w:proofErr w:type="spellStart"/>
      <w:r w:rsidRPr="00E426D3">
        <w:t>galdt</w:t>
      </w:r>
      <w:proofErr w:type="spellEnd"/>
      <w:r w:rsidRPr="00E426D3">
        <w:t xml:space="preserve"> høvet mellom obligatorisk og lokal reduksjonsfaktor ved utskriving av </w:t>
      </w:r>
      <w:proofErr w:type="spellStart"/>
      <w:r w:rsidRPr="00E426D3">
        <w:t>eigedomsskatt</w:t>
      </w:r>
      <w:proofErr w:type="spellEnd"/>
      <w:r w:rsidRPr="00E426D3">
        <w:t xml:space="preserve"> på </w:t>
      </w:r>
      <w:proofErr w:type="spellStart"/>
      <w:r w:rsidRPr="00E426D3">
        <w:t>bustadeigedom</w:t>
      </w:r>
      <w:proofErr w:type="spellEnd"/>
      <w:r w:rsidRPr="00E426D3">
        <w:t xml:space="preserve"> som er verdsatt ved bruk av </w:t>
      </w:r>
      <w:proofErr w:type="spellStart"/>
      <w:r w:rsidRPr="00E426D3">
        <w:t>formuesgrunnlag</w:t>
      </w:r>
      <w:proofErr w:type="spellEnd"/>
      <w:r w:rsidRPr="00E426D3">
        <w:t xml:space="preserve"> fastsatt av Skatteetaten, jf. </w:t>
      </w:r>
      <w:proofErr w:type="spellStart"/>
      <w:r w:rsidRPr="00E426D3">
        <w:t>eigedomsskattelova</w:t>
      </w:r>
      <w:proofErr w:type="spellEnd"/>
      <w:r w:rsidRPr="00E426D3">
        <w:t xml:space="preserve"> § 8 C-1. Dommen er rettskraftig.</w:t>
      </w:r>
    </w:p>
    <w:p w14:paraId="5C7EF3BC" w14:textId="77777777" w:rsidR="00772748" w:rsidRPr="00E426D3" w:rsidRDefault="00772748" w:rsidP="00E426D3">
      <w:r w:rsidRPr="00E426D3">
        <w:t xml:space="preserve">Det følgjer av </w:t>
      </w:r>
      <w:proofErr w:type="spellStart"/>
      <w:r w:rsidRPr="00E426D3">
        <w:t>eigedomsskattelova</w:t>
      </w:r>
      <w:proofErr w:type="spellEnd"/>
      <w:r w:rsidRPr="00E426D3">
        <w:t xml:space="preserve"> § 8 A-2 fyrste ledd fyrste punktum at skattegrunnlaget ved utskriving av </w:t>
      </w:r>
      <w:proofErr w:type="spellStart"/>
      <w:r w:rsidRPr="00E426D3">
        <w:t>eigedomsskatt</w:t>
      </w:r>
      <w:proofErr w:type="spellEnd"/>
      <w:r w:rsidRPr="00E426D3">
        <w:t xml:space="preserve"> skal </w:t>
      </w:r>
      <w:proofErr w:type="spellStart"/>
      <w:r w:rsidRPr="00E426D3">
        <w:t>byggje</w:t>
      </w:r>
      <w:proofErr w:type="spellEnd"/>
      <w:r w:rsidRPr="00E426D3">
        <w:t xml:space="preserve"> på </w:t>
      </w:r>
      <w:proofErr w:type="spellStart"/>
      <w:r w:rsidRPr="00E426D3">
        <w:t>marknadsverdien</w:t>
      </w:r>
      <w:proofErr w:type="spellEnd"/>
      <w:r w:rsidRPr="00E426D3">
        <w:t xml:space="preserve"> til </w:t>
      </w:r>
      <w:proofErr w:type="spellStart"/>
      <w:r w:rsidRPr="00E426D3">
        <w:t>eigedomane</w:t>
      </w:r>
      <w:proofErr w:type="spellEnd"/>
      <w:r w:rsidRPr="00E426D3">
        <w:t xml:space="preserve"> når </w:t>
      </w:r>
      <w:proofErr w:type="spellStart"/>
      <w:r w:rsidRPr="00E426D3">
        <w:t>dei</w:t>
      </w:r>
      <w:proofErr w:type="spellEnd"/>
      <w:r w:rsidRPr="00E426D3">
        <w:t xml:space="preserve"> vert takserte. For bustad og </w:t>
      </w:r>
      <w:proofErr w:type="spellStart"/>
      <w:r w:rsidRPr="00E426D3">
        <w:t>fritidsbustader</w:t>
      </w:r>
      <w:proofErr w:type="spellEnd"/>
      <w:r w:rsidRPr="00E426D3">
        <w:t xml:space="preserve"> </w:t>
      </w:r>
      <w:proofErr w:type="spellStart"/>
      <w:r w:rsidRPr="00E426D3">
        <w:t>fastset</w:t>
      </w:r>
      <w:proofErr w:type="spellEnd"/>
      <w:r w:rsidRPr="00E426D3">
        <w:t xml:space="preserve"> </w:t>
      </w:r>
      <w:proofErr w:type="spellStart"/>
      <w:r w:rsidRPr="00E426D3">
        <w:t>eigedomsskattelova</w:t>
      </w:r>
      <w:proofErr w:type="spellEnd"/>
      <w:r w:rsidRPr="00E426D3">
        <w:t xml:space="preserve"> § 8 A-2 fyrste ledd andre punktum at det fastsette </w:t>
      </w:r>
      <w:proofErr w:type="spellStart"/>
      <w:r w:rsidRPr="00E426D3">
        <w:t>verdet</w:t>
      </w:r>
      <w:proofErr w:type="spellEnd"/>
      <w:r w:rsidRPr="00E426D3">
        <w:t xml:space="preserve"> (taksten) skal </w:t>
      </w:r>
      <w:proofErr w:type="spellStart"/>
      <w:r w:rsidRPr="00E426D3">
        <w:t>reduserast</w:t>
      </w:r>
      <w:proofErr w:type="spellEnd"/>
      <w:r w:rsidRPr="00E426D3">
        <w:t xml:space="preserve"> med 30 pst. Òg når kommunen vel å </w:t>
      </w:r>
      <w:proofErr w:type="spellStart"/>
      <w:r w:rsidRPr="00E426D3">
        <w:t>verdsetje</w:t>
      </w:r>
      <w:proofErr w:type="spellEnd"/>
      <w:r w:rsidRPr="00E426D3">
        <w:t xml:space="preserve"> </w:t>
      </w:r>
      <w:proofErr w:type="spellStart"/>
      <w:r w:rsidRPr="00E426D3">
        <w:t>bustadeigedom</w:t>
      </w:r>
      <w:proofErr w:type="spellEnd"/>
      <w:r w:rsidRPr="00E426D3">
        <w:t xml:space="preserve"> ved bruk av </w:t>
      </w:r>
      <w:proofErr w:type="spellStart"/>
      <w:r w:rsidRPr="00E426D3">
        <w:t>formuesgrunnlag</w:t>
      </w:r>
      <w:proofErr w:type="spellEnd"/>
      <w:r w:rsidRPr="00E426D3">
        <w:t xml:space="preserve"> </w:t>
      </w:r>
      <w:proofErr w:type="spellStart"/>
      <w:r w:rsidRPr="00E426D3">
        <w:t>frå</w:t>
      </w:r>
      <w:proofErr w:type="spellEnd"/>
      <w:r w:rsidRPr="00E426D3">
        <w:t xml:space="preserve"> Skatteetaten gjeld det </w:t>
      </w:r>
      <w:proofErr w:type="spellStart"/>
      <w:r w:rsidRPr="00E426D3">
        <w:t>ein</w:t>
      </w:r>
      <w:proofErr w:type="spellEnd"/>
      <w:r w:rsidRPr="00E426D3">
        <w:t xml:space="preserve"> regel om </w:t>
      </w:r>
      <w:proofErr w:type="spellStart"/>
      <w:r w:rsidRPr="00E426D3">
        <w:t>eit</w:t>
      </w:r>
      <w:proofErr w:type="spellEnd"/>
      <w:r w:rsidRPr="00E426D3">
        <w:t xml:space="preserve"> </w:t>
      </w:r>
      <w:proofErr w:type="spellStart"/>
      <w:r w:rsidRPr="00E426D3">
        <w:t>tilsvarande</w:t>
      </w:r>
      <w:proofErr w:type="spellEnd"/>
      <w:r w:rsidRPr="00E426D3">
        <w:t xml:space="preserve"> </w:t>
      </w:r>
      <w:proofErr w:type="spellStart"/>
      <w:r w:rsidRPr="00E426D3">
        <w:t>frådrag</w:t>
      </w:r>
      <w:proofErr w:type="spellEnd"/>
      <w:r w:rsidRPr="00E426D3">
        <w:t xml:space="preserve">, jf. </w:t>
      </w:r>
      <w:proofErr w:type="spellStart"/>
      <w:r w:rsidRPr="00E426D3">
        <w:t>eigedomsskattelova</w:t>
      </w:r>
      <w:proofErr w:type="spellEnd"/>
      <w:r w:rsidRPr="00E426D3">
        <w:t xml:space="preserve"> § 8 C-1 andre ledd. </w:t>
      </w:r>
      <w:proofErr w:type="spellStart"/>
      <w:r w:rsidRPr="00E426D3">
        <w:t>Desse</w:t>
      </w:r>
      <w:proofErr w:type="spellEnd"/>
      <w:r w:rsidRPr="00E426D3">
        <w:t xml:space="preserve"> </w:t>
      </w:r>
      <w:proofErr w:type="spellStart"/>
      <w:r w:rsidRPr="00E426D3">
        <w:t>frådraga</w:t>
      </w:r>
      <w:proofErr w:type="spellEnd"/>
      <w:r w:rsidRPr="00E426D3">
        <w:t xml:space="preserve"> vert i juridisk teori og praksis </w:t>
      </w:r>
      <w:proofErr w:type="spellStart"/>
      <w:r w:rsidRPr="00E426D3">
        <w:t>omtala</w:t>
      </w:r>
      <w:proofErr w:type="spellEnd"/>
      <w:r w:rsidRPr="00E426D3">
        <w:t xml:space="preserve"> som «obligatorisk reduksjonsfaktor».</w:t>
      </w:r>
    </w:p>
    <w:p w14:paraId="0D5967AA" w14:textId="77777777" w:rsidR="00772748" w:rsidRPr="00E426D3" w:rsidRDefault="00772748" w:rsidP="00E426D3">
      <w:r w:rsidRPr="00E426D3">
        <w:t xml:space="preserve">Slik lovbestemt obligatorisk </w:t>
      </w:r>
      <w:proofErr w:type="spellStart"/>
      <w:r w:rsidRPr="00E426D3">
        <w:t>reduksjonfaktor</w:t>
      </w:r>
      <w:proofErr w:type="spellEnd"/>
      <w:r w:rsidRPr="00E426D3">
        <w:t xml:space="preserve"> må </w:t>
      </w:r>
      <w:proofErr w:type="spellStart"/>
      <w:r w:rsidRPr="00E426D3">
        <w:t>haldast</w:t>
      </w:r>
      <w:proofErr w:type="spellEnd"/>
      <w:r w:rsidRPr="00E426D3">
        <w:t xml:space="preserve"> </w:t>
      </w:r>
      <w:proofErr w:type="spellStart"/>
      <w:r w:rsidRPr="00E426D3">
        <w:t>frå</w:t>
      </w:r>
      <w:proofErr w:type="spellEnd"/>
      <w:r w:rsidRPr="00E426D3">
        <w:t xml:space="preserve"> det som vert </w:t>
      </w:r>
      <w:proofErr w:type="spellStart"/>
      <w:r w:rsidRPr="00E426D3">
        <w:t>omtala</w:t>
      </w:r>
      <w:proofErr w:type="spellEnd"/>
      <w:r w:rsidRPr="00E426D3">
        <w:t xml:space="preserve"> som «lokal reduksjonsfaktor». Lokal reduksjonsfaktor tyder at kommunen gjev </w:t>
      </w:r>
      <w:proofErr w:type="spellStart"/>
      <w:r w:rsidRPr="00E426D3">
        <w:t>eit</w:t>
      </w:r>
      <w:proofErr w:type="spellEnd"/>
      <w:r w:rsidRPr="00E426D3">
        <w:t xml:space="preserve"> prosentvis likt </w:t>
      </w:r>
      <w:proofErr w:type="spellStart"/>
      <w:r w:rsidRPr="00E426D3">
        <w:t>frådrag</w:t>
      </w:r>
      <w:proofErr w:type="spellEnd"/>
      <w:r w:rsidRPr="00E426D3">
        <w:t xml:space="preserve"> i </w:t>
      </w:r>
      <w:proofErr w:type="spellStart"/>
      <w:r w:rsidRPr="00E426D3">
        <w:t>verdet</w:t>
      </w:r>
      <w:proofErr w:type="spellEnd"/>
      <w:r w:rsidRPr="00E426D3">
        <w:t xml:space="preserve"> (</w:t>
      </w:r>
      <w:proofErr w:type="spellStart"/>
      <w:r w:rsidRPr="00E426D3">
        <w:t>takstane</w:t>
      </w:r>
      <w:proofErr w:type="spellEnd"/>
      <w:r w:rsidRPr="00E426D3">
        <w:t xml:space="preserve">) for alle </w:t>
      </w:r>
      <w:proofErr w:type="spellStart"/>
      <w:r w:rsidRPr="00E426D3">
        <w:t>typar</w:t>
      </w:r>
      <w:proofErr w:type="spellEnd"/>
      <w:r w:rsidRPr="00E426D3">
        <w:t xml:space="preserve"> </w:t>
      </w:r>
      <w:proofErr w:type="spellStart"/>
      <w:r w:rsidRPr="00E426D3">
        <w:t>eigedom</w:t>
      </w:r>
      <w:proofErr w:type="spellEnd"/>
      <w:r w:rsidRPr="00E426D3">
        <w:t xml:space="preserve">. Bruken av lokal reduksjonsfaktor er </w:t>
      </w:r>
      <w:proofErr w:type="spellStart"/>
      <w:r w:rsidRPr="00E426D3">
        <w:t>ikkje</w:t>
      </w:r>
      <w:proofErr w:type="spellEnd"/>
      <w:r w:rsidRPr="00E426D3">
        <w:t xml:space="preserve"> lovfesta, men er utvikla gjennom kommunal praksis. Det er kommunestyret i den </w:t>
      </w:r>
      <w:proofErr w:type="spellStart"/>
      <w:r w:rsidRPr="00E426D3">
        <w:t>einskilde</w:t>
      </w:r>
      <w:proofErr w:type="spellEnd"/>
      <w:r w:rsidRPr="00E426D3">
        <w:t xml:space="preserve"> kommune som </w:t>
      </w:r>
      <w:proofErr w:type="spellStart"/>
      <w:r w:rsidRPr="00E426D3">
        <w:t>avgjer</w:t>
      </w:r>
      <w:proofErr w:type="spellEnd"/>
      <w:r w:rsidRPr="00E426D3">
        <w:t xml:space="preserve"> om </w:t>
      </w:r>
      <w:proofErr w:type="spellStart"/>
      <w:r w:rsidRPr="00E426D3">
        <w:t>dei</w:t>
      </w:r>
      <w:proofErr w:type="spellEnd"/>
      <w:r w:rsidRPr="00E426D3">
        <w:t xml:space="preserve"> vil nytte lokal reduksjonsfaktor.</w:t>
      </w:r>
    </w:p>
    <w:p w14:paraId="39EA9B9B" w14:textId="77777777" w:rsidR="00772748" w:rsidRPr="00E426D3" w:rsidRDefault="00772748" w:rsidP="00E426D3">
      <w:r w:rsidRPr="00E426D3">
        <w:t xml:space="preserve">For </w:t>
      </w:r>
      <w:proofErr w:type="spellStart"/>
      <w:r w:rsidRPr="00E426D3">
        <w:t>kommunar</w:t>
      </w:r>
      <w:proofErr w:type="spellEnd"/>
      <w:r w:rsidRPr="00E426D3">
        <w:t xml:space="preserve"> som skriv ut </w:t>
      </w:r>
      <w:proofErr w:type="spellStart"/>
      <w:r w:rsidRPr="00E426D3">
        <w:t>eigedomsskatt</w:t>
      </w:r>
      <w:proofErr w:type="spellEnd"/>
      <w:r w:rsidRPr="00E426D3">
        <w:t xml:space="preserve"> på </w:t>
      </w:r>
      <w:proofErr w:type="spellStart"/>
      <w:r w:rsidRPr="00E426D3">
        <w:t>bustader</w:t>
      </w:r>
      <w:proofErr w:type="spellEnd"/>
      <w:r w:rsidRPr="00E426D3">
        <w:t xml:space="preserve"> og </w:t>
      </w:r>
      <w:proofErr w:type="spellStart"/>
      <w:r w:rsidRPr="00E426D3">
        <w:t>fritidsbustader</w:t>
      </w:r>
      <w:proofErr w:type="spellEnd"/>
      <w:r w:rsidRPr="00E426D3">
        <w:t xml:space="preserve"> og </w:t>
      </w:r>
      <w:proofErr w:type="spellStart"/>
      <w:r w:rsidRPr="00E426D3">
        <w:t>nyttar</w:t>
      </w:r>
      <w:proofErr w:type="spellEnd"/>
      <w:r w:rsidRPr="00E426D3">
        <w:t xml:space="preserve"> lokal reduksjonsfaktor vert det </w:t>
      </w:r>
      <w:proofErr w:type="spellStart"/>
      <w:r w:rsidRPr="00E426D3">
        <w:t>difor</w:t>
      </w:r>
      <w:proofErr w:type="spellEnd"/>
      <w:r w:rsidRPr="00E426D3">
        <w:t xml:space="preserve"> to </w:t>
      </w:r>
      <w:proofErr w:type="spellStart"/>
      <w:r w:rsidRPr="00E426D3">
        <w:t>reduksjonsfaktorar</w:t>
      </w:r>
      <w:proofErr w:type="spellEnd"/>
      <w:r w:rsidRPr="00E426D3">
        <w:t xml:space="preserve">. </w:t>
      </w:r>
      <w:proofErr w:type="spellStart"/>
      <w:r w:rsidRPr="00E426D3">
        <w:t>Kommunane</w:t>
      </w:r>
      <w:proofErr w:type="spellEnd"/>
      <w:r w:rsidRPr="00E426D3">
        <w:t xml:space="preserve"> har i sin praksis lagt til grunn at det </w:t>
      </w:r>
      <w:proofErr w:type="spellStart"/>
      <w:r w:rsidRPr="00E426D3">
        <w:t>berre</w:t>
      </w:r>
      <w:proofErr w:type="spellEnd"/>
      <w:r w:rsidRPr="00E426D3">
        <w:t xml:space="preserve"> skal </w:t>
      </w:r>
      <w:proofErr w:type="spellStart"/>
      <w:r w:rsidRPr="00E426D3">
        <w:t>gjerast</w:t>
      </w:r>
      <w:proofErr w:type="spellEnd"/>
      <w:r w:rsidRPr="00E426D3">
        <w:t xml:space="preserve"> </w:t>
      </w:r>
      <w:proofErr w:type="spellStart"/>
      <w:r w:rsidRPr="00E426D3">
        <w:t>frådrag</w:t>
      </w:r>
      <w:proofErr w:type="spellEnd"/>
      <w:r w:rsidRPr="00E426D3">
        <w:t xml:space="preserve"> for den </w:t>
      </w:r>
      <w:proofErr w:type="spellStart"/>
      <w:r w:rsidRPr="00E426D3">
        <w:t>høgste</w:t>
      </w:r>
      <w:proofErr w:type="spellEnd"/>
      <w:r w:rsidRPr="00E426D3">
        <w:t xml:space="preserve"> av obligatorisk og lokal reduksjonsfaktor. Dette er i samsvar med fråsegner </w:t>
      </w:r>
      <w:proofErr w:type="spellStart"/>
      <w:r w:rsidRPr="00E426D3">
        <w:t>frå</w:t>
      </w:r>
      <w:proofErr w:type="spellEnd"/>
      <w:r w:rsidRPr="00E426D3">
        <w:t xml:space="preserve"> departementet med omsyn til tolking av </w:t>
      </w:r>
      <w:proofErr w:type="spellStart"/>
      <w:r w:rsidRPr="00E426D3">
        <w:t>eigedomsskatelova</w:t>
      </w:r>
      <w:proofErr w:type="spellEnd"/>
      <w:r w:rsidRPr="00E426D3">
        <w:t xml:space="preserve">. Til skilnad </w:t>
      </w:r>
      <w:proofErr w:type="spellStart"/>
      <w:r w:rsidRPr="00E426D3">
        <w:t>frå</w:t>
      </w:r>
      <w:proofErr w:type="spellEnd"/>
      <w:r w:rsidRPr="00E426D3">
        <w:t xml:space="preserve"> </w:t>
      </w:r>
      <w:proofErr w:type="spellStart"/>
      <w:r w:rsidRPr="00E426D3">
        <w:t>tidlegare</w:t>
      </w:r>
      <w:proofErr w:type="spellEnd"/>
      <w:r w:rsidRPr="00E426D3">
        <w:t xml:space="preserve"> praksis, slo Eidsivating lagmannsrett i </w:t>
      </w:r>
      <w:proofErr w:type="spellStart"/>
      <w:r w:rsidRPr="00E426D3">
        <w:t>ovannemnde</w:t>
      </w:r>
      <w:proofErr w:type="spellEnd"/>
      <w:r w:rsidRPr="00E426D3">
        <w:t xml:space="preserve"> dom fast at ordlyden i </w:t>
      </w:r>
      <w:proofErr w:type="spellStart"/>
      <w:r w:rsidRPr="00E426D3">
        <w:lastRenderedPageBreak/>
        <w:t>eigedomsskattelova</w:t>
      </w:r>
      <w:proofErr w:type="spellEnd"/>
      <w:r w:rsidRPr="00E426D3">
        <w:t xml:space="preserve"> </w:t>
      </w:r>
      <w:proofErr w:type="spellStart"/>
      <w:r w:rsidRPr="00E426D3">
        <w:t>tilseier</w:t>
      </w:r>
      <w:proofErr w:type="spellEnd"/>
      <w:r w:rsidRPr="00E426D3">
        <w:t xml:space="preserve"> at det skal </w:t>
      </w:r>
      <w:proofErr w:type="spellStart"/>
      <w:r w:rsidRPr="00E426D3">
        <w:t>gjerast</w:t>
      </w:r>
      <w:proofErr w:type="spellEnd"/>
      <w:r w:rsidRPr="00E426D3">
        <w:t xml:space="preserve"> </w:t>
      </w:r>
      <w:proofErr w:type="spellStart"/>
      <w:r w:rsidRPr="00E426D3">
        <w:t>frådrag</w:t>
      </w:r>
      <w:proofErr w:type="spellEnd"/>
      <w:r w:rsidRPr="00E426D3">
        <w:t xml:space="preserve"> både for obligatorisk og lokal reduksjonsfaktor for </w:t>
      </w:r>
      <w:proofErr w:type="spellStart"/>
      <w:r w:rsidRPr="00E426D3">
        <w:t>bustadeigedom</w:t>
      </w:r>
      <w:proofErr w:type="spellEnd"/>
      <w:r w:rsidRPr="00E426D3">
        <w:t xml:space="preserve"> som er verdsatt ved bruk av </w:t>
      </w:r>
      <w:proofErr w:type="spellStart"/>
      <w:r w:rsidRPr="00E426D3">
        <w:t>formuesgrunnlag</w:t>
      </w:r>
      <w:proofErr w:type="spellEnd"/>
      <w:r w:rsidRPr="00E426D3">
        <w:t xml:space="preserve"> </w:t>
      </w:r>
      <w:proofErr w:type="spellStart"/>
      <w:r w:rsidRPr="00E426D3">
        <w:t>frå</w:t>
      </w:r>
      <w:proofErr w:type="spellEnd"/>
      <w:r w:rsidRPr="00E426D3">
        <w:t xml:space="preserve"> Skatteetaten. Dommen </w:t>
      </w:r>
      <w:proofErr w:type="spellStart"/>
      <w:r w:rsidRPr="00E426D3">
        <w:t>inneber</w:t>
      </w:r>
      <w:proofErr w:type="spellEnd"/>
      <w:r w:rsidRPr="00E426D3">
        <w:t xml:space="preserve"> at det fyrst skal </w:t>
      </w:r>
      <w:proofErr w:type="spellStart"/>
      <w:r w:rsidRPr="00E426D3">
        <w:t>gjerast</w:t>
      </w:r>
      <w:proofErr w:type="spellEnd"/>
      <w:r w:rsidRPr="00E426D3">
        <w:t xml:space="preserve"> </w:t>
      </w:r>
      <w:proofErr w:type="spellStart"/>
      <w:r w:rsidRPr="00E426D3">
        <w:t>frådrag</w:t>
      </w:r>
      <w:proofErr w:type="spellEnd"/>
      <w:r w:rsidRPr="00E426D3">
        <w:t xml:space="preserve"> for den obligatoriske reduksjonsfaktoren, og deretter for den lokale reduksjonsfaktoren i det </w:t>
      </w:r>
      <w:proofErr w:type="spellStart"/>
      <w:r w:rsidRPr="00E426D3">
        <w:t>allereie</w:t>
      </w:r>
      <w:proofErr w:type="spellEnd"/>
      <w:r w:rsidRPr="00E426D3">
        <w:t xml:space="preserve"> reduserte grunnlaget.</w:t>
      </w:r>
    </w:p>
    <w:p w14:paraId="786061A5" w14:textId="77777777" w:rsidR="00772748" w:rsidRPr="00E426D3" w:rsidRDefault="00772748" w:rsidP="00E426D3">
      <w:r w:rsidRPr="00E426D3">
        <w:t xml:space="preserve">Dommen bryt med </w:t>
      </w:r>
      <w:proofErr w:type="spellStart"/>
      <w:r w:rsidRPr="00E426D3">
        <w:t>eit</w:t>
      </w:r>
      <w:proofErr w:type="spellEnd"/>
      <w:r w:rsidRPr="00E426D3">
        <w:t xml:space="preserve"> prinsipp om likebehandling i </w:t>
      </w:r>
      <w:proofErr w:type="spellStart"/>
      <w:r w:rsidRPr="00E426D3">
        <w:t>eigedomsskatten</w:t>
      </w:r>
      <w:proofErr w:type="spellEnd"/>
      <w:r w:rsidRPr="00E426D3">
        <w:t xml:space="preserve">, ved at det totale </w:t>
      </w:r>
      <w:proofErr w:type="spellStart"/>
      <w:r w:rsidRPr="00E426D3">
        <w:t>frådraget</w:t>
      </w:r>
      <w:proofErr w:type="spellEnd"/>
      <w:r w:rsidRPr="00E426D3">
        <w:t xml:space="preserve"> vert ulikt for same type </w:t>
      </w:r>
      <w:proofErr w:type="spellStart"/>
      <w:r w:rsidRPr="00E426D3">
        <w:t>eigedom</w:t>
      </w:r>
      <w:proofErr w:type="spellEnd"/>
      <w:r w:rsidRPr="00E426D3">
        <w:t xml:space="preserve"> avhengig av metoden kommunen </w:t>
      </w:r>
      <w:proofErr w:type="spellStart"/>
      <w:r w:rsidRPr="00E426D3">
        <w:t>nyttar</w:t>
      </w:r>
      <w:proofErr w:type="spellEnd"/>
      <w:r w:rsidRPr="00E426D3">
        <w:t xml:space="preserve"> for verdsettinga. Dette </w:t>
      </w:r>
      <w:proofErr w:type="spellStart"/>
      <w:r w:rsidRPr="00E426D3">
        <w:t>gjer</w:t>
      </w:r>
      <w:proofErr w:type="spellEnd"/>
      <w:r w:rsidRPr="00E426D3">
        <w:t xml:space="preserve"> òg at val av verdsettingsmetode for </w:t>
      </w:r>
      <w:proofErr w:type="spellStart"/>
      <w:r w:rsidRPr="00E426D3">
        <w:t>bustadeigedom</w:t>
      </w:r>
      <w:proofErr w:type="spellEnd"/>
      <w:r w:rsidRPr="00E426D3">
        <w:t xml:space="preserve"> </w:t>
      </w:r>
      <w:proofErr w:type="spellStart"/>
      <w:r w:rsidRPr="00E426D3">
        <w:t>ikkje</w:t>
      </w:r>
      <w:proofErr w:type="spellEnd"/>
      <w:r w:rsidRPr="00E426D3">
        <w:t xml:space="preserve"> lenger er nøytralt. På bakgrunn av </w:t>
      </w:r>
      <w:proofErr w:type="spellStart"/>
      <w:r w:rsidRPr="00E426D3">
        <w:t>desse</w:t>
      </w:r>
      <w:proofErr w:type="spellEnd"/>
      <w:r w:rsidRPr="00E426D3">
        <w:t xml:space="preserve"> forholda </w:t>
      </w:r>
      <w:proofErr w:type="spellStart"/>
      <w:r w:rsidRPr="00E426D3">
        <w:t>gjer</w:t>
      </w:r>
      <w:proofErr w:type="spellEnd"/>
      <w:r w:rsidRPr="00E426D3">
        <w:t xml:space="preserve"> departementet framlegg om lovendring for å presisere prinsippa for </w:t>
      </w:r>
      <w:proofErr w:type="spellStart"/>
      <w:r w:rsidRPr="00E426D3">
        <w:t>berekning</w:t>
      </w:r>
      <w:proofErr w:type="spellEnd"/>
      <w:r w:rsidRPr="00E426D3">
        <w:t xml:space="preserve"> av </w:t>
      </w:r>
      <w:proofErr w:type="spellStart"/>
      <w:r w:rsidRPr="00E426D3">
        <w:t>frådrag</w:t>
      </w:r>
      <w:proofErr w:type="spellEnd"/>
      <w:r w:rsidRPr="00E426D3">
        <w:t xml:space="preserve"> når </w:t>
      </w:r>
      <w:proofErr w:type="spellStart"/>
      <w:r w:rsidRPr="00E426D3">
        <w:t>kommunane</w:t>
      </w:r>
      <w:proofErr w:type="spellEnd"/>
      <w:r w:rsidRPr="00E426D3">
        <w:t xml:space="preserve"> </w:t>
      </w:r>
      <w:proofErr w:type="spellStart"/>
      <w:r w:rsidRPr="00E426D3">
        <w:t>nyttar</w:t>
      </w:r>
      <w:proofErr w:type="spellEnd"/>
      <w:r w:rsidRPr="00E426D3">
        <w:t xml:space="preserve"> lokal reduksjonsfaktor i tillegg til den obligatoriske. Departementet </w:t>
      </w:r>
      <w:proofErr w:type="spellStart"/>
      <w:r w:rsidRPr="00E426D3">
        <w:t>gjer</w:t>
      </w:r>
      <w:proofErr w:type="spellEnd"/>
      <w:r w:rsidRPr="00E426D3">
        <w:t xml:space="preserve"> framlegg om at det </w:t>
      </w:r>
      <w:proofErr w:type="spellStart"/>
      <w:r w:rsidRPr="00E426D3">
        <w:t>ikkje</w:t>
      </w:r>
      <w:proofErr w:type="spellEnd"/>
      <w:r w:rsidRPr="00E426D3">
        <w:t xml:space="preserve"> skal </w:t>
      </w:r>
      <w:proofErr w:type="spellStart"/>
      <w:r w:rsidRPr="00E426D3">
        <w:t>gjevast</w:t>
      </w:r>
      <w:proofErr w:type="spellEnd"/>
      <w:r w:rsidRPr="00E426D3">
        <w:t xml:space="preserve"> </w:t>
      </w:r>
      <w:proofErr w:type="spellStart"/>
      <w:r w:rsidRPr="00E426D3">
        <w:t>frådrag</w:t>
      </w:r>
      <w:proofErr w:type="spellEnd"/>
      <w:r w:rsidRPr="00E426D3">
        <w:t xml:space="preserve"> for både obligatorisk og lokal reduksjonsfaktor. Det vert gjort framlegg om slik presisering i både </w:t>
      </w:r>
      <w:proofErr w:type="spellStart"/>
      <w:r w:rsidRPr="00E426D3">
        <w:t>eigedomsskattelova</w:t>
      </w:r>
      <w:proofErr w:type="spellEnd"/>
      <w:r w:rsidRPr="00E426D3">
        <w:t xml:space="preserve"> § 8 A-2 og § 8 C-1. Dette </w:t>
      </w:r>
      <w:proofErr w:type="spellStart"/>
      <w:r w:rsidRPr="00E426D3">
        <w:t>gjer</w:t>
      </w:r>
      <w:proofErr w:type="spellEnd"/>
      <w:r w:rsidRPr="00E426D3">
        <w:t xml:space="preserve"> at regelen vert generell, og vil gjelde uavhengig av kva metode for </w:t>
      </w:r>
      <w:proofErr w:type="spellStart"/>
      <w:r w:rsidRPr="00E426D3">
        <w:t>verdsetjing</w:t>
      </w:r>
      <w:proofErr w:type="spellEnd"/>
      <w:r w:rsidRPr="00E426D3">
        <w:t xml:space="preserve"> kommunen har nytta for taksering av </w:t>
      </w:r>
      <w:proofErr w:type="spellStart"/>
      <w:r w:rsidRPr="00E426D3">
        <w:t>bustader</w:t>
      </w:r>
      <w:proofErr w:type="spellEnd"/>
      <w:r w:rsidRPr="00E426D3">
        <w:t xml:space="preserve"> og </w:t>
      </w:r>
      <w:proofErr w:type="spellStart"/>
      <w:r w:rsidRPr="00E426D3">
        <w:t>fritidsbustader</w:t>
      </w:r>
      <w:proofErr w:type="spellEnd"/>
      <w:r w:rsidRPr="00E426D3">
        <w:t>.</w:t>
      </w:r>
    </w:p>
    <w:p w14:paraId="248EFD11" w14:textId="77777777" w:rsidR="00772748" w:rsidRPr="00E426D3" w:rsidRDefault="00772748" w:rsidP="00E426D3">
      <w:r w:rsidRPr="00E426D3">
        <w:t xml:space="preserve">Departementet </w:t>
      </w:r>
      <w:proofErr w:type="spellStart"/>
      <w:r w:rsidRPr="00E426D3">
        <w:t>gjer</w:t>
      </w:r>
      <w:proofErr w:type="spellEnd"/>
      <w:r w:rsidRPr="00E426D3">
        <w:t xml:space="preserve"> framlegg om at </w:t>
      </w:r>
      <w:proofErr w:type="spellStart"/>
      <w:r w:rsidRPr="00E426D3">
        <w:t>endringane</w:t>
      </w:r>
      <w:proofErr w:type="spellEnd"/>
      <w:r w:rsidRPr="00E426D3">
        <w:t xml:space="preserve"> skal tre i kraft </w:t>
      </w:r>
      <w:proofErr w:type="spellStart"/>
      <w:r w:rsidRPr="00E426D3">
        <w:t>frå</w:t>
      </w:r>
      <w:proofErr w:type="spellEnd"/>
      <w:r w:rsidRPr="00E426D3">
        <w:t xml:space="preserve"> og med skatteåret 2026.</w:t>
      </w:r>
    </w:p>
    <w:p w14:paraId="1C8F2E0D" w14:textId="77777777" w:rsidR="00772748" w:rsidRPr="00E426D3" w:rsidRDefault="00772748" w:rsidP="00E426D3">
      <w:r w:rsidRPr="00E426D3">
        <w:t xml:space="preserve">Departementet syner til framlegg om endring i </w:t>
      </w:r>
      <w:proofErr w:type="spellStart"/>
      <w:r w:rsidRPr="00E426D3">
        <w:t>eigedomsskattelova</w:t>
      </w:r>
      <w:proofErr w:type="spellEnd"/>
      <w:r w:rsidRPr="00E426D3">
        <w:t xml:space="preserve"> § 8 A-2 og § 8 C-1 nytt tredje ledd.</w:t>
      </w:r>
    </w:p>
    <w:p w14:paraId="3BE65707" w14:textId="77777777" w:rsidR="00772748" w:rsidRPr="00E426D3" w:rsidRDefault="00772748" w:rsidP="00E426D3">
      <w:pPr>
        <w:pStyle w:val="Overskrift2"/>
      </w:pPr>
      <w:proofErr w:type="spellStart"/>
      <w:r w:rsidRPr="00E426D3">
        <w:t>Gjeldande</w:t>
      </w:r>
      <w:proofErr w:type="spellEnd"/>
      <w:r w:rsidRPr="00E426D3">
        <w:t xml:space="preserve"> rett</w:t>
      </w:r>
    </w:p>
    <w:p w14:paraId="0EA58B20" w14:textId="77777777" w:rsidR="00772748" w:rsidRPr="00E426D3" w:rsidRDefault="00772748" w:rsidP="00E426D3">
      <w:proofErr w:type="spellStart"/>
      <w:r w:rsidRPr="00E426D3">
        <w:t>Eigedomsskatt</w:t>
      </w:r>
      <w:proofErr w:type="spellEnd"/>
      <w:r w:rsidRPr="00E426D3">
        <w:t xml:space="preserve"> er </w:t>
      </w:r>
      <w:proofErr w:type="spellStart"/>
      <w:r w:rsidRPr="00E426D3">
        <w:t>ein</w:t>
      </w:r>
      <w:proofErr w:type="spellEnd"/>
      <w:r w:rsidRPr="00E426D3">
        <w:t xml:space="preserve"> kommunal skatt på fast </w:t>
      </w:r>
      <w:proofErr w:type="spellStart"/>
      <w:r w:rsidRPr="00E426D3">
        <w:t>eigedom</w:t>
      </w:r>
      <w:proofErr w:type="spellEnd"/>
      <w:r w:rsidRPr="00E426D3">
        <w:t xml:space="preserve">. I </w:t>
      </w:r>
      <w:proofErr w:type="spellStart"/>
      <w:r w:rsidRPr="00E426D3">
        <w:t>motsetnad</w:t>
      </w:r>
      <w:proofErr w:type="spellEnd"/>
      <w:r w:rsidRPr="00E426D3">
        <w:t xml:space="preserve"> til skatt på inntekt og formue er </w:t>
      </w:r>
      <w:proofErr w:type="spellStart"/>
      <w:r w:rsidRPr="00E426D3">
        <w:t>eigedomsskatten</w:t>
      </w:r>
      <w:proofErr w:type="spellEnd"/>
      <w:r w:rsidRPr="00E426D3">
        <w:t xml:space="preserve"> </w:t>
      </w:r>
      <w:proofErr w:type="spellStart"/>
      <w:r w:rsidRPr="00E426D3">
        <w:t>ein</w:t>
      </w:r>
      <w:proofErr w:type="spellEnd"/>
      <w:r w:rsidRPr="00E426D3">
        <w:t xml:space="preserve"> objektskatt. Høvet for </w:t>
      </w:r>
      <w:proofErr w:type="spellStart"/>
      <w:r w:rsidRPr="00E426D3">
        <w:t>kommunane</w:t>
      </w:r>
      <w:proofErr w:type="spellEnd"/>
      <w:r w:rsidRPr="00E426D3">
        <w:t xml:space="preserve"> til å skrive ut </w:t>
      </w:r>
      <w:proofErr w:type="spellStart"/>
      <w:r w:rsidRPr="00E426D3">
        <w:t>eigedomsskatt</w:t>
      </w:r>
      <w:proofErr w:type="spellEnd"/>
      <w:r w:rsidRPr="00E426D3">
        <w:t xml:space="preserve"> er regulert i lov 6. juni 1975 nr. 29 om </w:t>
      </w:r>
      <w:proofErr w:type="spellStart"/>
      <w:r w:rsidRPr="00E426D3">
        <w:t>eigedomsskatt</w:t>
      </w:r>
      <w:proofErr w:type="spellEnd"/>
      <w:r w:rsidRPr="00E426D3">
        <w:t xml:space="preserve"> til </w:t>
      </w:r>
      <w:proofErr w:type="spellStart"/>
      <w:r w:rsidRPr="00E426D3">
        <w:t>kommunane</w:t>
      </w:r>
      <w:proofErr w:type="spellEnd"/>
      <w:r w:rsidRPr="00E426D3">
        <w:t xml:space="preserve"> (</w:t>
      </w:r>
      <w:proofErr w:type="spellStart"/>
      <w:r w:rsidRPr="00E426D3">
        <w:t>eigedomsskattelova</w:t>
      </w:r>
      <w:proofErr w:type="spellEnd"/>
      <w:r w:rsidRPr="00E426D3">
        <w:t xml:space="preserve">). Det følgjer av § 2 i lova at kommunestyret </w:t>
      </w:r>
      <w:proofErr w:type="spellStart"/>
      <w:r w:rsidRPr="00E426D3">
        <w:t>avgjer</w:t>
      </w:r>
      <w:proofErr w:type="spellEnd"/>
      <w:r w:rsidRPr="00E426D3">
        <w:t xml:space="preserve"> om det skal </w:t>
      </w:r>
      <w:proofErr w:type="spellStart"/>
      <w:r w:rsidRPr="00E426D3">
        <w:t>skrivast</w:t>
      </w:r>
      <w:proofErr w:type="spellEnd"/>
      <w:r w:rsidRPr="00E426D3">
        <w:t xml:space="preserve"> ut </w:t>
      </w:r>
      <w:proofErr w:type="spellStart"/>
      <w:r w:rsidRPr="00E426D3">
        <w:t>eigedomsskatt</w:t>
      </w:r>
      <w:proofErr w:type="spellEnd"/>
      <w:r w:rsidRPr="00E426D3">
        <w:t xml:space="preserve"> i kommunen. Som </w:t>
      </w:r>
      <w:proofErr w:type="spellStart"/>
      <w:r w:rsidRPr="00E426D3">
        <w:t>hovudregel</w:t>
      </w:r>
      <w:proofErr w:type="spellEnd"/>
      <w:r w:rsidRPr="00E426D3">
        <w:t xml:space="preserve"> vert det nytta lokal taksering for </w:t>
      </w:r>
      <w:proofErr w:type="spellStart"/>
      <w:r w:rsidRPr="00E426D3">
        <w:t>fastsetjing</w:t>
      </w:r>
      <w:proofErr w:type="spellEnd"/>
      <w:r w:rsidRPr="00E426D3">
        <w:t xml:space="preserve"> av grunnlaget for </w:t>
      </w:r>
      <w:proofErr w:type="spellStart"/>
      <w:r w:rsidRPr="00E426D3">
        <w:t>berekning</w:t>
      </w:r>
      <w:proofErr w:type="spellEnd"/>
      <w:r w:rsidRPr="00E426D3">
        <w:t xml:space="preserve"> av skatten, med bruk av takstmenn eller takstnemnder </w:t>
      </w:r>
      <w:proofErr w:type="spellStart"/>
      <w:r w:rsidRPr="00E426D3">
        <w:t>oppnemnd</w:t>
      </w:r>
      <w:proofErr w:type="spellEnd"/>
      <w:r w:rsidRPr="00E426D3">
        <w:t xml:space="preserve"> av kommunen. I </w:t>
      </w:r>
      <w:proofErr w:type="spellStart"/>
      <w:r w:rsidRPr="00E426D3">
        <w:t>eigedomsskattelova</w:t>
      </w:r>
      <w:proofErr w:type="spellEnd"/>
      <w:r w:rsidRPr="00E426D3">
        <w:t xml:space="preserve"> § 8 A-3 andre ledd framgår det at </w:t>
      </w:r>
      <w:proofErr w:type="spellStart"/>
      <w:r w:rsidRPr="00E426D3">
        <w:t>takstane</w:t>
      </w:r>
      <w:proofErr w:type="spellEnd"/>
      <w:r w:rsidRPr="00E426D3">
        <w:t xml:space="preserve"> ligg fast i heile takstperioden som er på ti år. Ved takseringa skal </w:t>
      </w:r>
      <w:proofErr w:type="spellStart"/>
      <w:r w:rsidRPr="00E426D3">
        <w:t>ein</w:t>
      </w:r>
      <w:proofErr w:type="spellEnd"/>
      <w:r w:rsidRPr="00E426D3">
        <w:t xml:space="preserve"> legge til grunn antatt </w:t>
      </w:r>
      <w:proofErr w:type="spellStart"/>
      <w:r w:rsidRPr="00E426D3">
        <w:t>marknadsverdi</w:t>
      </w:r>
      <w:proofErr w:type="spellEnd"/>
      <w:r w:rsidRPr="00E426D3">
        <w:t xml:space="preserve"> på </w:t>
      </w:r>
      <w:proofErr w:type="spellStart"/>
      <w:r w:rsidRPr="00E426D3">
        <w:t>eigedomane</w:t>
      </w:r>
      <w:proofErr w:type="spellEnd"/>
      <w:r w:rsidRPr="00E426D3">
        <w:t xml:space="preserve">, jf. </w:t>
      </w:r>
      <w:proofErr w:type="spellStart"/>
      <w:r w:rsidRPr="00E426D3">
        <w:t>eigedomsskattelova</w:t>
      </w:r>
      <w:proofErr w:type="spellEnd"/>
      <w:r w:rsidRPr="00E426D3">
        <w:t xml:space="preserve"> § 8 A-2 fyrste ledd. Dette </w:t>
      </w:r>
      <w:proofErr w:type="spellStart"/>
      <w:r w:rsidRPr="00E426D3">
        <w:t>gjeld</w:t>
      </w:r>
      <w:proofErr w:type="spellEnd"/>
      <w:r w:rsidRPr="00E426D3">
        <w:t xml:space="preserve"> for alle </w:t>
      </w:r>
      <w:proofErr w:type="spellStart"/>
      <w:r w:rsidRPr="00E426D3">
        <w:t>typar</w:t>
      </w:r>
      <w:proofErr w:type="spellEnd"/>
      <w:r w:rsidRPr="00E426D3">
        <w:t xml:space="preserve"> </w:t>
      </w:r>
      <w:proofErr w:type="spellStart"/>
      <w:r w:rsidRPr="00E426D3">
        <w:t>eigedom</w:t>
      </w:r>
      <w:proofErr w:type="spellEnd"/>
      <w:r w:rsidRPr="00E426D3">
        <w:t xml:space="preserve">, og uavhengig av kva metode for </w:t>
      </w:r>
      <w:proofErr w:type="spellStart"/>
      <w:r w:rsidRPr="00E426D3">
        <w:t>verdsetjing</w:t>
      </w:r>
      <w:proofErr w:type="spellEnd"/>
      <w:r w:rsidRPr="00E426D3">
        <w:t xml:space="preserve"> som vert nytta.</w:t>
      </w:r>
    </w:p>
    <w:p w14:paraId="7FD70D75" w14:textId="77777777" w:rsidR="00772748" w:rsidRPr="00E426D3" w:rsidRDefault="00772748" w:rsidP="00E426D3">
      <w:r w:rsidRPr="00E426D3">
        <w:t xml:space="preserve">For </w:t>
      </w:r>
      <w:proofErr w:type="spellStart"/>
      <w:r w:rsidRPr="00E426D3">
        <w:t>bustadeigedom</w:t>
      </w:r>
      <w:proofErr w:type="spellEnd"/>
      <w:r w:rsidRPr="00E426D3">
        <w:t xml:space="preserve"> kan </w:t>
      </w:r>
      <w:proofErr w:type="spellStart"/>
      <w:r w:rsidRPr="00E426D3">
        <w:t>kommunane</w:t>
      </w:r>
      <w:proofErr w:type="spellEnd"/>
      <w:r w:rsidRPr="00E426D3">
        <w:t xml:space="preserve"> alternativt </w:t>
      </w:r>
      <w:proofErr w:type="spellStart"/>
      <w:r w:rsidRPr="00E426D3">
        <w:t>velja</w:t>
      </w:r>
      <w:proofErr w:type="spellEnd"/>
      <w:r w:rsidRPr="00E426D3">
        <w:t xml:space="preserve"> å nytte </w:t>
      </w:r>
      <w:proofErr w:type="spellStart"/>
      <w:r w:rsidRPr="00E426D3">
        <w:t>formuesgrunnlaget</w:t>
      </w:r>
      <w:proofErr w:type="spellEnd"/>
      <w:r w:rsidRPr="00E426D3">
        <w:t xml:space="preserve"> for </w:t>
      </w:r>
      <w:proofErr w:type="spellStart"/>
      <w:r w:rsidRPr="00E426D3">
        <w:t>eigedomen</w:t>
      </w:r>
      <w:proofErr w:type="spellEnd"/>
      <w:r w:rsidRPr="00E426D3">
        <w:t xml:space="preserve"> som takst, slik det vert fastsett av Skatteetaten i samband med </w:t>
      </w:r>
      <w:proofErr w:type="spellStart"/>
      <w:r w:rsidRPr="00E426D3">
        <w:t>fastsetjing</w:t>
      </w:r>
      <w:proofErr w:type="spellEnd"/>
      <w:r w:rsidRPr="00E426D3">
        <w:t xml:space="preserve"> av skatt på inntekt- og formue. Dette høvet </w:t>
      </w:r>
      <w:proofErr w:type="spellStart"/>
      <w:r w:rsidRPr="00E426D3">
        <w:t>vart</w:t>
      </w:r>
      <w:proofErr w:type="spellEnd"/>
      <w:r w:rsidRPr="00E426D3">
        <w:t xml:space="preserve"> innført med verknad </w:t>
      </w:r>
      <w:proofErr w:type="spellStart"/>
      <w:r w:rsidRPr="00E426D3">
        <w:t>frå</w:t>
      </w:r>
      <w:proofErr w:type="spellEnd"/>
      <w:r w:rsidRPr="00E426D3">
        <w:t xml:space="preserve"> skatteåret 2014, jf. Prop. 1 LS (2012–2013) </w:t>
      </w:r>
      <w:r w:rsidRPr="00E426D3">
        <w:rPr>
          <w:rStyle w:val="kursiv"/>
        </w:rPr>
        <w:t>Skatter, avgifter og toll 2013</w:t>
      </w:r>
      <w:r w:rsidRPr="00E426D3">
        <w:t xml:space="preserve">. Til grunn for </w:t>
      </w:r>
      <w:proofErr w:type="spellStart"/>
      <w:r w:rsidRPr="00E426D3">
        <w:t>desse</w:t>
      </w:r>
      <w:proofErr w:type="spellEnd"/>
      <w:r w:rsidRPr="00E426D3">
        <w:t xml:space="preserve"> </w:t>
      </w:r>
      <w:proofErr w:type="spellStart"/>
      <w:r w:rsidRPr="00E426D3">
        <w:t>såkalla</w:t>
      </w:r>
      <w:proofErr w:type="spellEnd"/>
      <w:r w:rsidRPr="00E426D3">
        <w:t xml:space="preserve"> «</w:t>
      </w:r>
      <w:proofErr w:type="spellStart"/>
      <w:r w:rsidRPr="00E426D3">
        <w:t>bustadverdiane</w:t>
      </w:r>
      <w:proofErr w:type="spellEnd"/>
      <w:r w:rsidRPr="00E426D3">
        <w:t xml:space="preserve">» ligg data henta </w:t>
      </w:r>
      <w:proofErr w:type="spellStart"/>
      <w:r w:rsidRPr="00E426D3">
        <w:t>frå</w:t>
      </w:r>
      <w:proofErr w:type="spellEnd"/>
      <w:r w:rsidRPr="00E426D3">
        <w:t xml:space="preserve"> Statistisk sentralbyrå. </w:t>
      </w:r>
      <w:proofErr w:type="spellStart"/>
      <w:r w:rsidRPr="00E426D3">
        <w:t>Bustadverdiane</w:t>
      </w:r>
      <w:proofErr w:type="spellEnd"/>
      <w:r w:rsidRPr="00E426D3">
        <w:t xml:space="preserve"> vert fastsett på nytt for kvart år, og følgjer prisutviklinga i </w:t>
      </w:r>
      <w:proofErr w:type="spellStart"/>
      <w:r w:rsidRPr="00E426D3">
        <w:t>eigedomsmarknaden</w:t>
      </w:r>
      <w:proofErr w:type="spellEnd"/>
      <w:r w:rsidRPr="00E426D3">
        <w:t>.</w:t>
      </w:r>
    </w:p>
    <w:p w14:paraId="782C429A" w14:textId="77777777" w:rsidR="00772748" w:rsidRPr="00E426D3" w:rsidRDefault="00772748" w:rsidP="00E426D3">
      <w:r w:rsidRPr="00E426D3">
        <w:t xml:space="preserve">Ved taksering har det over ei </w:t>
      </w:r>
      <w:proofErr w:type="spellStart"/>
      <w:r w:rsidRPr="00E426D3">
        <w:t>rekkje</w:t>
      </w:r>
      <w:proofErr w:type="spellEnd"/>
      <w:r w:rsidRPr="00E426D3">
        <w:t xml:space="preserve"> år utvikla seg </w:t>
      </w:r>
      <w:proofErr w:type="spellStart"/>
      <w:r w:rsidRPr="00E426D3">
        <w:t>ein</w:t>
      </w:r>
      <w:proofErr w:type="spellEnd"/>
      <w:r w:rsidRPr="00E426D3">
        <w:t xml:space="preserve"> praksis der </w:t>
      </w:r>
      <w:proofErr w:type="spellStart"/>
      <w:r w:rsidRPr="00E426D3">
        <w:t>nokre</w:t>
      </w:r>
      <w:proofErr w:type="spellEnd"/>
      <w:r w:rsidRPr="00E426D3">
        <w:t xml:space="preserve"> </w:t>
      </w:r>
      <w:proofErr w:type="spellStart"/>
      <w:r w:rsidRPr="00E426D3">
        <w:t>kommunar</w:t>
      </w:r>
      <w:proofErr w:type="spellEnd"/>
      <w:r w:rsidRPr="00E426D3">
        <w:t xml:space="preserve"> vel å nytte </w:t>
      </w:r>
      <w:proofErr w:type="spellStart"/>
      <w:r w:rsidRPr="00E426D3">
        <w:t>ein</w:t>
      </w:r>
      <w:proofErr w:type="spellEnd"/>
      <w:r w:rsidRPr="00E426D3">
        <w:t xml:space="preserve"> lokal reduksjonsfaktor. </w:t>
      </w:r>
      <w:proofErr w:type="spellStart"/>
      <w:r w:rsidRPr="00E426D3">
        <w:t>Ein</w:t>
      </w:r>
      <w:proofErr w:type="spellEnd"/>
      <w:r w:rsidRPr="00E426D3">
        <w:t xml:space="preserve"> lokal reduksjonsfaktor tyder </w:t>
      </w:r>
      <w:proofErr w:type="spellStart"/>
      <w:r w:rsidRPr="00E426D3">
        <w:t>eit</w:t>
      </w:r>
      <w:proofErr w:type="spellEnd"/>
      <w:r w:rsidRPr="00E426D3">
        <w:t xml:space="preserve"> likt prosentvis </w:t>
      </w:r>
      <w:proofErr w:type="spellStart"/>
      <w:r w:rsidRPr="00E426D3">
        <w:t>frådrag</w:t>
      </w:r>
      <w:proofErr w:type="spellEnd"/>
      <w:r w:rsidRPr="00E426D3">
        <w:t xml:space="preserve"> i </w:t>
      </w:r>
      <w:proofErr w:type="spellStart"/>
      <w:r w:rsidRPr="00E426D3">
        <w:t>takstane</w:t>
      </w:r>
      <w:proofErr w:type="spellEnd"/>
      <w:r w:rsidRPr="00E426D3">
        <w:t xml:space="preserve"> i høve til kva </w:t>
      </w:r>
      <w:proofErr w:type="spellStart"/>
      <w:r w:rsidRPr="00E426D3">
        <w:t>eigedomane</w:t>
      </w:r>
      <w:proofErr w:type="spellEnd"/>
      <w:r w:rsidRPr="00E426D3">
        <w:t xml:space="preserve"> i utgangspunktet </w:t>
      </w:r>
      <w:proofErr w:type="spellStart"/>
      <w:r w:rsidRPr="00E426D3">
        <w:t>vart</w:t>
      </w:r>
      <w:proofErr w:type="spellEnd"/>
      <w:r w:rsidRPr="00E426D3">
        <w:t xml:space="preserve"> verdsatt til. </w:t>
      </w:r>
      <w:proofErr w:type="spellStart"/>
      <w:r w:rsidRPr="00E426D3">
        <w:t>Nyttar</w:t>
      </w:r>
      <w:proofErr w:type="spellEnd"/>
      <w:r w:rsidRPr="00E426D3">
        <w:t xml:space="preserve"> kommunen lokal reduksjonsfaktor må den </w:t>
      </w:r>
      <w:proofErr w:type="spellStart"/>
      <w:r w:rsidRPr="00E426D3">
        <w:t>nyttast</w:t>
      </w:r>
      <w:proofErr w:type="spellEnd"/>
      <w:r w:rsidRPr="00E426D3">
        <w:t xml:space="preserve"> for alle </w:t>
      </w:r>
      <w:proofErr w:type="spellStart"/>
      <w:r w:rsidRPr="00E426D3">
        <w:t>typar</w:t>
      </w:r>
      <w:proofErr w:type="spellEnd"/>
      <w:r w:rsidRPr="00E426D3">
        <w:t xml:space="preserve"> </w:t>
      </w:r>
      <w:proofErr w:type="spellStart"/>
      <w:r w:rsidRPr="00E426D3">
        <w:t>eigedom</w:t>
      </w:r>
      <w:proofErr w:type="spellEnd"/>
      <w:r w:rsidRPr="00E426D3">
        <w:t xml:space="preserve">, og for </w:t>
      </w:r>
      <w:proofErr w:type="spellStart"/>
      <w:r w:rsidRPr="00E426D3">
        <w:t>bustadeigedom</w:t>
      </w:r>
      <w:proofErr w:type="spellEnd"/>
      <w:r w:rsidRPr="00E426D3">
        <w:t xml:space="preserve"> </w:t>
      </w:r>
      <w:proofErr w:type="spellStart"/>
      <w:r w:rsidRPr="00E426D3">
        <w:t>anten</w:t>
      </w:r>
      <w:proofErr w:type="spellEnd"/>
      <w:r w:rsidRPr="00E426D3">
        <w:t xml:space="preserve"> kommunen takserer lokalt eller bruker </w:t>
      </w:r>
      <w:proofErr w:type="spellStart"/>
      <w:r w:rsidRPr="00E426D3">
        <w:t>bustadverdiane</w:t>
      </w:r>
      <w:proofErr w:type="spellEnd"/>
      <w:r w:rsidRPr="00E426D3">
        <w:t xml:space="preserve"> til Skatteetaten. Bakgrunnen for bruk av lokal reduksjonsfaktor vil normalt </w:t>
      </w:r>
      <w:proofErr w:type="spellStart"/>
      <w:r w:rsidRPr="00E426D3">
        <w:t>anten</w:t>
      </w:r>
      <w:proofErr w:type="spellEnd"/>
      <w:r w:rsidRPr="00E426D3">
        <w:t xml:space="preserve"> </w:t>
      </w:r>
      <w:proofErr w:type="spellStart"/>
      <w:r w:rsidRPr="00E426D3">
        <w:t>vere</w:t>
      </w:r>
      <w:proofErr w:type="spellEnd"/>
      <w:r w:rsidRPr="00E426D3">
        <w:t xml:space="preserve"> at kommunen vil sikre seg mot at </w:t>
      </w:r>
      <w:proofErr w:type="spellStart"/>
      <w:r w:rsidRPr="00E426D3">
        <w:t>takstane</w:t>
      </w:r>
      <w:proofErr w:type="spellEnd"/>
      <w:r w:rsidRPr="00E426D3">
        <w:t xml:space="preserve"> overstig </w:t>
      </w:r>
      <w:proofErr w:type="spellStart"/>
      <w:r w:rsidRPr="00E426D3">
        <w:t>marknadsverdien</w:t>
      </w:r>
      <w:proofErr w:type="spellEnd"/>
      <w:r w:rsidRPr="00E426D3">
        <w:t xml:space="preserve">, og/eller for å oppnå </w:t>
      </w:r>
      <w:proofErr w:type="spellStart"/>
      <w:r w:rsidRPr="00E426D3">
        <w:t>eit</w:t>
      </w:r>
      <w:proofErr w:type="spellEnd"/>
      <w:r w:rsidRPr="00E426D3">
        <w:t xml:space="preserve"> </w:t>
      </w:r>
      <w:proofErr w:type="spellStart"/>
      <w:r w:rsidRPr="00E426D3">
        <w:t>lågare</w:t>
      </w:r>
      <w:proofErr w:type="spellEnd"/>
      <w:r w:rsidRPr="00E426D3">
        <w:t xml:space="preserve"> skattenivå enn det som vil </w:t>
      </w:r>
      <w:proofErr w:type="spellStart"/>
      <w:r w:rsidRPr="00E426D3">
        <w:t>følgje</w:t>
      </w:r>
      <w:proofErr w:type="spellEnd"/>
      <w:r w:rsidRPr="00E426D3">
        <w:t xml:space="preserve"> med bruk av full </w:t>
      </w:r>
      <w:proofErr w:type="spellStart"/>
      <w:r w:rsidRPr="00E426D3">
        <w:lastRenderedPageBreak/>
        <w:t>marknadsverdi</w:t>
      </w:r>
      <w:proofErr w:type="spellEnd"/>
      <w:r w:rsidRPr="00E426D3">
        <w:t xml:space="preserve">. Bruk av lokal reduksjonsfaktor er </w:t>
      </w:r>
      <w:proofErr w:type="spellStart"/>
      <w:r w:rsidRPr="00E426D3">
        <w:t>ikkje</w:t>
      </w:r>
      <w:proofErr w:type="spellEnd"/>
      <w:r w:rsidRPr="00E426D3">
        <w:t xml:space="preserve"> lovfesta. Eventuell bruk av lokal reduksjonsfaktor og storleiken på denne vert </w:t>
      </w:r>
      <w:proofErr w:type="spellStart"/>
      <w:r w:rsidRPr="00E426D3">
        <w:t>vedteke</w:t>
      </w:r>
      <w:proofErr w:type="spellEnd"/>
      <w:r w:rsidRPr="00E426D3">
        <w:t xml:space="preserve"> av kommunestyret. Det er i praksis lagt til grunn at </w:t>
      </w:r>
      <w:proofErr w:type="spellStart"/>
      <w:r w:rsidRPr="00E426D3">
        <w:t>ein</w:t>
      </w:r>
      <w:proofErr w:type="spellEnd"/>
      <w:r w:rsidRPr="00E426D3">
        <w:t xml:space="preserve"> eventuell reduksjonsfaktor ligg fast i heile takstperioden. </w:t>
      </w:r>
      <w:proofErr w:type="spellStart"/>
      <w:r w:rsidRPr="00E426D3">
        <w:t>Kommunane</w:t>
      </w:r>
      <w:proofErr w:type="spellEnd"/>
      <w:r w:rsidRPr="00E426D3">
        <w:t xml:space="preserve"> kan </w:t>
      </w:r>
      <w:proofErr w:type="spellStart"/>
      <w:r w:rsidRPr="00E426D3">
        <w:t>difor</w:t>
      </w:r>
      <w:proofErr w:type="spellEnd"/>
      <w:r w:rsidRPr="00E426D3">
        <w:t xml:space="preserve"> </w:t>
      </w:r>
      <w:proofErr w:type="spellStart"/>
      <w:r w:rsidRPr="00E426D3">
        <w:t>ikkje</w:t>
      </w:r>
      <w:proofErr w:type="spellEnd"/>
      <w:r w:rsidRPr="00E426D3">
        <w:t xml:space="preserve"> </w:t>
      </w:r>
      <w:proofErr w:type="spellStart"/>
      <w:r w:rsidRPr="00E426D3">
        <w:t>velje</w:t>
      </w:r>
      <w:proofErr w:type="spellEnd"/>
      <w:r w:rsidRPr="00E426D3">
        <w:t xml:space="preserve"> å endre eller fjerne den lokale reduksjonsfaktoren i løpet av den tiårsperioden som </w:t>
      </w:r>
      <w:proofErr w:type="spellStart"/>
      <w:r w:rsidRPr="00E426D3">
        <w:t>takstane</w:t>
      </w:r>
      <w:proofErr w:type="spellEnd"/>
      <w:r w:rsidRPr="00E426D3">
        <w:t xml:space="preserve"> normalt gjeld for.</w:t>
      </w:r>
    </w:p>
    <w:p w14:paraId="55040CF3" w14:textId="77777777" w:rsidR="00772748" w:rsidRPr="00E426D3" w:rsidRDefault="00772748" w:rsidP="00E426D3">
      <w:r w:rsidRPr="00E426D3">
        <w:t xml:space="preserve">Ved innføringa av den alternative metoden for verdsetting av </w:t>
      </w:r>
      <w:proofErr w:type="spellStart"/>
      <w:r w:rsidRPr="00E426D3">
        <w:t>bustadeigedom</w:t>
      </w:r>
      <w:proofErr w:type="spellEnd"/>
      <w:r w:rsidRPr="00E426D3">
        <w:t xml:space="preserve"> i 2014 </w:t>
      </w:r>
      <w:proofErr w:type="spellStart"/>
      <w:r w:rsidRPr="00E426D3">
        <w:t>vart</w:t>
      </w:r>
      <w:proofErr w:type="spellEnd"/>
      <w:r w:rsidRPr="00E426D3">
        <w:t xml:space="preserve"> det i loven fastsett at det skulle </w:t>
      </w:r>
      <w:proofErr w:type="spellStart"/>
      <w:r w:rsidRPr="00E426D3">
        <w:t>nyttast</w:t>
      </w:r>
      <w:proofErr w:type="spellEnd"/>
      <w:r w:rsidRPr="00E426D3">
        <w:t xml:space="preserve"> </w:t>
      </w:r>
      <w:proofErr w:type="spellStart"/>
      <w:r w:rsidRPr="00E426D3">
        <w:t>ein</w:t>
      </w:r>
      <w:proofErr w:type="spellEnd"/>
      <w:r w:rsidRPr="00E426D3">
        <w:t xml:space="preserve"> obligatorisk reduksjonsfaktor på 20 pst. i </w:t>
      </w:r>
      <w:proofErr w:type="spellStart"/>
      <w:r w:rsidRPr="00E426D3">
        <w:t>takstane</w:t>
      </w:r>
      <w:proofErr w:type="spellEnd"/>
      <w:r w:rsidRPr="00E426D3">
        <w:t xml:space="preserve"> for </w:t>
      </w:r>
      <w:proofErr w:type="spellStart"/>
      <w:r w:rsidRPr="00E426D3">
        <w:t>bustadeigedom</w:t>
      </w:r>
      <w:proofErr w:type="spellEnd"/>
      <w:r w:rsidRPr="00E426D3">
        <w:t xml:space="preserve"> verdsatt ved bruk av denne metoden. Bakgrunnen for dette </w:t>
      </w:r>
      <w:proofErr w:type="spellStart"/>
      <w:r w:rsidRPr="00E426D3">
        <w:t>frådraget</w:t>
      </w:r>
      <w:proofErr w:type="spellEnd"/>
      <w:r w:rsidRPr="00E426D3">
        <w:t xml:space="preserve"> i </w:t>
      </w:r>
      <w:proofErr w:type="spellStart"/>
      <w:r w:rsidRPr="00E426D3">
        <w:t>takstane</w:t>
      </w:r>
      <w:proofErr w:type="spellEnd"/>
      <w:r w:rsidRPr="00E426D3">
        <w:t xml:space="preserve"> var at metoden </w:t>
      </w:r>
      <w:proofErr w:type="spellStart"/>
      <w:r w:rsidRPr="00E426D3">
        <w:t>inneber</w:t>
      </w:r>
      <w:proofErr w:type="spellEnd"/>
      <w:r w:rsidRPr="00E426D3">
        <w:t xml:space="preserve"> ei sjablongmessig verdsetting, og at </w:t>
      </w:r>
      <w:proofErr w:type="spellStart"/>
      <w:r w:rsidRPr="00E426D3">
        <w:t>ein</w:t>
      </w:r>
      <w:proofErr w:type="spellEnd"/>
      <w:r w:rsidRPr="00E426D3">
        <w:t xml:space="preserve"> ville sikre seg mot at </w:t>
      </w:r>
      <w:proofErr w:type="spellStart"/>
      <w:r w:rsidRPr="00E426D3">
        <w:t>takstane</w:t>
      </w:r>
      <w:proofErr w:type="spellEnd"/>
      <w:r w:rsidRPr="00E426D3">
        <w:t xml:space="preserve"> oversteig faktisk </w:t>
      </w:r>
      <w:proofErr w:type="spellStart"/>
      <w:r w:rsidRPr="00E426D3">
        <w:t>marknadsverdi</w:t>
      </w:r>
      <w:proofErr w:type="spellEnd"/>
      <w:r w:rsidRPr="00E426D3">
        <w:t>, jf. Prop. 1 LS (2012–2013).</w:t>
      </w:r>
    </w:p>
    <w:p w14:paraId="17719BA0" w14:textId="77777777" w:rsidR="00772748" w:rsidRPr="00E426D3" w:rsidRDefault="00772748" w:rsidP="00E426D3">
      <w:r w:rsidRPr="00E426D3">
        <w:t xml:space="preserve">Med verknad </w:t>
      </w:r>
      <w:proofErr w:type="spellStart"/>
      <w:r w:rsidRPr="00E426D3">
        <w:t>frå</w:t>
      </w:r>
      <w:proofErr w:type="spellEnd"/>
      <w:r w:rsidRPr="00E426D3">
        <w:t xml:space="preserve"> 2020 vart den obligatoriske reduksjonsfaktoren </w:t>
      </w:r>
      <w:proofErr w:type="spellStart"/>
      <w:r w:rsidRPr="00E426D3">
        <w:t>auka</w:t>
      </w:r>
      <w:proofErr w:type="spellEnd"/>
      <w:r w:rsidRPr="00E426D3">
        <w:t xml:space="preserve"> </w:t>
      </w:r>
      <w:proofErr w:type="spellStart"/>
      <w:r w:rsidRPr="00E426D3">
        <w:t>frå</w:t>
      </w:r>
      <w:proofErr w:type="spellEnd"/>
      <w:r w:rsidRPr="00E426D3">
        <w:t xml:space="preserve"> 20 til 30 pst., og gjort </w:t>
      </w:r>
      <w:proofErr w:type="spellStart"/>
      <w:r w:rsidRPr="00E426D3">
        <w:t>gjeldande</w:t>
      </w:r>
      <w:proofErr w:type="spellEnd"/>
      <w:r w:rsidRPr="00E426D3">
        <w:t xml:space="preserve"> for både </w:t>
      </w:r>
      <w:proofErr w:type="spellStart"/>
      <w:r w:rsidRPr="00E426D3">
        <w:t>bustader</w:t>
      </w:r>
      <w:proofErr w:type="spellEnd"/>
      <w:r w:rsidRPr="00E426D3">
        <w:t xml:space="preserve"> og </w:t>
      </w:r>
      <w:proofErr w:type="spellStart"/>
      <w:r w:rsidRPr="00E426D3">
        <w:t>fritidsbustader</w:t>
      </w:r>
      <w:proofErr w:type="spellEnd"/>
      <w:r w:rsidRPr="00E426D3">
        <w:t xml:space="preserve">. Departementet syner her til Prop. 1 LS (2018–2019) </w:t>
      </w:r>
      <w:r w:rsidRPr="00E426D3">
        <w:rPr>
          <w:rStyle w:val="kursiv"/>
        </w:rPr>
        <w:t>Skatter, avgifter og toll 2019</w:t>
      </w:r>
      <w:r w:rsidRPr="00E426D3">
        <w:t xml:space="preserve">. Denne lovendringa var </w:t>
      </w:r>
      <w:proofErr w:type="spellStart"/>
      <w:r w:rsidRPr="00E426D3">
        <w:t>meir</w:t>
      </w:r>
      <w:proofErr w:type="spellEnd"/>
      <w:r w:rsidRPr="00E426D3">
        <w:t xml:space="preserve"> skattepolitisk motivert. Regelen om </w:t>
      </w:r>
      <w:proofErr w:type="spellStart"/>
      <w:r w:rsidRPr="00E426D3">
        <w:t>frådrag</w:t>
      </w:r>
      <w:proofErr w:type="spellEnd"/>
      <w:r w:rsidRPr="00E426D3">
        <w:t xml:space="preserve"> på 30 pst. gjeld uavhengig av kva metode som er nytta for verdsettinga av </w:t>
      </w:r>
      <w:proofErr w:type="spellStart"/>
      <w:r w:rsidRPr="00E426D3">
        <w:t>bustadeigedom</w:t>
      </w:r>
      <w:proofErr w:type="spellEnd"/>
      <w:r w:rsidRPr="00E426D3">
        <w:t>.</w:t>
      </w:r>
    </w:p>
    <w:p w14:paraId="7C6BF854" w14:textId="77777777" w:rsidR="00772748" w:rsidRPr="00E426D3" w:rsidRDefault="00772748" w:rsidP="00E426D3">
      <w:r w:rsidRPr="00E426D3">
        <w:t xml:space="preserve">Etter innføringa av den obligatoriske reduksjonsfaktoren på 30 pst. for </w:t>
      </w:r>
      <w:proofErr w:type="spellStart"/>
      <w:r w:rsidRPr="00E426D3">
        <w:t>bustader</w:t>
      </w:r>
      <w:proofErr w:type="spellEnd"/>
      <w:r w:rsidRPr="00E426D3">
        <w:t xml:space="preserve"> og </w:t>
      </w:r>
      <w:proofErr w:type="spellStart"/>
      <w:r w:rsidRPr="00E426D3">
        <w:t>fritidsbustader</w:t>
      </w:r>
      <w:proofErr w:type="spellEnd"/>
      <w:r w:rsidRPr="00E426D3">
        <w:t xml:space="preserve"> har </w:t>
      </w:r>
      <w:proofErr w:type="spellStart"/>
      <w:r w:rsidRPr="00E426D3">
        <w:t>kommunane</w:t>
      </w:r>
      <w:proofErr w:type="spellEnd"/>
      <w:r w:rsidRPr="00E426D3">
        <w:t xml:space="preserve"> gjennom praksis søkt å samordne bruk av obligatorisk og eventuell lokal reduksjonsfaktor. Departementet </w:t>
      </w:r>
      <w:proofErr w:type="gramStart"/>
      <w:r w:rsidRPr="00E426D3">
        <w:t>avga</w:t>
      </w:r>
      <w:proofErr w:type="gramEnd"/>
      <w:r w:rsidRPr="00E426D3">
        <w:t xml:space="preserve"> ei fråsegn om dette i brev til KS av 18. desember 2018. I både kommunal praksis og i fråsegna </w:t>
      </w:r>
      <w:proofErr w:type="spellStart"/>
      <w:r w:rsidRPr="00E426D3">
        <w:t>frå</w:t>
      </w:r>
      <w:proofErr w:type="spellEnd"/>
      <w:r w:rsidRPr="00E426D3">
        <w:t xml:space="preserve"> departementet er det lagt til grunn at den obligatoriske reduksjonsfaktoren vert «konsumert» av den lokale der den </w:t>
      </w:r>
      <w:proofErr w:type="spellStart"/>
      <w:r w:rsidRPr="00E426D3">
        <w:t>sistnemnde</w:t>
      </w:r>
      <w:proofErr w:type="spellEnd"/>
      <w:r w:rsidRPr="00E426D3">
        <w:t xml:space="preserve"> er </w:t>
      </w:r>
      <w:proofErr w:type="spellStart"/>
      <w:r w:rsidRPr="00E426D3">
        <w:t>høgast</w:t>
      </w:r>
      <w:proofErr w:type="spellEnd"/>
      <w:r w:rsidRPr="00E426D3">
        <w:t xml:space="preserve">. </w:t>
      </w:r>
      <w:proofErr w:type="spellStart"/>
      <w:r w:rsidRPr="00E426D3">
        <w:t>Vidare</w:t>
      </w:r>
      <w:proofErr w:type="spellEnd"/>
      <w:r w:rsidRPr="00E426D3">
        <w:t xml:space="preserve"> følgjer det av denne praksisen at der kommunen har </w:t>
      </w:r>
      <w:proofErr w:type="spellStart"/>
      <w:r w:rsidRPr="00E426D3">
        <w:t>ein</w:t>
      </w:r>
      <w:proofErr w:type="spellEnd"/>
      <w:r w:rsidRPr="00E426D3">
        <w:t xml:space="preserve"> reduksjonsfaktor som er </w:t>
      </w:r>
      <w:proofErr w:type="spellStart"/>
      <w:r w:rsidRPr="00E426D3">
        <w:t>lågare</w:t>
      </w:r>
      <w:proofErr w:type="spellEnd"/>
      <w:r w:rsidRPr="00E426D3">
        <w:t xml:space="preserve"> enn 30 pst., vert denne </w:t>
      </w:r>
      <w:proofErr w:type="spellStart"/>
      <w:r w:rsidRPr="00E426D3">
        <w:t>ikkje</w:t>
      </w:r>
      <w:proofErr w:type="spellEnd"/>
      <w:r w:rsidRPr="00E426D3">
        <w:t xml:space="preserve"> nytta for bustad- og </w:t>
      </w:r>
      <w:proofErr w:type="spellStart"/>
      <w:r w:rsidRPr="00E426D3">
        <w:t>fritidseigedom</w:t>
      </w:r>
      <w:proofErr w:type="spellEnd"/>
      <w:r w:rsidRPr="00E426D3">
        <w:t>.</w:t>
      </w:r>
    </w:p>
    <w:p w14:paraId="552298FD" w14:textId="77777777" w:rsidR="00772748" w:rsidRPr="00E426D3" w:rsidRDefault="00772748" w:rsidP="00E426D3">
      <w:r w:rsidRPr="00E426D3">
        <w:t xml:space="preserve">Eidsivating lagmannsrett avsa 9. oktober 2023 dom i sak mellom Elverum kommune og Mastemoen borettslag. Saka </w:t>
      </w:r>
      <w:proofErr w:type="spellStart"/>
      <w:r w:rsidRPr="00E426D3">
        <w:t>galdt</w:t>
      </w:r>
      <w:proofErr w:type="spellEnd"/>
      <w:r w:rsidRPr="00E426D3">
        <w:t xml:space="preserve"> tilhøvet mellom obligatorisk og lokal reduksjonsfaktor ved utskriving av </w:t>
      </w:r>
      <w:proofErr w:type="spellStart"/>
      <w:r w:rsidRPr="00E426D3">
        <w:t>eigedomsskatt</w:t>
      </w:r>
      <w:proofErr w:type="spellEnd"/>
      <w:r w:rsidRPr="00E426D3">
        <w:t xml:space="preserve"> på </w:t>
      </w:r>
      <w:proofErr w:type="spellStart"/>
      <w:r w:rsidRPr="00E426D3">
        <w:t>bustadeigedom</w:t>
      </w:r>
      <w:proofErr w:type="spellEnd"/>
      <w:r w:rsidRPr="00E426D3">
        <w:t xml:space="preserve"> verdsatt ved bruk av </w:t>
      </w:r>
      <w:proofErr w:type="spellStart"/>
      <w:r w:rsidRPr="00E426D3">
        <w:t>bustadverdiar</w:t>
      </w:r>
      <w:proofErr w:type="spellEnd"/>
      <w:r w:rsidRPr="00E426D3">
        <w:t xml:space="preserve"> </w:t>
      </w:r>
      <w:proofErr w:type="spellStart"/>
      <w:r w:rsidRPr="00E426D3">
        <w:t>frå</w:t>
      </w:r>
      <w:proofErr w:type="spellEnd"/>
      <w:r w:rsidRPr="00E426D3">
        <w:t xml:space="preserve"> Skatteetaten. Bygd på ei tolking av ordlyden i lova og forarbeida til denne, la retten til grunn at det skal </w:t>
      </w:r>
      <w:proofErr w:type="spellStart"/>
      <w:r w:rsidRPr="00E426D3">
        <w:t>gjerast</w:t>
      </w:r>
      <w:proofErr w:type="spellEnd"/>
      <w:r w:rsidRPr="00E426D3">
        <w:t xml:space="preserve"> </w:t>
      </w:r>
      <w:proofErr w:type="spellStart"/>
      <w:r w:rsidRPr="00E426D3">
        <w:t>frådrag</w:t>
      </w:r>
      <w:proofErr w:type="spellEnd"/>
      <w:r w:rsidRPr="00E426D3">
        <w:t xml:space="preserve"> i taksten fyrst for obligatorisk, og deretter for lokal reduksjonsfaktor. Dommen gjeld kun i </w:t>
      </w:r>
      <w:proofErr w:type="spellStart"/>
      <w:r w:rsidRPr="00E426D3">
        <w:t>dei</w:t>
      </w:r>
      <w:proofErr w:type="spellEnd"/>
      <w:r w:rsidRPr="00E426D3">
        <w:t xml:space="preserve"> tilfella kor kommunen har nytta </w:t>
      </w:r>
      <w:proofErr w:type="spellStart"/>
      <w:r w:rsidRPr="00E426D3">
        <w:t>bustadverdiar</w:t>
      </w:r>
      <w:proofErr w:type="spellEnd"/>
      <w:r w:rsidRPr="00E426D3">
        <w:t xml:space="preserve"> </w:t>
      </w:r>
      <w:proofErr w:type="spellStart"/>
      <w:r w:rsidRPr="00E426D3">
        <w:t>frå</w:t>
      </w:r>
      <w:proofErr w:type="spellEnd"/>
      <w:r w:rsidRPr="00E426D3">
        <w:t xml:space="preserve"> Skatteetaten for verdsetting av </w:t>
      </w:r>
      <w:proofErr w:type="spellStart"/>
      <w:r w:rsidRPr="00E426D3">
        <w:t>eigedomane</w:t>
      </w:r>
      <w:proofErr w:type="spellEnd"/>
      <w:r w:rsidRPr="00E426D3">
        <w:t xml:space="preserve">. Resultatet i dommen har </w:t>
      </w:r>
      <w:proofErr w:type="spellStart"/>
      <w:r w:rsidRPr="00E426D3">
        <w:t>seinare</w:t>
      </w:r>
      <w:proofErr w:type="spellEnd"/>
      <w:r w:rsidRPr="00E426D3">
        <w:t xml:space="preserve"> vorte </w:t>
      </w:r>
      <w:proofErr w:type="spellStart"/>
      <w:r w:rsidRPr="00E426D3">
        <w:t>følgd</w:t>
      </w:r>
      <w:proofErr w:type="spellEnd"/>
      <w:r w:rsidRPr="00E426D3">
        <w:t xml:space="preserve"> opp av Romerike og </w:t>
      </w:r>
      <w:proofErr w:type="spellStart"/>
      <w:r w:rsidRPr="00E426D3">
        <w:t>Glåmdal</w:t>
      </w:r>
      <w:proofErr w:type="spellEnd"/>
      <w:r w:rsidRPr="00E426D3">
        <w:t xml:space="preserve"> tingrett i dom av 21. juni 2024.</w:t>
      </w:r>
    </w:p>
    <w:p w14:paraId="2B540019" w14:textId="77777777" w:rsidR="00772748" w:rsidRPr="00E426D3" w:rsidRDefault="00772748" w:rsidP="00E426D3">
      <w:pPr>
        <w:pStyle w:val="Overskrift2"/>
      </w:pPr>
      <w:proofErr w:type="spellStart"/>
      <w:r w:rsidRPr="00E426D3">
        <w:t>Høyringa</w:t>
      </w:r>
      <w:proofErr w:type="spellEnd"/>
    </w:p>
    <w:p w14:paraId="50947EEC" w14:textId="77777777" w:rsidR="00772748" w:rsidRPr="00E426D3" w:rsidRDefault="00772748" w:rsidP="00E426D3">
      <w:r w:rsidRPr="00E426D3">
        <w:t xml:space="preserve">Departementet sende den 4. mars 2025 på </w:t>
      </w:r>
      <w:proofErr w:type="spellStart"/>
      <w:r w:rsidRPr="00E426D3">
        <w:t>høyring</w:t>
      </w:r>
      <w:proofErr w:type="spellEnd"/>
      <w:r w:rsidRPr="00E426D3">
        <w:t xml:space="preserve"> </w:t>
      </w:r>
      <w:proofErr w:type="spellStart"/>
      <w:r w:rsidRPr="00E426D3">
        <w:t>eit</w:t>
      </w:r>
      <w:proofErr w:type="spellEnd"/>
      <w:r w:rsidRPr="00E426D3">
        <w:t xml:space="preserve"> utkast til </w:t>
      </w:r>
      <w:proofErr w:type="spellStart"/>
      <w:r w:rsidRPr="00E426D3">
        <w:t>endringar</w:t>
      </w:r>
      <w:proofErr w:type="spellEnd"/>
      <w:r w:rsidRPr="00E426D3">
        <w:t xml:space="preserve"> i </w:t>
      </w:r>
      <w:proofErr w:type="spellStart"/>
      <w:r w:rsidRPr="00E426D3">
        <w:t>eigedomsskattelova</w:t>
      </w:r>
      <w:proofErr w:type="spellEnd"/>
      <w:r w:rsidRPr="00E426D3">
        <w:t xml:space="preserve"> med omsyn til samordning av obligatorisk og lokal reduksjonsfaktor. Det kom inn totalt ni </w:t>
      </w:r>
      <w:proofErr w:type="spellStart"/>
      <w:r w:rsidRPr="00E426D3">
        <w:t>høyringsfråsegner</w:t>
      </w:r>
      <w:proofErr w:type="spellEnd"/>
      <w:r w:rsidRPr="00E426D3">
        <w:t xml:space="preserve">. Fire av </w:t>
      </w:r>
      <w:proofErr w:type="spellStart"/>
      <w:r w:rsidRPr="00E426D3">
        <w:t>desse</w:t>
      </w:r>
      <w:proofErr w:type="spellEnd"/>
      <w:r w:rsidRPr="00E426D3">
        <w:t xml:space="preserve"> </w:t>
      </w:r>
      <w:proofErr w:type="spellStart"/>
      <w:r w:rsidRPr="00E426D3">
        <w:t>innehaldt</w:t>
      </w:r>
      <w:proofErr w:type="spellEnd"/>
      <w:r w:rsidRPr="00E426D3">
        <w:t xml:space="preserve"> </w:t>
      </w:r>
      <w:proofErr w:type="spellStart"/>
      <w:r w:rsidRPr="00E426D3">
        <w:t>nærmare</w:t>
      </w:r>
      <w:proofErr w:type="spellEnd"/>
      <w:r w:rsidRPr="00E426D3">
        <w:t xml:space="preserve"> merknader til utkastet. </w:t>
      </w:r>
      <w:r w:rsidRPr="00E426D3">
        <w:rPr>
          <w:rStyle w:val="kursiv"/>
        </w:rPr>
        <w:t xml:space="preserve">Landssamanslutninga av </w:t>
      </w:r>
      <w:proofErr w:type="spellStart"/>
      <w:r w:rsidRPr="00E426D3">
        <w:rPr>
          <w:rStyle w:val="kursiv"/>
        </w:rPr>
        <w:t>vasskraftkommunar</w:t>
      </w:r>
      <w:proofErr w:type="spellEnd"/>
      <w:r w:rsidRPr="00E426D3">
        <w:rPr>
          <w:rStyle w:val="kursiv"/>
        </w:rPr>
        <w:t xml:space="preserve"> (LVK),</w:t>
      </w:r>
      <w:r w:rsidRPr="00E426D3">
        <w:t xml:space="preserve"> </w:t>
      </w:r>
      <w:r w:rsidRPr="00E426D3">
        <w:rPr>
          <w:rStyle w:val="kursiv"/>
        </w:rPr>
        <w:t>Skatteetaten</w:t>
      </w:r>
      <w:r w:rsidRPr="00E426D3">
        <w:t xml:space="preserve"> og </w:t>
      </w:r>
      <w:r w:rsidRPr="00E426D3">
        <w:rPr>
          <w:rStyle w:val="kursiv"/>
        </w:rPr>
        <w:t xml:space="preserve">KS Kommunesektorens organisasjon </w:t>
      </w:r>
      <w:r w:rsidRPr="00E426D3">
        <w:t xml:space="preserve">var i </w:t>
      </w:r>
      <w:proofErr w:type="spellStart"/>
      <w:r w:rsidRPr="00E426D3">
        <w:t>hovudsak</w:t>
      </w:r>
      <w:proofErr w:type="spellEnd"/>
      <w:r w:rsidRPr="00E426D3">
        <w:t xml:space="preserve"> positive til framlegga, </w:t>
      </w:r>
      <w:proofErr w:type="spellStart"/>
      <w:r w:rsidRPr="00E426D3">
        <w:t>medan</w:t>
      </w:r>
      <w:proofErr w:type="spellEnd"/>
      <w:r w:rsidRPr="00E426D3">
        <w:t xml:space="preserve"> </w:t>
      </w:r>
      <w:r w:rsidRPr="00E426D3">
        <w:rPr>
          <w:rStyle w:val="kursiv"/>
        </w:rPr>
        <w:t xml:space="preserve">Advokatfirmaet </w:t>
      </w:r>
      <w:proofErr w:type="spellStart"/>
      <w:r w:rsidRPr="00E426D3">
        <w:rPr>
          <w:rStyle w:val="kursiv"/>
        </w:rPr>
        <w:t>Deloitte</w:t>
      </w:r>
      <w:proofErr w:type="spellEnd"/>
      <w:r w:rsidRPr="00E426D3">
        <w:t xml:space="preserve"> tilrår at departementet «utreder hensikten og konsekvensene av lovforslaget nærmere».</w:t>
      </w:r>
    </w:p>
    <w:p w14:paraId="6BD5F448" w14:textId="77777777" w:rsidR="00772748" w:rsidRPr="00E426D3" w:rsidRDefault="00772748" w:rsidP="00E426D3">
      <w:r w:rsidRPr="00E426D3">
        <w:t xml:space="preserve">Dei mest sentrale fråsegnene vert nærmere </w:t>
      </w:r>
      <w:proofErr w:type="spellStart"/>
      <w:r w:rsidRPr="00E426D3">
        <w:t>omtala</w:t>
      </w:r>
      <w:proofErr w:type="spellEnd"/>
      <w:r w:rsidRPr="00E426D3">
        <w:t xml:space="preserve"> og kommentert under punktet om departementet sine </w:t>
      </w:r>
      <w:proofErr w:type="spellStart"/>
      <w:r w:rsidRPr="00E426D3">
        <w:t>vurderingar</w:t>
      </w:r>
      <w:proofErr w:type="spellEnd"/>
      <w:r w:rsidRPr="00E426D3">
        <w:t xml:space="preserve"> og framlegg, jf. </w:t>
      </w:r>
      <w:proofErr w:type="spellStart"/>
      <w:r w:rsidRPr="00E426D3">
        <w:t>nedanfor</w:t>
      </w:r>
      <w:proofErr w:type="spellEnd"/>
      <w:r w:rsidRPr="00E426D3">
        <w:t>.</w:t>
      </w:r>
    </w:p>
    <w:p w14:paraId="0A09521D" w14:textId="77777777" w:rsidR="00772748" w:rsidRPr="00E426D3" w:rsidRDefault="00772748" w:rsidP="00E426D3">
      <w:pPr>
        <w:pStyle w:val="Overskrift2"/>
      </w:pPr>
      <w:proofErr w:type="spellStart"/>
      <w:r w:rsidRPr="00E426D3">
        <w:lastRenderedPageBreak/>
        <w:t>Vurderingar</w:t>
      </w:r>
      <w:proofErr w:type="spellEnd"/>
      <w:r w:rsidRPr="00E426D3">
        <w:t xml:space="preserve"> og framlegg</w:t>
      </w:r>
    </w:p>
    <w:p w14:paraId="229FE200" w14:textId="77777777" w:rsidR="00772748" w:rsidRPr="00E426D3" w:rsidRDefault="00772748" w:rsidP="00E426D3">
      <w:r w:rsidRPr="00E426D3">
        <w:t xml:space="preserve">Dommen </w:t>
      </w:r>
      <w:proofErr w:type="spellStart"/>
      <w:r w:rsidRPr="00E426D3">
        <w:t>frå</w:t>
      </w:r>
      <w:proofErr w:type="spellEnd"/>
      <w:r w:rsidRPr="00E426D3">
        <w:t xml:space="preserve"> Eidsivating lagmannsrett og den </w:t>
      </w:r>
      <w:proofErr w:type="spellStart"/>
      <w:r w:rsidRPr="00E426D3">
        <w:t>seinare</w:t>
      </w:r>
      <w:proofErr w:type="spellEnd"/>
      <w:r w:rsidRPr="00E426D3">
        <w:t xml:space="preserve"> dommen </w:t>
      </w:r>
      <w:proofErr w:type="spellStart"/>
      <w:r w:rsidRPr="00E426D3">
        <w:t>frå</w:t>
      </w:r>
      <w:proofErr w:type="spellEnd"/>
      <w:r w:rsidRPr="00E426D3">
        <w:t xml:space="preserve"> Romerike og </w:t>
      </w:r>
      <w:proofErr w:type="spellStart"/>
      <w:r w:rsidRPr="00E426D3">
        <w:t>Glåmdal</w:t>
      </w:r>
      <w:proofErr w:type="spellEnd"/>
      <w:r w:rsidRPr="00E426D3">
        <w:t xml:space="preserve"> tingrett er rettskraftige. Etter </w:t>
      </w:r>
      <w:proofErr w:type="spellStart"/>
      <w:r w:rsidRPr="00E426D3">
        <w:t>vanlege</w:t>
      </w:r>
      <w:proofErr w:type="spellEnd"/>
      <w:r w:rsidRPr="00E426D3">
        <w:t xml:space="preserve"> prinsipp om rettsverknaden for rettsavgjerder er </w:t>
      </w:r>
      <w:proofErr w:type="spellStart"/>
      <w:r w:rsidRPr="00E426D3">
        <w:t>dommane</w:t>
      </w:r>
      <w:proofErr w:type="spellEnd"/>
      <w:r w:rsidRPr="00E426D3">
        <w:t xml:space="preserve"> i utgangspunktet </w:t>
      </w:r>
      <w:proofErr w:type="spellStart"/>
      <w:r w:rsidRPr="00E426D3">
        <w:t>berre</w:t>
      </w:r>
      <w:proofErr w:type="spellEnd"/>
      <w:r w:rsidRPr="00E426D3">
        <w:t xml:space="preserve"> </w:t>
      </w:r>
      <w:proofErr w:type="spellStart"/>
      <w:r w:rsidRPr="00E426D3">
        <w:t>bindande</w:t>
      </w:r>
      <w:proofErr w:type="spellEnd"/>
      <w:r w:rsidRPr="00E426D3">
        <w:t xml:space="preserve"> for </w:t>
      </w:r>
      <w:proofErr w:type="spellStart"/>
      <w:r w:rsidRPr="00E426D3">
        <w:t>partane</w:t>
      </w:r>
      <w:proofErr w:type="spellEnd"/>
      <w:r w:rsidRPr="00E426D3">
        <w:t xml:space="preserve"> i sakene. </w:t>
      </w:r>
      <w:proofErr w:type="spellStart"/>
      <w:r w:rsidRPr="00E426D3">
        <w:t>Ein</w:t>
      </w:r>
      <w:proofErr w:type="spellEnd"/>
      <w:r w:rsidRPr="00E426D3">
        <w:t xml:space="preserve"> må likevel anta at </w:t>
      </w:r>
      <w:proofErr w:type="spellStart"/>
      <w:r w:rsidRPr="00E426D3">
        <w:t>dei</w:t>
      </w:r>
      <w:proofErr w:type="spellEnd"/>
      <w:r w:rsidRPr="00E426D3">
        <w:t xml:space="preserve"> prinsippa som </w:t>
      </w:r>
      <w:proofErr w:type="spellStart"/>
      <w:r w:rsidRPr="00E426D3">
        <w:t>dommane</w:t>
      </w:r>
      <w:proofErr w:type="spellEnd"/>
      <w:r w:rsidRPr="00E426D3">
        <w:t xml:space="preserve"> er baserte på, må </w:t>
      </w:r>
      <w:proofErr w:type="spellStart"/>
      <w:r w:rsidRPr="00E426D3">
        <w:t>leggjast</w:t>
      </w:r>
      <w:proofErr w:type="spellEnd"/>
      <w:r w:rsidRPr="00E426D3">
        <w:t xml:space="preserve"> til grunn òg </w:t>
      </w:r>
      <w:proofErr w:type="spellStart"/>
      <w:r w:rsidRPr="00E426D3">
        <w:t>seinare</w:t>
      </w:r>
      <w:proofErr w:type="spellEnd"/>
      <w:r w:rsidRPr="00E426D3">
        <w:t xml:space="preserve"> i andre saker og i det minste </w:t>
      </w:r>
      <w:proofErr w:type="spellStart"/>
      <w:r w:rsidRPr="00E426D3">
        <w:t>skapar</w:t>
      </w:r>
      <w:proofErr w:type="spellEnd"/>
      <w:r w:rsidRPr="00E426D3">
        <w:t xml:space="preserve"> </w:t>
      </w:r>
      <w:proofErr w:type="spellStart"/>
      <w:r w:rsidRPr="00E426D3">
        <w:t>ein</w:t>
      </w:r>
      <w:proofErr w:type="spellEnd"/>
      <w:r w:rsidRPr="00E426D3">
        <w:t xml:space="preserve"> uklar rettstilstand.</w:t>
      </w:r>
    </w:p>
    <w:p w14:paraId="6AADEE11" w14:textId="77777777" w:rsidR="00772748" w:rsidRPr="00E426D3" w:rsidRDefault="00772748" w:rsidP="00E426D3">
      <w:r w:rsidRPr="00E426D3">
        <w:t xml:space="preserve">I dommen </w:t>
      </w:r>
      <w:proofErr w:type="spellStart"/>
      <w:r w:rsidRPr="00E426D3">
        <w:t>frå</w:t>
      </w:r>
      <w:proofErr w:type="spellEnd"/>
      <w:r w:rsidRPr="00E426D3">
        <w:t xml:space="preserve"> Eidsivating lagmannsrett vert det i </w:t>
      </w:r>
      <w:proofErr w:type="spellStart"/>
      <w:r w:rsidRPr="00E426D3">
        <w:t>grunngjevinga</w:t>
      </w:r>
      <w:proofErr w:type="spellEnd"/>
      <w:r w:rsidRPr="00E426D3">
        <w:t xml:space="preserve"> synt til ordlyden i lova og forarbeida til </w:t>
      </w:r>
      <w:proofErr w:type="spellStart"/>
      <w:r w:rsidRPr="00E426D3">
        <w:t>lovendringane</w:t>
      </w:r>
      <w:proofErr w:type="spellEnd"/>
      <w:r w:rsidRPr="00E426D3">
        <w:t xml:space="preserve"> som vart nemnd </w:t>
      </w:r>
      <w:proofErr w:type="spellStart"/>
      <w:r w:rsidRPr="00E426D3">
        <w:t>tidlegare</w:t>
      </w:r>
      <w:proofErr w:type="spellEnd"/>
      <w:r w:rsidRPr="00E426D3">
        <w:t xml:space="preserve">. Det </w:t>
      </w:r>
      <w:proofErr w:type="spellStart"/>
      <w:r w:rsidRPr="00E426D3">
        <w:t>heiter</w:t>
      </w:r>
      <w:proofErr w:type="spellEnd"/>
      <w:r w:rsidRPr="00E426D3">
        <w:t xml:space="preserve"> i dommen at:</w:t>
      </w:r>
    </w:p>
    <w:p w14:paraId="2D92FABD" w14:textId="77777777" w:rsidR="00772748" w:rsidRPr="00E426D3" w:rsidRDefault="00772748" w:rsidP="00E426D3">
      <w:r w:rsidRPr="00E426D3">
        <w:t>«Lagmannsretten har etter dette, i likhet med tingretten, kommet til at eiendomsskatteloven § 8 C-1 tredje ledd må forstås slik at ordlyden gir anvisning på at boliger som verdsettes etter § 8 C-1 tredje ledd skal ha fradrag for lokal reduksjonsfaktor i tillegg til den obligatoriske som følger av bestemmelsens annet ledd. Elverum kommune har dermed lagt en uriktig lovforståelse til grunn for skatteåret 2022, og vedtaket er ugyldig.»</w:t>
      </w:r>
    </w:p>
    <w:p w14:paraId="7AA9E219" w14:textId="77777777" w:rsidR="00772748" w:rsidRPr="00E426D3" w:rsidRDefault="00772748" w:rsidP="00E426D3">
      <w:r w:rsidRPr="00E426D3">
        <w:t xml:space="preserve">Resultatet i dommen står i motstrid til praksis i </w:t>
      </w:r>
      <w:proofErr w:type="spellStart"/>
      <w:r w:rsidRPr="00E426D3">
        <w:t>kommunane</w:t>
      </w:r>
      <w:proofErr w:type="spellEnd"/>
      <w:r w:rsidRPr="00E426D3">
        <w:t xml:space="preserve"> og </w:t>
      </w:r>
      <w:proofErr w:type="spellStart"/>
      <w:r w:rsidRPr="00E426D3">
        <w:t>tidlegare</w:t>
      </w:r>
      <w:proofErr w:type="spellEnd"/>
      <w:r w:rsidRPr="00E426D3">
        <w:t xml:space="preserve"> fråsegner </w:t>
      </w:r>
      <w:proofErr w:type="spellStart"/>
      <w:r w:rsidRPr="00E426D3">
        <w:t>frå</w:t>
      </w:r>
      <w:proofErr w:type="spellEnd"/>
      <w:r w:rsidRPr="00E426D3">
        <w:t xml:space="preserve"> departementet, </w:t>
      </w:r>
      <w:proofErr w:type="spellStart"/>
      <w:r w:rsidRPr="00E426D3">
        <w:t>jf</w:t>
      </w:r>
      <w:proofErr w:type="spellEnd"/>
      <w:r w:rsidRPr="00E426D3">
        <w:t xml:space="preserve"> avsnitt 8.2 ovafor. Etter denne praksisen skal </w:t>
      </w:r>
      <w:proofErr w:type="spellStart"/>
      <w:r w:rsidRPr="00E426D3">
        <w:t>kommunane</w:t>
      </w:r>
      <w:proofErr w:type="spellEnd"/>
      <w:r w:rsidRPr="00E426D3">
        <w:t xml:space="preserve"> </w:t>
      </w:r>
      <w:proofErr w:type="spellStart"/>
      <w:r w:rsidRPr="00E426D3">
        <w:t>berre</w:t>
      </w:r>
      <w:proofErr w:type="spellEnd"/>
      <w:r w:rsidRPr="00E426D3">
        <w:t xml:space="preserve"> </w:t>
      </w:r>
      <w:proofErr w:type="spellStart"/>
      <w:r w:rsidRPr="00E426D3">
        <w:t>gje</w:t>
      </w:r>
      <w:proofErr w:type="spellEnd"/>
      <w:r w:rsidRPr="00E426D3">
        <w:t xml:space="preserve"> </w:t>
      </w:r>
      <w:proofErr w:type="spellStart"/>
      <w:r w:rsidRPr="00E426D3">
        <w:t>frådrag</w:t>
      </w:r>
      <w:proofErr w:type="spellEnd"/>
      <w:r w:rsidRPr="00E426D3">
        <w:t xml:space="preserve"> for den </w:t>
      </w:r>
      <w:proofErr w:type="spellStart"/>
      <w:r w:rsidRPr="00E426D3">
        <w:t>høgaste</w:t>
      </w:r>
      <w:proofErr w:type="spellEnd"/>
      <w:r w:rsidRPr="00E426D3">
        <w:t xml:space="preserve"> av den obligatoriske og den lokale reduksjonsfaktoren.</w:t>
      </w:r>
    </w:p>
    <w:p w14:paraId="6253D72F" w14:textId="77777777" w:rsidR="00772748" w:rsidRPr="00E426D3" w:rsidRDefault="00772748" w:rsidP="00E426D3">
      <w:pPr>
        <w:rPr>
          <w:rStyle w:val="sperret0"/>
        </w:rPr>
      </w:pPr>
      <w:r w:rsidRPr="00E426D3">
        <w:rPr>
          <w:rStyle w:val="sperret0"/>
        </w:rPr>
        <w:t xml:space="preserve">Departementet </w:t>
      </w:r>
      <w:r w:rsidRPr="00E426D3">
        <w:t xml:space="preserve">syner til at </w:t>
      </w:r>
      <w:proofErr w:type="spellStart"/>
      <w:r w:rsidRPr="00E426D3">
        <w:t>ein</w:t>
      </w:r>
      <w:proofErr w:type="spellEnd"/>
      <w:r w:rsidRPr="00E426D3">
        <w:t xml:space="preserve"> reduksjonsfaktor </w:t>
      </w:r>
      <w:proofErr w:type="spellStart"/>
      <w:r w:rsidRPr="00E426D3">
        <w:t>innanfor</w:t>
      </w:r>
      <w:proofErr w:type="spellEnd"/>
      <w:r w:rsidRPr="00E426D3">
        <w:t xml:space="preserve"> </w:t>
      </w:r>
      <w:proofErr w:type="spellStart"/>
      <w:r w:rsidRPr="00E426D3">
        <w:t>eigedomsskatten</w:t>
      </w:r>
      <w:proofErr w:type="spellEnd"/>
      <w:r w:rsidRPr="00E426D3">
        <w:t xml:space="preserve"> vert definert som </w:t>
      </w:r>
      <w:proofErr w:type="spellStart"/>
      <w:r w:rsidRPr="00E426D3">
        <w:t>eit</w:t>
      </w:r>
      <w:proofErr w:type="spellEnd"/>
      <w:r w:rsidRPr="00E426D3">
        <w:t xml:space="preserve"> prosentvist likt </w:t>
      </w:r>
      <w:proofErr w:type="spellStart"/>
      <w:r w:rsidRPr="00E426D3">
        <w:t>frådrag</w:t>
      </w:r>
      <w:proofErr w:type="spellEnd"/>
      <w:r w:rsidRPr="00E426D3">
        <w:t xml:space="preserve"> i </w:t>
      </w:r>
      <w:proofErr w:type="spellStart"/>
      <w:r w:rsidRPr="00E426D3">
        <w:t>takstane</w:t>
      </w:r>
      <w:proofErr w:type="spellEnd"/>
      <w:r w:rsidRPr="00E426D3">
        <w:t xml:space="preserve"> for alle </w:t>
      </w:r>
      <w:proofErr w:type="spellStart"/>
      <w:r w:rsidRPr="00E426D3">
        <w:t>typar</w:t>
      </w:r>
      <w:proofErr w:type="spellEnd"/>
      <w:r w:rsidRPr="00E426D3">
        <w:t xml:space="preserve"> </w:t>
      </w:r>
      <w:proofErr w:type="spellStart"/>
      <w:r w:rsidRPr="00E426D3">
        <w:t>eigedom</w:t>
      </w:r>
      <w:proofErr w:type="spellEnd"/>
      <w:r w:rsidRPr="00E426D3">
        <w:t xml:space="preserve">. Den obligatoriske reduksjonsfaktoren for bustad og </w:t>
      </w:r>
      <w:proofErr w:type="spellStart"/>
      <w:r w:rsidRPr="00E426D3">
        <w:t>fritidseigedom</w:t>
      </w:r>
      <w:proofErr w:type="spellEnd"/>
      <w:r w:rsidRPr="00E426D3">
        <w:t xml:space="preserve"> må </w:t>
      </w:r>
      <w:proofErr w:type="spellStart"/>
      <w:r w:rsidRPr="00E426D3">
        <w:t>sjåast</w:t>
      </w:r>
      <w:proofErr w:type="spellEnd"/>
      <w:r w:rsidRPr="00E426D3">
        <w:t xml:space="preserve"> som </w:t>
      </w:r>
      <w:proofErr w:type="spellStart"/>
      <w:r w:rsidRPr="00E426D3">
        <w:t>ein</w:t>
      </w:r>
      <w:proofErr w:type="spellEnd"/>
      <w:r w:rsidRPr="00E426D3">
        <w:t xml:space="preserve"> særregel i høve til dette prinsippet. Fyrst fungerte særregelen som </w:t>
      </w:r>
      <w:proofErr w:type="spellStart"/>
      <w:r w:rsidRPr="00E426D3">
        <w:t>ein</w:t>
      </w:r>
      <w:proofErr w:type="spellEnd"/>
      <w:r w:rsidRPr="00E426D3">
        <w:t xml:space="preserve"> </w:t>
      </w:r>
      <w:proofErr w:type="spellStart"/>
      <w:r w:rsidRPr="00E426D3">
        <w:t>sikkerheitsventil</w:t>
      </w:r>
      <w:proofErr w:type="spellEnd"/>
      <w:r w:rsidRPr="00E426D3">
        <w:t xml:space="preserve"> ved innføringa av høve til å nytte Skatteetaten sine </w:t>
      </w:r>
      <w:proofErr w:type="spellStart"/>
      <w:r w:rsidRPr="00E426D3">
        <w:t>formuesgrunnlag</w:t>
      </w:r>
      <w:proofErr w:type="spellEnd"/>
      <w:r w:rsidRPr="00E426D3">
        <w:t xml:space="preserve"> ved verdsettinga. </w:t>
      </w:r>
      <w:proofErr w:type="spellStart"/>
      <w:r w:rsidRPr="00E426D3">
        <w:t>Seinare</w:t>
      </w:r>
      <w:proofErr w:type="spellEnd"/>
      <w:r w:rsidRPr="00E426D3">
        <w:t xml:space="preserve"> har den fungert som </w:t>
      </w:r>
      <w:proofErr w:type="spellStart"/>
      <w:r w:rsidRPr="00E426D3">
        <w:t>ein</w:t>
      </w:r>
      <w:proofErr w:type="spellEnd"/>
      <w:r w:rsidRPr="00E426D3">
        <w:t xml:space="preserve"> generell skattereduksjon for både </w:t>
      </w:r>
      <w:proofErr w:type="spellStart"/>
      <w:r w:rsidRPr="00E426D3">
        <w:t>bustader</w:t>
      </w:r>
      <w:proofErr w:type="spellEnd"/>
      <w:r w:rsidRPr="00E426D3">
        <w:t xml:space="preserve"> og </w:t>
      </w:r>
      <w:proofErr w:type="spellStart"/>
      <w:r w:rsidRPr="00E426D3">
        <w:t>fritidsbustader</w:t>
      </w:r>
      <w:proofErr w:type="spellEnd"/>
      <w:r w:rsidRPr="00E426D3">
        <w:t>.</w:t>
      </w:r>
    </w:p>
    <w:p w14:paraId="45731AE3" w14:textId="77777777" w:rsidR="00772748" w:rsidRPr="00E426D3" w:rsidRDefault="00772748" w:rsidP="00E426D3">
      <w:r w:rsidRPr="00E426D3">
        <w:t xml:space="preserve">Lagmannsretten si tolking med dobbelt </w:t>
      </w:r>
      <w:proofErr w:type="spellStart"/>
      <w:r w:rsidRPr="00E426D3">
        <w:t>frådrag</w:t>
      </w:r>
      <w:proofErr w:type="spellEnd"/>
      <w:r w:rsidRPr="00E426D3">
        <w:t xml:space="preserve"> fører med seg at bustad- og </w:t>
      </w:r>
      <w:proofErr w:type="spellStart"/>
      <w:r w:rsidRPr="00E426D3">
        <w:t>fritidseigedom</w:t>
      </w:r>
      <w:proofErr w:type="spellEnd"/>
      <w:r w:rsidRPr="00E426D3">
        <w:t xml:space="preserve"> vil få </w:t>
      </w:r>
      <w:proofErr w:type="spellStart"/>
      <w:r w:rsidRPr="00E426D3">
        <w:t>høgare</w:t>
      </w:r>
      <w:proofErr w:type="spellEnd"/>
      <w:r w:rsidRPr="00E426D3">
        <w:t xml:space="preserve"> reduksjonsfaktor enn øvrig </w:t>
      </w:r>
      <w:proofErr w:type="spellStart"/>
      <w:r w:rsidRPr="00E426D3">
        <w:t>eigedom</w:t>
      </w:r>
      <w:proofErr w:type="spellEnd"/>
      <w:r w:rsidRPr="00E426D3">
        <w:t xml:space="preserve"> når kommunen </w:t>
      </w:r>
      <w:proofErr w:type="spellStart"/>
      <w:r w:rsidRPr="00E426D3">
        <w:t>nyttar</w:t>
      </w:r>
      <w:proofErr w:type="spellEnd"/>
      <w:r w:rsidRPr="00E426D3">
        <w:t xml:space="preserve"> formuesskattegrunnlaget </w:t>
      </w:r>
      <w:proofErr w:type="spellStart"/>
      <w:r w:rsidRPr="00E426D3">
        <w:t>frå</w:t>
      </w:r>
      <w:proofErr w:type="spellEnd"/>
      <w:r w:rsidRPr="00E426D3">
        <w:t xml:space="preserve"> Skatteetaten til verdsettinga. Dette </w:t>
      </w:r>
      <w:proofErr w:type="spellStart"/>
      <w:r w:rsidRPr="00E426D3">
        <w:t>gjeld</w:t>
      </w:r>
      <w:proofErr w:type="spellEnd"/>
      <w:r w:rsidRPr="00E426D3">
        <w:t xml:space="preserve"> òg der den lokale reduksjonsfaktoren er </w:t>
      </w:r>
      <w:proofErr w:type="spellStart"/>
      <w:r w:rsidRPr="00E426D3">
        <w:t>høgare</w:t>
      </w:r>
      <w:proofErr w:type="spellEnd"/>
      <w:r w:rsidRPr="00E426D3">
        <w:t xml:space="preserve"> enn den obligatoriske. Det framgår av sitatet </w:t>
      </w:r>
      <w:proofErr w:type="spellStart"/>
      <w:r w:rsidRPr="00E426D3">
        <w:t>ovanfor</w:t>
      </w:r>
      <w:proofErr w:type="spellEnd"/>
      <w:r w:rsidRPr="00E426D3">
        <w:t xml:space="preserve"> </w:t>
      </w:r>
      <w:proofErr w:type="spellStart"/>
      <w:r w:rsidRPr="00E426D3">
        <w:t>frå</w:t>
      </w:r>
      <w:proofErr w:type="spellEnd"/>
      <w:r w:rsidRPr="00E426D3">
        <w:t xml:space="preserve"> dommen at den doble </w:t>
      </w:r>
      <w:proofErr w:type="spellStart"/>
      <w:r w:rsidRPr="00E426D3">
        <w:t>berekninga</w:t>
      </w:r>
      <w:proofErr w:type="spellEnd"/>
      <w:r w:rsidRPr="00E426D3">
        <w:t xml:space="preserve"> som lagmannsretten gjev anvisning på, kun skal gjelde for </w:t>
      </w:r>
      <w:proofErr w:type="spellStart"/>
      <w:r w:rsidRPr="00E426D3">
        <w:t>kommunar</w:t>
      </w:r>
      <w:proofErr w:type="spellEnd"/>
      <w:r w:rsidRPr="00E426D3">
        <w:t xml:space="preserve"> som </w:t>
      </w:r>
      <w:proofErr w:type="spellStart"/>
      <w:r w:rsidRPr="00E426D3">
        <w:t>nyttar</w:t>
      </w:r>
      <w:proofErr w:type="spellEnd"/>
      <w:r w:rsidRPr="00E426D3">
        <w:t xml:space="preserve"> Skatteetaten sine </w:t>
      </w:r>
      <w:proofErr w:type="spellStart"/>
      <w:r w:rsidRPr="00E426D3">
        <w:t>bustadverdiar</w:t>
      </w:r>
      <w:proofErr w:type="spellEnd"/>
      <w:r w:rsidRPr="00E426D3">
        <w:t>.</w:t>
      </w:r>
    </w:p>
    <w:p w14:paraId="6BDB571F" w14:textId="77777777" w:rsidR="00772748" w:rsidRPr="00E426D3" w:rsidRDefault="00772748" w:rsidP="00E426D3">
      <w:r w:rsidRPr="00E426D3">
        <w:t xml:space="preserve">Dommen </w:t>
      </w:r>
      <w:proofErr w:type="spellStart"/>
      <w:r w:rsidRPr="00E426D3">
        <w:t>inneber</w:t>
      </w:r>
      <w:proofErr w:type="spellEnd"/>
      <w:r w:rsidRPr="00E426D3">
        <w:t xml:space="preserve"> at «samla» reduksjonsfaktor vert ulik mellom </w:t>
      </w:r>
      <w:proofErr w:type="spellStart"/>
      <w:r w:rsidRPr="00E426D3">
        <w:t>bustadeigedom</w:t>
      </w:r>
      <w:proofErr w:type="spellEnd"/>
      <w:r w:rsidRPr="00E426D3">
        <w:t xml:space="preserve">, og ulik mellom </w:t>
      </w:r>
      <w:proofErr w:type="spellStart"/>
      <w:r w:rsidRPr="00E426D3">
        <w:t>bustadeiegdom</w:t>
      </w:r>
      <w:proofErr w:type="spellEnd"/>
      <w:r w:rsidRPr="00E426D3">
        <w:t xml:space="preserve"> og </w:t>
      </w:r>
      <w:proofErr w:type="spellStart"/>
      <w:r w:rsidRPr="00E426D3">
        <w:t>fritidseigedom</w:t>
      </w:r>
      <w:proofErr w:type="spellEnd"/>
      <w:r w:rsidRPr="00E426D3">
        <w:t xml:space="preserve">, avhengig av om kommunen </w:t>
      </w:r>
      <w:proofErr w:type="spellStart"/>
      <w:r w:rsidRPr="00E426D3">
        <w:t>nyttar</w:t>
      </w:r>
      <w:proofErr w:type="spellEnd"/>
      <w:r w:rsidRPr="00E426D3">
        <w:t xml:space="preserve"> </w:t>
      </w:r>
      <w:proofErr w:type="spellStart"/>
      <w:r w:rsidRPr="00E426D3">
        <w:t>bustadverdiar</w:t>
      </w:r>
      <w:proofErr w:type="spellEnd"/>
      <w:r w:rsidRPr="00E426D3">
        <w:t xml:space="preserve"> </w:t>
      </w:r>
      <w:proofErr w:type="spellStart"/>
      <w:r w:rsidRPr="00E426D3">
        <w:t>frå</w:t>
      </w:r>
      <w:proofErr w:type="spellEnd"/>
      <w:r w:rsidRPr="00E426D3">
        <w:t xml:space="preserve"> Skatteetaten eller </w:t>
      </w:r>
      <w:proofErr w:type="spellStart"/>
      <w:r w:rsidRPr="00E426D3">
        <w:t>ikkje</w:t>
      </w:r>
      <w:proofErr w:type="spellEnd"/>
      <w:r w:rsidRPr="00E426D3">
        <w:t xml:space="preserve">. Som </w:t>
      </w:r>
      <w:proofErr w:type="spellStart"/>
      <w:r w:rsidRPr="00E426D3">
        <w:t>eit</w:t>
      </w:r>
      <w:proofErr w:type="spellEnd"/>
      <w:r w:rsidRPr="00E426D3">
        <w:t xml:space="preserve"> døme på det </w:t>
      </w:r>
      <w:proofErr w:type="spellStart"/>
      <w:r w:rsidRPr="00E426D3">
        <w:t>fyrstnemnde</w:t>
      </w:r>
      <w:proofErr w:type="spellEnd"/>
      <w:r w:rsidRPr="00E426D3">
        <w:t xml:space="preserve"> syner departementet til at </w:t>
      </w:r>
      <w:proofErr w:type="spellStart"/>
      <w:r w:rsidRPr="00E426D3">
        <w:t>ein</w:t>
      </w:r>
      <w:proofErr w:type="spellEnd"/>
      <w:r w:rsidRPr="00E426D3">
        <w:t xml:space="preserve"> ved bruk av </w:t>
      </w:r>
      <w:proofErr w:type="spellStart"/>
      <w:r w:rsidRPr="00E426D3">
        <w:t>bustadverdiar</w:t>
      </w:r>
      <w:proofErr w:type="spellEnd"/>
      <w:r w:rsidRPr="00E426D3">
        <w:t xml:space="preserve"> vil </w:t>
      </w:r>
      <w:proofErr w:type="spellStart"/>
      <w:r w:rsidRPr="00E426D3">
        <w:t>berekne</w:t>
      </w:r>
      <w:proofErr w:type="spellEnd"/>
      <w:r w:rsidRPr="00E426D3">
        <w:t xml:space="preserve"> dobbelt </w:t>
      </w:r>
      <w:proofErr w:type="spellStart"/>
      <w:r w:rsidRPr="00E426D3">
        <w:t>frådrag</w:t>
      </w:r>
      <w:proofErr w:type="spellEnd"/>
      <w:r w:rsidRPr="00E426D3">
        <w:t xml:space="preserve">, </w:t>
      </w:r>
      <w:proofErr w:type="spellStart"/>
      <w:r w:rsidRPr="00E426D3">
        <w:t>medan</w:t>
      </w:r>
      <w:proofErr w:type="spellEnd"/>
      <w:r w:rsidRPr="00E426D3">
        <w:t xml:space="preserve"> dette </w:t>
      </w:r>
      <w:proofErr w:type="spellStart"/>
      <w:r w:rsidRPr="00E426D3">
        <w:t>ikkje</w:t>
      </w:r>
      <w:proofErr w:type="spellEnd"/>
      <w:r w:rsidRPr="00E426D3">
        <w:t xml:space="preserve"> er tilfellet dersom kommunen takserer lokalt. </w:t>
      </w:r>
      <w:proofErr w:type="spellStart"/>
      <w:r w:rsidRPr="00E426D3">
        <w:t>Vidare</w:t>
      </w:r>
      <w:proofErr w:type="spellEnd"/>
      <w:r w:rsidRPr="00E426D3">
        <w:t xml:space="preserve"> vil det </w:t>
      </w:r>
      <w:proofErr w:type="spellStart"/>
      <w:r w:rsidRPr="00E426D3">
        <w:t>verte</w:t>
      </w:r>
      <w:proofErr w:type="spellEnd"/>
      <w:r w:rsidRPr="00E426D3">
        <w:t xml:space="preserve"> ulikskap mellom </w:t>
      </w:r>
      <w:proofErr w:type="spellStart"/>
      <w:r w:rsidRPr="00E426D3">
        <w:t>bustadeiegdom</w:t>
      </w:r>
      <w:proofErr w:type="spellEnd"/>
      <w:r w:rsidRPr="00E426D3">
        <w:t xml:space="preserve"> og </w:t>
      </w:r>
      <w:proofErr w:type="spellStart"/>
      <w:r w:rsidRPr="00E426D3">
        <w:t>fritidseigedom</w:t>
      </w:r>
      <w:proofErr w:type="spellEnd"/>
      <w:r w:rsidRPr="00E426D3">
        <w:t xml:space="preserve"> om </w:t>
      </w:r>
      <w:proofErr w:type="spellStart"/>
      <w:r w:rsidRPr="00E426D3">
        <w:t>ein</w:t>
      </w:r>
      <w:proofErr w:type="spellEnd"/>
      <w:r w:rsidRPr="00E426D3">
        <w:t xml:space="preserve"> </w:t>
      </w:r>
      <w:proofErr w:type="spellStart"/>
      <w:r w:rsidRPr="00E426D3">
        <w:t>nyttar</w:t>
      </w:r>
      <w:proofErr w:type="spellEnd"/>
      <w:r w:rsidRPr="00E426D3">
        <w:t xml:space="preserve"> </w:t>
      </w:r>
      <w:proofErr w:type="spellStart"/>
      <w:r w:rsidRPr="00E426D3">
        <w:t>formuesgrunnlag</w:t>
      </w:r>
      <w:proofErr w:type="spellEnd"/>
      <w:r w:rsidRPr="00E426D3">
        <w:t xml:space="preserve"> ved verdsettinga av </w:t>
      </w:r>
      <w:proofErr w:type="spellStart"/>
      <w:r w:rsidRPr="00E426D3">
        <w:t>bustadeigedom</w:t>
      </w:r>
      <w:proofErr w:type="spellEnd"/>
      <w:r w:rsidRPr="00E426D3">
        <w:t xml:space="preserve">. Slike </w:t>
      </w:r>
      <w:proofErr w:type="spellStart"/>
      <w:r w:rsidRPr="00E426D3">
        <w:t>eigedomar</w:t>
      </w:r>
      <w:proofErr w:type="spellEnd"/>
      <w:r w:rsidRPr="00E426D3">
        <w:t xml:space="preserve"> vil få dobbelt </w:t>
      </w:r>
      <w:proofErr w:type="spellStart"/>
      <w:r w:rsidRPr="00E426D3">
        <w:t>frådrag</w:t>
      </w:r>
      <w:proofErr w:type="spellEnd"/>
      <w:r w:rsidRPr="00E426D3">
        <w:t xml:space="preserve">, </w:t>
      </w:r>
      <w:proofErr w:type="spellStart"/>
      <w:r w:rsidRPr="00E426D3">
        <w:t>medan</w:t>
      </w:r>
      <w:proofErr w:type="spellEnd"/>
      <w:r w:rsidRPr="00E426D3">
        <w:t xml:space="preserve"> </w:t>
      </w:r>
      <w:proofErr w:type="spellStart"/>
      <w:r w:rsidRPr="00E426D3">
        <w:t>fritidsbustader</w:t>
      </w:r>
      <w:proofErr w:type="spellEnd"/>
      <w:r w:rsidRPr="00E426D3">
        <w:t xml:space="preserve"> som vert taksert lokalt, </w:t>
      </w:r>
      <w:proofErr w:type="spellStart"/>
      <w:r w:rsidRPr="00E426D3">
        <w:t>ikkje</w:t>
      </w:r>
      <w:proofErr w:type="spellEnd"/>
      <w:r w:rsidRPr="00E426D3">
        <w:t xml:space="preserve"> vil få dette. Ved lokal taksering av både bustad- og </w:t>
      </w:r>
      <w:proofErr w:type="spellStart"/>
      <w:r w:rsidRPr="00E426D3">
        <w:t>fritidseigedom</w:t>
      </w:r>
      <w:proofErr w:type="spellEnd"/>
      <w:r w:rsidRPr="00E426D3">
        <w:t xml:space="preserve"> vil derimot båe </w:t>
      </w:r>
      <w:proofErr w:type="spellStart"/>
      <w:r w:rsidRPr="00E426D3">
        <w:t>desse</w:t>
      </w:r>
      <w:proofErr w:type="spellEnd"/>
      <w:r w:rsidRPr="00E426D3">
        <w:t xml:space="preserve"> få same reduksjonsfaktor.</w:t>
      </w:r>
    </w:p>
    <w:p w14:paraId="58AA263D" w14:textId="77777777" w:rsidR="00772748" w:rsidRPr="00E426D3" w:rsidRDefault="00772748" w:rsidP="00E426D3">
      <w:r w:rsidRPr="00E426D3">
        <w:t xml:space="preserve">Når kommunen </w:t>
      </w:r>
      <w:proofErr w:type="spellStart"/>
      <w:r w:rsidRPr="00E426D3">
        <w:t>nyttar</w:t>
      </w:r>
      <w:proofErr w:type="spellEnd"/>
      <w:r w:rsidRPr="00E426D3">
        <w:t xml:space="preserve"> Skatteetaten sine </w:t>
      </w:r>
      <w:proofErr w:type="spellStart"/>
      <w:r w:rsidRPr="00E426D3">
        <w:t>formuesgrunnlag</w:t>
      </w:r>
      <w:proofErr w:type="spellEnd"/>
      <w:r w:rsidRPr="00E426D3">
        <w:t xml:space="preserve"> ved verdsettinga, kan det òg oppstå andre problem som </w:t>
      </w:r>
      <w:proofErr w:type="spellStart"/>
      <w:r w:rsidRPr="00E426D3">
        <w:t>følgje</w:t>
      </w:r>
      <w:proofErr w:type="spellEnd"/>
      <w:r w:rsidRPr="00E426D3">
        <w:t xml:space="preserve"> av dommen. I </w:t>
      </w:r>
      <w:proofErr w:type="spellStart"/>
      <w:r w:rsidRPr="00E426D3">
        <w:t>nokre</w:t>
      </w:r>
      <w:proofErr w:type="spellEnd"/>
      <w:r w:rsidRPr="00E426D3">
        <w:t xml:space="preserve"> høve vil det </w:t>
      </w:r>
      <w:proofErr w:type="spellStart"/>
      <w:r w:rsidRPr="00E426D3">
        <w:t>ikkje</w:t>
      </w:r>
      <w:proofErr w:type="spellEnd"/>
      <w:r w:rsidRPr="00E426D3">
        <w:t xml:space="preserve"> </w:t>
      </w:r>
      <w:proofErr w:type="spellStart"/>
      <w:r w:rsidRPr="00E426D3">
        <w:t>vere</w:t>
      </w:r>
      <w:proofErr w:type="spellEnd"/>
      <w:r w:rsidRPr="00E426D3">
        <w:t xml:space="preserve"> </w:t>
      </w:r>
      <w:proofErr w:type="spellStart"/>
      <w:r w:rsidRPr="00E426D3">
        <w:t>tilgjengeleg</w:t>
      </w:r>
      <w:proofErr w:type="spellEnd"/>
      <w:r w:rsidRPr="00E426D3">
        <w:t xml:space="preserve"> </w:t>
      </w:r>
      <w:proofErr w:type="spellStart"/>
      <w:r w:rsidRPr="00E426D3">
        <w:t>formuesgrunnlag</w:t>
      </w:r>
      <w:proofErr w:type="spellEnd"/>
      <w:r w:rsidRPr="00E426D3">
        <w:t xml:space="preserve"> for alle </w:t>
      </w:r>
      <w:proofErr w:type="spellStart"/>
      <w:r w:rsidRPr="00E426D3">
        <w:t>bustadeigedomar</w:t>
      </w:r>
      <w:proofErr w:type="spellEnd"/>
      <w:r w:rsidRPr="00E426D3">
        <w:t xml:space="preserve">. </w:t>
      </w:r>
      <w:proofErr w:type="spellStart"/>
      <w:r w:rsidRPr="00E426D3">
        <w:t>Desse</w:t>
      </w:r>
      <w:proofErr w:type="spellEnd"/>
      <w:r w:rsidRPr="00E426D3">
        <w:t xml:space="preserve"> må </w:t>
      </w:r>
      <w:proofErr w:type="spellStart"/>
      <w:r w:rsidRPr="00E426D3">
        <w:t>difor</w:t>
      </w:r>
      <w:proofErr w:type="spellEnd"/>
      <w:r w:rsidRPr="00E426D3">
        <w:t xml:space="preserve"> </w:t>
      </w:r>
      <w:proofErr w:type="spellStart"/>
      <w:r w:rsidRPr="00E426D3">
        <w:t>takserast</w:t>
      </w:r>
      <w:proofErr w:type="spellEnd"/>
      <w:r w:rsidRPr="00E426D3">
        <w:t xml:space="preserve"> lokalt. Dersom dommen </w:t>
      </w:r>
      <w:proofErr w:type="spellStart"/>
      <w:r w:rsidRPr="00E426D3">
        <w:t>frå</w:t>
      </w:r>
      <w:proofErr w:type="spellEnd"/>
      <w:r w:rsidRPr="00E426D3">
        <w:t xml:space="preserve"> lagmannsretten skal </w:t>
      </w:r>
      <w:proofErr w:type="spellStart"/>
      <w:r w:rsidRPr="00E426D3">
        <w:t>leggjast</w:t>
      </w:r>
      <w:proofErr w:type="spellEnd"/>
      <w:r w:rsidRPr="00E426D3">
        <w:t xml:space="preserve"> til grunn, vil dette </w:t>
      </w:r>
      <w:proofErr w:type="spellStart"/>
      <w:r w:rsidRPr="00E426D3">
        <w:t>innebere</w:t>
      </w:r>
      <w:proofErr w:type="spellEnd"/>
      <w:r w:rsidRPr="00E426D3">
        <w:t xml:space="preserve"> at skattegrunnlaget for </w:t>
      </w:r>
      <w:proofErr w:type="spellStart"/>
      <w:r w:rsidRPr="00E426D3">
        <w:t>bustadeigedom</w:t>
      </w:r>
      <w:proofErr w:type="spellEnd"/>
      <w:r w:rsidRPr="00E426D3">
        <w:t xml:space="preserve"> i same kommune vert ulikt. Dette på grunn av ulik reduksjonsfaktor i </w:t>
      </w:r>
      <w:proofErr w:type="spellStart"/>
      <w:r w:rsidRPr="00E426D3">
        <w:t>dei</w:t>
      </w:r>
      <w:proofErr w:type="spellEnd"/>
      <w:r w:rsidRPr="00E426D3">
        <w:t xml:space="preserve"> ulike </w:t>
      </w:r>
      <w:proofErr w:type="spellStart"/>
      <w:r w:rsidRPr="00E426D3">
        <w:t>metodane</w:t>
      </w:r>
      <w:proofErr w:type="spellEnd"/>
      <w:r w:rsidRPr="00E426D3">
        <w:t xml:space="preserve"> for </w:t>
      </w:r>
      <w:r w:rsidRPr="00E426D3">
        <w:lastRenderedPageBreak/>
        <w:t xml:space="preserve">verdsetting. Det same vil </w:t>
      </w:r>
      <w:proofErr w:type="spellStart"/>
      <w:r w:rsidRPr="00E426D3">
        <w:t>og</w:t>
      </w:r>
      <w:proofErr w:type="spellEnd"/>
      <w:r w:rsidRPr="00E426D3">
        <w:t xml:space="preserve"> gjelde i høve til våningshus på </w:t>
      </w:r>
      <w:proofErr w:type="spellStart"/>
      <w:r w:rsidRPr="00E426D3">
        <w:t>landbrukseigedom</w:t>
      </w:r>
      <w:proofErr w:type="spellEnd"/>
      <w:r w:rsidRPr="00E426D3">
        <w:t xml:space="preserve">, då slike </w:t>
      </w:r>
      <w:proofErr w:type="spellStart"/>
      <w:r w:rsidRPr="00E426D3">
        <w:t>bustadeigedomar</w:t>
      </w:r>
      <w:proofErr w:type="spellEnd"/>
      <w:r w:rsidRPr="00E426D3">
        <w:t xml:space="preserve"> normalt </w:t>
      </w:r>
      <w:proofErr w:type="spellStart"/>
      <w:r w:rsidRPr="00E426D3">
        <w:t>manglar</w:t>
      </w:r>
      <w:proofErr w:type="spellEnd"/>
      <w:r w:rsidRPr="00E426D3">
        <w:t xml:space="preserve"> </w:t>
      </w:r>
      <w:proofErr w:type="spellStart"/>
      <w:r w:rsidRPr="00E426D3">
        <w:t>formuesgrunnlag</w:t>
      </w:r>
      <w:proofErr w:type="spellEnd"/>
      <w:r w:rsidRPr="00E426D3">
        <w:t xml:space="preserve"> og </w:t>
      </w:r>
      <w:proofErr w:type="spellStart"/>
      <w:r w:rsidRPr="00E426D3">
        <w:t>difor</w:t>
      </w:r>
      <w:proofErr w:type="spellEnd"/>
      <w:r w:rsidRPr="00E426D3">
        <w:t xml:space="preserve"> må </w:t>
      </w:r>
      <w:proofErr w:type="spellStart"/>
      <w:r w:rsidRPr="00E426D3">
        <w:t>takserast</w:t>
      </w:r>
      <w:proofErr w:type="spellEnd"/>
      <w:r w:rsidRPr="00E426D3">
        <w:t xml:space="preserve"> lokalt.</w:t>
      </w:r>
    </w:p>
    <w:p w14:paraId="1289D43F" w14:textId="77777777" w:rsidR="00772748" w:rsidRPr="00E426D3" w:rsidRDefault="00772748" w:rsidP="00E426D3">
      <w:r w:rsidRPr="00E426D3">
        <w:t xml:space="preserve">Eksempla </w:t>
      </w:r>
      <w:proofErr w:type="spellStart"/>
      <w:r w:rsidRPr="00E426D3">
        <w:t>ovanfor</w:t>
      </w:r>
      <w:proofErr w:type="spellEnd"/>
      <w:r w:rsidRPr="00E426D3">
        <w:t xml:space="preserve"> syner at verknadene av dommen </w:t>
      </w:r>
      <w:proofErr w:type="spellStart"/>
      <w:r w:rsidRPr="00E426D3">
        <w:t>klårt</w:t>
      </w:r>
      <w:proofErr w:type="spellEnd"/>
      <w:r w:rsidRPr="00E426D3">
        <w:t xml:space="preserve"> er i strid med prinsippet bak bruk av reduksjonsfaktor i </w:t>
      </w:r>
      <w:proofErr w:type="spellStart"/>
      <w:r w:rsidRPr="00E426D3">
        <w:t>eigedomsskatten</w:t>
      </w:r>
      <w:proofErr w:type="spellEnd"/>
      <w:r w:rsidRPr="00E426D3">
        <w:t xml:space="preserve">. Dommen vil og kunne </w:t>
      </w:r>
      <w:proofErr w:type="spellStart"/>
      <w:r w:rsidRPr="00E426D3">
        <w:t>påverke</w:t>
      </w:r>
      <w:proofErr w:type="spellEnd"/>
      <w:r w:rsidRPr="00E426D3">
        <w:t xml:space="preserve"> </w:t>
      </w:r>
      <w:proofErr w:type="spellStart"/>
      <w:r w:rsidRPr="00E426D3">
        <w:t>kommunane</w:t>
      </w:r>
      <w:proofErr w:type="spellEnd"/>
      <w:r w:rsidRPr="00E426D3">
        <w:t xml:space="preserve"> med omsyn til val av metode for verdsettinga, slik at dette </w:t>
      </w:r>
      <w:proofErr w:type="spellStart"/>
      <w:r w:rsidRPr="00E426D3">
        <w:t>valet</w:t>
      </w:r>
      <w:proofErr w:type="spellEnd"/>
      <w:r w:rsidRPr="00E426D3">
        <w:t xml:space="preserve"> </w:t>
      </w:r>
      <w:proofErr w:type="spellStart"/>
      <w:r w:rsidRPr="00E426D3">
        <w:t>ikkje</w:t>
      </w:r>
      <w:proofErr w:type="spellEnd"/>
      <w:r w:rsidRPr="00E426D3">
        <w:t xml:space="preserve"> lenger vert nøytralt og basert på </w:t>
      </w:r>
      <w:proofErr w:type="spellStart"/>
      <w:r w:rsidRPr="00E426D3">
        <w:t>dei</w:t>
      </w:r>
      <w:proofErr w:type="spellEnd"/>
      <w:r w:rsidRPr="00E426D3">
        <w:t xml:space="preserve"> </w:t>
      </w:r>
      <w:proofErr w:type="spellStart"/>
      <w:r w:rsidRPr="00E426D3">
        <w:t>opphavelege</w:t>
      </w:r>
      <w:proofErr w:type="spellEnd"/>
      <w:r w:rsidRPr="00E426D3">
        <w:t xml:space="preserve"> </w:t>
      </w:r>
      <w:proofErr w:type="spellStart"/>
      <w:r w:rsidRPr="00E426D3">
        <w:t>forutsetningane</w:t>
      </w:r>
      <w:proofErr w:type="spellEnd"/>
      <w:r w:rsidRPr="00E426D3">
        <w:t xml:space="preserve"> for </w:t>
      </w:r>
      <w:proofErr w:type="spellStart"/>
      <w:r w:rsidRPr="00E426D3">
        <w:t>valmoglegheiten</w:t>
      </w:r>
      <w:proofErr w:type="spellEnd"/>
      <w:r w:rsidRPr="00E426D3">
        <w:t xml:space="preserve">. Dette heng </w:t>
      </w:r>
      <w:proofErr w:type="spellStart"/>
      <w:r w:rsidRPr="00E426D3">
        <w:t>saman</w:t>
      </w:r>
      <w:proofErr w:type="spellEnd"/>
      <w:r w:rsidRPr="00E426D3">
        <w:t xml:space="preserve"> med at forpliktinga til å </w:t>
      </w:r>
      <w:proofErr w:type="spellStart"/>
      <w:r w:rsidRPr="00E426D3">
        <w:t>gje</w:t>
      </w:r>
      <w:proofErr w:type="spellEnd"/>
      <w:r w:rsidRPr="00E426D3">
        <w:t xml:space="preserve"> </w:t>
      </w:r>
      <w:proofErr w:type="spellStart"/>
      <w:r w:rsidRPr="00E426D3">
        <w:t>frådrag</w:t>
      </w:r>
      <w:proofErr w:type="spellEnd"/>
      <w:r w:rsidRPr="00E426D3">
        <w:t xml:space="preserve"> for båe </w:t>
      </w:r>
      <w:proofErr w:type="spellStart"/>
      <w:r w:rsidRPr="00E426D3">
        <w:t>reduksjonsfaktorane</w:t>
      </w:r>
      <w:proofErr w:type="spellEnd"/>
      <w:r w:rsidRPr="00E426D3">
        <w:t xml:space="preserve"> vil redusere provenyet </w:t>
      </w:r>
      <w:proofErr w:type="spellStart"/>
      <w:r w:rsidRPr="00E426D3">
        <w:t>frå</w:t>
      </w:r>
      <w:proofErr w:type="spellEnd"/>
      <w:r w:rsidRPr="00E426D3">
        <w:t xml:space="preserve"> </w:t>
      </w:r>
      <w:proofErr w:type="spellStart"/>
      <w:r w:rsidRPr="00E426D3">
        <w:t>eigedomsskatten</w:t>
      </w:r>
      <w:proofErr w:type="spellEnd"/>
      <w:r w:rsidRPr="00E426D3">
        <w:t xml:space="preserve"> for </w:t>
      </w:r>
      <w:proofErr w:type="spellStart"/>
      <w:r w:rsidRPr="00E426D3">
        <w:t>kommunane</w:t>
      </w:r>
      <w:proofErr w:type="spellEnd"/>
      <w:r w:rsidRPr="00E426D3">
        <w:t xml:space="preserve">. </w:t>
      </w:r>
      <w:proofErr w:type="spellStart"/>
      <w:r w:rsidRPr="00E426D3">
        <w:t>Kommunar</w:t>
      </w:r>
      <w:proofErr w:type="spellEnd"/>
      <w:r w:rsidRPr="00E426D3">
        <w:t xml:space="preserve"> som </w:t>
      </w:r>
      <w:proofErr w:type="spellStart"/>
      <w:r w:rsidRPr="00E426D3">
        <w:t>ynskjer</w:t>
      </w:r>
      <w:proofErr w:type="spellEnd"/>
      <w:r w:rsidRPr="00E426D3">
        <w:t xml:space="preserve"> å nytte den fleksibiliteten som </w:t>
      </w:r>
      <w:proofErr w:type="spellStart"/>
      <w:r w:rsidRPr="00E426D3">
        <w:t>ein</w:t>
      </w:r>
      <w:proofErr w:type="spellEnd"/>
      <w:r w:rsidRPr="00E426D3">
        <w:t xml:space="preserve"> lokal reduksjonsfaktor kan </w:t>
      </w:r>
      <w:proofErr w:type="spellStart"/>
      <w:r w:rsidRPr="00E426D3">
        <w:t>gje</w:t>
      </w:r>
      <w:proofErr w:type="spellEnd"/>
      <w:r w:rsidRPr="00E426D3">
        <w:t xml:space="preserve">, vil </w:t>
      </w:r>
      <w:proofErr w:type="spellStart"/>
      <w:r w:rsidRPr="00E426D3">
        <w:t>difor</w:t>
      </w:r>
      <w:proofErr w:type="spellEnd"/>
      <w:r w:rsidRPr="00E426D3">
        <w:t xml:space="preserve"> avstå </w:t>
      </w:r>
      <w:proofErr w:type="spellStart"/>
      <w:r w:rsidRPr="00E426D3">
        <w:t>frå</w:t>
      </w:r>
      <w:proofErr w:type="spellEnd"/>
      <w:r w:rsidRPr="00E426D3">
        <w:t xml:space="preserve"> å bruke Skatteetaten sine </w:t>
      </w:r>
      <w:proofErr w:type="spellStart"/>
      <w:r w:rsidRPr="00E426D3">
        <w:t>formuesgrunnlag</w:t>
      </w:r>
      <w:proofErr w:type="spellEnd"/>
      <w:r w:rsidRPr="00E426D3">
        <w:t xml:space="preserve"> som takst.</w:t>
      </w:r>
    </w:p>
    <w:p w14:paraId="4CA01F72" w14:textId="77777777" w:rsidR="00772748" w:rsidRPr="00E426D3" w:rsidRDefault="00772748" w:rsidP="00E426D3">
      <w:pPr>
        <w:rPr>
          <w:rStyle w:val="kursiv"/>
        </w:rPr>
      </w:pPr>
      <w:r w:rsidRPr="00E426D3">
        <w:rPr>
          <w:rStyle w:val="kursiv"/>
        </w:rPr>
        <w:t xml:space="preserve">KS Kommunesektorens organisasjon </w:t>
      </w:r>
      <w:r w:rsidRPr="00E426D3">
        <w:t xml:space="preserve">skriv i si </w:t>
      </w:r>
      <w:proofErr w:type="spellStart"/>
      <w:r w:rsidRPr="00E426D3">
        <w:t>høyringsfråsegn</w:t>
      </w:r>
      <w:proofErr w:type="spellEnd"/>
      <w:r w:rsidRPr="00E426D3">
        <w:t xml:space="preserve"> at </w:t>
      </w:r>
      <w:proofErr w:type="spellStart"/>
      <w:r w:rsidRPr="00E426D3">
        <w:t>dei</w:t>
      </w:r>
      <w:proofErr w:type="spellEnd"/>
      <w:r w:rsidRPr="00E426D3">
        <w:t xml:space="preserve"> er positive til framlegga </w:t>
      </w:r>
      <w:proofErr w:type="spellStart"/>
      <w:r w:rsidRPr="00E426D3">
        <w:t>frå</w:t>
      </w:r>
      <w:proofErr w:type="spellEnd"/>
      <w:r w:rsidRPr="00E426D3">
        <w:t xml:space="preserve"> departementet, men meiner at regelen om samordning bør stå i </w:t>
      </w:r>
      <w:proofErr w:type="spellStart"/>
      <w:r w:rsidRPr="00E426D3">
        <w:t>kapitttel</w:t>
      </w:r>
      <w:proofErr w:type="spellEnd"/>
      <w:r w:rsidRPr="00E426D3">
        <w:t xml:space="preserve"> 4 i lova </w:t>
      </w:r>
      <w:proofErr w:type="spellStart"/>
      <w:r w:rsidRPr="00E426D3">
        <w:t>saman</w:t>
      </w:r>
      <w:proofErr w:type="spellEnd"/>
      <w:r w:rsidRPr="00E426D3">
        <w:t xml:space="preserve"> med </w:t>
      </w:r>
      <w:proofErr w:type="spellStart"/>
      <w:r w:rsidRPr="00E426D3">
        <w:t>reglane</w:t>
      </w:r>
      <w:proofErr w:type="spellEnd"/>
      <w:r w:rsidRPr="00E426D3">
        <w:t xml:space="preserve"> om </w:t>
      </w:r>
      <w:proofErr w:type="spellStart"/>
      <w:r w:rsidRPr="00E426D3">
        <w:t>skattesatsar</w:t>
      </w:r>
      <w:proofErr w:type="spellEnd"/>
      <w:r w:rsidRPr="00E426D3">
        <w:t xml:space="preserve"> og </w:t>
      </w:r>
      <w:proofErr w:type="spellStart"/>
      <w:r w:rsidRPr="00E426D3">
        <w:t>botnfrådrag</w:t>
      </w:r>
      <w:proofErr w:type="spellEnd"/>
      <w:r w:rsidRPr="00E426D3">
        <w:t xml:space="preserve">, som vert </w:t>
      </w:r>
      <w:proofErr w:type="spellStart"/>
      <w:r w:rsidRPr="00E426D3">
        <w:t>vedteke</w:t>
      </w:r>
      <w:proofErr w:type="spellEnd"/>
      <w:r w:rsidRPr="00E426D3">
        <w:t xml:space="preserve"> </w:t>
      </w:r>
      <w:proofErr w:type="spellStart"/>
      <w:r w:rsidRPr="00E426D3">
        <w:t>frå</w:t>
      </w:r>
      <w:proofErr w:type="spellEnd"/>
      <w:r w:rsidRPr="00E426D3">
        <w:t xml:space="preserve"> år til år. Merknaden har </w:t>
      </w:r>
      <w:proofErr w:type="spellStart"/>
      <w:r w:rsidRPr="00E426D3">
        <w:t>samanheng</w:t>
      </w:r>
      <w:proofErr w:type="spellEnd"/>
      <w:r w:rsidRPr="00E426D3">
        <w:t xml:space="preserve"> med at KS er usamd i at lokal reduksjonsfaktor skal ligge fast i heile takstperioden. </w:t>
      </w:r>
      <w:proofErr w:type="spellStart"/>
      <w:r w:rsidRPr="00E426D3">
        <w:t>Vidare</w:t>
      </w:r>
      <w:proofErr w:type="spellEnd"/>
      <w:r w:rsidRPr="00E426D3">
        <w:t xml:space="preserve"> er KS usamd i at </w:t>
      </w:r>
      <w:proofErr w:type="spellStart"/>
      <w:r w:rsidRPr="00E426D3">
        <w:t>kommunane</w:t>
      </w:r>
      <w:proofErr w:type="spellEnd"/>
      <w:r w:rsidRPr="00E426D3">
        <w:t xml:space="preserve"> </w:t>
      </w:r>
      <w:proofErr w:type="spellStart"/>
      <w:r w:rsidRPr="00E426D3">
        <w:t>nyttar</w:t>
      </w:r>
      <w:proofErr w:type="spellEnd"/>
      <w:r w:rsidRPr="00E426D3">
        <w:t xml:space="preserve"> lokal reduksjonsfaktor for å oppnå </w:t>
      </w:r>
      <w:proofErr w:type="spellStart"/>
      <w:r w:rsidRPr="00E426D3">
        <w:t>eit</w:t>
      </w:r>
      <w:proofErr w:type="spellEnd"/>
      <w:r w:rsidRPr="00E426D3">
        <w:t xml:space="preserve"> </w:t>
      </w:r>
      <w:proofErr w:type="spellStart"/>
      <w:r w:rsidRPr="00E426D3">
        <w:t>ynskjeleg</w:t>
      </w:r>
      <w:proofErr w:type="spellEnd"/>
      <w:r w:rsidRPr="00E426D3">
        <w:t xml:space="preserve"> skattenivå eller unngå at </w:t>
      </w:r>
      <w:proofErr w:type="spellStart"/>
      <w:r w:rsidRPr="00E426D3">
        <w:t>takstane</w:t>
      </w:r>
      <w:proofErr w:type="spellEnd"/>
      <w:r w:rsidRPr="00E426D3">
        <w:t xml:space="preserve"> overskrid </w:t>
      </w:r>
      <w:proofErr w:type="spellStart"/>
      <w:r w:rsidRPr="00E426D3">
        <w:t>marknadverdien</w:t>
      </w:r>
      <w:proofErr w:type="spellEnd"/>
      <w:r w:rsidRPr="00E426D3">
        <w:t xml:space="preserve">. </w:t>
      </w:r>
      <w:proofErr w:type="spellStart"/>
      <w:r w:rsidRPr="00E426D3">
        <w:t>Endeleg</w:t>
      </w:r>
      <w:proofErr w:type="spellEnd"/>
      <w:r w:rsidRPr="00E426D3">
        <w:t xml:space="preserve"> syner KS til at </w:t>
      </w:r>
      <w:proofErr w:type="spellStart"/>
      <w:r w:rsidRPr="00E426D3">
        <w:t>ein</w:t>
      </w:r>
      <w:proofErr w:type="spellEnd"/>
      <w:r w:rsidRPr="00E426D3">
        <w:t xml:space="preserve"> regel der lokal reduksjonsfaktor ligg fast i heile takstperioden vil </w:t>
      </w:r>
      <w:proofErr w:type="spellStart"/>
      <w:r w:rsidRPr="00E426D3">
        <w:t>innebere</w:t>
      </w:r>
      <w:proofErr w:type="spellEnd"/>
      <w:r w:rsidRPr="00E426D3">
        <w:t xml:space="preserve"> ei binding av framtidige kommunestyre. Det meiner </w:t>
      </w:r>
      <w:proofErr w:type="spellStart"/>
      <w:r w:rsidRPr="00E426D3">
        <w:t>dei</w:t>
      </w:r>
      <w:proofErr w:type="spellEnd"/>
      <w:r w:rsidRPr="00E426D3">
        <w:t xml:space="preserve"> vil </w:t>
      </w:r>
      <w:proofErr w:type="spellStart"/>
      <w:r w:rsidRPr="00E426D3">
        <w:t>vere</w:t>
      </w:r>
      <w:proofErr w:type="spellEnd"/>
      <w:r w:rsidRPr="00E426D3">
        <w:t xml:space="preserve"> i strid med kommuneloven og «grunnleggende demokratihensyn».</w:t>
      </w:r>
    </w:p>
    <w:p w14:paraId="35E338D9" w14:textId="77777777" w:rsidR="00772748" w:rsidRPr="00E426D3" w:rsidRDefault="00772748" w:rsidP="00E426D3">
      <w:pPr>
        <w:rPr>
          <w:rStyle w:val="kursiv"/>
        </w:rPr>
      </w:pPr>
      <w:r w:rsidRPr="00E426D3">
        <w:rPr>
          <w:rStyle w:val="kursiv"/>
        </w:rPr>
        <w:t xml:space="preserve">Landssamanslutninga av </w:t>
      </w:r>
      <w:proofErr w:type="spellStart"/>
      <w:r w:rsidRPr="00E426D3">
        <w:rPr>
          <w:rStyle w:val="kursiv"/>
        </w:rPr>
        <w:t>Vasskraftkommunar</w:t>
      </w:r>
      <w:proofErr w:type="spellEnd"/>
      <w:r w:rsidRPr="00E426D3">
        <w:rPr>
          <w:rStyle w:val="kursiv"/>
        </w:rPr>
        <w:t xml:space="preserve"> (LVK) </w:t>
      </w:r>
      <w:r w:rsidRPr="00E426D3">
        <w:t xml:space="preserve">er samd med KS i at den lokale reduksjonsfaktoren bør </w:t>
      </w:r>
      <w:proofErr w:type="spellStart"/>
      <w:r w:rsidRPr="00E426D3">
        <w:t>verte</w:t>
      </w:r>
      <w:proofErr w:type="spellEnd"/>
      <w:r w:rsidRPr="00E426D3">
        <w:t xml:space="preserve"> fastsett </w:t>
      </w:r>
      <w:proofErr w:type="spellStart"/>
      <w:r w:rsidRPr="00E426D3">
        <w:t>årleg</w:t>
      </w:r>
      <w:proofErr w:type="spellEnd"/>
      <w:r w:rsidRPr="00E426D3">
        <w:t xml:space="preserve">. Det </w:t>
      </w:r>
      <w:proofErr w:type="spellStart"/>
      <w:r w:rsidRPr="00E426D3">
        <w:t>heiter</w:t>
      </w:r>
      <w:proofErr w:type="spellEnd"/>
      <w:r w:rsidRPr="00E426D3">
        <w:t xml:space="preserve"> i </w:t>
      </w:r>
      <w:proofErr w:type="spellStart"/>
      <w:r w:rsidRPr="00E426D3">
        <w:t>deira</w:t>
      </w:r>
      <w:proofErr w:type="spellEnd"/>
      <w:r w:rsidRPr="00E426D3">
        <w:t xml:space="preserve"> </w:t>
      </w:r>
      <w:proofErr w:type="spellStart"/>
      <w:r w:rsidRPr="00E426D3">
        <w:t>høyringsfråsegn</w:t>
      </w:r>
      <w:proofErr w:type="spellEnd"/>
      <w:r w:rsidRPr="00E426D3">
        <w:t xml:space="preserve"> at:</w:t>
      </w:r>
    </w:p>
    <w:p w14:paraId="6908ADE7" w14:textId="77777777" w:rsidR="00772748" w:rsidRPr="00E426D3" w:rsidRDefault="00772748" w:rsidP="00E426D3">
      <w:r w:rsidRPr="00E426D3">
        <w:t>«Som departementet skriver, er bruken av lokal reduksjonsfaktor ikke lovfestet, og i praksis er det lagt til grunn at reduksjonsfaktoren ligger fast i takstperioden og først kan fjernes eller reduseres ved ny alminnelig taksering.</w:t>
      </w:r>
    </w:p>
    <w:p w14:paraId="0D04654A" w14:textId="77777777" w:rsidR="00772748" w:rsidRPr="00E426D3" w:rsidRDefault="00772748" w:rsidP="00E426D3">
      <w:r w:rsidRPr="00E426D3">
        <w:t xml:space="preserve">Reduksjonsfaktoren vedtas av kommunestyret og bør etter </w:t>
      </w:r>
      <w:proofErr w:type="spellStart"/>
      <w:r w:rsidRPr="00E426D3">
        <w:t>LVKs</w:t>
      </w:r>
      <w:proofErr w:type="spellEnd"/>
      <w:r w:rsidRPr="00E426D3">
        <w:t xml:space="preserve"> syn ikke anses som en del av taksten, men kunne fastsettes årlig. Eventuelle vedtak om reduksjonsfaktor vil da likebehandles med kommunestyrets øvrige beslutninger i forbindelse med budsjettvedtaket, som for eksempel skattesats, utskrivingsalternativ og bunnfradrag, jf. eiendomsskatteloven §§ 10 og 11.</w:t>
      </w:r>
    </w:p>
    <w:p w14:paraId="7CAE90B6" w14:textId="77777777" w:rsidR="00772748" w:rsidRPr="00E426D3" w:rsidRDefault="00772748" w:rsidP="00E426D3">
      <w:r w:rsidRPr="00E426D3">
        <w:t>Dersom det legges til grunn at reduksjonsfaktoren gjelder for hele takseringsperioden, mener LVK at dette bør presiseres i ordlyden for å unngå uklarheter.»</w:t>
      </w:r>
    </w:p>
    <w:p w14:paraId="4FF2853C" w14:textId="77777777" w:rsidR="00772748" w:rsidRPr="00E426D3" w:rsidRDefault="00772748" w:rsidP="00E426D3">
      <w:pPr>
        <w:rPr>
          <w:rStyle w:val="sperret0"/>
        </w:rPr>
      </w:pPr>
      <w:r w:rsidRPr="00E426D3">
        <w:rPr>
          <w:rStyle w:val="sperret0"/>
        </w:rPr>
        <w:t xml:space="preserve">Departementet </w:t>
      </w:r>
      <w:r w:rsidRPr="00E426D3">
        <w:t xml:space="preserve">syner til at bruken av lokal reduksjonsfaktor er utvikla gjennom kommunal praksis. Denne praksisen er mellom anna </w:t>
      </w:r>
      <w:proofErr w:type="spellStart"/>
      <w:r w:rsidRPr="00E426D3">
        <w:t>omtala</w:t>
      </w:r>
      <w:proofErr w:type="spellEnd"/>
      <w:r w:rsidRPr="00E426D3">
        <w:t xml:space="preserve"> </w:t>
      </w:r>
      <w:proofErr w:type="spellStart"/>
      <w:r w:rsidRPr="00E426D3">
        <w:t>allereie</w:t>
      </w:r>
      <w:proofErr w:type="spellEnd"/>
      <w:r w:rsidRPr="00E426D3">
        <w:t xml:space="preserve"> i </w:t>
      </w:r>
      <w:proofErr w:type="spellStart"/>
      <w:r w:rsidRPr="00E426D3">
        <w:t>Prop</w:t>
      </w:r>
      <w:proofErr w:type="spellEnd"/>
      <w:r w:rsidRPr="00E426D3">
        <w:t xml:space="preserve">. 1 LS (2012–2013) punkt 8.2.1, der det </w:t>
      </w:r>
      <w:proofErr w:type="spellStart"/>
      <w:r w:rsidRPr="00E426D3">
        <w:t>heiter</w:t>
      </w:r>
      <w:proofErr w:type="spellEnd"/>
      <w:r w:rsidRPr="00E426D3">
        <w:t xml:space="preserve"> at reduksjonsfaktoren ligg fast inntil det vert foretatt ny </w:t>
      </w:r>
      <w:proofErr w:type="spellStart"/>
      <w:r w:rsidRPr="00E426D3">
        <w:t>alminneleg</w:t>
      </w:r>
      <w:proofErr w:type="spellEnd"/>
      <w:r w:rsidRPr="00E426D3">
        <w:t xml:space="preserve"> taksering. Det same er lagt til grunn i dommen </w:t>
      </w:r>
      <w:proofErr w:type="spellStart"/>
      <w:r w:rsidRPr="00E426D3">
        <w:t>frå</w:t>
      </w:r>
      <w:proofErr w:type="spellEnd"/>
      <w:r w:rsidRPr="00E426D3">
        <w:t xml:space="preserve"> Eidsivating lagmannsrett, som </w:t>
      </w:r>
      <w:proofErr w:type="spellStart"/>
      <w:r w:rsidRPr="00E426D3">
        <w:t>dannar</w:t>
      </w:r>
      <w:proofErr w:type="spellEnd"/>
      <w:r w:rsidRPr="00E426D3">
        <w:t xml:space="preserve"> bakgrunnen for lovframlegget.</w:t>
      </w:r>
    </w:p>
    <w:p w14:paraId="25EE3706" w14:textId="77777777" w:rsidR="00772748" w:rsidRPr="00E426D3" w:rsidRDefault="00772748" w:rsidP="00E426D3">
      <w:proofErr w:type="spellStart"/>
      <w:r w:rsidRPr="00E426D3">
        <w:t>Vidare</w:t>
      </w:r>
      <w:proofErr w:type="spellEnd"/>
      <w:r w:rsidRPr="00E426D3">
        <w:t xml:space="preserve"> syner departementet til KS sin publikasjon «Eiendomsskattetaksering – veileder for taksering av fast eiendom unntatt næringseiendom og energianlegg» punkt 6.8. Her </w:t>
      </w:r>
      <w:proofErr w:type="spellStart"/>
      <w:r w:rsidRPr="00E426D3">
        <w:t>heiter</w:t>
      </w:r>
      <w:proofErr w:type="spellEnd"/>
      <w:r w:rsidRPr="00E426D3">
        <w:t xml:space="preserve"> det at: «Det gjelder som en ulovfestet ordning i eiendomsskatten at kommunestyret kan treffe vedtak om at skattegrunnlaget skal settes til en %-andel av takstene på eiendommene. Dette kalles en reduksjonsfaktor (lokal reduksjonsfaktor), og må ikke blandes sammen med den forsiktighetsmargin nemnda legger inn ved utarbeidelse av prissjablonger. Nemndas forsiktighetsmargin er faglig begrunnet i den takseringsmetoden som benyttes og skal anvendes. En eventuell </w:t>
      </w:r>
      <w:r w:rsidRPr="00E426D3">
        <w:lastRenderedPageBreak/>
        <w:t>reduksjonsfaktor vedtatt av kommunestyret forholder seg til det ferdige takstresultatet og vil være politisk begrunnet.</w:t>
      </w:r>
    </w:p>
    <w:p w14:paraId="3EC1AE0E" w14:textId="77777777" w:rsidR="00772748" w:rsidRPr="00E426D3" w:rsidRDefault="00772748" w:rsidP="00E426D3">
      <w:r w:rsidRPr="00E426D3">
        <w:t xml:space="preserve">For ordens skyld tilføyes at et kommunestyrevedtak om bruk av reduksjonsfaktor vil gjelde for hele takstperioden. Finansdepartementet har uttalt at et slikt vedtak ikke kan reverseres, det vil si at lokal reduksjonsfaktor ikke kan fjernes eller settes ned i takstperioden. Bruk av reduksjonsfaktor reduserer derved kommunens handlingsrom ved skatteutskrivingen inntil 10 år fremover i tid. KSE anbefaler derfor at ordningen ikke benyttes. Skattetrykket bør i stedet reguleres gjennom skattesatsen og bunnfradrag, som kan endres </w:t>
      </w:r>
      <w:proofErr w:type="spellStart"/>
      <w:r w:rsidRPr="00E426D3">
        <w:t>frå</w:t>
      </w:r>
      <w:proofErr w:type="spellEnd"/>
      <w:r w:rsidRPr="00E426D3">
        <w:t xml:space="preserve"> år til år.»</w:t>
      </w:r>
    </w:p>
    <w:p w14:paraId="273F36DD" w14:textId="77777777" w:rsidR="00772748" w:rsidRPr="00E426D3" w:rsidRDefault="00772748" w:rsidP="00E426D3">
      <w:pPr>
        <w:rPr>
          <w:rStyle w:val="sperret0"/>
        </w:rPr>
      </w:pPr>
      <w:r w:rsidRPr="00E426D3">
        <w:rPr>
          <w:rStyle w:val="sperret0"/>
        </w:rPr>
        <w:t xml:space="preserve">Departementet </w:t>
      </w:r>
      <w:proofErr w:type="spellStart"/>
      <w:r w:rsidRPr="00E426D3">
        <w:t>legg</w:t>
      </w:r>
      <w:proofErr w:type="spellEnd"/>
      <w:r w:rsidRPr="00E426D3">
        <w:t xml:space="preserve"> til grunn at lokal reduksjonsfaktor </w:t>
      </w:r>
      <w:proofErr w:type="spellStart"/>
      <w:r w:rsidRPr="00E426D3">
        <w:t>ikkje</w:t>
      </w:r>
      <w:proofErr w:type="spellEnd"/>
      <w:r w:rsidRPr="00E426D3">
        <w:t xml:space="preserve"> er </w:t>
      </w:r>
      <w:proofErr w:type="spellStart"/>
      <w:r w:rsidRPr="00E426D3">
        <w:t>ein</w:t>
      </w:r>
      <w:proofErr w:type="spellEnd"/>
      <w:r w:rsidRPr="00E426D3">
        <w:t xml:space="preserve"> del av sjølve takseringa, men </w:t>
      </w:r>
      <w:proofErr w:type="spellStart"/>
      <w:r w:rsidRPr="00E426D3">
        <w:t>eit</w:t>
      </w:r>
      <w:proofErr w:type="spellEnd"/>
      <w:r w:rsidRPr="00E426D3">
        <w:t xml:space="preserve"> </w:t>
      </w:r>
      <w:proofErr w:type="spellStart"/>
      <w:r w:rsidRPr="00E426D3">
        <w:t>frådrag</w:t>
      </w:r>
      <w:proofErr w:type="spellEnd"/>
      <w:r w:rsidRPr="00E426D3">
        <w:t xml:space="preserve"> som vert gjort i </w:t>
      </w:r>
      <w:proofErr w:type="spellStart"/>
      <w:r w:rsidRPr="00E426D3">
        <w:t>takstane</w:t>
      </w:r>
      <w:proofErr w:type="spellEnd"/>
      <w:r w:rsidRPr="00E426D3">
        <w:t xml:space="preserve"> etter at takseringa er gjennomført. Dette er likt både for lokal taksering og ved bruk av </w:t>
      </w:r>
      <w:proofErr w:type="spellStart"/>
      <w:r w:rsidRPr="00E426D3">
        <w:t>formuesgrunnlag</w:t>
      </w:r>
      <w:proofErr w:type="spellEnd"/>
      <w:r w:rsidRPr="00E426D3">
        <w:t xml:space="preserve">. For </w:t>
      </w:r>
      <w:proofErr w:type="spellStart"/>
      <w:r w:rsidRPr="00E426D3">
        <w:t>dei</w:t>
      </w:r>
      <w:proofErr w:type="spellEnd"/>
      <w:r w:rsidRPr="00E426D3">
        <w:t xml:space="preserve"> </w:t>
      </w:r>
      <w:proofErr w:type="spellStart"/>
      <w:r w:rsidRPr="00E426D3">
        <w:t>sistnemnde</w:t>
      </w:r>
      <w:proofErr w:type="spellEnd"/>
      <w:r w:rsidRPr="00E426D3">
        <w:t xml:space="preserve"> tilfella syner departementet til </w:t>
      </w:r>
      <w:proofErr w:type="spellStart"/>
      <w:r w:rsidRPr="00E426D3">
        <w:t>høyringsfråsegna</w:t>
      </w:r>
      <w:proofErr w:type="spellEnd"/>
      <w:r w:rsidRPr="00E426D3">
        <w:t xml:space="preserve"> til Skatteetaten, der det </w:t>
      </w:r>
      <w:proofErr w:type="spellStart"/>
      <w:r w:rsidRPr="00E426D3">
        <w:t>heiter</w:t>
      </w:r>
      <w:proofErr w:type="spellEnd"/>
      <w:r w:rsidRPr="00E426D3">
        <w:t xml:space="preserve">: «Vi kan ikke se at forslaget vil påvirke Skatteetatens forvaltning eller deling av </w:t>
      </w:r>
      <w:proofErr w:type="spellStart"/>
      <w:r w:rsidRPr="00E426D3">
        <w:t>formuesgrunnlagene</w:t>
      </w:r>
      <w:proofErr w:type="spellEnd"/>
      <w:r w:rsidRPr="00E426D3">
        <w:t xml:space="preserve"> dette gjelder. Reduksjonsfaktoren beregnes først når grunnlagene mottas av kommunene og vil </w:t>
      </w:r>
      <w:proofErr w:type="gramStart"/>
      <w:r w:rsidRPr="00E426D3">
        <w:t>således</w:t>
      </w:r>
      <w:proofErr w:type="gramEnd"/>
      <w:r w:rsidRPr="00E426D3">
        <w:t xml:space="preserve"> ikke medføre noen endring i våre forretningsregler.» Dette vil gjelde for både det obligatoriske </w:t>
      </w:r>
      <w:proofErr w:type="spellStart"/>
      <w:r w:rsidRPr="00E426D3">
        <w:t>frådraget</w:t>
      </w:r>
      <w:proofErr w:type="spellEnd"/>
      <w:r w:rsidRPr="00E426D3">
        <w:t xml:space="preserve"> på 30 pst., og eventuell lokal reduksjonsfaktor. Departementet ser likevel at </w:t>
      </w:r>
      <w:proofErr w:type="spellStart"/>
      <w:r w:rsidRPr="00E426D3">
        <w:t>ordleggjinga</w:t>
      </w:r>
      <w:proofErr w:type="spellEnd"/>
      <w:r w:rsidRPr="00E426D3">
        <w:t xml:space="preserve"> i utkastet til ny § 8 A-3 fjerde ledd i </w:t>
      </w:r>
      <w:proofErr w:type="spellStart"/>
      <w:r w:rsidRPr="00E426D3">
        <w:t>høyringsnotatet</w:t>
      </w:r>
      <w:proofErr w:type="spellEnd"/>
      <w:r w:rsidRPr="00E426D3">
        <w:t xml:space="preserve"> er </w:t>
      </w:r>
      <w:proofErr w:type="spellStart"/>
      <w:r w:rsidRPr="00E426D3">
        <w:t>misvisande</w:t>
      </w:r>
      <w:proofErr w:type="spellEnd"/>
      <w:r w:rsidRPr="00E426D3">
        <w:t xml:space="preserve"> med omsyn til korleis </w:t>
      </w:r>
      <w:proofErr w:type="spellStart"/>
      <w:r w:rsidRPr="00E426D3">
        <w:t>frådraget</w:t>
      </w:r>
      <w:proofErr w:type="spellEnd"/>
      <w:r w:rsidRPr="00E426D3">
        <w:t xml:space="preserve"> skal </w:t>
      </w:r>
      <w:proofErr w:type="spellStart"/>
      <w:r w:rsidRPr="00E426D3">
        <w:t>gjerast</w:t>
      </w:r>
      <w:proofErr w:type="spellEnd"/>
      <w:r w:rsidRPr="00E426D3">
        <w:t>, og har gjort ei presisering på dette punktet i lovframlegget.</w:t>
      </w:r>
    </w:p>
    <w:p w14:paraId="3F2885B7" w14:textId="77777777" w:rsidR="00772748" w:rsidRPr="00E426D3" w:rsidRDefault="00772748" w:rsidP="00E426D3">
      <w:r w:rsidRPr="00E426D3">
        <w:t xml:space="preserve">Når det er lagt til grunn at lokal reduksjonsfaktor ligg fast i heile takstperioden, </w:t>
      </w:r>
      <w:proofErr w:type="spellStart"/>
      <w:r w:rsidRPr="00E426D3">
        <w:t>antek</w:t>
      </w:r>
      <w:proofErr w:type="spellEnd"/>
      <w:r w:rsidRPr="00E426D3">
        <w:t xml:space="preserve"> departementet at dette har </w:t>
      </w:r>
      <w:proofErr w:type="spellStart"/>
      <w:r w:rsidRPr="00E426D3">
        <w:t>samanheng</w:t>
      </w:r>
      <w:proofErr w:type="spellEnd"/>
      <w:r w:rsidRPr="00E426D3">
        <w:t xml:space="preserve"> med </w:t>
      </w:r>
      <w:proofErr w:type="spellStart"/>
      <w:r w:rsidRPr="00E426D3">
        <w:t>føremålet</w:t>
      </w:r>
      <w:proofErr w:type="spellEnd"/>
      <w:r w:rsidRPr="00E426D3">
        <w:t xml:space="preserve"> om å fungere som </w:t>
      </w:r>
      <w:proofErr w:type="spellStart"/>
      <w:r w:rsidRPr="00E426D3">
        <w:t>ein</w:t>
      </w:r>
      <w:proofErr w:type="spellEnd"/>
      <w:r w:rsidRPr="00E426D3">
        <w:t xml:space="preserve"> buffer mot at </w:t>
      </w:r>
      <w:proofErr w:type="spellStart"/>
      <w:r w:rsidRPr="00E426D3">
        <w:t>takstane</w:t>
      </w:r>
      <w:proofErr w:type="spellEnd"/>
      <w:r w:rsidRPr="00E426D3">
        <w:t xml:space="preserve"> overskrir </w:t>
      </w:r>
      <w:proofErr w:type="spellStart"/>
      <w:r w:rsidRPr="00E426D3">
        <w:t>marknadsverdien</w:t>
      </w:r>
      <w:proofErr w:type="spellEnd"/>
      <w:r w:rsidRPr="00E426D3">
        <w:t xml:space="preserve">, og/eller </w:t>
      </w:r>
      <w:proofErr w:type="spellStart"/>
      <w:r w:rsidRPr="00E426D3">
        <w:t>eit</w:t>
      </w:r>
      <w:proofErr w:type="spellEnd"/>
      <w:r w:rsidRPr="00E426D3">
        <w:t xml:space="preserve"> </w:t>
      </w:r>
      <w:proofErr w:type="spellStart"/>
      <w:r w:rsidRPr="00E426D3">
        <w:t>ynskje</w:t>
      </w:r>
      <w:proofErr w:type="spellEnd"/>
      <w:r w:rsidRPr="00E426D3">
        <w:t xml:space="preserve"> om </w:t>
      </w:r>
      <w:proofErr w:type="spellStart"/>
      <w:r w:rsidRPr="00E426D3">
        <w:t>eit</w:t>
      </w:r>
      <w:proofErr w:type="spellEnd"/>
      <w:r w:rsidRPr="00E426D3">
        <w:t xml:space="preserve"> </w:t>
      </w:r>
      <w:proofErr w:type="spellStart"/>
      <w:r w:rsidRPr="00E426D3">
        <w:t>lågare</w:t>
      </w:r>
      <w:proofErr w:type="spellEnd"/>
      <w:r w:rsidRPr="00E426D3">
        <w:t xml:space="preserve"> skattetrykk enn det som vil </w:t>
      </w:r>
      <w:proofErr w:type="spellStart"/>
      <w:r w:rsidRPr="00E426D3">
        <w:t>følgje</w:t>
      </w:r>
      <w:proofErr w:type="spellEnd"/>
      <w:r w:rsidRPr="00E426D3">
        <w:t xml:space="preserve"> av bruk av full </w:t>
      </w:r>
      <w:proofErr w:type="spellStart"/>
      <w:r w:rsidRPr="00E426D3">
        <w:t>marknadsverdi</w:t>
      </w:r>
      <w:proofErr w:type="spellEnd"/>
      <w:r w:rsidRPr="00E426D3">
        <w:t xml:space="preserve">. </w:t>
      </w:r>
      <w:proofErr w:type="spellStart"/>
      <w:r w:rsidRPr="00E426D3">
        <w:t>Eit</w:t>
      </w:r>
      <w:proofErr w:type="spellEnd"/>
      <w:r w:rsidRPr="00E426D3">
        <w:t xml:space="preserve"> </w:t>
      </w:r>
      <w:proofErr w:type="spellStart"/>
      <w:r w:rsidRPr="00E426D3">
        <w:t>ytterlegare</w:t>
      </w:r>
      <w:proofErr w:type="spellEnd"/>
      <w:r w:rsidRPr="00E426D3">
        <w:t xml:space="preserve"> moment er at høve til </w:t>
      </w:r>
      <w:proofErr w:type="spellStart"/>
      <w:r w:rsidRPr="00E426D3">
        <w:t>årleg</w:t>
      </w:r>
      <w:proofErr w:type="spellEnd"/>
      <w:r w:rsidRPr="00E426D3">
        <w:t xml:space="preserve"> endring av reduksjonsfaktoren vil </w:t>
      </w:r>
      <w:proofErr w:type="spellStart"/>
      <w:r w:rsidRPr="00E426D3">
        <w:t>gjere</w:t>
      </w:r>
      <w:proofErr w:type="spellEnd"/>
      <w:r w:rsidRPr="00E426D3">
        <w:t xml:space="preserve"> </w:t>
      </w:r>
      <w:proofErr w:type="spellStart"/>
      <w:r w:rsidRPr="00E426D3">
        <w:t>eigedomsskatten</w:t>
      </w:r>
      <w:proofErr w:type="spellEnd"/>
      <w:r w:rsidRPr="00E426D3">
        <w:t xml:space="preserve"> mindre </w:t>
      </w:r>
      <w:proofErr w:type="spellStart"/>
      <w:r w:rsidRPr="00E426D3">
        <w:t>føreseieleg</w:t>
      </w:r>
      <w:proofErr w:type="spellEnd"/>
      <w:r w:rsidRPr="00E426D3">
        <w:t xml:space="preserve"> for </w:t>
      </w:r>
      <w:proofErr w:type="spellStart"/>
      <w:r w:rsidRPr="00E426D3">
        <w:t>dei</w:t>
      </w:r>
      <w:proofErr w:type="spellEnd"/>
      <w:r w:rsidRPr="00E426D3">
        <w:t xml:space="preserve"> </w:t>
      </w:r>
      <w:proofErr w:type="spellStart"/>
      <w:r w:rsidRPr="00E426D3">
        <w:t>eigedomsskattepliktige</w:t>
      </w:r>
      <w:proofErr w:type="spellEnd"/>
      <w:r w:rsidRPr="00E426D3">
        <w:t xml:space="preserve">. </w:t>
      </w:r>
      <w:proofErr w:type="spellStart"/>
      <w:r w:rsidRPr="00E426D3">
        <w:t>Særleg</w:t>
      </w:r>
      <w:proofErr w:type="spellEnd"/>
      <w:r w:rsidRPr="00E426D3">
        <w:t xml:space="preserve"> vil dette gjelde </w:t>
      </w:r>
      <w:proofErr w:type="spellStart"/>
      <w:r w:rsidRPr="00E426D3">
        <w:t>utan</w:t>
      </w:r>
      <w:proofErr w:type="spellEnd"/>
      <w:r w:rsidRPr="00E426D3">
        <w:t xml:space="preserve"> </w:t>
      </w:r>
      <w:proofErr w:type="spellStart"/>
      <w:r w:rsidRPr="00E426D3">
        <w:t>noko</w:t>
      </w:r>
      <w:proofErr w:type="spellEnd"/>
      <w:r w:rsidRPr="00E426D3">
        <w:t xml:space="preserve"> </w:t>
      </w:r>
      <w:proofErr w:type="spellStart"/>
      <w:r w:rsidRPr="00E426D3">
        <w:t>nærmare</w:t>
      </w:r>
      <w:proofErr w:type="spellEnd"/>
      <w:r w:rsidRPr="00E426D3">
        <w:t xml:space="preserve"> grenser for slik endring. Departementet syner i denne </w:t>
      </w:r>
      <w:proofErr w:type="spellStart"/>
      <w:r w:rsidRPr="00E426D3">
        <w:t>samanheng</w:t>
      </w:r>
      <w:proofErr w:type="spellEnd"/>
      <w:r w:rsidRPr="00E426D3">
        <w:t xml:space="preserve"> og til at </w:t>
      </w:r>
      <w:proofErr w:type="spellStart"/>
      <w:r w:rsidRPr="00E426D3">
        <w:t>eigedomsskattelova</w:t>
      </w:r>
      <w:proofErr w:type="spellEnd"/>
      <w:r w:rsidRPr="00E426D3">
        <w:t xml:space="preserve"> har </w:t>
      </w:r>
      <w:proofErr w:type="spellStart"/>
      <w:r w:rsidRPr="00E426D3">
        <w:t>fleire</w:t>
      </w:r>
      <w:proofErr w:type="spellEnd"/>
      <w:r w:rsidRPr="00E426D3">
        <w:t xml:space="preserve"> </w:t>
      </w:r>
      <w:proofErr w:type="spellStart"/>
      <w:r w:rsidRPr="00E426D3">
        <w:t>reglar</w:t>
      </w:r>
      <w:proofErr w:type="spellEnd"/>
      <w:r w:rsidRPr="00E426D3">
        <w:t xml:space="preserve"> som skal verne </w:t>
      </w:r>
      <w:proofErr w:type="spellStart"/>
      <w:r w:rsidRPr="00E426D3">
        <w:t>dei</w:t>
      </w:r>
      <w:proofErr w:type="spellEnd"/>
      <w:r w:rsidRPr="00E426D3">
        <w:t xml:space="preserve"> skattepliktige mot bråe </w:t>
      </w:r>
      <w:proofErr w:type="spellStart"/>
      <w:r w:rsidRPr="00E426D3">
        <w:t>endringar</w:t>
      </w:r>
      <w:proofErr w:type="spellEnd"/>
      <w:r w:rsidRPr="00E426D3">
        <w:t xml:space="preserve"> i skatten, som til dømes stegvis opptrapping av skattesats, og satsendring ved fjerning av </w:t>
      </w:r>
      <w:proofErr w:type="spellStart"/>
      <w:r w:rsidRPr="00E426D3">
        <w:t>botnfrådrag</w:t>
      </w:r>
      <w:proofErr w:type="spellEnd"/>
      <w:r w:rsidRPr="00E426D3">
        <w:t>.</w:t>
      </w:r>
    </w:p>
    <w:p w14:paraId="109E979F" w14:textId="77777777" w:rsidR="00772748" w:rsidRPr="00E426D3" w:rsidRDefault="00772748" w:rsidP="00E426D3">
      <w:r w:rsidRPr="00E426D3">
        <w:t xml:space="preserve">Det primære </w:t>
      </w:r>
      <w:proofErr w:type="spellStart"/>
      <w:r w:rsidRPr="00E426D3">
        <w:t>føremålet</w:t>
      </w:r>
      <w:proofErr w:type="spellEnd"/>
      <w:r w:rsidRPr="00E426D3">
        <w:t xml:space="preserve"> med lovframlegget er å rette opp i den uheldige og uklare situasjonen som avgjerder i </w:t>
      </w:r>
      <w:proofErr w:type="spellStart"/>
      <w:r w:rsidRPr="00E426D3">
        <w:t>domstolane</w:t>
      </w:r>
      <w:proofErr w:type="spellEnd"/>
      <w:r w:rsidRPr="00E426D3">
        <w:t xml:space="preserve"> har skapt. Departementet sitt siktemål er </w:t>
      </w:r>
      <w:proofErr w:type="spellStart"/>
      <w:r w:rsidRPr="00E426D3">
        <w:t>ikkje</w:t>
      </w:r>
      <w:proofErr w:type="spellEnd"/>
      <w:r w:rsidRPr="00E426D3">
        <w:t xml:space="preserve"> å endre </w:t>
      </w:r>
      <w:proofErr w:type="spellStart"/>
      <w:r w:rsidRPr="00E426D3">
        <w:t>gjeldande</w:t>
      </w:r>
      <w:proofErr w:type="spellEnd"/>
      <w:r w:rsidRPr="00E426D3">
        <w:t xml:space="preserve"> rett, men kun å </w:t>
      </w:r>
      <w:proofErr w:type="spellStart"/>
      <w:r w:rsidRPr="00E426D3">
        <w:t>vidareføre</w:t>
      </w:r>
      <w:proofErr w:type="spellEnd"/>
      <w:r w:rsidRPr="00E426D3">
        <w:t xml:space="preserve"> det som har </w:t>
      </w:r>
      <w:proofErr w:type="spellStart"/>
      <w:r w:rsidRPr="00E426D3">
        <w:t>vore</w:t>
      </w:r>
      <w:proofErr w:type="spellEnd"/>
      <w:r w:rsidRPr="00E426D3">
        <w:t xml:space="preserve"> praksis fram til dommen </w:t>
      </w:r>
      <w:proofErr w:type="spellStart"/>
      <w:r w:rsidRPr="00E426D3">
        <w:t>frå</w:t>
      </w:r>
      <w:proofErr w:type="spellEnd"/>
      <w:r w:rsidRPr="00E426D3">
        <w:t xml:space="preserve"> Eidsivating lagmannsrett. Spørsmålet om adgang til </w:t>
      </w:r>
      <w:proofErr w:type="spellStart"/>
      <w:r w:rsidRPr="00E426D3">
        <w:t>årleg</w:t>
      </w:r>
      <w:proofErr w:type="spellEnd"/>
      <w:r w:rsidRPr="00E426D3">
        <w:t xml:space="preserve"> endring av lokal reduksjonsfaktor har </w:t>
      </w:r>
      <w:proofErr w:type="spellStart"/>
      <w:r w:rsidRPr="00E426D3">
        <w:t>korkje</w:t>
      </w:r>
      <w:proofErr w:type="spellEnd"/>
      <w:r w:rsidRPr="00E426D3">
        <w:t xml:space="preserve"> </w:t>
      </w:r>
      <w:proofErr w:type="spellStart"/>
      <w:r w:rsidRPr="00E426D3">
        <w:t>vore</w:t>
      </w:r>
      <w:proofErr w:type="spellEnd"/>
      <w:r w:rsidRPr="00E426D3">
        <w:t xml:space="preserve"> </w:t>
      </w:r>
      <w:proofErr w:type="spellStart"/>
      <w:r w:rsidRPr="00E426D3">
        <w:t>utgredd</w:t>
      </w:r>
      <w:proofErr w:type="spellEnd"/>
      <w:r w:rsidRPr="00E426D3">
        <w:t xml:space="preserve"> eller </w:t>
      </w:r>
      <w:proofErr w:type="spellStart"/>
      <w:r w:rsidRPr="00E426D3">
        <w:t>høyrt</w:t>
      </w:r>
      <w:proofErr w:type="spellEnd"/>
      <w:r w:rsidRPr="00E426D3">
        <w:t>.</w:t>
      </w:r>
    </w:p>
    <w:p w14:paraId="2F2B75F2" w14:textId="77777777" w:rsidR="00772748" w:rsidRPr="00E426D3" w:rsidRDefault="00772748" w:rsidP="00E426D3">
      <w:proofErr w:type="spellStart"/>
      <w:r w:rsidRPr="00E426D3">
        <w:t>Endeleg</w:t>
      </w:r>
      <w:proofErr w:type="spellEnd"/>
      <w:r w:rsidRPr="00E426D3">
        <w:t xml:space="preserve"> syner departementet til at utskriving av </w:t>
      </w:r>
      <w:proofErr w:type="spellStart"/>
      <w:r w:rsidRPr="00E426D3">
        <w:t>eigedomsskatt</w:t>
      </w:r>
      <w:proofErr w:type="spellEnd"/>
      <w:r w:rsidRPr="00E426D3">
        <w:t xml:space="preserve"> er regulert i </w:t>
      </w:r>
      <w:proofErr w:type="spellStart"/>
      <w:r w:rsidRPr="00E426D3">
        <w:t>eigedomsskattelova</w:t>
      </w:r>
      <w:proofErr w:type="spellEnd"/>
      <w:r w:rsidRPr="00E426D3">
        <w:t xml:space="preserve">, som vil gå føre </w:t>
      </w:r>
      <w:proofErr w:type="spellStart"/>
      <w:r w:rsidRPr="00E426D3">
        <w:t>dei</w:t>
      </w:r>
      <w:proofErr w:type="spellEnd"/>
      <w:r w:rsidRPr="00E426D3">
        <w:t xml:space="preserve"> generelle </w:t>
      </w:r>
      <w:proofErr w:type="spellStart"/>
      <w:r w:rsidRPr="00E426D3">
        <w:t>reglane</w:t>
      </w:r>
      <w:proofErr w:type="spellEnd"/>
      <w:r w:rsidRPr="00E426D3">
        <w:t xml:space="preserve"> i kommuneloven ved utskriving av </w:t>
      </w:r>
      <w:proofErr w:type="spellStart"/>
      <w:r w:rsidRPr="00E426D3">
        <w:t>eigedomsskatt</w:t>
      </w:r>
      <w:proofErr w:type="spellEnd"/>
      <w:r w:rsidRPr="00E426D3">
        <w:t xml:space="preserve">. Departementet kan </w:t>
      </w:r>
      <w:proofErr w:type="spellStart"/>
      <w:r w:rsidRPr="00E426D3">
        <w:t>difor</w:t>
      </w:r>
      <w:proofErr w:type="spellEnd"/>
      <w:r w:rsidRPr="00E426D3">
        <w:t xml:space="preserve"> </w:t>
      </w:r>
      <w:proofErr w:type="spellStart"/>
      <w:r w:rsidRPr="00E426D3">
        <w:t>ikkje</w:t>
      </w:r>
      <w:proofErr w:type="spellEnd"/>
      <w:r w:rsidRPr="00E426D3">
        <w:t xml:space="preserve"> sjå at det ligg føre </w:t>
      </w:r>
      <w:proofErr w:type="spellStart"/>
      <w:r w:rsidRPr="00E426D3">
        <w:t>noko</w:t>
      </w:r>
      <w:proofErr w:type="spellEnd"/>
      <w:r w:rsidRPr="00E426D3">
        <w:t xml:space="preserve"> </w:t>
      </w:r>
      <w:proofErr w:type="spellStart"/>
      <w:r w:rsidRPr="00E426D3">
        <w:t>brot</w:t>
      </w:r>
      <w:proofErr w:type="spellEnd"/>
      <w:r w:rsidRPr="00E426D3">
        <w:t xml:space="preserve"> på </w:t>
      </w:r>
      <w:proofErr w:type="spellStart"/>
      <w:r w:rsidRPr="00E426D3">
        <w:t>reglane</w:t>
      </w:r>
      <w:proofErr w:type="spellEnd"/>
      <w:r w:rsidRPr="00E426D3">
        <w:t xml:space="preserve"> i kommuneloven, eller </w:t>
      </w:r>
      <w:proofErr w:type="spellStart"/>
      <w:r w:rsidRPr="00E426D3">
        <w:t>brot</w:t>
      </w:r>
      <w:proofErr w:type="spellEnd"/>
      <w:r w:rsidRPr="00E426D3">
        <w:t xml:space="preserve"> på «grunnleggende demokratihensyn» ved at den lokale reduksjonsfaktoren ligg fast i takstperioden. Her kan det og </w:t>
      </w:r>
      <w:proofErr w:type="spellStart"/>
      <w:r w:rsidRPr="00E426D3">
        <w:t>synast</w:t>
      </w:r>
      <w:proofErr w:type="spellEnd"/>
      <w:r w:rsidRPr="00E426D3">
        <w:t xml:space="preserve"> til at takstperioden på 10 år overstig to </w:t>
      </w:r>
      <w:proofErr w:type="spellStart"/>
      <w:r w:rsidRPr="00E426D3">
        <w:t>valperiodar</w:t>
      </w:r>
      <w:proofErr w:type="spellEnd"/>
      <w:r w:rsidRPr="00E426D3">
        <w:t xml:space="preserve"> for kommunestyret, </w:t>
      </w:r>
      <w:proofErr w:type="spellStart"/>
      <w:r w:rsidRPr="00E426D3">
        <w:t>utan</w:t>
      </w:r>
      <w:proofErr w:type="spellEnd"/>
      <w:r w:rsidRPr="00E426D3">
        <w:t xml:space="preserve"> at det er reist spørsmål om dette er brudd på demokratiske omsyn. Framlegget </w:t>
      </w:r>
      <w:proofErr w:type="spellStart"/>
      <w:r w:rsidRPr="00E426D3">
        <w:t>frå</w:t>
      </w:r>
      <w:proofErr w:type="spellEnd"/>
      <w:r w:rsidRPr="00E426D3">
        <w:t xml:space="preserve"> departementet vil </w:t>
      </w:r>
      <w:proofErr w:type="spellStart"/>
      <w:r w:rsidRPr="00E426D3">
        <w:t>utgjere</w:t>
      </w:r>
      <w:proofErr w:type="spellEnd"/>
      <w:r w:rsidRPr="00E426D3">
        <w:t xml:space="preserve"> ei kodifisering av praksisen i </w:t>
      </w:r>
      <w:proofErr w:type="spellStart"/>
      <w:r w:rsidRPr="00E426D3">
        <w:t>kommunane</w:t>
      </w:r>
      <w:proofErr w:type="spellEnd"/>
      <w:r w:rsidRPr="00E426D3">
        <w:t xml:space="preserve"> med omsyn til lokal reduksjonsfaktor. I tråd med </w:t>
      </w:r>
      <w:proofErr w:type="spellStart"/>
      <w:r w:rsidRPr="00E426D3">
        <w:t>innspel</w:t>
      </w:r>
      <w:proofErr w:type="spellEnd"/>
      <w:r w:rsidRPr="00E426D3">
        <w:t xml:space="preserve"> </w:t>
      </w:r>
      <w:proofErr w:type="spellStart"/>
      <w:r w:rsidRPr="00E426D3">
        <w:t>frå</w:t>
      </w:r>
      <w:proofErr w:type="spellEnd"/>
      <w:r w:rsidRPr="00E426D3">
        <w:t xml:space="preserve"> LVK </w:t>
      </w:r>
      <w:proofErr w:type="spellStart"/>
      <w:r w:rsidRPr="00E426D3">
        <w:t>gjer</w:t>
      </w:r>
      <w:proofErr w:type="spellEnd"/>
      <w:r w:rsidRPr="00E426D3">
        <w:t xml:space="preserve"> departementet framlegg om at det vert presisert i lova at lokal reduksjonsfaktor ligg fast i heile takstperioden.</w:t>
      </w:r>
    </w:p>
    <w:p w14:paraId="31588DD2" w14:textId="77777777" w:rsidR="00772748" w:rsidRPr="00E426D3" w:rsidRDefault="00772748" w:rsidP="00E426D3">
      <w:pPr>
        <w:rPr>
          <w:rStyle w:val="kursiv"/>
        </w:rPr>
      </w:pPr>
      <w:r w:rsidRPr="00E426D3">
        <w:rPr>
          <w:rStyle w:val="kursiv"/>
        </w:rPr>
        <w:lastRenderedPageBreak/>
        <w:t xml:space="preserve">Advokatfirmaet </w:t>
      </w:r>
      <w:proofErr w:type="spellStart"/>
      <w:r w:rsidRPr="00E426D3">
        <w:rPr>
          <w:rStyle w:val="kursiv"/>
        </w:rPr>
        <w:t>Deloitte</w:t>
      </w:r>
      <w:proofErr w:type="spellEnd"/>
      <w:r w:rsidRPr="00E426D3">
        <w:t xml:space="preserve"> skriv i si </w:t>
      </w:r>
      <w:proofErr w:type="spellStart"/>
      <w:r w:rsidRPr="00E426D3">
        <w:t>høyringsfråsegn</w:t>
      </w:r>
      <w:proofErr w:type="spellEnd"/>
      <w:r w:rsidRPr="00E426D3">
        <w:t xml:space="preserve"> at </w:t>
      </w:r>
      <w:proofErr w:type="spellStart"/>
      <w:r w:rsidRPr="00E426D3">
        <w:t>dei</w:t>
      </w:r>
      <w:proofErr w:type="spellEnd"/>
      <w:r w:rsidRPr="00E426D3">
        <w:t xml:space="preserve"> «(…) ønsker å påpeke at lovforslaget bør utredes grundigere, og vil kunne medføre utilsiktet virkninger for klagebehandling og forskjellsbehandling mellom boliger som er verdsatt med ulik metodikk (…) Vår erfaring og inntrykk er at sjablongmetoden til Skatteetaten, gjennomgående gir høyere skattebelastning for boligeierne enn kommunale takster.»</w:t>
      </w:r>
    </w:p>
    <w:p w14:paraId="2D458104" w14:textId="77777777" w:rsidR="00772748" w:rsidRPr="00E426D3" w:rsidRDefault="00772748" w:rsidP="00E426D3">
      <w:pPr>
        <w:rPr>
          <w:rStyle w:val="sperret0"/>
        </w:rPr>
      </w:pPr>
      <w:r w:rsidRPr="00E426D3">
        <w:rPr>
          <w:rStyle w:val="sperret0"/>
        </w:rPr>
        <w:t xml:space="preserve">Departementet </w:t>
      </w:r>
      <w:r w:rsidRPr="00E426D3">
        <w:t xml:space="preserve">syner her til at </w:t>
      </w:r>
      <w:proofErr w:type="spellStart"/>
      <w:r w:rsidRPr="00E426D3">
        <w:t>dei</w:t>
      </w:r>
      <w:proofErr w:type="spellEnd"/>
      <w:r w:rsidRPr="00E426D3">
        <w:t xml:space="preserve"> </w:t>
      </w:r>
      <w:proofErr w:type="spellStart"/>
      <w:r w:rsidRPr="00E426D3">
        <w:t>problemstillingane</w:t>
      </w:r>
      <w:proofErr w:type="spellEnd"/>
      <w:r w:rsidRPr="00E426D3">
        <w:t xml:space="preserve"> som </w:t>
      </w:r>
      <w:proofErr w:type="spellStart"/>
      <w:r w:rsidRPr="00E426D3">
        <w:t>Deloitte</w:t>
      </w:r>
      <w:proofErr w:type="spellEnd"/>
      <w:r w:rsidRPr="00E426D3">
        <w:t xml:space="preserve"> </w:t>
      </w:r>
      <w:proofErr w:type="spellStart"/>
      <w:r w:rsidRPr="00E426D3">
        <w:t>tek</w:t>
      </w:r>
      <w:proofErr w:type="spellEnd"/>
      <w:r w:rsidRPr="00E426D3">
        <w:t xml:space="preserve"> opp, </w:t>
      </w:r>
      <w:proofErr w:type="spellStart"/>
      <w:r w:rsidRPr="00E426D3">
        <w:t>vart</w:t>
      </w:r>
      <w:proofErr w:type="spellEnd"/>
      <w:r w:rsidRPr="00E426D3">
        <w:t xml:space="preserve"> vurdert i samband med lovframlegget om innføring av høve til å nytte </w:t>
      </w:r>
      <w:proofErr w:type="spellStart"/>
      <w:r w:rsidRPr="00E426D3">
        <w:t>formuesgrunnlag</w:t>
      </w:r>
      <w:proofErr w:type="spellEnd"/>
      <w:r w:rsidRPr="00E426D3">
        <w:t xml:space="preserve"> som takst, jf. </w:t>
      </w:r>
      <w:proofErr w:type="spellStart"/>
      <w:r w:rsidRPr="00E426D3">
        <w:t>høyringsnotat</w:t>
      </w:r>
      <w:proofErr w:type="spellEnd"/>
      <w:r w:rsidRPr="00E426D3">
        <w:t xml:space="preserve"> 28. mars 2012 og Prop. 1 LS (2012–2013) kapittel 8. I proposisjonen punkt 8.4.5 </w:t>
      </w:r>
      <w:proofErr w:type="spellStart"/>
      <w:r w:rsidRPr="00E426D3">
        <w:t>heiter</w:t>
      </w:r>
      <w:proofErr w:type="spellEnd"/>
      <w:r w:rsidRPr="00E426D3">
        <w:t xml:space="preserve"> det at «Den enkelte kommune må selv vurdere hvordan bruk av det nye utskrivingsalternativet vil slå ut lokalt. Bruk av </w:t>
      </w:r>
      <w:proofErr w:type="spellStart"/>
      <w:r w:rsidRPr="00E426D3">
        <w:t>formuesgrunnlagene</w:t>
      </w:r>
      <w:proofErr w:type="spellEnd"/>
      <w:r w:rsidRPr="00E426D3">
        <w:t xml:space="preserve"> kan gi reduserte eiendomsskatteinntekter for enkelte kommuner sammenlignet med dagens takseringsregler. Andre kommuner kan i større grad nærme seg markedsverdien med det nye systemet, særlig dersom det er lenge siden siste alminnelige taksering. Den enkelte kommune må også vurdere konkret administrative kostnader og praktiske forhold knyttet til ulike takseringsmetoder mv.»</w:t>
      </w:r>
    </w:p>
    <w:p w14:paraId="5E73341E" w14:textId="77777777" w:rsidR="00772748" w:rsidRPr="00E426D3" w:rsidRDefault="00772748" w:rsidP="00E426D3">
      <w:proofErr w:type="spellStart"/>
      <w:r w:rsidRPr="00E426D3">
        <w:t>Vidare</w:t>
      </w:r>
      <w:proofErr w:type="spellEnd"/>
      <w:r w:rsidRPr="00E426D3">
        <w:t xml:space="preserve"> </w:t>
      </w:r>
      <w:proofErr w:type="spellStart"/>
      <w:r w:rsidRPr="00E426D3">
        <w:t>heiter</w:t>
      </w:r>
      <w:proofErr w:type="spellEnd"/>
      <w:r w:rsidRPr="00E426D3">
        <w:t xml:space="preserve"> det under punkt 8.4.6: «Departementet viser til at </w:t>
      </w:r>
      <w:proofErr w:type="spellStart"/>
      <w:r w:rsidRPr="00E426D3">
        <w:t>eigedomsskattelova</w:t>
      </w:r>
      <w:proofErr w:type="spellEnd"/>
      <w:r w:rsidRPr="00E426D3">
        <w:t xml:space="preserve"> og etablert praksis i dag hjemler ulike metoder og prinsipper for taksering av hhv. bolig- og fritidsbolig, verk og bruk og kraftanlegg. Målet for samtlige metoder er å beregne markedsverdien for den enkelte eiendomstype. Utforming av takseringsmetodene vil nødvendigvis innebære varierende innslag av standardisering, sjablonger, og skjønn mv. Det må derfor aksepteres visse forskjeller mellom takst og dokumentert markedsverdi for de ulike eiendomstypene som følge av metodebruk. Etter departementets syn kan taksering av eiendomsmassen i kommunen ved bruk av ulike takseringsprinsipper ikke anses som rettsstridig forskjellsbehandling etter eiendomsskattereglene.»</w:t>
      </w:r>
    </w:p>
    <w:p w14:paraId="04A34F8C" w14:textId="77777777" w:rsidR="00772748" w:rsidRPr="00E426D3" w:rsidRDefault="00772748" w:rsidP="00E426D3">
      <w:r w:rsidRPr="00E426D3">
        <w:t xml:space="preserve">For departementet er det </w:t>
      </w:r>
      <w:proofErr w:type="spellStart"/>
      <w:r w:rsidRPr="00E426D3">
        <w:t>noko</w:t>
      </w:r>
      <w:proofErr w:type="spellEnd"/>
      <w:r w:rsidRPr="00E426D3">
        <w:t xml:space="preserve"> uklart om </w:t>
      </w:r>
      <w:proofErr w:type="spellStart"/>
      <w:r w:rsidRPr="00E426D3">
        <w:t>Deloitte</w:t>
      </w:r>
      <w:proofErr w:type="spellEnd"/>
      <w:r w:rsidRPr="00E426D3">
        <w:t xml:space="preserve"> </w:t>
      </w:r>
      <w:proofErr w:type="spellStart"/>
      <w:r w:rsidRPr="00E426D3">
        <w:t>samanliknar</w:t>
      </w:r>
      <w:proofErr w:type="spellEnd"/>
      <w:r w:rsidRPr="00E426D3">
        <w:t xml:space="preserve"> </w:t>
      </w:r>
      <w:proofErr w:type="spellStart"/>
      <w:r w:rsidRPr="00E426D3">
        <w:t>kommunar</w:t>
      </w:r>
      <w:proofErr w:type="spellEnd"/>
      <w:r w:rsidRPr="00E426D3">
        <w:t xml:space="preserve"> som </w:t>
      </w:r>
      <w:proofErr w:type="spellStart"/>
      <w:r w:rsidRPr="00E426D3">
        <w:t>nyttar</w:t>
      </w:r>
      <w:proofErr w:type="spellEnd"/>
      <w:r w:rsidRPr="00E426D3">
        <w:t xml:space="preserve"> ulik metode for verdsetting av </w:t>
      </w:r>
      <w:proofErr w:type="spellStart"/>
      <w:r w:rsidRPr="00E426D3">
        <w:t>bustadeigedom</w:t>
      </w:r>
      <w:proofErr w:type="spellEnd"/>
      <w:r w:rsidRPr="00E426D3">
        <w:t xml:space="preserve">, eller bruk av ulike </w:t>
      </w:r>
      <w:proofErr w:type="spellStart"/>
      <w:r w:rsidRPr="00E426D3">
        <w:t>metodar</w:t>
      </w:r>
      <w:proofErr w:type="spellEnd"/>
      <w:r w:rsidRPr="00E426D3">
        <w:t xml:space="preserve"> </w:t>
      </w:r>
      <w:proofErr w:type="spellStart"/>
      <w:r w:rsidRPr="00E426D3">
        <w:t>innanfor</w:t>
      </w:r>
      <w:proofErr w:type="spellEnd"/>
      <w:r w:rsidRPr="00E426D3">
        <w:t xml:space="preserve"> </w:t>
      </w:r>
      <w:proofErr w:type="spellStart"/>
      <w:r w:rsidRPr="00E426D3">
        <w:t>ein</w:t>
      </w:r>
      <w:proofErr w:type="spellEnd"/>
      <w:r w:rsidRPr="00E426D3">
        <w:t xml:space="preserve"> </w:t>
      </w:r>
      <w:proofErr w:type="spellStart"/>
      <w:r w:rsidRPr="00E426D3">
        <w:t>einskild</w:t>
      </w:r>
      <w:proofErr w:type="spellEnd"/>
      <w:r w:rsidRPr="00E426D3">
        <w:t xml:space="preserve"> kommune. Utskriving av </w:t>
      </w:r>
      <w:proofErr w:type="spellStart"/>
      <w:r w:rsidRPr="00E426D3">
        <w:t>eigedomsskatt</w:t>
      </w:r>
      <w:proofErr w:type="spellEnd"/>
      <w:r w:rsidRPr="00E426D3">
        <w:t xml:space="preserve"> er frivillig for den </w:t>
      </w:r>
      <w:proofErr w:type="spellStart"/>
      <w:r w:rsidRPr="00E426D3">
        <w:t>einskilde</w:t>
      </w:r>
      <w:proofErr w:type="spellEnd"/>
      <w:r w:rsidRPr="00E426D3">
        <w:t xml:space="preserve"> kommune, og det er </w:t>
      </w:r>
      <w:proofErr w:type="spellStart"/>
      <w:r w:rsidRPr="00E426D3">
        <w:t>valfritt</w:t>
      </w:r>
      <w:proofErr w:type="spellEnd"/>
      <w:r w:rsidRPr="00E426D3">
        <w:t xml:space="preserve"> om den vil nytte lokal taksering eller Skatteetaten sine </w:t>
      </w:r>
      <w:proofErr w:type="spellStart"/>
      <w:r w:rsidRPr="00E426D3">
        <w:t>formuesgrunnlag</w:t>
      </w:r>
      <w:proofErr w:type="spellEnd"/>
      <w:r w:rsidRPr="00E426D3">
        <w:t xml:space="preserve"> ved verdsetting av </w:t>
      </w:r>
      <w:proofErr w:type="spellStart"/>
      <w:r w:rsidRPr="00E426D3">
        <w:t>bustader</w:t>
      </w:r>
      <w:proofErr w:type="spellEnd"/>
      <w:r w:rsidRPr="00E426D3">
        <w:t xml:space="preserve">. Innafor den </w:t>
      </w:r>
      <w:proofErr w:type="spellStart"/>
      <w:r w:rsidRPr="00E426D3">
        <w:t>einskilde</w:t>
      </w:r>
      <w:proofErr w:type="spellEnd"/>
      <w:r w:rsidRPr="00E426D3">
        <w:t xml:space="preserve"> kommune vil all </w:t>
      </w:r>
      <w:proofErr w:type="spellStart"/>
      <w:r w:rsidRPr="00E426D3">
        <w:t>bustadeigedom</w:t>
      </w:r>
      <w:proofErr w:type="spellEnd"/>
      <w:r w:rsidRPr="00E426D3">
        <w:t xml:space="preserve"> normalt </w:t>
      </w:r>
      <w:proofErr w:type="spellStart"/>
      <w:r w:rsidRPr="00E426D3">
        <w:t>verte</w:t>
      </w:r>
      <w:proofErr w:type="spellEnd"/>
      <w:r w:rsidRPr="00E426D3">
        <w:t xml:space="preserve"> verdsatt ved bruk av same metode. Større eller mindre unntak kan </w:t>
      </w:r>
      <w:proofErr w:type="spellStart"/>
      <w:r w:rsidRPr="00E426D3">
        <w:t>førekome</w:t>
      </w:r>
      <w:proofErr w:type="spellEnd"/>
      <w:r w:rsidRPr="00E426D3">
        <w:t xml:space="preserve"> der kommunen har </w:t>
      </w:r>
      <w:proofErr w:type="spellStart"/>
      <w:r w:rsidRPr="00E426D3">
        <w:t>valt</w:t>
      </w:r>
      <w:proofErr w:type="spellEnd"/>
      <w:r w:rsidRPr="00E426D3">
        <w:t xml:space="preserve"> bruk av </w:t>
      </w:r>
      <w:proofErr w:type="spellStart"/>
      <w:r w:rsidRPr="00E426D3">
        <w:t>formuesgrunnlag</w:t>
      </w:r>
      <w:proofErr w:type="spellEnd"/>
      <w:r w:rsidRPr="00E426D3">
        <w:t xml:space="preserve"> og det </w:t>
      </w:r>
      <w:proofErr w:type="spellStart"/>
      <w:r w:rsidRPr="00E426D3">
        <w:t>ikkje</w:t>
      </w:r>
      <w:proofErr w:type="spellEnd"/>
      <w:r w:rsidRPr="00E426D3">
        <w:t xml:space="preserve"> </w:t>
      </w:r>
      <w:proofErr w:type="spellStart"/>
      <w:r w:rsidRPr="00E426D3">
        <w:t>finst</w:t>
      </w:r>
      <w:proofErr w:type="spellEnd"/>
      <w:r w:rsidRPr="00E426D3">
        <w:t xml:space="preserve"> </w:t>
      </w:r>
      <w:proofErr w:type="spellStart"/>
      <w:r w:rsidRPr="00E426D3">
        <w:t>formuesgrunnlag</w:t>
      </w:r>
      <w:proofErr w:type="spellEnd"/>
      <w:r w:rsidRPr="00E426D3">
        <w:t xml:space="preserve"> for alle </w:t>
      </w:r>
      <w:proofErr w:type="spellStart"/>
      <w:r w:rsidRPr="00E426D3">
        <w:t>bustadeigedomane</w:t>
      </w:r>
      <w:proofErr w:type="spellEnd"/>
      <w:r w:rsidRPr="00E426D3">
        <w:t xml:space="preserve"> i kommunen. Slike høve kan kommunen vurdere ved val av metode for verdsettinga. Departementet ser </w:t>
      </w:r>
      <w:proofErr w:type="spellStart"/>
      <w:r w:rsidRPr="00E426D3">
        <w:t>ikkje</w:t>
      </w:r>
      <w:proofErr w:type="spellEnd"/>
      <w:r w:rsidRPr="00E426D3">
        <w:t xml:space="preserve"> dette som å </w:t>
      </w:r>
      <w:proofErr w:type="spellStart"/>
      <w:r w:rsidRPr="00E426D3">
        <w:t>vere</w:t>
      </w:r>
      <w:proofErr w:type="spellEnd"/>
      <w:r w:rsidRPr="00E426D3">
        <w:t xml:space="preserve"> av </w:t>
      </w:r>
      <w:proofErr w:type="spellStart"/>
      <w:r w:rsidRPr="00E426D3">
        <w:t>ein</w:t>
      </w:r>
      <w:proofErr w:type="spellEnd"/>
      <w:r w:rsidRPr="00E426D3">
        <w:t xml:space="preserve"> slik karakter at det diskrediterer metoden med bruk av </w:t>
      </w:r>
      <w:proofErr w:type="spellStart"/>
      <w:r w:rsidRPr="00E426D3">
        <w:t>formuesgrunnlag</w:t>
      </w:r>
      <w:proofErr w:type="spellEnd"/>
      <w:r w:rsidRPr="00E426D3">
        <w:t>.</w:t>
      </w:r>
    </w:p>
    <w:p w14:paraId="082F6FE0" w14:textId="77777777" w:rsidR="00772748" w:rsidRPr="00E426D3" w:rsidRDefault="00772748" w:rsidP="00E426D3">
      <w:proofErr w:type="spellStart"/>
      <w:r w:rsidRPr="00E426D3">
        <w:t>Endeleg</w:t>
      </w:r>
      <w:proofErr w:type="spellEnd"/>
      <w:r w:rsidRPr="00E426D3">
        <w:t xml:space="preserve"> syner departementet til at KS i sin </w:t>
      </w:r>
      <w:proofErr w:type="spellStart"/>
      <w:r w:rsidRPr="00E426D3">
        <w:t>rettleiar</w:t>
      </w:r>
      <w:proofErr w:type="spellEnd"/>
      <w:r w:rsidRPr="00E426D3">
        <w:t xml:space="preserve"> for taksering punkt 7 tilrår at det ved lokal taksering vert foretatt ei «prøvetaksering» før kommunen gjennomfører den </w:t>
      </w:r>
      <w:proofErr w:type="spellStart"/>
      <w:r w:rsidRPr="00E426D3">
        <w:t>endelege</w:t>
      </w:r>
      <w:proofErr w:type="spellEnd"/>
      <w:r w:rsidRPr="00E426D3">
        <w:t xml:space="preserve"> takseringa. I punkt 6.4.2 er det </w:t>
      </w:r>
      <w:proofErr w:type="spellStart"/>
      <w:r w:rsidRPr="00E426D3">
        <w:t>synt</w:t>
      </w:r>
      <w:proofErr w:type="spellEnd"/>
      <w:r w:rsidRPr="00E426D3">
        <w:t xml:space="preserve"> til at det kan «være nyttig å innhente data fra andre kilder og de sjablongprisene som blir fastsatt.» Departementet </w:t>
      </w:r>
      <w:proofErr w:type="spellStart"/>
      <w:r w:rsidRPr="00E426D3">
        <w:t>legg</w:t>
      </w:r>
      <w:proofErr w:type="spellEnd"/>
      <w:r w:rsidRPr="00E426D3">
        <w:t xml:space="preserve"> til grunn at slike </w:t>
      </w:r>
      <w:proofErr w:type="spellStart"/>
      <w:r w:rsidRPr="00E426D3">
        <w:t>samanlikninger</w:t>
      </w:r>
      <w:proofErr w:type="spellEnd"/>
      <w:r w:rsidRPr="00E426D3">
        <w:t xml:space="preserve"> og vil </w:t>
      </w:r>
      <w:proofErr w:type="spellStart"/>
      <w:r w:rsidRPr="00E426D3">
        <w:t>vere</w:t>
      </w:r>
      <w:proofErr w:type="spellEnd"/>
      <w:r w:rsidRPr="00E426D3">
        <w:t xml:space="preserve"> </w:t>
      </w:r>
      <w:proofErr w:type="spellStart"/>
      <w:r w:rsidRPr="00E426D3">
        <w:t>føremålstenleg</w:t>
      </w:r>
      <w:proofErr w:type="spellEnd"/>
      <w:r w:rsidRPr="00E426D3">
        <w:t xml:space="preserve"> den motsatte vegen for </w:t>
      </w:r>
      <w:proofErr w:type="spellStart"/>
      <w:r w:rsidRPr="00E426D3">
        <w:t>kommunar</w:t>
      </w:r>
      <w:proofErr w:type="spellEnd"/>
      <w:r w:rsidRPr="00E426D3">
        <w:t xml:space="preserve"> som vurderer bruk av Skatteetaten sine </w:t>
      </w:r>
      <w:proofErr w:type="spellStart"/>
      <w:r w:rsidRPr="00E426D3">
        <w:t>formuesgrunnlag</w:t>
      </w:r>
      <w:proofErr w:type="spellEnd"/>
      <w:r w:rsidRPr="00E426D3">
        <w:t>.</w:t>
      </w:r>
    </w:p>
    <w:p w14:paraId="1EE398D4" w14:textId="77777777" w:rsidR="00772748" w:rsidRPr="00E426D3" w:rsidRDefault="00772748" w:rsidP="00E426D3">
      <w:pPr>
        <w:rPr>
          <w:rStyle w:val="sperret0"/>
        </w:rPr>
      </w:pPr>
      <w:r w:rsidRPr="00E426D3">
        <w:rPr>
          <w:rStyle w:val="sperret0"/>
        </w:rPr>
        <w:t xml:space="preserve">Departementet </w:t>
      </w:r>
      <w:proofErr w:type="spellStart"/>
      <w:r w:rsidRPr="00E426D3">
        <w:t>gjer</w:t>
      </w:r>
      <w:proofErr w:type="spellEnd"/>
      <w:r w:rsidRPr="00E426D3">
        <w:t xml:space="preserve"> framlegg om å endre lova slik at </w:t>
      </w:r>
      <w:proofErr w:type="spellStart"/>
      <w:r w:rsidRPr="00E426D3">
        <w:t>reglane</w:t>
      </w:r>
      <w:proofErr w:type="spellEnd"/>
      <w:r w:rsidRPr="00E426D3">
        <w:t xml:space="preserve"> vert i samsvar med praksis </w:t>
      </w:r>
      <w:proofErr w:type="spellStart"/>
      <w:r w:rsidRPr="00E426D3">
        <w:t>frå</w:t>
      </w:r>
      <w:proofErr w:type="spellEnd"/>
      <w:r w:rsidRPr="00E426D3">
        <w:t xml:space="preserve"> før dommen i Eidsivating lagmannsrett. Departementet rår til at det vert gjort endring i både </w:t>
      </w:r>
      <w:proofErr w:type="spellStart"/>
      <w:r w:rsidRPr="00E426D3">
        <w:t>eigedomsskattelova</w:t>
      </w:r>
      <w:proofErr w:type="spellEnd"/>
      <w:r w:rsidRPr="00E426D3">
        <w:t xml:space="preserve"> § 8 A-2 og § 8 C-1. Dette vil sikre at same regel om </w:t>
      </w:r>
      <w:proofErr w:type="spellStart"/>
      <w:r w:rsidRPr="00E426D3">
        <w:t>frådrag</w:t>
      </w:r>
      <w:proofErr w:type="spellEnd"/>
      <w:r w:rsidRPr="00E426D3">
        <w:t xml:space="preserve"> for lokal reduksjonsfaktor vil gjelde </w:t>
      </w:r>
      <w:proofErr w:type="spellStart"/>
      <w:r w:rsidRPr="00E426D3">
        <w:t>utan</w:t>
      </w:r>
      <w:proofErr w:type="spellEnd"/>
      <w:r w:rsidRPr="00E426D3">
        <w:t xml:space="preserve"> omsyn til metoden for verdsetting. Etter framlegget skal </w:t>
      </w:r>
      <w:proofErr w:type="spellStart"/>
      <w:r w:rsidRPr="00E426D3">
        <w:t>ein</w:t>
      </w:r>
      <w:proofErr w:type="spellEnd"/>
      <w:r w:rsidRPr="00E426D3">
        <w:t xml:space="preserve"> kun </w:t>
      </w:r>
      <w:proofErr w:type="spellStart"/>
      <w:r w:rsidRPr="00E426D3">
        <w:lastRenderedPageBreak/>
        <w:t>gje</w:t>
      </w:r>
      <w:proofErr w:type="spellEnd"/>
      <w:r w:rsidRPr="00E426D3">
        <w:t xml:space="preserve"> </w:t>
      </w:r>
      <w:proofErr w:type="spellStart"/>
      <w:r w:rsidRPr="00E426D3">
        <w:t>frådrag</w:t>
      </w:r>
      <w:proofErr w:type="spellEnd"/>
      <w:r w:rsidRPr="00E426D3">
        <w:t xml:space="preserve"> for den </w:t>
      </w:r>
      <w:proofErr w:type="spellStart"/>
      <w:r w:rsidRPr="00E426D3">
        <w:t>høgaste</w:t>
      </w:r>
      <w:proofErr w:type="spellEnd"/>
      <w:r w:rsidRPr="00E426D3">
        <w:t xml:space="preserve"> av </w:t>
      </w:r>
      <w:proofErr w:type="spellStart"/>
      <w:r w:rsidRPr="00E426D3">
        <w:t>dei</w:t>
      </w:r>
      <w:proofErr w:type="spellEnd"/>
      <w:r w:rsidRPr="00E426D3">
        <w:t xml:space="preserve"> to </w:t>
      </w:r>
      <w:proofErr w:type="spellStart"/>
      <w:r w:rsidRPr="00E426D3">
        <w:t>reduksjonsfaktorane</w:t>
      </w:r>
      <w:proofErr w:type="spellEnd"/>
      <w:r w:rsidRPr="00E426D3">
        <w:t xml:space="preserve"> når kommunen </w:t>
      </w:r>
      <w:proofErr w:type="spellStart"/>
      <w:r w:rsidRPr="00E426D3">
        <w:t>nyttar</w:t>
      </w:r>
      <w:proofErr w:type="spellEnd"/>
      <w:r w:rsidRPr="00E426D3">
        <w:t xml:space="preserve"> lokal reduksjonsfaktor. I praksis </w:t>
      </w:r>
      <w:proofErr w:type="spellStart"/>
      <w:r w:rsidRPr="00E426D3">
        <w:t>inneber</w:t>
      </w:r>
      <w:proofErr w:type="spellEnd"/>
      <w:r w:rsidRPr="00E426D3">
        <w:t xml:space="preserve"> dette at den obligatoriske reduksjonsfaktoren vert konsumert av den lokale når den </w:t>
      </w:r>
      <w:proofErr w:type="spellStart"/>
      <w:r w:rsidRPr="00E426D3">
        <w:t>sistnemnde</w:t>
      </w:r>
      <w:proofErr w:type="spellEnd"/>
      <w:r w:rsidRPr="00E426D3">
        <w:t xml:space="preserve"> er </w:t>
      </w:r>
      <w:proofErr w:type="spellStart"/>
      <w:r w:rsidRPr="00E426D3">
        <w:t>høgare</w:t>
      </w:r>
      <w:proofErr w:type="spellEnd"/>
      <w:r w:rsidRPr="00E426D3">
        <w:t xml:space="preserve"> enn 30 pst. Der kommunen har </w:t>
      </w:r>
      <w:proofErr w:type="spellStart"/>
      <w:r w:rsidRPr="00E426D3">
        <w:t>ein</w:t>
      </w:r>
      <w:proofErr w:type="spellEnd"/>
      <w:r w:rsidRPr="00E426D3">
        <w:t xml:space="preserve"> lokal reduksjonsfaktor på 30 pst. eller </w:t>
      </w:r>
      <w:proofErr w:type="spellStart"/>
      <w:r w:rsidRPr="00E426D3">
        <w:t>lågare</w:t>
      </w:r>
      <w:proofErr w:type="spellEnd"/>
      <w:r w:rsidRPr="00E426D3">
        <w:t xml:space="preserve">, vil denne </w:t>
      </w:r>
      <w:proofErr w:type="spellStart"/>
      <w:r w:rsidRPr="00E426D3">
        <w:t>ikkje</w:t>
      </w:r>
      <w:proofErr w:type="spellEnd"/>
      <w:r w:rsidRPr="00E426D3">
        <w:t xml:space="preserve"> gjelde for </w:t>
      </w:r>
      <w:proofErr w:type="spellStart"/>
      <w:r w:rsidRPr="00E426D3">
        <w:t>bustader</w:t>
      </w:r>
      <w:proofErr w:type="spellEnd"/>
      <w:r w:rsidRPr="00E426D3">
        <w:t xml:space="preserve"> og </w:t>
      </w:r>
      <w:proofErr w:type="spellStart"/>
      <w:r w:rsidRPr="00E426D3">
        <w:t>fritidsbustader</w:t>
      </w:r>
      <w:proofErr w:type="spellEnd"/>
      <w:r w:rsidRPr="00E426D3">
        <w:t>.</w:t>
      </w:r>
    </w:p>
    <w:p w14:paraId="1C6AB630" w14:textId="77777777" w:rsidR="00772748" w:rsidRPr="00E426D3" w:rsidRDefault="00772748" w:rsidP="00E426D3">
      <w:r w:rsidRPr="00E426D3">
        <w:t xml:space="preserve">Med ei slik samordning av </w:t>
      </w:r>
      <w:proofErr w:type="spellStart"/>
      <w:r w:rsidRPr="00E426D3">
        <w:t>reduksjonsfaktorane</w:t>
      </w:r>
      <w:proofErr w:type="spellEnd"/>
      <w:r w:rsidRPr="00E426D3">
        <w:t xml:space="preserve"> vil </w:t>
      </w:r>
      <w:proofErr w:type="spellStart"/>
      <w:r w:rsidRPr="00E426D3">
        <w:t>kommunane</w:t>
      </w:r>
      <w:proofErr w:type="spellEnd"/>
      <w:r w:rsidRPr="00E426D3">
        <w:t xml:space="preserve"> kunne nytte den lokale reduksjonsfaktoren til å oppnå </w:t>
      </w:r>
      <w:proofErr w:type="spellStart"/>
      <w:r w:rsidRPr="00E426D3">
        <w:t>eit</w:t>
      </w:r>
      <w:proofErr w:type="spellEnd"/>
      <w:r w:rsidRPr="00E426D3">
        <w:t xml:space="preserve"> </w:t>
      </w:r>
      <w:proofErr w:type="spellStart"/>
      <w:r w:rsidRPr="00E426D3">
        <w:t>ynskjeleg</w:t>
      </w:r>
      <w:proofErr w:type="spellEnd"/>
      <w:r w:rsidRPr="00E426D3">
        <w:t xml:space="preserve"> nivå på </w:t>
      </w:r>
      <w:proofErr w:type="spellStart"/>
      <w:r w:rsidRPr="00E426D3">
        <w:t>eigedomsskatten</w:t>
      </w:r>
      <w:proofErr w:type="spellEnd"/>
      <w:r w:rsidRPr="00E426D3">
        <w:t xml:space="preserve">, eller som ei trygging mot at </w:t>
      </w:r>
      <w:proofErr w:type="spellStart"/>
      <w:r w:rsidRPr="00E426D3">
        <w:t>takstane</w:t>
      </w:r>
      <w:proofErr w:type="spellEnd"/>
      <w:r w:rsidRPr="00E426D3">
        <w:t xml:space="preserve"> kan overskride </w:t>
      </w:r>
      <w:proofErr w:type="spellStart"/>
      <w:r w:rsidRPr="00E426D3">
        <w:t>marknadsverdien</w:t>
      </w:r>
      <w:proofErr w:type="spellEnd"/>
      <w:r w:rsidRPr="00E426D3">
        <w:t xml:space="preserve">. Regelen i lovframlegget </w:t>
      </w:r>
      <w:proofErr w:type="spellStart"/>
      <w:r w:rsidRPr="00E426D3">
        <w:t>opnar</w:t>
      </w:r>
      <w:proofErr w:type="spellEnd"/>
      <w:r w:rsidRPr="00E426D3">
        <w:t xml:space="preserve"> for både lik og ulik samla reduksjonsfaktor på ulike </w:t>
      </w:r>
      <w:proofErr w:type="spellStart"/>
      <w:r w:rsidRPr="00E426D3">
        <w:t>eigedomskategoriar</w:t>
      </w:r>
      <w:proofErr w:type="spellEnd"/>
      <w:r w:rsidRPr="00E426D3">
        <w:t xml:space="preserve">. </w:t>
      </w:r>
      <w:proofErr w:type="spellStart"/>
      <w:r w:rsidRPr="00E426D3">
        <w:t>Samanlikna</w:t>
      </w:r>
      <w:proofErr w:type="spellEnd"/>
      <w:r w:rsidRPr="00E426D3">
        <w:t xml:space="preserve"> med resultatet i dommen </w:t>
      </w:r>
      <w:proofErr w:type="spellStart"/>
      <w:r w:rsidRPr="00E426D3">
        <w:t>frå</w:t>
      </w:r>
      <w:proofErr w:type="spellEnd"/>
      <w:r w:rsidRPr="00E426D3">
        <w:t xml:space="preserve"> Eidsivating lagmannsrett vil regelen i framlegget </w:t>
      </w:r>
      <w:proofErr w:type="spellStart"/>
      <w:r w:rsidRPr="00E426D3">
        <w:t>gje</w:t>
      </w:r>
      <w:proofErr w:type="spellEnd"/>
      <w:r w:rsidRPr="00E426D3">
        <w:t xml:space="preserve"> </w:t>
      </w:r>
      <w:proofErr w:type="spellStart"/>
      <w:r w:rsidRPr="00E426D3">
        <w:t>kommunane</w:t>
      </w:r>
      <w:proofErr w:type="spellEnd"/>
      <w:r w:rsidRPr="00E426D3">
        <w:t xml:space="preserve"> etter høva stor fridom ved utskrivinga av </w:t>
      </w:r>
      <w:proofErr w:type="spellStart"/>
      <w:r w:rsidRPr="00E426D3">
        <w:t>eigedomsskatt</w:t>
      </w:r>
      <w:proofErr w:type="spellEnd"/>
      <w:r w:rsidRPr="00E426D3">
        <w:t>.</w:t>
      </w:r>
    </w:p>
    <w:p w14:paraId="44DC199E" w14:textId="77777777" w:rsidR="00772748" w:rsidRPr="00E426D3" w:rsidRDefault="00772748" w:rsidP="00E426D3">
      <w:proofErr w:type="spellStart"/>
      <w:r w:rsidRPr="00E426D3">
        <w:t>Eigedomsskattelova</w:t>
      </w:r>
      <w:proofErr w:type="spellEnd"/>
      <w:r w:rsidRPr="00E426D3">
        <w:t xml:space="preserve"> </w:t>
      </w:r>
      <w:proofErr w:type="spellStart"/>
      <w:r w:rsidRPr="00E426D3">
        <w:t>inneheld</w:t>
      </w:r>
      <w:proofErr w:type="spellEnd"/>
      <w:r w:rsidRPr="00E426D3">
        <w:t xml:space="preserve"> ingen definisjon av omgrepet lokal reduksjonsfaktor, jf. </w:t>
      </w:r>
      <w:proofErr w:type="spellStart"/>
      <w:r w:rsidRPr="00E426D3">
        <w:t>ovanfor</w:t>
      </w:r>
      <w:proofErr w:type="spellEnd"/>
      <w:r w:rsidRPr="00E426D3">
        <w:t xml:space="preserve"> om at prinsippet og bruken av slikt </w:t>
      </w:r>
      <w:proofErr w:type="spellStart"/>
      <w:r w:rsidRPr="00E426D3">
        <w:t>frådrag</w:t>
      </w:r>
      <w:proofErr w:type="spellEnd"/>
      <w:r w:rsidRPr="00E426D3">
        <w:t xml:space="preserve"> er utvikla gjennom kommunal praksis. Departementet </w:t>
      </w:r>
      <w:proofErr w:type="spellStart"/>
      <w:r w:rsidRPr="00E426D3">
        <w:t>gjer</w:t>
      </w:r>
      <w:proofErr w:type="spellEnd"/>
      <w:r w:rsidRPr="00E426D3">
        <w:t xml:space="preserve"> framlegg om </w:t>
      </w:r>
      <w:proofErr w:type="spellStart"/>
      <w:r w:rsidRPr="00E426D3">
        <w:t>ein</w:t>
      </w:r>
      <w:proofErr w:type="spellEnd"/>
      <w:r w:rsidRPr="00E426D3">
        <w:t xml:space="preserve"> regel i </w:t>
      </w:r>
      <w:proofErr w:type="spellStart"/>
      <w:r w:rsidRPr="00E426D3">
        <w:t>eigedomsskattelova</w:t>
      </w:r>
      <w:proofErr w:type="spellEnd"/>
      <w:r w:rsidRPr="00E426D3">
        <w:t xml:space="preserve"> § 8 A-2 fjerde ledd som vil </w:t>
      </w:r>
      <w:proofErr w:type="spellStart"/>
      <w:r w:rsidRPr="00E426D3">
        <w:t>klargjere</w:t>
      </w:r>
      <w:proofErr w:type="spellEnd"/>
      <w:r w:rsidRPr="00E426D3">
        <w:t xml:space="preserve"> omgrepet og kva bruk av lokal reduksjonsfaktor </w:t>
      </w:r>
      <w:proofErr w:type="spellStart"/>
      <w:r w:rsidRPr="00E426D3">
        <w:t>inneber</w:t>
      </w:r>
      <w:proofErr w:type="spellEnd"/>
      <w:r w:rsidRPr="00E426D3">
        <w:t>.</w:t>
      </w:r>
    </w:p>
    <w:p w14:paraId="4ACF957E" w14:textId="77777777" w:rsidR="00772748" w:rsidRPr="00E426D3" w:rsidRDefault="00772748" w:rsidP="00E426D3">
      <w:r w:rsidRPr="00E426D3">
        <w:t xml:space="preserve">Departementet syner til framlegg om </w:t>
      </w:r>
      <w:proofErr w:type="spellStart"/>
      <w:r w:rsidRPr="00E426D3">
        <w:t>endringar</w:t>
      </w:r>
      <w:proofErr w:type="spellEnd"/>
      <w:r w:rsidRPr="00E426D3">
        <w:t xml:space="preserve"> i </w:t>
      </w:r>
      <w:proofErr w:type="spellStart"/>
      <w:r w:rsidRPr="00E426D3">
        <w:t>eigedomsskattelova</w:t>
      </w:r>
      <w:proofErr w:type="spellEnd"/>
      <w:r w:rsidRPr="00E426D3">
        <w:t xml:space="preserve"> § 8 A-2 og § 8 C-1 nytt tredje ledd.</w:t>
      </w:r>
    </w:p>
    <w:p w14:paraId="18A6ED79" w14:textId="77777777" w:rsidR="00772748" w:rsidRPr="00E426D3" w:rsidRDefault="00772748" w:rsidP="00E426D3">
      <w:pPr>
        <w:pStyle w:val="Overskrift2"/>
      </w:pPr>
      <w:r w:rsidRPr="00E426D3">
        <w:t xml:space="preserve">Økonomiske og administrative </w:t>
      </w:r>
      <w:proofErr w:type="spellStart"/>
      <w:r w:rsidRPr="00E426D3">
        <w:t>konsekvensar</w:t>
      </w:r>
      <w:proofErr w:type="spellEnd"/>
    </w:p>
    <w:p w14:paraId="56F1079C" w14:textId="77777777" w:rsidR="00772748" w:rsidRPr="00E426D3" w:rsidRDefault="00772748" w:rsidP="00E426D3">
      <w:proofErr w:type="spellStart"/>
      <w:r w:rsidRPr="00E426D3">
        <w:t>Ein</w:t>
      </w:r>
      <w:proofErr w:type="spellEnd"/>
      <w:r w:rsidRPr="00E426D3">
        <w:t xml:space="preserve"> konsekvens av framlegget til lovendring vil </w:t>
      </w:r>
      <w:proofErr w:type="spellStart"/>
      <w:r w:rsidRPr="00E426D3">
        <w:t>vere</w:t>
      </w:r>
      <w:proofErr w:type="spellEnd"/>
      <w:r w:rsidRPr="00E426D3">
        <w:t xml:space="preserve"> ei viss </w:t>
      </w:r>
      <w:proofErr w:type="spellStart"/>
      <w:r w:rsidRPr="00E426D3">
        <w:t>auke</w:t>
      </w:r>
      <w:proofErr w:type="spellEnd"/>
      <w:r w:rsidRPr="00E426D3">
        <w:t xml:space="preserve"> i </w:t>
      </w:r>
      <w:proofErr w:type="spellStart"/>
      <w:r w:rsidRPr="00E426D3">
        <w:t>eigedomsskatt</w:t>
      </w:r>
      <w:proofErr w:type="spellEnd"/>
      <w:r w:rsidRPr="00E426D3">
        <w:t xml:space="preserve"> for </w:t>
      </w:r>
      <w:proofErr w:type="spellStart"/>
      <w:r w:rsidRPr="00E426D3">
        <w:t>bustadeigarar</w:t>
      </w:r>
      <w:proofErr w:type="spellEnd"/>
      <w:r w:rsidRPr="00E426D3">
        <w:t xml:space="preserve">, der kommunen </w:t>
      </w:r>
      <w:proofErr w:type="spellStart"/>
      <w:r w:rsidRPr="00E426D3">
        <w:t>nyttar</w:t>
      </w:r>
      <w:proofErr w:type="spellEnd"/>
      <w:r w:rsidRPr="00E426D3">
        <w:t xml:space="preserve"> </w:t>
      </w:r>
      <w:proofErr w:type="spellStart"/>
      <w:r w:rsidRPr="00E426D3">
        <w:t>formuesgrunnlag</w:t>
      </w:r>
      <w:proofErr w:type="spellEnd"/>
      <w:r w:rsidRPr="00E426D3">
        <w:t xml:space="preserve"> </w:t>
      </w:r>
      <w:proofErr w:type="spellStart"/>
      <w:r w:rsidRPr="00E426D3">
        <w:t>frå</w:t>
      </w:r>
      <w:proofErr w:type="spellEnd"/>
      <w:r w:rsidRPr="00E426D3">
        <w:t xml:space="preserve"> Skatteetaten og har fastsatt lokal reduksjonsfaktor. Dette </w:t>
      </w:r>
      <w:proofErr w:type="spellStart"/>
      <w:r w:rsidRPr="00E426D3">
        <w:t>gjeld</w:t>
      </w:r>
      <w:proofErr w:type="spellEnd"/>
      <w:r w:rsidRPr="00E426D3">
        <w:t xml:space="preserve"> likevel </w:t>
      </w:r>
      <w:proofErr w:type="spellStart"/>
      <w:r w:rsidRPr="00E426D3">
        <w:t>berre</w:t>
      </w:r>
      <w:proofErr w:type="spellEnd"/>
      <w:r w:rsidRPr="00E426D3">
        <w:t xml:space="preserve"> ved </w:t>
      </w:r>
      <w:proofErr w:type="spellStart"/>
      <w:r w:rsidRPr="00E426D3">
        <w:t>samanlikning</w:t>
      </w:r>
      <w:proofErr w:type="spellEnd"/>
      <w:r w:rsidRPr="00E426D3">
        <w:t xml:space="preserve"> med utskriving i tråd med resultatet i dommen </w:t>
      </w:r>
      <w:proofErr w:type="spellStart"/>
      <w:r w:rsidRPr="00E426D3">
        <w:t>frå</w:t>
      </w:r>
      <w:proofErr w:type="spellEnd"/>
      <w:r w:rsidRPr="00E426D3">
        <w:t xml:space="preserve"> Eidsivating lagmannsrett, og </w:t>
      </w:r>
      <w:proofErr w:type="spellStart"/>
      <w:r w:rsidRPr="00E426D3">
        <w:t>ikkje</w:t>
      </w:r>
      <w:proofErr w:type="spellEnd"/>
      <w:r w:rsidRPr="00E426D3">
        <w:t xml:space="preserve"> i høve til det som har </w:t>
      </w:r>
      <w:proofErr w:type="spellStart"/>
      <w:r w:rsidRPr="00E426D3">
        <w:t>vore</w:t>
      </w:r>
      <w:proofErr w:type="spellEnd"/>
      <w:r w:rsidRPr="00E426D3">
        <w:t xml:space="preserve"> praksis fram til dommen </w:t>
      </w:r>
      <w:proofErr w:type="spellStart"/>
      <w:r w:rsidRPr="00E426D3">
        <w:t>frå</w:t>
      </w:r>
      <w:proofErr w:type="spellEnd"/>
      <w:r w:rsidRPr="00E426D3">
        <w:t xml:space="preserve"> oktober 2023.</w:t>
      </w:r>
    </w:p>
    <w:p w14:paraId="77BDBE8A" w14:textId="77777777" w:rsidR="00772748" w:rsidRPr="00E426D3" w:rsidRDefault="00772748" w:rsidP="00E426D3">
      <w:r w:rsidRPr="00E426D3">
        <w:t xml:space="preserve">Statistisk sentralbyrå (SSB) har </w:t>
      </w:r>
      <w:proofErr w:type="spellStart"/>
      <w:r w:rsidRPr="00E426D3">
        <w:t>ikkje</w:t>
      </w:r>
      <w:proofErr w:type="spellEnd"/>
      <w:r w:rsidRPr="00E426D3">
        <w:t xml:space="preserve"> statistikk over kor mange </w:t>
      </w:r>
      <w:proofErr w:type="spellStart"/>
      <w:r w:rsidRPr="00E426D3">
        <w:t>kommunar</w:t>
      </w:r>
      <w:proofErr w:type="spellEnd"/>
      <w:r w:rsidRPr="00E426D3">
        <w:t xml:space="preserve"> som </w:t>
      </w:r>
      <w:proofErr w:type="spellStart"/>
      <w:r w:rsidRPr="00E426D3">
        <w:t>nyttar</w:t>
      </w:r>
      <w:proofErr w:type="spellEnd"/>
      <w:r w:rsidRPr="00E426D3">
        <w:t xml:space="preserve"> lokal reduksjonsfaktor. Ei undersøking utført av KS i 2018 synte at om lag 30 </w:t>
      </w:r>
      <w:proofErr w:type="spellStart"/>
      <w:r w:rsidRPr="00E426D3">
        <w:t>kommunar</w:t>
      </w:r>
      <w:proofErr w:type="spellEnd"/>
      <w:r w:rsidRPr="00E426D3">
        <w:t xml:space="preserve"> nytta lokal reduksjonsfaktor. Tal </w:t>
      </w:r>
      <w:proofErr w:type="spellStart"/>
      <w:r w:rsidRPr="00E426D3">
        <w:t>frå</w:t>
      </w:r>
      <w:proofErr w:type="spellEnd"/>
      <w:r w:rsidRPr="00E426D3">
        <w:t xml:space="preserve"> SSB sin statistikk for 2023 syner at 111 </w:t>
      </w:r>
      <w:proofErr w:type="spellStart"/>
      <w:r w:rsidRPr="00E426D3">
        <w:t>kommunar</w:t>
      </w:r>
      <w:proofErr w:type="spellEnd"/>
      <w:r w:rsidRPr="00E426D3">
        <w:t xml:space="preserve"> gjorde bruk av </w:t>
      </w:r>
      <w:proofErr w:type="spellStart"/>
      <w:r w:rsidRPr="00E426D3">
        <w:t>formuesgrunnlag</w:t>
      </w:r>
      <w:proofErr w:type="spellEnd"/>
      <w:r w:rsidRPr="00E426D3">
        <w:t xml:space="preserve"> </w:t>
      </w:r>
      <w:proofErr w:type="spellStart"/>
      <w:r w:rsidRPr="00E426D3">
        <w:t>frå</w:t>
      </w:r>
      <w:proofErr w:type="spellEnd"/>
      <w:r w:rsidRPr="00E426D3">
        <w:t xml:space="preserve"> Skatteetaten ved utskrivinga av </w:t>
      </w:r>
      <w:proofErr w:type="spellStart"/>
      <w:r w:rsidRPr="00E426D3">
        <w:t>eigedomsskatt</w:t>
      </w:r>
      <w:proofErr w:type="spellEnd"/>
      <w:r w:rsidRPr="00E426D3">
        <w:t xml:space="preserve"> dette året.</w:t>
      </w:r>
    </w:p>
    <w:p w14:paraId="4543B04A" w14:textId="77777777" w:rsidR="00772748" w:rsidRPr="00E426D3" w:rsidRDefault="00772748" w:rsidP="00E426D3">
      <w:r w:rsidRPr="00E426D3">
        <w:t xml:space="preserve">Dommen får </w:t>
      </w:r>
      <w:proofErr w:type="spellStart"/>
      <w:r w:rsidRPr="00E426D3">
        <w:t>berre</w:t>
      </w:r>
      <w:proofErr w:type="spellEnd"/>
      <w:r w:rsidRPr="00E426D3">
        <w:t xml:space="preserve"> verknader for </w:t>
      </w:r>
      <w:proofErr w:type="spellStart"/>
      <w:r w:rsidRPr="00E426D3">
        <w:t>kommunar</w:t>
      </w:r>
      <w:proofErr w:type="spellEnd"/>
      <w:r w:rsidRPr="00E426D3">
        <w:t xml:space="preserve"> som </w:t>
      </w:r>
      <w:proofErr w:type="spellStart"/>
      <w:r w:rsidRPr="00E426D3">
        <w:t>nyttar</w:t>
      </w:r>
      <w:proofErr w:type="spellEnd"/>
      <w:r w:rsidRPr="00E426D3">
        <w:t xml:space="preserve"> både lokal reduksjonsfaktor og </w:t>
      </w:r>
      <w:proofErr w:type="spellStart"/>
      <w:r w:rsidRPr="00E426D3">
        <w:t>formuesgrunnlag</w:t>
      </w:r>
      <w:proofErr w:type="spellEnd"/>
      <w:r w:rsidRPr="00E426D3">
        <w:t xml:space="preserve"> ved verdsettinga. For </w:t>
      </w:r>
      <w:proofErr w:type="spellStart"/>
      <w:r w:rsidRPr="00E426D3">
        <w:t>einskilde</w:t>
      </w:r>
      <w:proofErr w:type="spellEnd"/>
      <w:r w:rsidRPr="00E426D3">
        <w:t xml:space="preserve"> av </w:t>
      </w:r>
      <w:proofErr w:type="spellStart"/>
      <w:r w:rsidRPr="00E426D3">
        <w:t>desse</w:t>
      </w:r>
      <w:proofErr w:type="spellEnd"/>
      <w:r w:rsidRPr="00E426D3">
        <w:t xml:space="preserve"> </w:t>
      </w:r>
      <w:proofErr w:type="spellStart"/>
      <w:r w:rsidRPr="00E426D3">
        <w:t>kommunane</w:t>
      </w:r>
      <w:proofErr w:type="spellEnd"/>
      <w:r w:rsidRPr="00E426D3">
        <w:t xml:space="preserve"> kan likevel provenyverknadene av framlegget </w:t>
      </w:r>
      <w:proofErr w:type="spellStart"/>
      <w:r w:rsidRPr="00E426D3">
        <w:t>verte</w:t>
      </w:r>
      <w:proofErr w:type="spellEnd"/>
      <w:r w:rsidRPr="00E426D3">
        <w:t xml:space="preserve"> </w:t>
      </w:r>
      <w:proofErr w:type="spellStart"/>
      <w:r w:rsidRPr="00E426D3">
        <w:t>betydelege</w:t>
      </w:r>
      <w:proofErr w:type="spellEnd"/>
      <w:r w:rsidRPr="00E426D3">
        <w:t xml:space="preserve">, </w:t>
      </w:r>
      <w:proofErr w:type="spellStart"/>
      <w:r w:rsidRPr="00E426D3">
        <w:t>samanlikna</w:t>
      </w:r>
      <w:proofErr w:type="spellEnd"/>
      <w:r w:rsidRPr="00E426D3">
        <w:t xml:space="preserve"> med løysinga som følgjer av dommen. Det vil mellom anna avhenge av kor høg lokal reduksjonsfaktor som vert nytta, og kor lang tid det er igjen av takstperioden. Departementet minner her om at lokal reduksjonsfaktor ligg fast i heile takstperioden.</w:t>
      </w:r>
    </w:p>
    <w:p w14:paraId="50CEDFF9" w14:textId="77777777" w:rsidR="00772748" w:rsidRPr="00E426D3" w:rsidRDefault="00772748" w:rsidP="00E426D3">
      <w:proofErr w:type="spellStart"/>
      <w:r w:rsidRPr="00E426D3">
        <w:t>Vidare</w:t>
      </w:r>
      <w:proofErr w:type="spellEnd"/>
      <w:r w:rsidRPr="00E426D3">
        <w:t xml:space="preserve"> gjev </w:t>
      </w:r>
      <w:proofErr w:type="spellStart"/>
      <w:r w:rsidRPr="00E426D3">
        <w:t>eigedomsskattelova</w:t>
      </w:r>
      <w:proofErr w:type="spellEnd"/>
      <w:r w:rsidRPr="00E426D3">
        <w:t xml:space="preserve"> </w:t>
      </w:r>
      <w:proofErr w:type="spellStart"/>
      <w:r w:rsidRPr="00E426D3">
        <w:t>kommunane</w:t>
      </w:r>
      <w:proofErr w:type="spellEnd"/>
      <w:r w:rsidRPr="00E426D3">
        <w:t xml:space="preserve"> </w:t>
      </w:r>
      <w:proofErr w:type="spellStart"/>
      <w:r w:rsidRPr="00E426D3">
        <w:t>fleire</w:t>
      </w:r>
      <w:proofErr w:type="spellEnd"/>
      <w:r w:rsidRPr="00E426D3">
        <w:t xml:space="preserve"> val i form av ulike utskrivingsalternativ, val av skattesats og bruk av </w:t>
      </w:r>
      <w:proofErr w:type="spellStart"/>
      <w:r w:rsidRPr="00E426D3">
        <w:t>botnfrådrag</w:t>
      </w:r>
      <w:proofErr w:type="spellEnd"/>
      <w:r w:rsidRPr="00E426D3">
        <w:t xml:space="preserve">. Dette </w:t>
      </w:r>
      <w:proofErr w:type="spellStart"/>
      <w:r w:rsidRPr="00E426D3">
        <w:t>inneber</w:t>
      </w:r>
      <w:proofErr w:type="spellEnd"/>
      <w:r w:rsidRPr="00E426D3">
        <w:t xml:space="preserve"> at </w:t>
      </w:r>
      <w:proofErr w:type="spellStart"/>
      <w:r w:rsidRPr="00E426D3">
        <w:t>kommunane</w:t>
      </w:r>
      <w:proofErr w:type="spellEnd"/>
      <w:r w:rsidRPr="00E426D3">
        <w:t xml:space="preserve"> kan ta grep for å utlikne </w:t>
      </w:r>
      <w:proofErr w:type="spellStart"/>
      <w:r w:rsidRPr="00E426D3">
        <w:t>eit</w:t>
      </w:r>
      <w:proofErr w:type="spellEnd"/>
      <w:r w:rsidRPr="00E426D3">
        <w:t xml:space="preserve"> </w:t>
      </w:r>
      <w:proofErr w:type="spellStart"/>
      <w:r w:rsidRPr="00E426D3">
        <w:t>mogleg</w:t>
      </w:r>
      <w:proofErr w:type="spellEnd"/>
      <w:r w:rsidRPr="00E426D3">
        <w:t xml:space="preserve"> inntektstap.</w:t>
      </w:r>
    </w:p>
    <w:p w14:paraId="2B732C2C" w14:textId="77777777" w:rsidR="00772748" w:rsidRPr="00E426D3" w:rsidRDefault="00772748" w:rsidP="00E426D3">
      <w:r w:rsidRPr="00E426D3">
        <w:t xml:space="preserve">Med omsyn til administrative verknader syner departementet til at ei endring i samsvar med framlegget vil </w:t>
      </w:r>
      <w:proofErr w:type="spellStart"/>
      <w:r w:rsidRPr="00E426D3">
        <w:t>vere</w:t>
      </w:r>
      <w:proofErr w:type="spellEnd"/>
      <w:r w:rsidRPr="00E426D3">
        <w:t xml:space="preserve"> i tråd med </w:t>
      </w:r>
      <w:proofErr w:type="spellStart"/>
      <w:r w:rsidRPr="00E426D3">
        <w:t>tidlegare</w:t>
      </w:r>
      <w:proofErr w:type="spellEnd"/>
      <w:r w:rsidRPr="00E426D3">
        <w:t xml:space="preserve"> praksis fram til dommen </w:t>
      </w:r>
      <w:proofErr w:type="spellStart"/>
      <w:r w:rsidRPr="00E426D3">
        <w:t>frå</w:t>
      </w:r>
      <w:proofErr w:type="spellEnd"/>
      <w:r w:rsidRPr="00E426D3">
        <w:t xml:space="preserve"> lagmannsretten. Lovendringa vil legge til rette for ei løysing som er enkel å praktisere ved å </w:t>
      </w:r>
      <w:proofErr w:type="spellStart"/>
      <w:r w:rsidRPr="00E426D3">
        <w:t>gjere</w:t>
      </w:r>
      <w:proofErr w:type="spellEnd"/>
      <w:r w:rsidRPr="00E426D3">
        <w:t xml:space="preserve"> tilhøvet mellom </w:t>
      </w:r>
      <w:r w:rsidRPr="00E426D3">
        <w:lastRenderedPageBreak/>
        <w:t xml:space="preserve">obligatorisk og lokal reduksjonsfaktor </w:t>
      </w:r>
      <w:proofErr w:type="spellStart"/>
      <w:r w:rsidRPr="00E426D3">
        <w:t>klårare</w:t>
      </w:r>
      <w:proofErr w:type="spellEnd"/>
      <w:r w:rsidRPr="00E426D3">
        <w:t xml:space="preserve">. På bakgrunn av dette legg departementet til grunn at lovendringa </w:t>
      </w:r>
      <w:proofErr w:type="spellStart"/>
      <w:r w:rsidRPr="00E426D3">
        <w:t>berre</w:t>
      </w:r>
      <w:proofErr w:type="spellEnd"/>
      <w:r w:rsidRPr="00E426D3">
        <w:t xml:space="preserve"> vil </w:t>
      </w:r>
      <w:proofErr w:type="spellStart"/>
      <w:r w:rsidRPr="00E426D3">
        <w:t>gje</w:t>
      </w:r>
      <w:proofErr w:type="spellEnd"/>
      <w:r w:rsidRPr="00E426D3">
        <w:t xml:space="preserve"> små administrative </w:t>
      </w:r>
      <w:proofErr w:type="spellStart"/>
      <w:r w:rsidRPr="00E426D3">
        <w:t>konsekvensar</w:t>
      </w:r>
      <w:proofErr w:type="spellEnd"/>
      <w:r w:rsidRPr="00E426D3">
        <w:t xml:space="preserve"> for </w:t>
      </w:r>
      <w:proofErr w:type="spellStart"/>
      <w:r w:rsidRPr="00E426D3">
        <w:t>kommunane</w:t>
      </w:r>
      <w:proofErr w:type="spellEnd"/>
      <w:r w:rsidRPr="00E426D3">
        <w:t>.</w:t>
      </w:r>
    </w:p>
    <w:p w14:paraId="7C727038" w14:textId="77777777" w:rsidR="00772748" w:rsidRPr="00E426D3" w:rsidRDefault="00772748" w:rsidP="00E426D3">
      <w:pPr>
        <w:pStyle w:val="Overskrift2"/>
      </w:pPr>
      <w:proofErr w:type="spellStart"/>
      <w:r w:rsidRPr="00E426D3">
        <w:t>Iverksetjing</w:t>
      </w:r>
      <w:proofErr w:type="spellEnd"/>
    </w:p>
    <w:p w14:paraId="4D48052F" w14:textId="77777777" w:rsidR="00772748" w:rsidRPr="00E426D3" w:rsidRDefault="00772748" w:rsidP="00E426D3">
      <w:r w:rsidRPr="00E426D3">
        <w:t xml:space="preserve">Kommunestyret </w:t>
      </w:r>
      <w:proofErr w:type="spellStart"/>
      <w:r w:rsidRPr="00E426D3">
        <w:t>vedtek</w:t>
      </w:r>
      <w:proofErr w:type="spellEnd"/>
      <w:r w:rsidRPr="00E426D3">
        <w:t xml:space="preserve"> utskriving av </w:t>
      </w:r>
      <w:proofErr w:type="spellStart"/>
      <w:r w:rsidRPr="00E426D3">
        <w:t>eigedomsskatt</w:t>
      </w:r>
      <w:proofErr w:type="spellEnd"/>
      <w:r w:rsidRPr="00E426D3">
        <w:t xml:space="preserve"> i samband med </w:t>
      </w:r>
      <w:proofErr w:type="spellStart"/>
      <w:r w:rsidRPr="00E426D3">
        <w:t>behandlinga</w:t>
      </w:r>
      <w:proofErr w:type="spellEnd"/>
      <w:r w:rsidRPr="00E426D3">
        <w:t xml:space="preserve"> av kommunen sitt budsjett for det </w:t>
      </w:r>
      <w:proofErr w:type="spellStart"/>
      <w:r w:rsidRPr="00E426D3">
        <w:t>komande</w:t>
      </w:r>
      <w:proofErr w:type="spellEnd"/>
      <w:r w:rsidRPr="00E426D3">
        <w:t xml:space="preserve"> året. Utskrivinga av </w:t>
      </w:r>
      <w:proofErr w:type="spellStart"/>
      <w:r w:rsidRPr="00E426D3">
        <w:t>eigedomsskatt</w:t>
      </w:r>
      <w:proofErr w:type="spellEnd"/>
      <w:r w:rsidRPr="00E426D3">
        <w:t xml:space="preserve"> skal «så langt råd er» </w:t>
      </w:r>
      <w:proofErr w:type="spellStart"/>
      <w:r w:rsidRPr="00E426D3">
        <w:t>verte</w:t>
      </w:r>
      <w:proofErr w:type="spellEnd"/>
      <w:r w:rsidRPr="00E426D3">
        <w:t xml:space="preserve"> </w:t>
      </w:r>
      <w:proofErr w:type="spellStart"/>
      <w:r w:rsidRPr="00E426D3">
        <w:t>skriven</w:t>
      </w:r>
      <w:proofErr w:type="spellEnd"/>
      <w:r w:rsidRPr="00E426D3">
        <w:t xml:space="preserve"> ut </w:t>
      </w:r>
      <w:proofErr w:type="spellStart"/>
      <w:r w:rsidRPr="00E426D3">
        <w:t>innan</w:t>
      </w:r>
      <w:proofErr w:type="spellEnd"/>
      <w:r w:rsidRPr="00E426D3">
        <w:t xml:space="preserve"> 1. mars i skatteåret. Dette </w:t>
      </w:r>
      <w:proofErr w:type="spellStart"/>
      <w:r w:rsidRPr="00E426D3">
        <w:t>inneber</w:t>
      </w:r>
      <w:proofErr w:type="spellEnd"/>
      <w:r w:rsidRPr="00E426D3">
        <w:t xml:space="preserve"> at </w:t>
      </w:r>
      <w:proofErr w:type="spellStart"/>
      <w:r w:rsidRPr="00E426D3">
        <w:t>eigedomsskatten</w:t>
      </w:r>
      <w:proofErr w:type="spellEnd"/>
      <w:r w:rsidRPr="00E426D3">
        <w:t xml:space="preserve"> for 2025 </w:t>
      </w:r>
      <w:proofErr w:type="spellStart"/>
      <w:r w:rsidRPr="00E426D3">
        <w:t>allereie</w:t>
      </w:r>
      <w:proofErr w:type="spellEnd"/>
      <w:r w:rsidRPr="00E426D3">
        <w:t xml:space="preserve"> er utskreven.</w:t>
      </w:r>
    </w:p>
    <w:p w14:paraId="5EFBCB31" w14:textId="77777777" w:rsidR="00772748" w:rsidRPr="00E426D3" w:rsidRDefault="00772748" w:rsidP="00E426D3">
      <w:pPr>
        <w:rPr>
          <w:rStyle w:val="kursiv"/>
        </w:rPr>
      </w:pPr>
      <w:r w:rsidRPr="00E426D3">
        <w:rPr>
          <w:rStyle w:val="kursiv"/>
        </w:rPr>
        <w:t xml:space="preserve">Landssamanslutninga av </w:t>
      </w:r>
      <w:proofErr w:type="spellStart"/>
      <w:r w:rsidRPr="00E426D3">
        <w:rPr>
          <w:rStyle w:val="kursiv"/>
        </w:rPr>
        <w:t>Vasskraftkommunar</w:t>
      </w:r>
      <w:proofErr w:type="spellEnd"/>
      <w:r w:rsidRPr="00E426D3">
        <w:rPr>
          <w:rStyle w:val="kursiv"/>
        </w:rPr>
        <w:t xml:space="preserve"> (LVK) </w:t>
      </w:r>
      <w:r w:rsidRPr="00E426D3">
        <w:t xml:space="preserve">har i </w:t>
      </w:r>
      <w:proofErr w:type="spellStart"/>
      <w:r w:rsidRPr="00E426D3">
        <w:t>si</w:t>
      </w:r>
      <w:proofErr w:type="spellEnd"/>
      <w:r w:rsidRPr="00E426D3">
        <w:t xml:space="preserve"> </w:t>
      </w:r>
      <w:proofErr w:type="spellStart"/>
      <w:r w:rsidRPr="00E426D3">
        <w:t>høyringsfråsegn</w:t>
      </w:r>
      <w:proofErr w:type="spellEnd"/>
      <w:r w:rsidRPr="00E426D3">
        <w:t xml:space="preserve"> tatt til orde for at </w:t>
      </w:r>
      <w:proofErr w:type="spellStart"/>
      <w:r w:rsidRPr="00E426D3">
        <w:t>endringane</w:t>
      </w:r>
      <w:proofErr w:type="spellEnd"/>
      <w:r w:rsidRPr="00E426D3">
        <w:t xml:space="preserve"> bør </w:t>
      </w:r>
      <w:proofErr w:type="spellStart"/>
      <w:r w:rsidRPr="00E426D3">
        <w:t>setjast</w:t>
      </w:r>
      <w:proofErr w:type="spellEnd"/>
      <w:r w:rsidRPr="00E426D3">
        <w:t xml:space="preserve"> i verk </w:t>
      </w:r>
      <w:proofErr w:type="spellStart"/>
      <w:r w:rsidRPr="00E426D3">
        <w:t>allereie</w:t>
      </w:r>
      <w:proofErr w:type="spellEnd"/>
      <w:r w:rsidRPr="00E426D3">
        <w:t xml:space="preserve"> </w:t>
      </w:r>
      <w:proofErr w:type="spellStart"/>
      <w:r w:rsidRPr="00E426D3">
        <w:t>frå</w:t>
      </w:r>
      <w:proofErr w:type="spellEnd"/>
      <w:r w:rsidRPr="00E426D3">
        <w:t xml:space="preserve"> 2025. Dette er for å hindre at det vert fremma søksmål om dobbelt </w:t>
      </w:r>
      <w:proofErr w:type="spellStart"/>
      <w:r w:rsidRPr="00E426D3">
        <w:t>frådrag</w:t>
      </w:r>
      <w:proofErr w:type="spellEnd"/>
      <w:r w:rsidRPr="00E426D3">
        <w:t xml:space="preserve"> for skatteåret 2025.</w:t>
      </w:r>
    </w:p>
    <w:p w14:paraId="7CAEFEF3" w14:textId="77777777" w:rsidR="00772748" w:rsidRPr="00E426D3" w:rsidRDefault="00772748" w:rsidP="00E426D3">
      <w:pPr>
        <w:rPr>
          <w:rStyle w:val="sperret0"/>
        </w:rPr>
      </w:pPr>
      <w:r w:rsidRPr="00E426D3">
        <w:rPr>
          <w:rStyle w:val="sperret0"/>
        </w:rPr>
        <w:t xml:space="preserve">Departementet </w:t>
      </w:r>
      <w:r w:rsidRPr="00E426D3">
        <w:t xml:space="preserve">syner til at ei slik løysing vil reise spørsmål om framlegget kan </w:t>
      </w:r>
      <w:proofErr w:type="spellStart"/>
      <w:r w:rsidRPr="00E426D3">
        <w:t>vere</w:t>
      </w:r>
      <w:proofErr w:type="spellEnd"/>
      <w:r w:rsidRPr="00E426D3">
        <w:t xml:space="preserve"> i strid med </w:t>
      </w:r>
      <w:proofErr w:type="spellStart"/>
      <w:r w:rsidRPr="00E426D3">
        <w:t>forbodet</w:t>
      </w:r>
      <w:proofErr w:type="spellEnd"/>
      <w:r w:rsidRPr="00E426D3">
        <w:t xml:space="preserve"> mot å </w:t>
      </w:r>
      <w:proofErr w:type="spellStart"/>
      <w:r w:rsidRPr="00E426D3">
        <w:t>gje</w:t>
      </w:r>
      <w:proofErr w:type="spellEnd"/>
      <w:r w:rsidRPr="00E426D3">
        <w:t xml:space="preserve"> lover </w:t>
      </w:r>
      <w:proofErr w:type="spellStart"/>
      <w:r w:rsidRPr="00E426D3">
        <w:t>tilbakeverkande</w:t>
      </w:r>
      <w:proofErr w:type="spellEnd"/>
      <w:r w:rsidRPr="00E426D3">
        <w:t xml:space="preserve"> kraft, og på det viset </w:t>
      </w:r>
      <w:proofErr w:type="spellStart"/>
      <w:r w:rsidRPr="00E426D3">
        <w:t>gjera</w:t>
      </w:r>
      <w:proofErr w:type="spellEnd"/>
      <w:r w:rsidRPr="00E426D3">
        <w:t xml:space="preserve"> det uvisst om utskrivinga er gyldig.</w:t>
      </w:r>
    </w:p>
    <w:p w14:paraId="60779C8C" w14:textId="77777777" w:rsidR="00772748" w:rsidRPr="00E426D3" w:rsidRDefault="00772748" w:rsidP="00E426D3">
      <w:r w:rsidRPr="00E426D3">
        <w:t xml:space="preserve">Departementet </w:t>
      </w:r>
      <w:proofErr w:type="spellStart"/>
      <w:r w:rsidRPr="00E426D3">
        <w:t>gjer</w:t>
      </w:r>
      <w:proofErr w:type="spellEnd"/>
      <w:r w:rsidRPr="00E426D3">
        <w:t xml:space="preserve"> framlegg om at lovendringa vert iverksatt straks, med verknad </w:t>
      </w:r>
      <w:proofErr w:type="spellStart"/>
      <w:r w:rsidRPr="00E426D3">
        <w:t>frå</w:t>
      </w:r>
      <w:proofErr w:type="spellEnd"/>
      <w:r w:rsidRPr="00E426D3">
        <w:t xml:space="preserve"> og med skatteåret 2026. Dette vil </w:t>
      </w:r>
      <w:proofErr w:type="spellStart"/>
      <w:r w:rsidRPr="00E426D3">
        <w:t>gje</w:t>
      </w:r>
      <w:proofErr w:type="spellEnd"/>
      <w:r w:rsidRPr="00E426D3">
        <w:t xml:space="preserve"> </w:t>
      </w:r>
      <w:proofErr w:type="spellStart"/>
      <w:r w:rsidRPr="00E426D3">
        <w:t>kommunane</w:t>
      </w:r>
      <w:proofErr w:type="spellEnd"/>
      <w:r w:rsidRPr="00E426D3">
        <w:t xml:space="preserve"> høve til å ta omsyn til endringa ved </w:t>
      </w:r>
      <w:proofErr w:type="spellStart"/>
      <w:r w:rsidRPr="00E426D3">
        <w:t>behandlinga</w:t>
      </w:r>
      <w:proofErr w:type="spellEnd"/>
      <w:r w:rsidRPr="00E426D3">
        <w:t xml:space="preserve"> av budsjettet for 2026.</w:t>
      </w:r>
    </w:p>
    <w:p w14:paraId="67BD92D4" w14:textId="77777777" w:rsidR="00772748" w:rsidRPr="00E426D3" w:rsidRDefault="00772748" w:rsidP="00E426D3">
      <w:pPr>
        <w:pStyle w:val="Overskrift1"/>
      </w:pPr>
      <w:r w:rsidRPr="00E426D3">
        <w:t xml:space="preserve">Søksmål og søksmålsfrist for </w:t>
      </w:r>
      <w:proofErr w:type="spellStart"/>
      <w:r w:rsidRPr="00E426D3">
        <w:t>eigedomsskatt</w:t>
      </w:r>
      <w:proofErr w:type="spellEnd"/>
      <w:r w:rsidRPr="00E426D3">
        <w:t xml:space="preserve"> på kraftanlegg</w:t>
      </w:r>
    </w:p>
    <w:p w14:paraId="6EB6C566" w14:textId="77777777" w:rsidR="00772748" w:rsidRPr="00E426D3" w:rsidRDefault="00772748" w:rsidP="00E426D3">
      <w:pPr>
        <w:pStyle w:val="Overskrift2"/>
      </w:pPr>
      <w:r w:rsidRPr="00E426D3">
        <w:t xml:space="preserve">Innleiing og </w:t>
      </w:r>
      <w:proofErr w:type="spellStart"/>
      <w:r w:rsidRPr="00E426D3">
        <w:t>samandrag</w:t>
      </w:r>
      <w:proofErr w:type="spellEnd"/>
    </w:p>
    <w:p w14:paraId="74BFD9F4" w14:textId="77777777" w:rsidR="00772748" w:rsidRPr="00E426D3" w:rsidRDefault="00772748" w:rsidP="00E426D3">
      <w:proofErr w:type="spellStart"/>
      <w:r w:rsidRPr="00E426D3">
        <w:t>Eigedomsskattegrunnlaget</w:t>
      </w:r>
      <w:proofErr w:type="spellEnd"/>
      <w:r w:rsidRPr="00E426D3">
        <w:t xml:space="preserve"> for kraftanlegg </w:t>
      </w:r>
      <w:proofErr w:type="spellStart"/>
      <w:r w:rsidRPr="00E426D3">
        <w:t>byggjer</w:t>
      </w:r>
      <w:proofErr w:type="spellEnd"/>
      <w:r w:rsidRPr="00E426D3">
        <w:t xml:space="preserve"> på formuesverdien for anlegget. Formuesverdien vert fastsett av den skattepliktige ved </w:t>
      </w:r>
      <w:proofErr w:type="spellStart"/>
      <w:r w:rsidRPr="00E426D3">
        <w:t>skattefastsetjinga</w:t>
      </w:r>
      <w:proofErr w:type="spellEnd"/>
      <w:r w:rsidRPr="00E426D3">
        <w:t xml:space="preserve">. Dersom </w:t>
      </w:r>
      <w:proofErr w:type="spellStart"/>
      <w:r w:rsidRPr="00E426D3">
        <w:t>skattemyndigheitene</w:t>
      </w:r>
      <w:proofErr w:type="spellEnd"/>
      <w:r w:rsidRPr="00E426D3">
        <w:t xml:space="preserve"> </w:t>
      </w:r>
      <w:proofErr w:type="spellStart"/>
      <w:r w:rsidRPr="00E426D3">
        <w:t>endrar</w:t>
      </w:r>
      <w:proofErr w:type="spellEnd"/>
      <w:r w:rsidRPr="00E426D3">
        <w:t xml:space="preserve"> </w:t>
      </w:r>
      <w:proofErr w:type="spellStart"/>
      <w:r w:rsidRPr="00E426D3">
        <w:t>skattefastsetjinga</w:t>
      </w:r>
      <w:proofErr w:type="spellEnd"/>
      <w:r w:rsidRPr="00E426D3">
        <w:t xml:space="preserve">, vil den skattepliktige kunne klage på </w:t>
      </w:r>
      <w:proofErr w:type="spellStart"/>
      <w:r w:rsidRPr="00E426D3">
        <w:t>endringane</w:t>
      </w:r>
      <w:proofErr w:type="spellEnd"/>
      <w:r w:rsidRPr="00E426D3">
        <w:t xml:space="preserve"> </w:t>
      </w:r>
      <w:proofErr w:type="spellStart"/>
      <w:r w:rsidRPr="00E426D3">
        <w:t>skattemyndigheitene</w:t>
      </w:r>
      <w:proofErr w:type="spellEnd"/>
      <w:r w:rsidRPr="00E426D3">
        <w:t xml:space="preserve"> </w:t>
      </w:r>
      <w:proofErr w:type="spellStart"/>
      <w:r w:rsidRPr="00E426D3">
        <w:t>gjer</w:t>
      </w:r>
      <w:proofErr w:type="spellEnd"/>
      <w:r w:rsidRPr="00E426D3">
        <w:t xml:space="preserve"> i formuesverdien for anlegget, eller gå til søksmål. I skatteforvaltningsloven er det </w:t>
      </w:r>
      <w:proofErr w:type="spellStart"/>
      <w:r w:rsidRPr="00E426D3">
        <w:t>ein</w:t>
      </w:r>
      <w:proofErr w:type="spellEnd"/>
      <w:r w:rsidRPr="00E426D3">
        <w:t xml:space="preserve"> regel om at òg kommunen kan gå til søksmål og få prøvd skattegrunnlaget for kraftanlegg.</w:t>
      </w:r>
    </w:p>
    <w:p w14:paraId="7F19683D" w14:textId="77777777" w:rsidR="00772748" w:rsidRPr="00E426D3" w:rsidRDefault="00772748" w:rsidP="00E426D3">
      <w:r w:rsidRPr="00E426D3">
        <w:t xml:space="preserve">Etter </w:t>
      </w:r>
      <w:proofErr w:type="spellStart"/>
      <w:r w:rsidRPr="00E426D3">
        <w:t>gjeldande</w:t>
      </w:r>
      <w:proofErr w:type="spellEnd"/>
      <w:r w:rsidRPr="00E426D3">
        <w:t xml:space="preserve"> rett skal den skattepliktige </w:t>
      </w:r>
      <w:proofErr w:type="spellStart"/>
      <w:r w:rsidRPr="00E426D3">
        <w:t>varslast</w:t>
      </w:r>
      <w:proofErr w:type="spellEnd"/>
      <w:r w:rsidRPr="00E426D3">
        <w:t xml:space="preserve"> dersom kommunen går til søksmål om skattegrunnlaget for kraftanlegg. Skatteforvaltningsloven </w:t>
      </w:r>
      <w:proofErr w:type="spellStart"/>
      <w:r w:rsidRPr="00E426D3">
        <w:t>inneheld</w:t>
      </w:r>
      <w:proofErr w:type="spellEnd"/>
      <w:r w:rsidRPr="00E426D3">
        <w:t xml:space="preserve"> derimot </w:t>
      </w:r>
      <w:proofErr w:type="spellStart"/>
      <w:r w:rsidRPr="00E426D3">
        <w:t>ikkje</w:t>
      </w:r>
      <w:proofErr w:type="spellEnd"/>
      <w:r w:rsidRPr="00E426D3">
        <w:t xml:space="preserve"> </w:t>
      </w:r>
      <w:proofErr w:type="spellStart"/>
      <w:r w:rsidRPr="00E426D3">
        <w:t>nokon</w:t>
      </w:r>
      <w:proofErr w:type="spellEnd"/>
      <w:r w:rsidRPr="00E426D3">
        <w:t xml:space="preserve"> regel om at kommunen skal </w:t>
      </w:r>
      <w:proofErr w:type="spellStart"/>
      <w:r w:rsidRPr="00E426D3">
        <w:t>varslast</w:t>
      </w:r>
      <w:proofErr w:type="spellEnd"/>
      <w:r w:rsidRPr="00E426D3">
        <w:t xml:space="preserve"> når den skattepliktige går til søksmål.</w:t>
      </w:r>
    </w:p>
    <w:p w14:paraId="0CC0DD15" w14:textId="77777777" w:rsidR="00772748" w:rsidRPr="00E426D3" w:rsidRDefault="00772748" w:rsidP="00E426D3">
      <w:r w:rsidRPr="00E426D3">
        <w:t xml:space="preserve">Departementet sende 4. mars 2025 på </w:t>
      </w:r>
      <w:proofErr w:type="spellStart"/>
      <w:r w:rsidRPr="00E426D3">
        <w:t>høyring</w:t>
      </w:r>
      <w:proofErr w:type="spellEnd"/>
      <w:r w:rsidRPr="00E426D3">
        <w:t xml:space="preserve"> framlegg til </w:t>
      </w:r>
      <w:proofErr w:type="spellStart"/>
      <w:r w:rsidRPr="00E426D3">
        <w:t>endringar</w:t>
      </w:r>
      <w:proofErr w:type="spellEnd"/>
      <w:r w:rsidRPr="00E426D3">
        <w:t xml:space="preserve"> i skatteforvaltningsloven sine </w:t>
      </w:r>
      <w:proofErr w:type="spellStart"/>
      <w:r w:rsidRPr="00E426D3">
        <w:t>reglar</w:t>
      </w:r>
      <w:proofErr w:type="spellEnd"/>
      <w:r w:rsidRPr="00E426D3">
        <w:t xml:space="preserve"> for søksmål og søksmålsfrist for </w:t>
      </w:r>
      <w:proofErr w:type="spellStart"/>
      <w:r w:rsidRPr="00E426D3">
        <w:t>eigedomsskatt</w:t>
      </w:r>
      <w:proofErr w:type="spellEnd"/>
      <w:r w:rsidRPr="00E426D3">
        <w:t xml:space="preserve"> på kraftanlegg. I </w:t>
      </w:r>
      <w:proofErr w:type="spellStart"/>
      <w:r w:rsidRPr="00E426D3">
        <w:t>høyringa</w:t>
      </w:r>
      <w:proofErr w:type="spellEnd"/>
      <w:r w:rsidRPr="00E426D3">
        <w:t xml:space="preserve"> </w:t>
      </w:r>
      <w:proofErr w:type="spellStart"/>
      <w:r w:rsidRPr="00E426D3">
        <w:t>vart</w:t>
      </w:r>
      <w:proofErr w:type="spellEnd"/>
      <w:r w:rsidRPr="00E426D3">
        <w:t xml:space="preserve"> det gjort framlegg om </w:t>
      </w:r>
      <w:proofErr w:type="spellStart"/>
      <w:r w:rsidRPr="00E426D3">
        <w:t>ein</w:t>
      </w:r>
      <w:proofErr w:type="spellEnd"/>
      <w:r w:rsidRPr="00E426D3">
        <w:t xml:space="preserve"> regel som </w:t>
      </w:r>
      <w:proofErr w:type="spellStart"/>
      <w:r w:rsidRPr="00E426D3">
        <w:t>sikrar</w:t>
      </w:r>
      <w:proofErr w:type="spellEnd"/>
      <w:r w:rsidRPr="00E426D3">
        <w:t xml:space="preserve"> at </w:t>
      </w:r>
      <w:proofErr w:type="spellStart"/>
      <w:r w:rsidRPr="00E426D3">
        <w:t>kommunane</w:t>
      </w:r>
      <w:proofErr w:type="spellEnd"/>
      <w:r w:rsidRPr="00E426D3">
        <w:t xml:space="preserve"> får varsel når den skattepliktige går til søksmål om </w:t>
      </w:r>
      <w:proofErr w:type="spellStart"/>
      <w:r w:rsidRPr="00E426D3">
        <w:t>skattefastsetjinga</w:t>
      </w:r>
      <w:proofErr w:type="spellEnd"/>
      <w:r w:rsidRPr="00E426D3">
        <w:t xml:space="preserve"> for kraftanlegg. </w:t>
      </w:r>
      <w:proofErr w:type="spellStart"/>
      <w:r w:rsidRPr="00E426D3">
        <w:t>Vidare</w:t>
      </w:r>
      <w:proofErr w:type="spellEnd"/>
      <w:r w:rsidRPr="00E426D3">
        <w:t xml:space="preserve"> </w:t>
      </w:r>
      <w:proofErr w:type="spellStart"/>
      <w:r w:rsidRPr="00E426D3">
        <w:t>vart</w:t>
      </w:r>
      <w:proofErr w:type="spellEnd"/>
      <w:r w:rsidRPr="00E426D3">
        <w:t xml:space="preserve"> det gjort framlegg om ei presisering av starttidspunktet for søksmålsfristen til </w:t>
      </w:r>
      <w:proofErr w:type="spellStart"/>
      <w:r w:rsidRPr="00E426D3">
        <w:t>kommunane</w:t>
      </w:r>
      <w:proofErr w:type="spellEnd"/>
      <w:r w:rsidRPr="00E426D3">
        <w:t>, og ei oppretting av lovtekst.</w:t>
      </w:r>
    </w:p>
    <w:p w14:paraId="5DEE17EA" w14:textId="77777777" w:rsidR="00772748" w:rsidRPr="00E426D3" w:rsidRDefault="00772748" w:rsidP="00E426D3">
      <w:proofErr w:type="spellStart"/>
      <w:r w:rsidRPr="00E426D3">
        <w:t>Høyringsfristen</w:t>
      </w:r>
      <w:proofErr w:type="spellEnd"/>
      <w:r w:rsidRPr="00E426D3">
        <w:t xml:space="preserve"> var 7. april 2025. Departementet mottok ni </w:t>
      </w:r>
      <w:proofErr w:type="spellStart"/>
      <w:r w:rsidRPr="00E426D3">
        <w:t>høyringsfråsegner</w:t>
      </w:r>
      <w:proofErr w:type="spellEnd"/>
      <w:r w:rsidRPr="00E426D3">
        <w:t>.</w:t>
      </w:r>
    </w:p>
    <w:p w14:paraId="12184912" w14:textId="77777777" w:rsidR="00772748" w:rsidRPr="00E426D3" w:rsidRDefault="00772748" w:rsidP="00E426D3">
      <w:r w:rsidRPr="00E426D3">
        <w:t xml:space="preserve">Departementet </w:t>
      </w:r>
      <w:proofErr w:type="spellStart"/>
      <w:r w:rsidRPr="00E426D3">
        <w:t>gjer</w:t>
      </w:r>
      <w:proofErr w:type="spellEnd"/>
      <w:r w:rsidRPr="00E426D3">
        <w:t xml:space="preserve"> framlegg om at </w:t>
      </w:r>
      <w:proofErr w:type="spellStart"/>
      <w:r w:rsidRPr="00E426D3">
        <w:t>reglane</w:t>
      </w:r>
      <w:proofErr w:type="spellEnd"/>
      <w:r w:rsidRPr="00E426D3">
        <w:t xml:space="preserve"> i skatteforvaltningsloven for søksmål og søksmålsfrist for </w:t>
      </w:r>
      <w:proofErr w:type="spellStart"/>
      <w:r w:rsidRPr="00E426D3">
        <w:t>eigedomsskatt</w:t>
      </w:r>
      <w:proofErr w:type="spellEnd"/>
      <w:r w:rsidRPr="00E426D3">
        <w:t xml:space="preserve"> på kraftanlegg vert endra. Framlegga vil bidra til å avklare rettstilhøva for </w:t>
      </w:r>
      <w:proofErr w:type="spellStart"/>
      <w:r w:rsidRPr="00E426D3">
        <w:t>kommunane</w:t>
      </w:r>
      <w:proofErr w:type="spellEnd"/>
      <w:r w:rsidRPr="00E426D3">
        <w:t xml:space="preserve"> med omsyn til søksmål om </w:t>
      </w:r>
      <w:proofErr w:type="spellStart"/>
      <w:r w:rsidRPr="00E426D3">
        <w:t>eigedomsskatt</w:t>
      </w:r>
      <w:proofErr w:type="spellEnd"/>
      <w:r w:rsidRPr="00E426D3">
        <w:t xml:space="preserve"> på kraftanlegg. I tillegg vil </w:t>
      </w:r>
      <w:r w:rsidRPr="00E426D3">
        <w:lastRenderedPageBreak/>
        <w:t xml:space="preserve">framlegga </w:t>
      </w:r>
      <w:proofErr w:type="spellStart"/>
      <w:r w:rsidRPr="00E426D3">
        <w:t>gjere</w:t>
      </w:r>
      <w:proofErr w:type="spellEnd"/>
      <w:r w:rsidRPr="00E426D3">
        <w:t xml:space="preserve"> </w:t>
      </w:r>
      <w:proofErr w:type="spellStart"/>
      <w:r w:rsidRPr="00E426D3">
        <w:t>kommunane</w:t>
      </w:r>
      <w:proofErr w:type="spellEnd"/>
      <w:r w:rsidRPr="00E426D3">
        <w:t xml:space="preserve"> i betre stand til å vurdere om </w:t>
      </w:r>
      <w:proofErr w:type="spellStart"/>
      <w:r w:rsidRPr="00E426D3">
        <w:t>dei</w:t>
      </w:r>
      <w:proofErr w:type="spellEnd"/>
      <w:r w:rsidRPr="00E426D3">
        <w:t xml:space="preserve"> skal ta </w:t>
      </w:r>
      <w:proofErr w:type="spellStart"/>
      <w:r w:rsidRPr="00E426D3">
        <w:t>rettslege</w:t>
      </w:r>
      <w:proofErr w:type="spellEnd"/>
      <w:r w:rsidRPr="00E426D3">
        <w:t xml:space="preserve"> skritt i </w:t>
      </w:r>
      <w:proofErr w:type="spellStart"/>
      <w:r w:rsidRPr="00E426D3">
        <w:t>samanheng</w:t>
      </w:r>
      <w:proofErr w:type="spellEnd"/>
      <w:r w:rsidRPr="00E426D3">
        <w:t xml:space="preserve"> med søksmål </w:t>
      </w:r>
      <w:proofErr w:type="spellStart"/>
      <w:r w:rsidRPr="00E426D3">
        <w:t>frå</w:t>
      </w:r>
      <w:proofErr w:type="spellEnd"/>
      <w:r w:rsidRPr="00E426D3">
        <w:t xml:space="preserve"> </w:t>
      </w:r>
      <w:proofErr w:type="spellStart"/>
      <w:r w:rsidRPr="00E426D3">
        <w:t>dei</w:t>
      </w:r>
      <w:proofErr w:type="spellEnd"/>
      <w:r w:rsidRPr="00E426D3">
        <w:t xml:space="preserve"> skattepliktige.</w:t>
      </w:r>
    </w:p>
    <w:p w14:paraId="48B801F1" w14:textId="77777777" w:rsidR="00772748" w:rsidRPr="00E426D3" w:rsidRDefault="00772748" w:rsidP="00E426D3">
      <w:r w:rsidRPr="00E426D3">
        <w:t xml:space="preserve">Framlegga i proposisjonen er i samsvar med framlegga i </w:t>
      </w:r>
      <w:proofErr w:type="spellStart"/>
      <w:r w:rsidRPr="00E426D3">
        <w:t>høyringsnotatet</w:t>
      </w:r>
      <w:proofErr w:type="spellEnd"/>
      <w:r w:rsidRPr="00E426D3">
        <w:t>.</w:t>
      </w:r>
    </w:p>
    <w:p w14:paraId="562F628D" w14:textId="77777777" w:rsidR="00772748" w:rsidRPr="00E426D3" w:rsidRDefault="00772748" w:rsidP="00E426D3">
      <w:r w:rsidRPr="00E426D3">
        <w:t xml:space="preserve">Departementet syner til framlegg til </w:t>
      </w:r>
      <w:proofErr w:type="spellStart"/>
      <w:r w:rsidRPr="00E426D3">
        <w:t>endringar</w:t>
      </w:r>
      <w:proofErr w:type="spellEnd"/>
      <w:r w:rsidRPr="00E426D3">
        <w:t xml:space="preserve"> i skatteforvaltningsloven §§ 15-1, 15-2 og 15-4.</w:t>
      </w:r>
    </w:p>
    <w:p w14:paraId="72E4998E" w14:textId="77777777" w:rsidR="00772748" w:rsidRPr="00E426D3" w:rsidRDefault="00772748" w:rsidP="00E426D3">
      <w:r w:rsidRPr="00E426D3">
        <w:t xml:space="preserve">Framlegga er </w:t>
      </w:r>
      <w:proofErr w:type="spellStart"/>
      <w:r w:rsidRPr="00E426D3">
        <w:t>ikkje</w:t>
      </w:r>
      <w:proofErr w:type="spellEnd"/>
      <w:r w:rsidRPr="00E426D3">
        <w:t xml:space="preserve"> venta å ha økonomiske eller administrative </w:t>
      </w:r>
      <w:proofErr w:type="spellStart"/>
      <w:r w:rsidRPr="00E426D3">
        <w:t>konsekvensar</w:t>
      </w:r>
      <w:proofErr w:type="spellEnd"/>
      <w:r w:rsidRPr="00E426D3">
        <w:t xml:space="preserve"> av betydning.</w:t>
      </w:r>
    </w:p>
    <w:p w14:paraId="46E3D0BA" w14:textId="77777777" w:rsidR="00772748" w:rsidRPr="00E426D3" w:rsidRDefault="00772748" w:rsidP="00E426D3">
      <w:r w:rsidRPr="00E426D3">
        <w:t xml:space="preserve">Departementet </w:t>
      </w:r>
      <w:proofErr w:type="spellStart"/>
      <w:r w:rsidRPr="00E426D3">
        <w:t>gjer</w:t>
      </w:r>
      <w:proofErr w:type="spellEnd"/>
      <w:r w:rsidRPr="00E426D3">
        <w:t xml:space="preserve"> framlegg om at </w:t>
      </w:r>
      <w:proofErr w:type="spellStart"/>
      <w:r w:rsidRPr="00E426D3">
        <w:t>lovendringane</w:t>
      </w:r>
      <w:proofErr w:type="spellEnd"/>
      <w:r w:rsidRPr="00E426D3">
        <w:t xml:space="preserve"> tek til å gjelde med verknad </w:t>
      </w:r>
      <w:proofErr w:type="spellStart"/>
      <w:r w:rsidRPr="00E426D3">
        <w:t>frå</w:t>
      </w:r>
      <w:proofErr w:type="spellEnd"/>
      <w:r w:rsidRPr="00E426D3">
        <w:t xml:space="preserve"> og med skatteåret 2026.</w:t>
      </w:r>
    </w:p>
    <w:p w14:paraId="2CCB3807" w14:textId="77777777" w:rsidR="00772748" w:rsidRPr="00E426D3" w:rsidRDefault="00772748" w:rsidP="00E426D3">
      <w:pPr>
        <w:pStyle w:val="Overskrift2"/>
      </w:pPr>
      <w:proofErr w:type="spellStart"/>
      <w:r w:rsidRPr="00E426D3">
        <w:t>Gjeldande</w:t>
      </w:r>
      <w:proofErr w:type="spellEnd"/>
      <w:r w:rsidRPr="00E426D3">
        <w:t xml:space="preserve"> rett</w:t>
      </w:r>
    </w:p>
    <w:p w14:paraId="0B3130D3" w14:textId="77777777" w:rsidR="00772748" w:rsidRPr="00E426D3" w:rsidRDefault="00772748" w:rsidP="00E426D3">
      <w:proofErr w:type="spellStart"/>
      <w:r w:rsidRPr="00E426D3">
        <w:t>Eigedomsskatten</w:t>
      </w:r>
      <w:proofErr w:type="spellEnd"/>
      <w:r w:rsidRPr="00E426D3">
        <w:t xml:space="preserve"> er </w:t>
      </w:r>
      <w:proofErr w:type="spellStart"/>
      <w:r w:rsidRPr="00E426D3">
        <w:t>ein</w:t>
      </w:r>
      <w:proofErr w:type="spellEnd"/>
      <w:r w:rsidRPr="00E426D3">
        <w:t xml:space="preserve"> kommunal skatt på fast </w:t>
      </w:r>
      <w:proofErr w:type="spellStart"/>
      <w:r w:rsidRPr="00E426D3">
        <w:t>eigedom</w:t>
      </w:r>
      <w:proofErr w:type="spellEnd"/>
      <w:r w:rsidRPr="00E426D3">
        <w:t xml:space="preserve">. I </w:t>
      </w:r>
      <w:proofErr w:type="spellStart"/>
      <w:r w:rsidRPr="00E426D3">
        <w:t>motsetnad</w:t>
      </w:r>
      <w:proofErr w:type="spellEnd"/>
      <w:r w:rsidRPr="00E426D3">
        <w:t xml:space="preserve"> til skatt på inntekt og formue er </w:t>
      </w:r>
      <w:proofErr w:type="spellStart"/>
      <w:r w:rsidRPr="00E426D3">
        <w:t>eigedomsskatt</w:t>
      </w:r>
      <w:proofErr w:type="spellEnd"/>
      <w:r w:rsidRPr="00E426D3">
        <w:t xml:space="preserve"> </w:t>
      </w:r>
      <w:proofErr w:type="spellStart"/>
      <w:r w:rsidRPr="00E426D3">
        <w:t>ein</w:t>
      </w:r>
      <w:proofErr w:type="spellEnd"/>
      <w:r w:rsidRPr="00E426D3">
        <w:t xml:space="preserve"> objektsskatt. Det er kommunestyret i den enkelte kommunen som </w:t>
      </w:r>
      <w:proofErr w:type="spellStart"/>
      <w:r w:rsidRPr="00E426D3">
        <w:t>avgjer</w:t>
      </w:r>
      <w:proofErr w:type="spellEnd"/>
      <w:r w:rsidRPr="00E426D3">
        <w:t xml:space="preserve"> om det skal </w:t>
      </w:r>
      <w:proofErr w:type="spellStart"/>
      <w:r w:rsidRPr="00E426D3">
        <w:t>skrivast</w:t>
      </w:r>
      <w:proofErr w:type="spellEnd"/>
      <w:r w:rsidRPr="00E426D3">
        <w:t xml:space="preserve"> ut </w:t>
      </w:r>
      <w:proofErr w:type="spellStart"/>
      <w:r w:rsidRPr="00E426D3">
        <w:t>eigedomsskatt</w:t>
      </w:r>
      <w:proofErr w:type="spellEnd"/>
      <w:r w:rsidRPr="00E426D3">
        <w:t xml:space="preserve"> i kommunen. Kommunen står </w:t>
      </w:r>
      <w:proofErr w:type="spellStart"/>
      <w:r w:rsidRPr="00E426D3">
        <w:t>sjølv</w:t>
      </w:r>
      <w:proofErr w:type="spellEnd"/>
      <w:r w:rsidRPr="00E426D3">
        <w:t xml:space="preserve"> for utskriving og </w:t>
      </w:r>
      <w:proofErr w:type="spellStart"/>
      <w:r w:rsidRPr="00E426D3">
        <w:t>innkrevjing</w:t>
      </w:r>
      <w:proofErr w:type="spellEnd"/>
      <w:r w:rsidRPr="00E426D3">
        <w:t xml:space="preserve"> av </w:t>
      </w:r>
      <w:proofErr w:type="spellStart"/>
      <w:r w:rsidRPr="00E426D3">
        <w:t>eigedomsskatt</w:t>
      </w:r>
      <w:proofErr w:type="spellEnd"/>
      <w:r w:rsidRPr="00E426D3">
        <w:t xml:space="preserve">. Provenyet </w:t>
      </w:r>
      <w:proofErr w:type="spellStart"/>
      <w:r w:rsidRPr="00E426D3">
        <w:t>frå</w:t>
      </w:r>
      <w:proofErr w:type="spellEnd"/>
      <w:r w:rsidRPr="00E426D3">
        <w:t xml:space="preserve"> skatten tilfell kommunen.</w:t>
      </w:r>
    </w:p>
    <w:p w14:paraId="792ABEAE" w14:textId="77777777" w:rsidR="00772748" w:rsidRPr="00E426D3" w:rsidRDefault="00772748" w:rsidP="00E426D3">
      <w:proofErr w:type="spellStart"/>
      <w:r w:rsidRPr="00E426D3">
        <w:t>Reglane</w:t>
      </w:r>
      <w:proofErr w:type="spellEnd"/>
      <w:r w:rsidRPr="00E426D3">
        <w:t xml:space="preserve"> for </w:t>
      </w:r>
      <w:proofErr w:type="spellStart"/>
      <w:r w:rsidRPr="00E426D3">
        <w:t>eigedomsskatt</w:t>
      </w:r>
      <w:proofErr w:type="spellEnd"/>
      <w:r w:rsidRPr="00E426D3">
        <w:t xml:space="preserve"> går fram av lov 6. juni 1975 nr. 29 om </w:t>
      </w:r>
      <w:proofErr w:type="spellStart"/>
      <w:r w:rsidRPr="00E426D3">
        <w:t>eigedomsskatt</w:t>
      </w:r>
      <w:proofErr w:type="spellEnd"/>
      <w:r w:rsidRPr="00E426D3">
        <w:t xml:space="preserve"> til </w:t>
      </w:r>
      <w:proofErr w:type="spellStart"/>
      <w:r w:rsidRPr="00E426D3">
        <w:t>kommunane</w:t>
      </w:r>
      <w:proofErr w:type="spellEnd"/>
      <w:r w:rsidRPr="00E426D3">
        <w:t xml:space="preserve"> (</w:t>
      </w:r>
      <w:proofErr w:type="spellStart"/>
      <w:r w:rsidRPr="00E426D3">
        <w:t>eigedomsskattelova</w:t>
      </w:r>
      <w:proofErr w:type="spellEnd"/>
      <w:r w:rsidRPr="00E426D3">
        <w:t xml:space="preserve">). Lova gjev </w:t>
      </w:r>
      <w:proofErr w:type="spellStart"/>
      <w:r w:rsidRPr="00E426D3">
        <w:t>kommunane</w:t>
      </w:r>
      <w:proofErr w:type="spellEnd"/>
      <w:r w:rsidRPr="00E426D3">
        <w:t xml:space="preserve"> høve til å </w:t>
      </w:r>
      <w:proofErr w:type="spellStart"/>
      <w:r w:rsidRPr="00E426D3">
        <w:t>velje</w:t>
      </w:r>
      <w:proofErr w:type="spellEnd"/>
      <w:r w:rsidRPr="00E426D3">
        <w:t xml:space="preserve"> mellom </w:t>
      </w:r>
      <w:proofErr w:type="spellStart"/>
      <w:r w:rsidRPr="00E426D3">
        <w:t>fleire</w:t>
      </w:r>
      <w:proofErr w:type="spellEnd"/>
      <w:r w:rsidRPr="00E426D3">
        <w:t xml:space="preserve"> ulike utskrivingsalternativ med omsyn til kva slags </w:t>
      </w:r>
      <w:proofErr w:type="spellStart"/>
      <w:r w:rsidRPr="00E426D3">
        <w:t>eigedom</w:t>
      </w:r>
      <w:proofErr w:type="spellEnd"/>
      <w:r w:rsidRPr="00E426D3">
        <w:t xml:space="preserve"> som skal </w:t>
      </w:r>
      <w:proofErr w:type="spellStart"/>
      <w:r w:rsidRPr="00E426D3">
        <w:t>omfattast</w:t>
      </w:r>
      <w:proofErr w:type="spellEnd"/>
      <w:r w:rsidRPr="00E426D3">
        <w:t xml:space="preserve"> av skatten. Dette </w:t>
      </w:r>
      <w:proofErr w:type="spellStart"/>
      <w:r w:rsidRPr="00E426D3">
        <w:t>gjeld</w:t>
      </w:r>
      <w:proofErr w:type="spellEnd"/>
      <w:r w:rsidRPr="00E426D3">
        <w:t xml:space="preserve"> </w:t>
      </w:r>
      <w:proofErr w:type="spellStart"/>
      <w:r w:rsidRPr="00E426D3">
        <w:t>bustader</w:t>
      </w:r>
      <w:proofErr w:type="spellEnd"/>
      <w:r w:rsidRPr="00E426D3">
        <w:t xml:space="preserve">- og </w:t>
      </w:r>
      <w:proofErr w:type="spellStart"/>
      <w:r w:rsidRPr="00E426D3">
        <w:t>fritidsbustader</w:t>
      </w:r>
      <w:proofErr w:type="spellEnd"/>
      <w:r w:rsidRPr="00E426D3">
        <w:t xml:space="preserve">, </w:t>
      </w:r>
      <w:proofErr w:type="spellStart"/>
      <w:r w:rsidRPr="00E426D3">
        <w:t>næringseigedom</w:t>
      </w:r>
      <w:proofErr w:type="spellEnd"/>
      <w:r w:rsidRPr="00E426D3">
        <w:t xml:space="preserve"> og ei gruppe større anlegg som mellom anna </w:t>
      </w:r>
      <w:proofErr w:type="spellStart"/>
      <w:r w:rsidRPr="00E426D3">
        <w:t>omfattar</w:t>
      </w:r>
      <w:proofErr w:type="spellEnd"/>
      <w:r w:rsidRPr="00E426D3">
        <w:t xml:space="preserve"> «kraftanlegg» (anlegg for produksjon av vasskraft).</w:t>
      </w:r>
    </w:p>
    <w:p w14:paraId="77E2039B" w14:textId="77777777" w:rsidR="00772748" w:rsidRPr="00E426D3" w:rsidRDefault="00772748" w:rsidP="00E426D3">
      <w:proofErr w:type="spellStart"/>
      <w:r w:rsidRPr="00E426D3">
        <w:t>Fastsetjing</w:t>
      </w:r>
      <w:proofErr w:type="spellEnd"/>
      <w:r w:rsidRPr="00E426D3">
        <w:t xml:space="preserve"> av skattegrunnlaget for </w:t>
      </w:r>
      <w:proofErr w:type="spellStart"/>
      <w:r w:rsidRPr="00E426D3">
        <w:t>eigedomsskatten</w:t>
      </w:r>
      <w:proofErr w:type="spellEnd"/>
      <w:r w:rsidRPr="00E426D3">
        <w:t xml:space="preserve"> skjer som </w:t>
      </w:r>
      <w:proofErr w:type="spellStart"/>
      <w:r w:rsidRPr="00E426D3">
        <w:t>hovudregel</w:t>
      </w:r>
      <w:proofErr w:type="spellEnd"/>
      <w:r w:rsidRPr="00E426D3">
        <w:t xml:space="preserve"> gjennom taksering av </w:t>
      </w:r>
      <w:proofErr w:type="spellStart"/>
      <w:r w:rsidRPr="00E426D3">
        <w:t>eigedommane</w:t>
      </w:r>
      <w:proofErr w:type="spellEnd"/>
      <w:r w:rsidRPr="00E426D3">
        <w:t xml:space="preserve">. Det er takstmenn eller takstnemnder </w:t>
      </w:r>
      <w:proofErr w:type="spellStart"/>
      <w:r w:rsidRPr="00E426D3">
        <w:t>oppnemnde</w:t>
      </w:r>
      <w:proofErr w:type="spellEnd"/>
      <w:r w:rsidRPr="00E426D3">
        <w:t xml:space="preserve"> av kommunen som står for </w:t>
      </w:r>
      <w:proofErr w:type="spellStart"/>
      <w:r w:rsidRPr="00E426D3">
        <w:t>verdsetjinga</w:t>
      </w:r>
      <w:proofErr w:type="spellEnd"/>
      <w:r w:rsidRPr="00E426D3">
        <w:t xml:space="preserve">. Unntak gjeld likevel for anlegg for produksjon av vasskraft. Her skal skattegrunnlaget for </w:t>
      </w:r>
      <w:proofErr w:type="spellStart"/>
      <w:r w:rsidRPr="00E426D3">
        <w:t>eigedomsskatten</w:t>
      </w:r>
      <w:proofErr w:type="spellEnd"/>
      <w:r w:rsidRPr="00E426D3">
        <w:t xml:space="preserve"> baserast på formuesverdien for anlegget, slik den vert fastsett av den skattepliktige for skatt på formue og inntekt ved levering av </w:t>
      </w:r>
      <w:proofErr w:type="spellStart"/>
      <w:r w:rsidRPr="00E426D3">
        <w:t>skattemeldinga</w:t>
      </w:r>
      <w:proofErr w:type="spellEnd"/>
      <w:r w:rsidRPr="00E426D3">
        <w:t>.</w:t>
      </w:r>
    </w:p>
    <w:p w14:paraId="34B14ED1" w14:textId="77777777" w:rsidR="00772748" w:rsidRPr="00E426D3" w:rsidRDefault="00772748" w:rsidP="00E426D3">
      <w:r w:rsidRPr="00E426D3">
        <w:t xml:space="preserve">I </w:t>
      </w:r>
      <w:proofErr w:type="spellStart"/>
      <w:r w:rsidRPr="00E426D3">
        <w:t>eigedomsskatten</w:t>
      </w:r>
      <w:proofErr w:type="spellEnd"/>
      <w:r w:rsidRPr="00E426D3">
        <w:t xml:space="preserve"> har </w:t>
      </w:r>
      <w:proofErr w:type="spellStart"/>
      <w:r w:rsidRPr="00E426D3">
        <w:t>dei</w:t>
      </w:r>
      <w:proofErr w:type="spellEnd"/>
      <w:r w:rsidRPr="00E426D3">
        <w:t xml:space="preserve"> </w:t>
      </w:r>
      <w:proofErr w:type="spellStart"/>
      <w:r w:rsidRPr="00E426D3">
        <w:t>eigedomsskattepliktige</w:t>
      </w:r>
      <w:proofErr w:type="spellEnd"/>
      <w:r w:rsidRPr="00E426D3">
        <w:t xml:space="preserve"> rett til å klage på </w:t>
      </w:r>
      <w:proofErr w:type="spellStart"/>
      <w:r w:rsidRPr="00E426D3">
        <w:t>verdsetjinga</w:t>
      </w:r>
      <w:proofErr w:type="spellEnd"/>
      <w:r w:rsidRPr="00E426D3">
        <w:t xml:space="preserve"> gjennom å </w:t>
      </w:r>
      <w:proofErr w:type="spellStart"/>
      <w:r w:rsidRPr="00E426D3">
        <w:t>krevje</w:t>
      </w:r>
      <w:proofErr w:type="spellEnd"/>
      <w:r w:rsidRPr="00E426D3">
        <w:t xml:space="preserve"> overtakst, jf. </w:t>
      </w:r>
      <w:proofErr w:type="spellStart"/>
      <w:r w:rsidRPr="00E426D3">
        <w:t>eigedomsskattelova</w:t>
      </w:r>
      <w:proofErr w:type="spellEnd"/>
      <w:r w:rsidRPr="00E426D3">
        <w:t xml:space="preserve"> § 8 A-3 tredje ledd. Det same gjeld for kommunen ved formannskapet. Etter </w:t>
      </w:r>
      <w:proofErr w:type="spellStart"/>
      <w:r w:rsidRPr="00E426D3">
        <w:t>eigedomsskattelova</w:t>
      </w:r>
      <w:proofErr w:type="spellEnd"/>
      <w:r w:rsidRPr="00E426D3">
        <w:t xml:space="preserve"> § 8 B-1, skal </w:t>
      </w:r>
      <w:proofErr w:type="spellStart"/>
      <w:r w:rsidRPr="00E426D3">
        <w:t>eigedomsskatt</w:t>
      </w:r>
      <w:proofErr w:type="spellEnd"/>
      <w:r w:rsidRPr="00E426D3">
        <w:t xml:space="preserve"> på anlegg for produksjon av vasskraft </w:t>
      </w:r>
      <w:proofErr w:type="spellStart"/>
      <w:r w:rsidRPr="00E426D3">
        <w:t>reknast</w:t>
      </w:r>
      <w:proofErr w:type="spellEnd"/>
      <w:r w:rsidRPr="00E426D3">
        <w:t xml:space="preserve"> ut etter </w:t>
      </w:r>
      <w:proofErr w:type="spellStart"/>
      <w:r w:rsidRPr="00E426D3">
        <w:t>verdet</w:t>
      </w:r>
      <w:proofErr w:type="spellEnd"/>
      <w:r w:rsidRPr="00E426D3">
        <w:t xml:space="preserve"> som anlegget vert sett til ved </w:t>
      </w:r>
      <w:proofErr w:type="spellStart"/>
      <w:r w:rsidRPr="00E426D3">
        <w:t>fastsetjinga</w:t>
      </w:r>
      <w:proofErr w:type="spellEnd"/>
      <w:r w:rsidRPr="00E426D3">
        <w:t xml:space="preserve"> av formues- og inntektsskatt året før skatteåret. Ved klager over </w:t>
      </w:r>
      <w:proofErr w:type="spellStart"/>
      <w:r w:rsidRPr="00E426D3">
        <w:t>verdsetjinga</w:t>
      </w:r>
      <w:proofErr w:type="spellEnd"/>
      <w:r w:rsidRPr="00E426D3">
        <w:t xml:space="preserve"> av slike anlegg gjeld </w:t>
      </w:r>
      <w:proofErr w:type="spellStart"/>
      <w:r w:rsidRPr="00E426D3">
        <w:t>ikkje</w:t>
      </w:r>
      <w:proofErr w:type="spellEnd"/>
      <w:r w:rsidRPr="00E426D3">
        <w:t xml:space="preserve"> </w:t>
      </w:r>
      <w:proofErr w:type="spellStart"/>
      <w:r w:rsidRPr="00E426D3">
        <w:t>eigedomsskattelova</w:t>
      </w:r>
      <w:proofErr w:type="spellEnd"/>
      <w:r w:rsidRPr="00E426D3">
        <w:t xml:space="preserve"> § 8 A-3 tredje ledd, men skatteforvaltningsloven sine </w:t>
      </w:r>
      <w:proofErr w:type="spellStart"/>
      <w:r w:rsidRPr="00E426D3">
        <w:t>reglar</w:t>
      </w:r>
      <w:proofErr w:type="spellEnd"/>
      <w:r w:rsidRPr="00E426D3">
        <w:t xml:space="preserve">. Etter skatteforvaltningsloven vil den skattepliktige kunne klage på </w:t>
      </w:r>
      <w:proofErr w:type="spellStart"/>
      <w:r w:rsidRPr="00E426D3">
        <w:t>endringar</w:t>
      </w:r>
      <w:proofErr w:type="spellEnd"/>
      <w:r w:rsidRPr="00E426D3">
        <w:t xml:space="preserve"> </w:t>
      </w:r>
      <w:proofErr w:type="spellStart"/>
      <w:r w:rsidRPr="00E426D3">
        <w:t>skattemyndigheitene</w:t>
      </w:r>
      <w:proofErr w:type="spellEnd"/>
      <w:r w:rsidRPr="00E426D3">
        <w:t xml:space="preserve"> </w:t>
      </w:r>
      <w:proofErr w:type="spellStart"/>
      <w:r w:rsidRPr="00E426D3">
        <w:t>gjer</w:t>
      </w:r>
      <w:proofErr w:type="spellEnd"/>
      <w:r w:rsidRPr="00E426D3">
        <w:t xml:space="preserve"> i formuesverdien for anlegget, eller gå til søksmål.</w:t>
      </w:r>
    </w:p>
    <w:p w14:paraId="112964FF" w14:textId="77777777" w:rsidR="00772748" w:rsidRPr="00E426D3" w:rsidRDefault="00772748" w:rsidP="00E426D3">
      <w:proofErr w:type="spellStart"/>
      <w:r w:rsidRPr="00E426D3">
        <w:t>Kommunane</w:t>
      </w:r>
      <w:proofErr w:type="spellEnd"/>
      <w:r w:rsidRPr="00E426D3">
        <w:t xml:space="preserve"> kan </w:t>
      </w:r>
      <w:proofErr w:type="spellStart"/>
      <w:r w:rsidRPr="00E426D3">
        <w:t>ikkje</w:t>
      </w:r>
      <w:proofErr w:type="spellEnd"/>
      <w:r w:rsidRPr="00E426D3">
        <w:t xml:space="preserve"> klage på den skattepliktige si </w:t>
      </w:r>
      <w:proofErr w:type="spellStart"/>
      <w:r w:rsidRPr="00E426D3">
        <w:t>fastsetjing</w:t>
      </w:r>
      <w:proofErr w:type="spellEnd"/>
      <w:r w:rsidRPr="00E426D3">
        <w:t xml:space="preserve"> av anlegg for produksjon av vasskraft. Etter skatteforvaltningsloven § 15-2 kan </w:t>
      </w:r>
      <w:proofErr w:type="spellStart"/>
      <w:r w:rsidRPr="00E426D3">
        <w:t>kommunane</w:t>
      </w:r>
      <w:proofErr w:type="spellEnd"/>
      <w:r w:rsidRPr="00E426D3">
        <w:t xml:space="preserve"> likevel gå til søksmål om vedtak som er av betydning for utskrivinga av </w:t>
      </w:r>
      <w:proofErr w:type="spellStart"/>
      <w:r w:rsidRPr="00E426D3">
        <w:t>eigedomsskatt</w:t>
      </w:r>
      <w:proofErr w:type="spellEnd"/>
      <w:r w:rsidRPr="00E426D3">
        <w:t xml:space="preserve">. For </w:t>
      </w:r>
      <w:proofErr w:type="spellStart"/>
      <w:r w:rsidRPr="00E426D3">
        <w:t>kommunane</w:t>
      </w:r>
      <w:proofErr w:type="spellEnd"/>
      <w:r w:rsidRPr="00E426D3">
        <w:t xml:space="preserve"> </w:t>
      </w:r>
      <w:proofErr w:type="spellStart"/>
      <w:r w:rsidRPr="00E426D3">
        <w:t>omfattar</w:t>
      </w:r>
      <w:proofErr w:type="spellEnd"/>
      <w:r w:rsidRPr="00E426D3">
        <w:t xml:space="preserve"> denne retten </w:t>
      </w:r>
      <w:proofErr w:type="spellStart"/>
      <w:r w:rsidRPr="00E426D3">
        <w:t>moglegheita</w:t>
      </w:r>
      <w:proofErr w:type="spellEnd"/>
      <w:r w:rsidRPr="00E426D3">
        <w:t xml:space="preserve"> til å gå til søksmål om den skattepliktige si </w:t>
      </w:r>
      <w:proofErr w:type="spellStart"/>
      <w:r w:rsidRPr="00E426D3">
        <w:t>fastsetjing</w:t>
      </w:r>
      <w:proofErr w:type="spellEnd"/>
      <w:r w:rsidRPr="00E426D3">
        <w:t xml:space="preserve"> av skattegrunnlaget for kraftanlegg, når denne har betydning for utskrivinga av </w:t>
      </w:r>
      <w:proofErr w:type="spellStart"/>
      <w:r w:rsidRPr="00E426D3">
        <w:t>eigedomsskatt</w:t>
      </w:r>
      <w:proofErr w:type="spellEnd"/>
      <w:r w:rsidRPr="00E426D3">
        <w:t>.</w:t>
      </w:r>
    </w:p>
    <w:p w14:paraId="7C143F88" w14:textId="77777777" w:rsidR="00772748" w:rsidRPr="00E426D3" w:rsidRDefault="00772748" w:rsidP="00E426D3">
      <w:r w:rsidRPr="00E426D3">
        <w:t xml:space="preserve">Etter skatteforvaltningsloven § 15-2 fjerde ledd skal den skattepliktige </w:t>
      </w:r>
      <w:proofErr w:type="spellStart"/>
      <w:r w:rsidRPr="00E426D3">
        <w:t>varslast</w:t>
      </w:r>
      <w:proofErr w:type="spellEnd"/>
      <w:r w:rsidRPr="00E426D3">
        <w:t xml:space="preserve"> dersom kommunen går til søksmål om skattegrunnlaget for kraftanlegg. Skatteforvaltningsloven </w:t>
      </w:r>
      <w:proofErr w:type="spellStart"/>
      <w:r w:rsidRPr="00E426D3">
        <w:t>inneheld</w:t>
      </w:r>
      <w:proofErr w:type="spellEnd"/>
      <w:r w:rsidRPr="00E426D3">
        <w:t xml:space="preserve"> derimot </w:t>
      </w:r>
      <w:proofErr w:type="spellStart"/>
      <w:r w:rsidRPr="00E426D3">
        <w:t>ikkje</w:t>
      </w:r>
      <w:proofErr w:type="spellEnd"/>
      <w:r w:rsidRPr="00E426D3">
        <w:t xml:space="preserve"> </w:t>
      </w:r>
      <w:proofErr w:type="spellStart"/>
      <w:r w:rsidRPr="00E426D3">
        <w:t>nokon</w:t>
      </w:r>
      <w:proofErr w:type="spellEnd"/>
      <w:r w:rsidRPr="00E426D3">
        <w:t xml:space="preserve"> regel om at kommunen skal </w:t>
      </w:r>
      <w:proofErr w:type="spellStart"/>
      <w:r w:rsidRPr="00E426D3">
        <w:t>varslast</w:t>
      </w:r>
      <w:proofErr w:type="spellEnd"/>
      <w:r w:rsidRPr="00E426D3">
        <w:t xml:space="preserve"> når den skattepliktige går til søksmål.</w:t>
      </w:r>
    </w:p>
    <w:p w14:paraId="2FD64DC0" w14:textId="77777777" w:rsidR="00772748" w:rsidRPr="00E426D3" w:rsidRDefault="00772748" w:rsidP="00E426D3">
      <w:pPr>
        <w:pStyle w:val="Overskrift2"/>
      </w:pPr>
      <w:proofErr w:type="spellStart"/>
      <w:r w:rsidRPr="00E426D3">
        <w:lastRenderedPageBreak/>
        <w:t>Høyringa</w:t>
      </w:r>
      <w:proofErr w:type="spellEnd"/>
    </w:p>
    <w:p w14:paraId="4B7196A4" w14:textId="77777777" w:rsidR="00772748" w:rsidRPr="00E426D3" w:rsidRDefault="00772748" w:rsidP="00E426D3">
      <w:r w:rsidRPr="00E426D3">
        <w:t xml:space="preserve">Departementet sende 4. mars 2025 på </w:t>
      </w:r>
      <w:proofErr w:type="spellStart"/>
      <w:r w:rsidRPr="00E426D3">
        <w:t>høyring</w:t>
      </w:r>
      <w:proofErr w:type="spellEnd"/>
      <w:r w:rsidRPr="00E426D3">
        <w:t xml:space="preserve"> framlegg til </w:t>
      </w:r>
      <w:proofErr w:type="spellStart"/>
      <w:r w:rsidRPr="00E426D3">
        <w:t>endringar</w:t>
      </w:r>
      <w:proofErr w:type="spellEnd"/>
      <w:r w:rsidRPr="00E426D3">
        <w:t xml:space="preserve"> i skatteforvaltningsloven sine </w:t>
      </w:r>
      <w:proofErr w:type="spellStart"/>
      <w:r w:rsidRPr="00E426D3">
        <w:t>reglar</w:t>
      </w:r>
      <w:proofErr w:type="spellEnd"/>
      <w:r w:rsidRPr="00E426D3">
        <w:t xml:space="preserve"> for søksmål og søksmålsfrist for </w:t>
      </w:r>
      <w:proofErr w:type="spellStart"/>
      <w:r w:rsidRPr="00E426D3">
        <w:t>eigedomsskatt</w:t>
      </w:r>
      <w:proofErr w:type="spellEnd"/>
      <w:r w:rsidRPr="00E426D3">
        <w:t xml:space="preserve"> på kraftanlegg.</w:t>
      </w:r>
    </w:p>
    <w:p w14:paraId="5FACEDE3" w14:textId="77777777" w:rsidR="00772748" w:rsidRPr="00E426D3" w:rsidRDefault="00772748" w:rsidP="00E426D3">
      <w:r w:rsidRPr="00E426D3">
        <w:t xml:space="preserve">I </w:t>
      </w:r>
      <w:proofErr w:type="spellStart"/>
      <w:r w:rsidRPr="00E426D3">
        <w:t>høyringsnotatet</w:t>
      </w:r>
      <w:proofErr w:type="spellEnd"/>
      <w:r w:rsidRPr="00E426D3">
        <w:t xml:space="preserve"> gjorde departementet framlegg om at </w:t>
      </w:r>
      <w:proofErr w:type="spellStart"/>
      <w:r w:rsidRPr="00E426D3">
        <w:t>kommunane</w:t>
      </w:r>
      <w:proofErr w:type="spellEnd"/>
      <w:r w:rsidRPr="00E426D3">
        <w:t xml:space="preserve"> skal ha varsel når den </w:t>
      </w:r>
      <w:proofErr w:type="spellStart"/>
      <w:r w:rsidRPr="00E426D3">
        <w:t>eigedomsskattepliktige</w:t>
      </w:r>
      <w:proofErr w:type="spellEnd"/>
      <w:r w:rsidRPr="00E426D3">
        <w:t xml:space="preserve"> går til søksmål om </w:t>
      </w:r>
      <w:proofErr w:type="spellStart"/>
      <w:r w:rsidRPr="00E426D3">
        <w:t>endringar</w:t>
      </w:r>
      <w:proofErr w:type="spellEnd"/>
      <w:r w:rsidRPr="00E426D3">
        <w:t xml:space="preserve"> </w:t>
      </w:r>
      <w:proofErr w:type="spellStart"/>
      <w:r w:rsidRPr="00E426D3">
        <w:t>skattemyndigheitene</w:t>
      </w:r>
      <w:proofErr w:type="spellEnd"/>
      <w:r w:rsidRPr="00E426D3">
        <w:t xml:space="preserve"> </w:t>
      </w:r>
      <w:proofErr w:type="spellStart"/>
      <w:r w:rsidRPr="00E426D3">
        <w:t>gjer</w:t>
      </w:r>
      <w:proofErr w:type="spellEnd"/>
      <w:r w:rsidRPr="00E426D3">
        <w:t xml:space="preserve"> i formuesverdien for kraftanlegg. Det vart òg gjort framlegg om at starttidspunktet for utrekninga av søksmålsfristen vert presisert. I tillegg </w:t>
      </w:r>
      <w:proofErr w:type="spellStart"/>
      <w:r w:rsidRPr="00E426D3">
        <w:t>vart</w:t>
      </w:r>
      <w:proofErr w:type="spellEnd"/>
      <w:r w:rsidRPr="00E426D3">
        <w:t xml:space="preserve"> det gjort framlegg om ei oppretting av lovtekst. </w:t>
      </w:r>
      <w:proofErr w:type="spellStart"/>
      <w:r w:rsidRPr="00E426D3">
        <w:t>Høyringsfristen</w:t>
      </w:r>
      <w:proofErr w:type="spellEnd"/>
      <w:r w:rsidRPr="00E426D3">
        <w:t xml:space="preserve"> var 7. april 2025.</w:t>
      </w:r>
    </w:p>
    <w:p w14:paraId="082F1547" w14:textId="77777777" w:rsidR="00772748" w:rsidRPr="00E426D3" w:rsidRDefault="00772748" w:rsidP="00E426D3">
      <w:r w:rsidRPr="00E426D3">
        <w:t xml:space="preserve">Departementet mottok ni </w:t>
      </w:r>
      <w:proofErr w:type="spellStart"/>
      <w:r w:rsidRPr="00E426D3">
        <w:t>høyringsfråsegner</w:t>
      </w:r>
      <w:proofErr w:type="spellEnd"/>
      <w:r w:rsidRPr="00E426D3">
        <w:t xml:space="preserve">. Fire </w:t>
      </w:r>
      <w:proofErr w:type="spellStart"/>
      <w:r w:rsidRPr="00E426D3">
        <w:t>høyringsinstansar</w:t>
      </w:r>
      <w:proofErr w:type="spellEnd"/>
      <w:r w:rsidRPr="00E426D3">
        <w:t xml:space="preserve"> har </w:t>
      </w:r>
      <w:proofErr w:type="spellStart"/>
      <w:r w:rsidRPr="00E426D3">
        <w:t>kome</w:t>
      </w:r>
      <w:proofErr w:type="spellEnd"/>
      <w:r w:rsidRPr="00E426D3">
        <w:t xml:space="preserve"> med realitetsmerknader:</w:t>
      </w:r>
    </w:p>
    <w:p w14:paraId="11500948" w14:textId="77777777" w:rsidR="00772748" w:rsidRPr="00E426D3" w:rsidRDefault="00772748" w:rsidP="00E426D3">
      <w:pPr>
        <w:pStyle w:val="Liste"/>
      </w:pPr>
      <w:r w:rsidRPr="00E426D3">
        <w:t>Fornybar Norge</w:t>
      </w:r>
    </w:p>
    <w:p w14:paraId="4680C362" w14:textId="77777777" w:rsidR="00772748" w:rsidRPr="00E426D3" w:rsidRDefault="00772748" w:rsidP="00E426D3">
      <w:pPr>
        <w:pStyle w:val="Liste"/>
      </w:pPr>
      <w:r w:rsidRPr="00E426D3">
        <w:t>KS Kommunesektorens organisasjon</w:t>
      </w:r>
    </w:p>
    <w:p w14:paraId="54D4513B" w14:textId="77777777" w:rsidR="00772748" w:rsidRPr="00E426D3" w:rsidRDefault="00772748" w:rsidP="00E426D3">
      <w:pPr>
        <w:pStyle w:val="Liste"/>
      </w:pPr>
      <w:r w:rsidRPr="00E426D3">
        <w:t xml:space="preserve">Landssammenslutninga av </w:t>
      </w:r>
      <w:proofErr w:type="spellStart"/>
      <w:r w:rsidRPr="00E426D3">
        <w:t>Vasskraftkommunar</w:t>
      </w:r>
      <w:proofErr w:type="spellEnd"/>
      <w:r w:rsidRPr="00E426D3">
        <w:t xml:space="preserve"> (LVK)</w:t>
      </w:r>
    </w:p>
    <w:p w14:paraId="703D1AF9" w14:textId="77777777" w:rsidR="00772748" w:rsidRPr="00E426D3" w:rsidRDefault="00772748" w:rsidP="00E426D3">
      <w:pPr>
        <w:pStyle w:val="Liste"/>
      </w:pPr>
      <w:r w:rsidRPr="00E426D3">
        <w:t>Skatteetaten</w:t>
      </w:r>
    </w:p>
    <w:p w14:paraId="7340BACA" w14:textId="77777777" w:rsidR="00772748" w:rsidRPr="00E426D3" w:rsidRDefault="00772748" w:rsidP="00E426D3">
      <w:r w:rsidRPr="00E426D3">
        <w:t xml:space="preserve">Alle </w:t>
      </w:r>
      <w:proofErr w:type="spellStart"/>
      <w:r w:rsidRPr="00E426D3">
        <w:t>høyringsinstansane</w:t>
      </w:r>
      <w:proofErr w:type="spellEnd"/>
      <w:r w:rsidRPr="00E426D3">
        <w:t xml:space="preserve"> med merknader er positive til framlegga i </w:t>
      </w:r>
      <w:proofErr w:type="spellStart"/>
      <w:r w:rsidRPr="00E426D3">
        <w:t>høyringsnotatet</w:t>
      </w:r>
      <w:proofErr w:type="spellEnd"/>
      <w:r w:rsidRPr="00E426D3">
        <w:t xml:space="preserve">. </w:t>
      </w:r>
      <w:r w:rsidRPr="00E426D3">
        <w:rPr>
          <w:rStyle w:val="kursiv"/>
        </w:rPr>
        <w:t>KS</w:t>
      </w:r>
      <w:r w:rsidRPr="00E426D3">
        <w:t xml:space="preserve"> </w:t>
      </w:r>
      <w:proofErr w:type="spellStart"/>
      <w:r w:rsidRPr="00E426D3">
        <w:t>støttar</w:t>
      </w:r>
      <w:proofErr w:type="spellEnd"/>
      <w:r w:rsidRPr="00E426D3">
        <w:t xml:space="preserve"> departementet sitt framlegg. </w:t>
      </w:r>
      <w:r w:rsidRPr="00E426D3">
        <w:rPr>
          <w:rStyle w:val="kursiv"/>
        </w:rPr>
        <w:t xml:space="preserve">Landssamanslutninga av </w:t>
      </w:r>
      <w:proofErr w:type="spellStart"/>
      <w:r w:rsidRPr="00E426D3">
        <w:rPr>
          <w:rStyle w:val="kursiv"/>
        </w:rPr>
        <w:t>Vasskraftkommunar</w:t>
      </w:r>
      <w:proofErr w:type="spellEnd"/>
      <w:r w:rsidRPr="00E426D3">
        <w:rPr>
          <w:rStyle w:val="kursiv"/>
        </w:rPr>
        <w:t xml:space="preserve"> (LVK)</w:t>
      </w:r>
      <w:r w:rsidRPr="00E426D3">
        <w:t xml:space="preserve"> er nøgde med at departementet </w:t>
      </w:r>
      <w:proofErr w:type="spellStart"/>
      <w:r w:rsidRPr="00E426D3">
        <w:t>gjer</w:t>
      </w:r>
      <w:proofErr w:type="spellEnd"/>
      <w:r w:rsidRPr="00E426D3">
        <w:t xml:space="preserve"> framlegg om ei plikt til å varsle kommunen når den skattepliktige </w:t>
      </w:r>
      <w:proofErr w:type="spellStart"/>
      <w:r w:rsidRPr="00E426D3">
        <w:t>tek</w:t>
      </w:r>
      <w:proofErr w:type="spellEnd"/>
      <w:r w:rsidRPr="00E426D3">
        <w:t xml:space="preserve"> ut søksmål om vedtak som har betydning for utskrivinga av </w:t>
      </w:r>
      <w:proofErr w:type="spellStart"/>
      <w:r w:rsidRPr="00E426D3">
        <w:t>eigedomsskatt</w:t>
      </w:r>
      <w:proofErr w:type="spellEnd"/>
      <w:r w:rsidRPr="00E426D3">
        <w:t xml:space="preserve"> på kraftanlegg.</w:t>
      </w:r>
    </w:p>
    <w:p w14:paraId="154ACCCC" w14:textId="77777777" w:rsidR="00772748" w:rsidRPr="00E426D3" w:rsidRDefault="00772748" w:rsidP="00E426D3">
      <w:r w:rsidRPr="00E426D3">
        <w:rPr>
          <w:rStyle w:val="kursiv"/>
        </w:rPr>
        <w:t xml:space="preserve">Fornybar Norge </w:t>
      </w:r>
      <w:r w:rsidRPr="00E426D3">
        <w:t xml:space="preserve">meiner at det er rett at </w:t>
      </w:r>
      <w:proofErr w:type="spellStart"/>
      <w:r w:rsidRPr="00E426D3">
        <w:t>vertskommunar</w:t>
      </w:r>
      <w:proofErr w:type="spellEnd"/>
      <w:r w:rsidRPr="00E426D3">
        <w:t xml:space="preserve"> for kraftanlegg vert kompensert for ulempene dette påfører lokalsamfunnet. Fornybar Norge meiner </w:t>
      </w:r>
      <w:proofErr w:type="spellStart"/>
      <w:r w:rsidRPr="00E426D3">
        <w:t>eigedomsskatten</w:t>
      </w:r>
      <w:proofErr w:type="spellEnd"/>
      <w:r w:rsidRPr="00E426D3">
        <w:t xml:space="preserve"> er </w:t>
      </w:r>
      <w:proofErr w:type="spellStart"/>
      <w:r w:rsidRPr="00E426D3">
        <w:t>ein</w:t>
      </w:r>
      <w:proofErr w:type="spellEnd"/>
      <w:r w:rsidRPr="00E426D3">
        <w:t xml:space="preserve"> viktig del av dette. Fornybar Norge </w:t>
      </w:r>
      <w:proofErr w:type="spellStart"/>
      <w:r w:rsidRPr="00E426D3">
        <w:t>støttar</w:t>
      </w:r>
      <w:proofErr w:type="spellEnd"/>
      <w:r w:rsidRPr="00E426D3">
        <w:t xml:space="preserve"> </w:t>
      </w:r>
      <w:proofErr w:type="spellStart"/>
      <w:r w:rsidRPr="00E426D3">
        <w:t>difor</w:t>
      </w:r>
      <w:proofErr w:type="spellEnd"/>
      <w:r w:rsidRPr="00E426D3">
        <w:t xml:space="preserve"> framlegga, som kan </w:t>
      </w:r>
      <w:proofErr w:type="spellStart"/>
      <w:r w:rsidRPr="00E426D3">
        <w:t>gje</w:t>
      </w:r>
      <w:proofErr w:type="spellEnd"/>
      <w:r w:rsidRPr="00E426D3">
        <w:t xml:space="preserve"> </w:t>
      </w:r>
      <w:proofErr w:type="spellStart"/>
      <w:r w:rsidRPr="00E426D3">
        <w:t>auka</w:t>
      </w:r>
      <w:proofErr w:type="spellEnd"/>
      <w:r w:rsidRPr="00E426D3">
        <w:t xml:space="preserve"> </w:t>
      </w:r>
      <w:proofErr w:type="spellStart"/>
      <w:r w:rsidRPr="00E426D3">
        <w:t>føreseielegheit</w:t>
      </w:r>
      <w:proofErr w:type="spellEnd"/>
      <w:r w:rsidRPr="00E426D3">
        <w:t xml:space="preserve"> for </w:t>
      </w:r>
      <w:proofErr w:type="spellStart"/>
      <w:r w:rsidRPr="00E426D3">
        <w:t>vertskommunane</w:t>
      </w:r>
      <w:proofErr w:type="spellEnd"/>
      <w:r w:rsidRPr="00E426D3">
        <w:t>.</w:t>
      </w:r>
    </w:p>
    <w:p w14:paraId="719F79DC" w14:textId="77777777" w:rsidR="00772748" w:rsidRPr="00E426D3" w:rsidRDefault="00772748" w:rsidP="00E426D3">
      <w:pPr>
        <w:pStyle w:val="Overskrift2"/>
      </w:pPr>
      <w:proofErr w:type="spellStart"/>
      <w:r w:rsidRPr="00E426D3">
        <w:t>Vurderingar</w:t>
      </w:r>
      <w:proofErr w:type="spellEnd"/>
      <w:r w:rsidRPr="00E426D3">
        <w:t xml:space="preserve"> og framlegg</w:t>
      </w:r>
    </w:p>
    <w:p w14:paraId="0E12DF44" w14:textId="77777777" w:rsidR="00772748" w:rsidRPr="00E426D3" w:rsidRDefault="00772748" w:rsidP="00E426D3">
      <w:pPr>
        <w:pStyle w:val="Overskrift3"/>
      </w:pPr>
      <w:r w:rsidRPr="00E426D3">
        <w:t xml:space="preserve">Plikt til å </w:t>
      </w:r>
      <w:proofErr w:type="spellStart"/>
      <w:r w:rsidRPr="00E426D3">
        <w:t>gje</w:t>
      </w:r>
      <w:proofErr w:type="spellEnd"/>
      <w:r w:rsidRPr="00E426D3">
        <w:t xml:space="preserve"> varsel til kommunen ved søksmål om </w:t>
      </w:r>
      <w:proofErr w:type="spellStart"/>
      <w:r w:rsidRPr="00E426D3">
        <w:t>eigedomsskatt</w:t>
      </w:r>
      <w:proofErr w:type="spellEnd"/>
    </w:p>
    <w:p w14:paraId="050BEE60" w14:textId="77777777" w:rsidR="00772748" w:rsidRPr="00E426D3" w:rsidRDefault="00772748" w:rsidP="00E426D3">
      <w:r w:rsidRPr="00E426D3">
        <w:t xml:space="preserve">I </w:t>
      </w:r>
      <w:proofErr w:type="spellStart"/>
      <w:r w:rsidRPr="00E426D3">
        <w:t>høyringsnotatet</w:t>
      </w:r>
      <w:proofErr w:type="spellEnd"/>
      <w:r w:rsidRPr="00E426D3">
        <w:t xml:space="preserve"> gjorde departementet framlegg om at det bør </w:t>
      </w:r>
      <w:proofErr w:type="spellStart"/>
      <w:r w:rsidRPr="00E426D3">
        <w:t>lovfestast</w:t>
      </w:r>
      <w:proofErr w:type="spellEnd"/>
      <w:r w:rsidRPr="00E426D3">
        <w:t xml:space="preserve"> ei plikt for </w:t>
      </w:r>
      <w:proofErr w:type="spellStart"/>
      <w:r w:rsidRPr="00E426D3">
        <w:t>skattemyndigheitene</w:t>
      </w:r>
      <w:proofErr w:type="spellEnd"/>
      <w:r w:rsidRPr="00E426D3">
        <w:t xml:space="preserve"> til å varsle kommunen dersom den skattepliktige går til søksmål om </w:t>
      </w:r>
      <w:proofErr w:type="spellStart"/>
      <w:r w:rsidRPr="00E426D3">
        <w:t>skattefastsetjinga</w:t>
      </w:r>
      <w:proofErr w:type="spellEnd"/>
      <w:r w:rsidRPr="00E426D3">
        <w:t xml:space="preserve"> for kraftanlegg.</w:t>
      </w:r>
    </w:p>
    <w:p w14:paraId="35C494F8" w14:textId="77777777" w:rsidR="00772748" w:rsidRPr="00E426D3" w:rsidRDefault="00772748" w:rsidP="00E426D3">
      <w:pPr>
        <w:rPr>
          <w:rStyle w:val="kursiv"/>
        </w:rPr>
      </w:pPr>
      <w:r w:rsidRPr="00E426D3">
        <w:rPr>
          <w:rStyle w:val="kursiv"/>
        </w:rPr>
        <w:t xml:space="preserve">Landssamanslutninga av </w:t>
      </w:r>
      <w:proofErr w:type="spellStart"/>
      <w:r w:rsidRPr="00E426D3">
        <w:rPr>
          <w:rStyle w:val="kursiv"/>
        </w:rPr>
        <w:t>Vasskraftkommunar</w:t>
      </w:r>
      <w:proofErr w:type="spellEnd"/>
      <w:r w:rsidRPr="00E426D3">
        <w:rPr>
          <w:rStyle w:val="kursiv"/>
        </w:rPr>
        <w:t xml:space="preserve"> (LVK) </w:t>
      </w:r>
      <w:r w:rsidRPr="00E426D3">
        <w:t xml:space="preserve">legg til grunn at varslingsplikta gjeld søksmål om alle vedtak som påverkar </w:t>
      </w:r>
      <w:proofErr w:type="spellStart"/>
      <w:r w:rsidRPr="00E426D3">
        <w:t>eigedomsskattegrunnlaget</w:t>
      </w:r>
      <w:proofErr w:type="spellEnd"/>
      <w:r w:rsidRPr="00E426D3">
        <w:t xml:space="preserve">. LVK foreslår at det vert presisert kven som skal varsle kommunen. </w:t>
      </w:r>
      <w:proofErr w:type="spellStart"/>
      <w:r w:rsidRPr="00E426D3">
        <w:t>Vidare</w:t>
      </w:r>
      <w:proofErr w:type="spellEnd"/>
      <w:r w:rsidRPr="00E426D3">
        <w:t xml:space="preserve"> meiner LVK at </w:t>
      </w:r>
      <w:proofErr w:type="spellStart"/>
      <w:r w:rsidRPr="00E426D3">
        <w:t>kommunane</w:t>
      </w:r>
      <w:proofErr w:type="spellEnd"/>
      <w:r w:rsidRPr="00E426D3">
        <w:t xml:space="preserve"> òg bør </w:t>
      </w:r>
      <w:proofErr w:type="spellStart"/>
      <w:r w:rsidRPr="00E426D3">
        <w:t>varslast</w:t>
      </w:r>
      <w:proofErr w:type="spellEnd"/>
      <w:r w:rsidRPr="00E426D3">
        <w:t xml:space="preserve"> ved klager </w:t>
      </w:r>
      <w:proofErr w:type="spellStart"/>
      <w:r w:rsidRPr="00E426D3">
        <w:t>frå</w:t>
      </w:r>
      <w:proofErr w:type="spellEnd"/>
      <w:r w:rsidRPr="00E426D3">
        <w:t xml:space="preserve"> </w:t>
      </w:r>
      <w:proofErr w:type="spellStart"/>
      <w:r w:rsidRPr="00E426D3">
        <w:t>dei</w:t>
      </w:r>
      <w:proofErr w:type="spellEnd"/>
      <w:r w:rsidRPr="00E426D3">
        <w:t xml:space="preserve"> skattepliktige. LVK syner til at varsel om klager er viktig for at </w:t>
      </w:r>
      <w:proofErr w:type="spellStart"/>
      <w:r w:rsidRPr="00E426D3">
        <w:t>kommunane</w:t>
      </w:r>
      <w:proofErr w:type="spellEnd"/>
      <w:r w:rsidRPr="00E426D3">
        <w:t xml:space="preserve"> skal </w:t>
      </w:r>
      <w:proofErr w:type="spellStart"/>
      <w:r w:rsidRPr="00E426D3">
        <w:t>verte</w:t>
      </w:r>
      <w:proofErr w:type="spellEnd"/>
      <w:r w:rsidRPr="00E426D3">
        <w:t xml:space="preserve"> kjent med at det kan </w:t>
      </w:r>
      <w:proofErr w:type="spellStart"/>
      <w:r w:rsidRPr="00E426D3">
        <w:t>kome</w:t>
      </w:r>
      <w:proofErr w:type="spellEnd"/>
      <w:r w:rsidRPr="00E426D3">
        <w:t xml:space="preserve"> </w:t>
      </w:r>
      <w:proofErr w:type="spellStart"/>
      <w:r w:rsidRPr="00E426D3">
        <w:t>endringar</w:t>
      </w:r>
      <w:proofErr w:type="spellEnd"/>
      <w:r w:rsidRPr="00E426D3">
        <w:t xml:space="preserve"> i </w:t>
      </w:r>
      <w:proofErr w:type="spellStart"/>
      <w:r w:rsidRPr="00E426D3">
        <w:t>eigedomsskattegrunnlaga</w:t>
      </w:r>
      <w:proofErr w:type="spellEnd"/>
      <w:r w:rsidRPr="00E426D3">
        <w:t xml:space="preserve">, og kommunen sine inntekter. Varsel er òg viktig for at </w:t>
      </w:r>
      <w:proofErr w:type="spellStart"/>
      <w:r w:rsidRPr="00E426D3">
        <w:t>kommunane</w:t>
      </w:r>
      <w:proofErr w:type="spellEnd"/>
      <w:r w:rsidRPr="00E426D3">
        <w:t xml:space="preserve"> skal kunne ivareta </w:t>
      </w:r>
      <w:proofErr w:type="spellStart"/>
      <w:r w:rsidRPr="00E426D3">
        <w:t>rettane</w:t>
      </w:r>
      <w:proofErr w:type="spellEnd"/>
      <w:r w:rsidRPr="00E426D3">
        <w:t xml:space="preserve"> sine som skattekreditor, og </w:t>
      </w:r>
      <w:proofErr w:type="spellStart"/>
      <w:r w:rsidRPr="00E426D3">
        <w:t>gje</w:t>
      </w:r>
      <w:proofErr w:type="spellEnd"/>
      <w:r w:rsidRPr="00E426D3">
        <w:t xml:space="preserve"> uttrykk for sitt syn før rettssaker.</w:t>
      </w:r>
    </w:p>
    <w:p w14:paraId="5193BB7E" w14:textId="77777777" w:rsidR="00772748" w:rsidRPr="00E426D3" w:rsidRDefault="00772748" w:rsidP="00E426D3">
      <w:pPr>
        <w:rPr>
          <w:rStyle w:val="kursiv"/>
        </w:rPr>
      </w:pPr>
      <w:r w:rsidRPr="00E426D3">
        <w:rPr>
          <w:rStyle w:val="kursiv"/>
        </w:rPr>
        <w:t xml:space="preserve">Skatteetaten </w:t>
      </w:r>
      <w:r w:rsidRPr="00E426D3">
        <w:t xml:space="preserve">syner til at </w:t>
      </w:r>
      <w:proofErr w:type="spellStart"/>
      <w:r w:rsidRPr="00E426D3">
        <w:t>dei</w:t>
      </w:r>
      <w:proofErr w:type="spellEnd"/>
      <w:r w:rsidRPr="00E426D3">
        <w:t xml:space="preserve"> etter </w:t>
      </w:r>
      <w:proofErr w:type="spellStart"/>
      <w:r w:rsidRPr="00E426D3">
        <w:t>gjeldande</w:t>
      </w:r>
      <w:proofErr w:type="spellEnd"/>
      <w:r w:rsidRPr="00E426D3">
        <w:t xml:space="preserve"> rett har ei plikt til å </w:t>
      </w:r>
      <w:proofErr w:type="spellStart"/>
      <w:r w:rsidRPr="00E426D3">
        <w:t>gje</w:t>
      </w:r>
      <w:proofErr w:type="spellEnd"/>
      <w:r w:rsidRPr="00E426D3">
        <w:t xml:space="preserve"> kommunen </w:t>
      </w:r>
      <w:proofErr w:type="spellStart"/>
      <w:r w:rsidRPr="00E426D3">
        <w:t>opplysningar</w:t>
      </w:r>
      <w:proofErr w:type="spellEnd"/>
      <w:r w:rsidRPr="00E426D3">
        <w:t xml:space="preserve"> som </w:t>
      </w:r>
      <w:proofErr w:type="spellStart"/>
      <w:r w:rsidRPr="00E426D3">
        <w:t>trengst</w:t>
      </w:r>
      <w:proofErr w:type="spellEnd"/>
      <w:r w:rsidRPr="00E426D3">
        <w:t xml:space="preserve"> til utskriving av </w:t>
      </w:r>
      <w:proofErr w:type="spellStart"/>
      <w:r w:rsidRPr="00E426D3">
        <w:t>eigedomsskatten</w:t>
      </w:r>
      <w:proofErr w:type="spellEnd"/>
      <w:r w:rsidRPr="00E426D3">
        <w:t xml:space="preserve">. Det er </w:t>
      </w:r>
      <w:proofErr w:type="spellStart"/>
      <w:r w:rsidRPr="00E426D3">
        <w:t>difor</w:t>
      </w:r>
      <w:proofErr w:type="spellEnd"/>
      <w:r w:rsidRPr="00E426D3">
        <w:t xml:space="preserve"> </w:t>
      </w:r>
      <w:proofErr w:type="spellStart"/>
      <w:r w:rsidRPr="00E426D3">
        <w:t>rutinar</w:t>
      </w:r>
      <w:proofErr w:type="spellEnd"/>
      <w:r w:rsidRPr="00E426D3">
        <w:t xml:space="preserve"> for utveksling av informasjon mellom Skatteetaten og </w:t>
      </w:r>
      <w:proofErr w:type="spellStart"/>
      <w:r w:rsidRPr="00E426D3">
        <w:t>kommunane</w:t>
      </w:r>
      <w:proofErr w:type="spellEnd"/>
      <w:r w:rsidRPr="00E426D3">
        <w:t xml:space="preserve">. Skatteetaten </w:t>
      </w:r>
      <w:proofErr w:type="spellStart"/>
      <w:r w:rsidRPr="00E426D3">
        <w:t>oppfattar</w:t>
      </w:r>
      <w:proofErr w:type="spellEnd"/>
      <w:r w:rsidRPr="00E426D3">
        <w:t xml:space="preserve"> at varslingsplikta </w:t>
      </w:r>
      <w:proofErr w:type="spellStart"/>
      <w:r w:rsidRPr="00E426D3">
        <w:t>inneber</w:t>
      </w:r>
      <w:proofErr w:type="spellEnd"/>
      <w:r w:rsidRPr="00E426D3">
        <w:t xml:space="preserve"> å </w:t>
      </w:r>
      <w:r w:rsidRPr="00E426D3">
        <w:lastRenderedPageBreak/>
        <w:t xml:space="preserve">sende </w:t>
      </w:r>
      <w:proofErr w:type="spellStart"/>
      <w:r w:rsidRPr="00E426D3">
        <w:t>eit</w:t>
      </w:r>
      <w:proofErr w:type="spellEnd"/>
      <w:r w:rsidRPr="00E426D3">
        <w:t xml:space="preserve"> varsel om at det er </w:t>
      </w:r>
      <w:proofErr w:type="spellStart"/>
      <w:r w:rsidRPr="00E426D3">
        <w:t>teke</w:t>
      </w:r>
      <w:proofErr w:type="spellEnd"/>
      <w:r w:rsidRPr="00E426D3">
        <w:t xml:space="preserve"> ut stemning, med </w:t>
      </w:r>
      <w:proofErr w:type="spellStart"/>
      <w:r w:rsidRPr="00E426D3">
        <w:t>opplysningar</w:t>
      </w:r>
      <w:proofErr w:type="spellEnd"/>
      <w:r w:rsidRPr="00E426D3">
        <w:t xml:space="preserve"> om kven som er </w:t>
      </w:r>
      <w:proofErr w:type="spellStart"/>
      <w:r w:rsidRPr="00E426D3">
        <w:t>saksøkar</w:t>
      </w:r>
      <w:proofErr w:type="spellEnd"/>
      <w:r w:rsidRPr="00E426D3">
        <w:t xml:space="preserve"> og kva søksmålet gjeld. Varslingsplikta bør etter </w:t>
      </w:r>
      <w:proofErr w:type="spellStart"/>
      <w:r w:rsidRPr="00E426D3">
        <w:t>deira</w:t>
      </w:r>
      <w:proofErr w:type="spellEnd"/>
      <w:r w:rsidRPr="00E426D3">
        <w:t xml:space="preserve"> meining </w:t>
      </w:r>
      <w:proofErr w:type="spellStart"/>
      <w:r w:rsidRPr="00E426D3">
        <w:t>avgrensast</w:t>
      </w:r>
      <w:proofErr w:type="spellEnd"/>
      <w:r w:rsidRPr="00E426D3">
        <w:t xml:space="preserve"> til dette.</w:t>
      </w:r>
    </w:p>
    <w:p w14:paraId="2B8CC2F7" w14:textId="77777777" w:rsidR="00772748" w:rsidRPr="00E426D3" w:rsidRDefault="00772748" w:rsidP="00E426D3">
      <w:r w:rsidRPr="00E426D3">
        <w:t xml:space="preserve">Departementet syner til </w:t>
      </w:r>
      <w:proofErr w:type="spellStart"/>
      <w:r w:rsidRPr="00E426D3">
        <w:t>eigedomsskattelova</w:t>
      </w:r>
      <w:proofErr w:type="spellEnd"/>
      <w:r w:rsidRPr="00E426D3">
        <w:t xml:space="preserve"> § 23. Med omsyn til </w:t>
      </w:r>
      <w:proofErr w:type="spellStart"/>
      <w:r w:rsidRPr="00E426D3">
        <w:t>reglar</w:t>
      </w:r>
      <w:proofErr w:type="spellEnd"/>
      <w:r w:rsidRPr="00E426D3">
        <w:t xml:space="preserve"> om søksmål som gjeld </w:t>
      </w:r>
      <w:proofErr w:type="spellStart"/>
      <w:r w:rsidRPr="00E426D3">
        <w:t>eigedomsskatt</w:t>
      </w:r>
      <w:proofErr w:type="spellEnd"/>
      <w:r w:rsidRPr="00E426D3">
        <w:t xml:space="preserve">, syner fråsegna til </w:t>
      </w:r>
      <w:proofErr w:type="spellStart"/>
      <w:r w:rsidRPr="00E426D3">
        <w:t>reglar</w:t>
      </w:r>
      <w:proofErr w:type="spellEnd"/>
      <w:r w:rsidRPr="00E426D3">
        <w:t xml:space="preserve"> i lov 27. mai 2016 nr. 14 om skatteforvaltning (skatteforvaltningsloven). Det følgjer av skatteforvaltningsloven § 15-2 tredje ledd at «Kommunestyret kan ved søksmål få prøvd vedtak som gjelder spørsmål av betydning for utskrivingen av eiendomsskatt. Kommunestyret kan også få prøvd den skattepliktiges fastsetting av skattegrunnlaget for kraftforetak som har betydning for utskrivingen av eiendomsskatt.»</w:t>
      </w:r>
    </w:p>
    <w:p w14:paraId="522050AD" w14:textId="77777777" w:rsidR="00772748" w:rsidRPr="00E426D3" w:rsidRDefault="00772748" w:rsidP="00E426D3">
      <w:pPr>
        <w:rPr>
          <w:rStyle w:val="sperret0"/>
        </w:rPr>
      </w:pPr>
      <w:r w:rsidRPr="00E426D3">
        <w:t xml:space="preserve">Når kommunen går til søksmål, følgjer det av skatteforvaltningsloven § 15-2 fjerde ledd at den skattepliktige skal </w:t>
      </w:r>
      <w:proofErr w:type="spellStart"/>
      <w:r w:rsidRPr="00E426D3">
        <w:t>varslast</w:t>
      </w:r>
      <w:proofErr w:type="spellEnd"/>
      <w:r w:rsidRPr="00E426D3">
        <w:t xml:space="preserve"> om dette. Lova </w:t>
      </w:r>
      <w:proofErr w:type="spellStart"/>
      <w:r w:rsidRPr="00E426D3">
        <w:t>inneheld</w:t>
      </w:r>
      <w:proofErr w:type="spellEnd"/>
      <w:r w:rsidRPr="00E426D3">
        <w:t xml:space="preserve"> derimot </w:t>
      </w:r>
      <w:proofErr w:type="spellStart"/>
      <w:r w:rsidRPr="00E426D3">
        <w:t>ikkje</w:t>
      </w:r>
      <w:proofErr w:type="spellEnd"/>
      <w:r w:rsidRPr="00E426D3">
        <w:t xml:space="preserve"> </w:t>
      </w:r>
      <w:proofErr w:type="spellStart"/>
      <w:r w:rsidRPr="00E426D3">
        <w:t>nokon</w:t>
      </w:r>
      <w:proofErr w:type="spellEnd"/>
      <w:r w:rsidRPr="00E426D3">
        <w:t xml:space="preserve"> regel om at kommunen skal </w:t>
      </w:r>
      <w:proofErr w:type="spellStart"/>
      <w:r w:rsidRPr="00E426D3">
        <w:t>varslast</w:t>
      </w:r>
      <w:proofErr w:type="spellEnd"/>
      <w:r w:rsidRPr="00E426D3">
        <w:t xml:space="preserve"> når den skattepliktige går til søksmål.</w:t>
      </w:r>
    </w:p>
    <w:p w14:paraId="3CC3D99C" w14:textId="77777777" w:rsidR="00772748" w:rsidRPr="00E426D3" w:rsidRDefault="00772748" w:rsidP="00E426D3">
      <w:pPr>
        <w:rPr>
          <w:rStyle w:val="sperret0"/>
        </w:rPr>
      </w:pPr>
      <w:r w:rsidRPr="00E426D3">
        <w:rPr>
          <w:rStyle w:val="sperret0"/>
        </w:rPr>
        <w:t xml:space="preserve">Departementet </w:t>
      </w:r>
      <w:r w:rsidRPr="00E426D3">
        <w:t xml:space="preserve">held fast ved vurderinga </w:t>
      </w:r>
      <w:proofErr w:type="spellStart"/>
      <w:r w:rsidRPr="00E426D3">
        <w:t>frå</w:t>
      </w:r>
      <w:proofErr w:type="spellEnd"/>
      <w:r w:rsidRPr="00E426D3">
        <w:t xml:space="preserve"> </w:t>
      </w:r>
      <w:proofErr w:type="spellStart"/>
      <w:r w:rsidRPr="00E426D3">
        <w:t>høyringsnotatet</w:t>
      </w:r>
      <w:proofErr w:type="spellEnd"/>
      <w:r w:rsidRPr="00E426D3">
        <w:t xml:space="preserve">, og </w:t>
      </w:r>
      <w:proofErr w:type="spellStart"/>
      <w:r w:rsidRPr="00E426D3">
        <w:t>gjer</w:t>
      </w:r>
      <w:proofErr w:type="spellEnd"/>
      <w:r w:rsidRPr="00E426D3">
        <w:t xml:space="preserve"> framlegg om at det vert lovfesta ei plikt for </w:t>
      </w:r>
      <w:proofErr w:type="spellStart"/>
      <w:r w:rsidRPr="00E426D3">
        <w:t>skattemyndigheitene</w:t>
      </w:r>
      <w:proofErr w:type="spellEnd"/>
      <w:r w:rsidRPr="00E426D3">
        <w:t xml:space="preserve"> til å varsle kommunen dersom den skattepliktige går til søksmål mot </w:t>
      </w:r>
      <w:proofErr w:type="spellStart"/>
      <w:r w:rsidRPr="00E426D3">
        <w:t>skattemyndigheitene</w:t>
      </w:r>
      <w:proofErr w:type="spellEnd"/>
      <w:r w:rsidRPr="00E426D3">
        <w:t xml:space="preserve"> sitt endringsvedtak om </w:t>
      </w:r>
      <w:proofErr w:type="spellStart"/>
      <w:r w:rsidRPr="00E426D3">
        <w:t>skattefastsetjinga</w:t>
      </w:r>
      <w:proofErr w:type="spellEnd"/>
      <w:r w:rsidRPr="00E426D3">
        <w:t xml:space="preserve"> for kraftanlegg. Regelen vil </w:t>
      </w:r>
      <w:proofErr w:type="spellStart"/>
      <w:r w:rsidRPr="00E426D3">
        <w:t>gje</w:t>
      </w:r>
      <w:proofErr w:type="spellEnd"/>
      <w:r w:rsidRPr="00E426D3">
        <w:t xml:space="preserve"> kommunen orientering om at </w:t>
      </w:r>
      <w:proofErr w:type="spellStart"/>
      <w:r w:rsidRPr="00E426D3">
        <w:t>verdsetjinga</w:t>
      </w:r>
      <w:proofErr w:type="spellEnd"/>
      <w:r w:rsidRPr="00E426D3">
        <w:t xml:space="preserve"> </w:t>
      </w:r>
      <w:proofErr w:type="spellStart"/>
      <w:r w:rsidRPr="00E426D3">
        <w:t>ikkje</w:t>
      </w:r>
      <w:proofErr w:type="spellEnd"/>
      <w:r w:rsidRPr="00E426D3">
        <w:t xml:space="preserve"> er </w:t>
      </w:r>
      <w:proofErr w:type="spellStart"/>
      <w:r w:rsidRPr="00E426D3">
        <w:t>endeleg</w:t>
      </w:r>
      <w:proofErr w:type="spellEnd"/>
      <w:r w:rsidRPr="00E426D3">
        <w:t xml:space="preserve"> fastsett, og at det kan </w:t>
      </w:r>
      <w:proofErr w:type="spellStart"/>
      <w:r w:rsidRPr="00E426D3">
        <w:t>kome</w:t>
      </w:r>
      <w:proofErr w:type="spellEnd"/>
      <w:r w:rsidRPr="00E426D3">
        <w:t xml:space="preserve"> </w:t>
      </w:r>
      <w:proofErr w:type="spellStart"/>
      <w:r w:rsidRPr="00E426D3">
        <w:t>endringar</w:t>
      </w:r>
      <w:proofErr w:type="spellEnd"/>
      <w:r w:rsidRPr="00E426D3">
        <w:t xml:space="preserve"> som vil ha betydning for kommunen sitt proveny </w:t>
      </w:r>
      <w:proofErr w:type="spellStart"/>
      <w:r w:rsidRPr="00E426D3">
        <w:t>frå</w:t>
      </w:r>
      <w:proofErr w:type="spellEnd"/>
      <w:r w:rsidRPr="00E426D3">
        <w:t xml:space="preserve"> </w:t>
      </w:r>
      <w:proofErr w:type="spellStart"/>
      <w:r w:rsidRPr="00E426D3">
        <w:t>eigedomsskatten</w:t>
      </w:r>
      <w:proofErr w:type="spellEnd"/>
      <w:r w:rsidRPr="00E426D3">
        <w:t xml:space="preserve">. Dette vil </w:t>
      </w:r>
      <w:proofErr w:type="spellStart"/>
      <w:r w:rsidRPr="00E426D3">
        <w:t>vere</w:t>
      </w:r>
      <w:proofErr w:type="spellEnd"/>
      <w:r w:rsidRPr="00E426D3">
        <w:t xml:space="preserve"> av </w:t>
      </w:r>
      <w:proofErr w:type="spellStart"/>
      <w:r w:rsidRPr="00E426D3">
        <w:t>særleg</w:t>
      </w:r>
      <w:proofErr w:type="spellEnd"/>
      <w:r w:rsidRPr="00E426D3">
        <w:t xml:space="preserve"> betydning for skatteobjekt med </w:t>
      </w:r>
      <w:proofErr w:type="spellStart"/>
      <w:r w:rsidRPr="00E426D3">
        <w:t>høg</w:t>
      </w:r>
      <w:proofErr w:type="spellEnd"/>
      <w:r w:rsidRPr="00E426D3">
        <w:t xml:space="preserve"> verdi, og som </w:t>
      </w:r>
      <w:proofErr w:type="gramStart"/>
      <w:r w:rsidRPr="00E426D3">
        <w:t>genererer</w:t>
      </w:r>
      <w:proofErr w:type="gramEnd"/>
      <w:r w:rsidRPr="00E426D3">
        <w:t xml:space="preserve"> høge skatteinntekter til kommunen. Varselet vil bidra til at kommunen kan </w:t>
      </w:r>
      <w:proofErr w:type="spellStart"/>
      <w:r w:rsidRPr="00E426D3">
        <w:t>gjere</w:t>
      </w:r>
      <w:proofErr w:type="spellEnd"/>
      <w:r w:rsidRPr="00E426D3">
        <w:t xml:space="preserve"> eigne </w:t>
      </w:r>
      <w:proofErr w:type="spellStart"/>
      <w:r w:rsidRPr="00E426D3">
        <w:t>vurderingar</w:t>
      </w:r>
      <w:proofErr w:type="spellEnd"/>
      <w:r w:rsidRPr="00E426D3">
        <w:t xml:space="preserve"> med omsyn til om den skal foreta </w:t>
      </w:r>
      <w:proofErr w:type="spellStart"/>
      <w:r w:rsidRPr="00E426D3">
        <w:t>rettslege</w:t>
      </w:r>
      <w:proofErr w:type="spellEnd"/>
      <w:r w:rsidRPr="00E426D3">
        <w:t xml:space="preserve"> skritt i </w:t>
      </w:r>
      <w:proofErr w:type="spellStart"/>
      <w:r w:rsidRPr="00E426D3">
        <w:t>samanheng</w:t>
      </w:r>
      <w:proofErr w:type="spellEnd"/>
      <w:r w:rsidRPr="00E426D3">
        <w:t xml:space="preserve"> med søksmålet. Departementet syner til at kommunen kan </w:t>
      </w:r>
      <w:proofErr w:type="spellStart"/>
      <w:r w:rsidRPr="00E426D3">
        <w:t>velje</w:t>
      </w:r>
      <w:proofErr w:type="spellEnd"/>
      <w:r w:rsidRPr="00E426D3">
        <w:t xml:space="preserve"> å ta ut søksmål </w:t>
      </w:r>
      <w:proofErr w:type="spellStart"/>
      <w:r w:rsidRPr="00E426D3">
        <w:t>sjølv</w:t>
      </w:r>
      <w:proofErr w:type="spellEnd"/>
      <w:r w:rsidRPr="00E426D3">
        <w:t>, eller tre inn som partshjelpar i søksmålet.</w:t>
      </w:r>
    </w:p>
    <w:p w14:paraId="40800A91" w14:textId="77777777" w:rsidR="00772748" w:rsidRPr="00E426D3" w:rsidRDefault="00772748" w:rsidP="00E426D3">
      <w:pPr>
        <w:rPr>
          <w:rStyle w:val="sperret0"/>
        </w:rPr>
      </w:pPr>
      <w:r w:rsidRPr="00E426D3">
        <w:t xml:space="preserve">Ved søksmål </w:t>
      </w:r>
      <w:proofErr w:type="spellStart"/>
      <w:r w:rsidRPr="00E426D3">
        <w:t>frå</w:t>
      </w:r>
      <w:proofErr w:type="spellEnd"/>
      <w:r w:rsidRPr="00E426D3">
        <w:t xml:space="preserve"> kommunen er det </w:t>
      </w:r>
      <w:proofErr w:type="spellStart"/>
      <w:r w:rsidRPr="00E426D3">
        <w:t>skattemyndigheitene</w:t>
      </w:r>
      <w:proofErr w:type="spellEnd"/>
      <w:r w:rsidRPr="00E426D3">
        <w:t xml:space="preserve"> som mottar søksmålet. </w:t>
      </w:r>
      <w:proofErr w:type="spellStart"/>
      <w:r w:rsidRPr="00E426D3">
        <w:t>Skattemyndigheitene</w:t>
      </w:r>
      <w:proofErr w:type="spellEnd"/>
      <w:r w:rsidRPr="00E426D3">
        <w:t xml:space="preserve"> skal etter </w:t>
      </w:r>
      <w:proofErr w:type="spellStart"/>
      <w:r w:rsidRPr="00E426D3">
        <w:t>gjeldande</w:t>
      </w:r>
      <w:proofErr w:type="spellEnd"/>
      <w:r w:rsidRPr="00E426D3">
        <w:t xml:space="preserve"> rett </w:t>
      </w:r>
      <w:proofErr w:type="spellStart"/>
      <w:r w:rsidRPr="00E426D3">
        <w:t>gje</w:t>
      </w:r>
      <w:proofErr w:type="spellEnd"/>
      <w:r w:rsidRPr="00E426D3">
        <w:t xml:space="preserve"> kommunen </w:t>
      </w:r>
      <w:proofErr w:type="spellStart"/>
      <w:r w:rsidRPr="00E426D3">
        <w:t>opplysningar</w:t>
      </w:r>
      <w:proofErr w:type="spellEnd"/>
      <w:r w:rsidRPr="00E426D3">
        <w:t xml:space="preserve"> «som </w:t>
      </w:r>
      <w:proofErr w:type="spellStart"/>
      <w:r w:rsidRPr="00E426D3">
        <w:t>trengst</w:t>
      </w:r>
      <w:proofErr w:type="spellEnd"/>
      <w:r w:rsidRPr="00E426D3">
        <w:t xml:space="preserve"> til utskriving av eiendomsskatten», jf. </w:t>
      </w:r>
      <w:proofErr w:type="spellStart"/>
      <w:r w:rsidRPr="00E426D3">
        <w:t>eigedomsskattelova</w:t>
      </w:r>
      <w:proofErr w:type="spellEnd"/>
      <w:r w:rsidRPr="00E426D3">
        <w:t xml:space="preserve"> § 18. Det er </w:t>
      </w:r>
      <w:proofErr w:type="spellStart"/>
      <w:r w:rsidRPr="00E426D3">
        <w:t>difor</w:t>
      </w:r>
      <w:proofErr w:type="spellEnd"/>
      <w:r w:rsidRPr="00E426D3">
        <w:t xml:space="preserve"> </w:t>
      </w:r>
      <w:proofErr w:type="spellStart"/>
      <w:r w:rsidRPr="00E426D3">
        <w:t>allereie</w:t>
      </w:r>
      <w:proofErr w:type="spellEnd"/>
      <w:r w:rsidRPr="00E426D3">
        <w:t xml:space="preserve"> </w:t>
      </w:r>
      <w:proofErr w:type="spellStart"/>
      <w:r w:rsidRPr="00E426D3">
        <w:t>rutinar</w:t>
      </w:r>
      <w:proofErr w:type="spellEnd"/>
      <w:r w:rsidRPr="00E426D3">
        <w:t xml:space="preserve"> for utveksling av informasjon mellom </w:t>
      </w:r>
      <w:proofErr w:type="spellStart"/>
      <w:r w:rsidRPr="00E426D3">
        <w:t>skattemyndigheitene</w:t>
      </w:r>
      <w:proofErr w:type="spellEnd"/>
      <w:r w:rsidRPr="00E426D3">
        <w:t xml:space="preserve"> og </w:t>
      </w:r>
      <w:proofErr w:type="spellStart"/>
      <w:r w:rsidRPr="00E426D3">
        <w:t>kommunane</w:t>
      </w:r>
      <w:proofErr w:type="spellEnd"/>
      <w:r w:rsidRPr="00E426D3">
        <w:t xml:space="preserve">. Som i </w:t>
      </w:r>
      <w:proofErr w:type="spellStart"/>
      <w:r w:rsidRPr="00E426D3">
        <w:t>høyringsnotatet</w:t>
      </w:r>
      <w:proofErr w:type="spellEnd"/>
      <w:r w:rsidRPr="00E426D3">
        <w:t xml:space="preserve">, foreslår departementet at plikta til å varsle </w:t>
      </w:r>
      <w:proofErr w:type="spellStart"/>
      <w:r w:rsidRPr="00E426D3">
        <w:t>kommunane</w:t>
      </w:r>
      <w:proofErr w:type="spellEnd"/>
      <w:r w:rsidRPr="00E426D3">
        <w:t xml:space="preserve"> om søksmål </w:t>
      </w:r>
      <w:proofErr w:type="spellStart"/>
      <w:r w:rsidRPr="00E426D3">
        <w:t>frå</w:t>
      </w:r>
      <w:proofErr w:type="spellEnd"/>
      <w:r w:rsidRPr="00E426D3">
        <w:t xml:space="preserve"> </w:t>
      </w:r>
      <w:proofErr w:type="spellStart"/>
      <w:r w:rsidRPr="00E426D3">
        <w:t>dei</w:t>
      </w:r>
      <w:proofErr w:type="spellEnd"/>
      <w:r w:rsidRPr="00E426D3">
        <w:t xml:space="preserve"> </w:t>
      </w:r>
      <w:proofErr w:type="spellStart"/>
      <w:r w:rsidRPr="00E426D3">
        <w:t>eigedomsskattepliktige</w:t>
      </w:r>
      <w:proofErr w:type="spellEnd"/>
      <w:r w:rsidRPr="00E426D3">
        <w:t xml:space="preserve"> </w:t>
      </w:r>
      <w:proofErr w:type="spellStart"/>
      <w:r w:rsidRPr="00E426D3">
        <w:t>påleggjast</w:t>
      </w:r>
      <w:proofErr w:type="spellEnd"/>
      <w:r w:rsidRPr="00E426D3">
        <w:t xml:space="preserve"> </w:t>
      </w:r>
      <w:proofErr w:type="spellStart"/>
      <w:r w:rsidRPr="00E426D3">
        <w:t>skattemyndigheitene</w:t>
      </w:r>
      <w:proofErr w:type="spellEnd"/>
      <w:r w:rsidRPr="00E426D3">
        <w:t>.</w:t>
      </w:r>
    </w:p>
    <w:p w14:paraId="0B222ECD" w14:textId="77777777" w:rsidR="00772748" w:rsidRPr="00E426D3" w:rsidRDefault="00772748" w:rsidP="00E426D3">
      <w:pPr>
        <w:rPr>
          <w:rStyle w:val="sperret0"/>
        </w:rPr>
      </w:pPr>
      <w:r w:rsidRPr="00E426D3">
        <w:t xml:space="preserve">Departementet presiserer at varslingsplikta er avgrensa til å sende </w:t>
      </w:r>
      <w:proofErr w:type="spellStart"/>
      <w:r w:rsidRPr="00E426D3">
        <w:t>eit</w:t>
      </w:r>
      <w:proofErr w:type="spellEnd"/>
      <w:r w:rsidRPr="00E426D3">
        <w:t xml:space="preserve"> varsel om at det er </w:t>
      </w:r>
      <w:proofErr w:type="spellStart"/>
      <w:r w:rsidRPr="00E426D3">
        <w:t>teke</w:t>
      </w:r>
      <w:proofErr w:type="spellEnd"/>
      <w:r w:rsidRPr="00E426D3">
        <w:t xml:space="preserve"> ut stemning, med </w:t>
      </w:r>
      <w:proofErr w:type="spellStart"/>
      <w:r w:rsidRPr="00E426D3">
        <w:t>opplysningar</w:t>
      </w:r>
      <w:proofErr w:type="spellEnd"/>
      <w:r w:rsidRPr="00E426D3">
        <w:t xml:space="preserve"> om kven som er </w:t>
      </w:r>
      <w:proofErr w:type="spellStart"/>
      <w:r w:rsidRPr="00E426D3">
        <w:t>saksøkar</w:t>
      </w:r>
      <w:proofErr w:type="spellEnd"/>
      <w:r w:rsidRPr="00E426D3">
        <w:t xml:space="preserve"> og kva søksmålet gjeld. I samsvar med </w:t>
      </w:r>
      <w:proofErr w:type="spellStart"/>
      <w:r w:rsidRPr="00E426D3">
        <w:t>høyringsfråsegna</w:t>
      </w:r>
      <w:proofErr w:type="spellEnd"/>
      <w:r w:rsidRPr="00E426D3">
        <w:t xml:space="preserve"> </w:t>
      </w:r>
      <w:proofErr w:type="spellStart"/>
      <w:r w:rsidRPr="00E426D3">
        <w:t>frå</w:t>
      </w:r>
      <w:proofErr w:type="spellEnd"/>
      <w:r w:rsidRPr="00E426D3">
        <w:t xml:space="preserve"> LVK, </w:t>
      </w:r>
      <w:proofErr w:type="spellStart"/>
      <w:r w:rsidRPr="00E426D3">
        <w:t>gjer</w:t>
      </w:r>
      <w:proofErr w:type="spellEnd"/>
      <w:r w:rsidRPr="00E426D3">
        <w:t xml:space="preserve"> departementet framlegg om at det vert presisert i ordlyden at varslingsplikta </w:t>
      </w:r>
      <w:proofErr w:type="spellStart"/>
      <w:r w:rsidRPr="00E426D3">
        <w:t>påleggjast</w:t>
      </w:r>
      <w:proofErr w:type="spellEnd"/>
      <w:r w:rsidRPr="00E426D3">
        <w:t xml:space="preserve"> </w:t>
      </w:r>
      <w:proofErr w:type="spellStart"/>
      <w:r w:rsidRPr="00E426D3">
        <w:t>skattemyndigheitene</w:t>
      </w:r>
      <w:proofErr w:type="spellEnd"/>
      <w:r w:rsidRPr="00E426D3">
        <w:t>.</w:t>
      </w:r>
    </w:p>
    <w:p w14:paraId="396A24F2" w14:textId="77777777" w:rsidR="00772748" w:rsidRPr="00E426D3" w:rsidRDefault="00772748" w:rsidP="00E426D3">
      <w:pPr>
        <w:rPr>
          <w:rStyle w:val="sperret0"/>
        </w:rPr>
      </w:pPr>
      <w:r w:rsidRPr="00E426D3">
        <w:t xml:space="preserve">LVK meiner at </w:t>
      </w:r>
      <w:proofErr w:type="spellStart"/>
      <w:r w:rsidRPr="00E426D3">
        <w:t>kommunane</w:t>
      </w:r>
      <w:proofErr w:type="spellEnd"/>
      <w:r w:rsidRPr="00E426D3">
        <w:t xml:space="preserve"> òg bør </w:t>
      </w:r>
      <w:proofErr w:type="spellStart"/>
      <w:r w:rsidRPr="00E426D3">
        <w:t>varslast</w:t>
      </w:r>
      <w:proofErr w:type="spellEnd"/>
      <w:r w:rsidRPr="00E426D3">
        <w:t xml:space="preserve"> ved klager </w:t>
      </w:r>
      <w:proofErr w:type="spellStart"/>
      <w:r w:rsidRPr="00E426D3">
        <w:t>frå</w:t>
      </w:r>
      <w:proofErr w:type="spellEnd"/>
      <w:r w:rsidRPr="00E426D3">
        <w:t xml:space="preserve"> </w:t>
      </w:r>
      <w:proofErr w:type="spellStart"/>
      <w:r w:rsidRPr="00E426D3">
        <w:t>dei</w:t>
      </w:r>
      <w:proofErr w:type="spellEnd"/>
      <w:r w:rsidRPr="00E426D3">
        <w:t xml:space="preserve"> skattepliktige. Departementet syner til at </w:t>
      </w:r>
      <w:proofErr w:type="spellStart"/>
      <w:r w:rsidRPr="00E426D3">
        <w:t>skattefastsetjinga</w:t>
      </w:r>
      <w:proofErr w:type="spellEnd"/>
      <w:r w:rsidRPr="00E426D3">
        <w:t xml:space="preserve"> i utgangspunktet er </w:t>
      </w:r>
      <w:proofErr w:type="spellStart"/>
      <w:r w:rsidRPr="00E426D3">
        <w:t>eit</w:t>
      </w:r>
      <w:proofErr w:type="spellEnd"/>
      <w:r w:rsidRPr="00E426D3">
        <w:t xml:space="preserve"> forhold mellom </w:t>
      </w:r>
      <w:proofErr w:type="spellStart"/>
      <w:r w:rsidRPr="00E426D3">
        <w:t>skattemyndigheitene</w:t>
      </w:r>
      <w:proofErr w:type="spellEnd"/>
      <w:r w:rsidRPr="00E426D3">
        <w:t xml:space="preserve"> og den skattepliktige. Kommunen som tredjepart har ingen </w:t>
      </w:r>
      <w:proofErr w:type="spellStart"/>
      <w:r w:rsidRPr="00E426D3">
        <w:t>rettar</w:t>
      </w:r>
      <w:proofErr w:type="spellEnd"/>
      <w:r w:rsidRPr="00E426D3">
        <w:t xml:space="preserve"> eller plikter i denne prosessen. Etter departementet </w:t>
      </w:r>
      <w:proofErr w:type="spellStart"/>
      <w:r w:rsidRPr="00E426D3">
        <w:t>si</w:t>
      </w:r>
      <w:proofErr w:type="spellEnd"/>
      <w:r w:rsidRPr="00E426D3">
        <w:t xml:space="preserve"> oppfatning er </w:t>
      </w:r>
      <w:proofErr w:type="spellStart"/>
      <w:r w:rsidRPr="00E426D3">
        <w:t>kommunane</w:t>
      </w:r>
      <w:proofErr w:type="spellEnd"/>
      <w:r w:rsidRPr="00E426D3">
        <w:t xml:space="preserve"> sine interesser </w:t>
      </w:r>
      <w:proofErr w:type="spellStart"/>
      <w:r w:rsidRPr="00E426D3">
        <w:t>tilstrekkeleg</w:t>
      </w:r>
      <w:proofErr w:type="spellEnd"/>
      <w:r w:rsidRPr="00E426D3">
        <w:t xml:space="preserve"> </w:t>
      </w:r>
      <w:proofErr w:type="spellStart"/>
      <w:r w:rsidRPr="00E426D3">
        <w:t>ivaretekne</w:t>
      </w:r>
      <w:proofErr w:type="spellEnd"/>
      <w:r w:rsidRPr="00E426D3">
        <w:t xml:space="preserve"> gjennom søksmålsretten. På bakgrunn av dette meiner departementet det </w:t>
      </w:r>
      <w:proofErr w:type="spellStart"/>
      <w:r w:rsidRPr="00E426D3">
        <w:t>ikkje</w:t>
      </w:r>
      <w:proofErr w:type="spellEnd"/>
      <w:r w:rsidRPr="00E426D3">
        <w:t xml:space="preserve"> ligg føre </w:t>
      </w:r>
      <w:proofErr w:type="spellStart"/>
      <w:r w:rsidRPr="00E426D3">
        <w:t>tilstrekkelege</w:t>
      </w:r>
      <w:proofErr w:type="spellEnd"/>
      <w:r w:rsidRPr="00E426D3">
        <w:t xml:space="preserve"> </w:t>
      </w:r>
      <w:proofErr w:type="spellStart"/>
      <w:r w:rsidRPr="00E426D3">
        <w:t>grunnar</w:t>
      </w:r>
      <w:proofErr w:type="spellEnd"/>
      <w:r w:rsidRPr="00E426D3">
        <w:t xml:space="preserve"> til at varslingsplikta òg bør omfatte klager.</w:t>
      </w:r>
    </w:p>
    <w:p w14:paraId="381833C7" w14:textId="77777777" w:rsidR="00772748" w:rsidRPr="00E426D3" w:rsidRDefault="00772748" w:rsidP="00E426D3">
      <w:r w:rsidRPr="00E426D3">
        <w:t>Departementet syner til framlegg til skatteforvaltningsloven § 15-1 nytt tredje ledd.</w:t>
      </w:r>
    </w:p>
    <w:p w14:paraId="1387274C" w14:textId="77777777" w:rsidR="00772748" w:rsidRPr="00E426D3" w:rsidRDefault="00772748" w:rsidP="00E426D3">
      <w:pPr>
        <w:pStyle w:val="Overskrift3"/>
      </w:pPr>
      <w:r w:rsidRPr="00E426D3">
        <w:lastRenderedPageBreak/>
        <w:t xml:space="preserve">Frist for </w:t>
      </w:r>
      <w:proofErr w:type="spellStart"/>
      <w:r w:rsidRPr="00E426D3">
        <w:t>kommunane</w:t>
      </w:r>
      <w:proofErr w:type="spellEnd"/>
      <w:r w:rsidRPr="00E426D3">
        <w:t xml:space="preserve"> til å levere søksmål</w:t>
      </w:r>
    </w:p>
    <w:p w14:paraId="42FB4575" w14:textId="77777777" w:rsidR="00772748" w:rsidRPr="00E426D3" w:rsidRDefault="00772748" w:rsidP="00E426D3">
      <w:r w:rsidRPr="00E426D3">
        <w:t xml:space="preserve">Når den </w:t>
      </w:r>
      <w:proofErr w:type="spellStart"/>
      <w:r w:rsidRPr="00E426D3">
        <w:t>eigedomsskattepliktige</w:t>
      </w:r>
      <w:proofErr w:type="spellEnd"/>
      <w:r w:rsidRPr="00E426D3">
        <w:t xml:space="preserve"> går til søksmål om </w:t>
      </w:r>
      <w:proofErr w:type="spellStart"/>
      <w:r w:rsidRPr="00E426D3">
        <w:t>endringar</w:t>
      </w:r>
      <w:proofErr w:type="spellEnd"/>
      <w:r w:rsidRPr="00E426D3">
        <w:t xml:space="preserve"> </w:t>
      </w:r>
      <w:proofErr w:type="spellStart"/>
      <w:r w:rsidRPr="00E426D3">
        <w:t>skattemyndigheitene</w:t>
      </w:r>
      <w:proofErr w:type="spellEnd"/>
      <w:r w:rsidRPr="00E426D3">
        <w:t xml:space="preserve"> </w:t>
      </w:r>
      <w:proofErr w:type="spellStart"/>
      <w:r w:rsidRPr="00E426D3">
        <w:t>gjer</w:t>
      </w:r>
      <w:proofErr w:type="spellEnd"/>
      <w:r w:rsidRPr="00E426D3">
        <w:t xml:space="preserve"> i </w:t>
      </w:r>
      <w:proofErr w:type="spellStart"/>
      <w:r w:rsidRPr="00E426D3">
        <w:t>skattefastsetjinga</w:t>
      </w:r>
      <w:proofErr w:type="spellEnd"/>
      <w:r w:rsidRPr="00E426D3">
        <w:t xml:space="preserve">, løper søksmålsfristen </w:t>
      </w:r>
      <w:proofErr w:type="spellStart"/>
      <w:r w:rsidRPr="00E426D3">
        <w:t>frå</w:t>
      </w:r>
      <w:proofErr w:type="spellEnd"/>
      <w:r w:rsidRPr="00E426D3">
        <w:t xml:space="preserve"> vedtaket </w:t>
      </w:r>
      <w:proofErr w:type="spellStart"/>
      <w:r w:rsidRPr="00E426D3">
        <w:t>vart</w:t>
      </w:r>
      <w:proofErr w:type="spellEnd"/>
      <w:r w:rsidRPr="00E426D3">
        <w:t xml:space="preserve"> sendt den skattepliktige. Departementet syner til </w:t>
      </w:r>
      <w:proofErr w:type="spellStart"/>
      <w:r w:rsidRPr="00E426D3">
        <w:t>eigedomsskattelova</w:t>
      </w:r>
      <w:proofErr w:type="spellEnd"/>
      <w:r w:rsidRPr="00E426D3">
        <w:t xml:space="preserve"> § 23 fyrste ledd, jf. skatteforvaltningsloven § 15-4 fyrste ledd. Denne regelen </w:t>
      </w:r>
      <w:proofErr w:type="spellStart"/>
      <w:r w:rsidRPr="00E426D3">
        <w:t>passar</w:t>
      </w:r>
      <w:proofErr w:type="spellEnd"/>
      <w:r w:rsidRPr="00E426D3">
        <w:t xml:space="preserve"> </w:t>
      </w:r>
      <w:proofErr w:type="spellStart"/>
      <w:r w:rsidRPr="00E426D3">
        <w:t>ikkje</w:t>
      </w:r>
      <w:proofErr w:type="spellEnd"/>
      <w:r w:rsidRPr="00E426D3">
        <w:t xml:space="preserve"> ved søksmål </w:t>
      </w:r>
      <w:proofErr w:type="spellStart"/>
      <w:r w:rsidRPr="00E426D3">
        <w:t>frå</w:t>
      </w:r>
      <w:proofErr w:type="spellEnd"/>
      <w:r w:rsidRPr="00E426D3">
        <w:t xml:space="preserve"> kommunen. I </w:t>
      </w:r>
      <w:proofErr w:type="spellStart"/>
      <w:r w:rsidRPr="00E426D3">
        <w:t>høyringsnotatet</w:t>
      </w:r>
      <w:proofErr w:type="spellEnd"/>
      <w:r w:rsidRPr="00E426D3">
        <w:t xml:space="preserve"> gjorde departementet </w:t>
      </w:r>
      <w:proofErr w:type="spellStart"/>
      <w:r w:rsidRPr="00E426D3">
        <w:t>difor</w:t>
      </w:r>
      <w:proofErr w:type="spellEnd"/>
      <w:r w:rsidRPr="00E426D3">
        <w:t xml:space="preserve"> framlegg om at søksmålsfristen for kommunen skal begynne å løpe når </w:t>
      </w:r>
      <w:proofErr w:type="spellStart"/>
      <w:r w:rsidRPr="00E426D3">
        <w:t>skattemyndigheitene</w:t>
      </w:r>
      <w:proofErr w:type="spellEnd"/>
      <w:r w:rsidRPr="00E426D3">
        <w:t xml:space="preserve"> sender melding om </w:t>
      </w:r>
      <w:proofErr w:type="spellStart"/>
      <w:r w:rsidRPr="00E426D3">
        <w:t>verdsetjinga</w:t>
      </w:r>
      <w:proofErr w:type="spellEnd"/>
      <w:r w:rsidRPr="00E426D3">
        <w:t xml:space="preserve"> til kommunen.</w:t>
      </w:r>
    </w:p>
    <w:p w14:paraId="3CA471D8" w14:textId="77777777" w:rsidR="00772748" w:rsidRPr="00E426D3" w:rsidRDefault="00772748" w:rsidP="00E426D3">
      <w:proofErr w:type="spellStart"/>
      <w:r w:rsidRPr="00E426D3">
        <w:t>Høyringsinstansane</w:t>
      </w:r>
      <w:proofErr w:type="spellEnd"/>
      <w:r w:rsidRPr="00E426D3">
        <w:t xml:space="preserve"> har </w:t>
      </w:r>
      <w:proofErr w:type="spellStart"/>
      <w:r w:rsidRPr="00E426D3">
        <w:t>ikkje</w:t>
      </w:r>
      <w:proofErr w:type="spellEnd"/>
      <w:r w:rsidRPr="00E426D3">
        <w:t xml:space="preserve"> </w:t>
      </w:r>
      <w:proofErr w:type="spellStart"/>
      <w:r w:rsidRPr="00E426D3">
        <w:t>kome</w:t>
      </w:r>
      <w:proofErr w:type="spellEnd"/>
      <w:r w:rsidRPr="00E426D3">
        <w:t xml:space="preserve"> med merknader til framlegget i </w:t>
      </w:r>
      <w:proofErr w:type="spellStart"/>
      <w:r w:rsidRPr="00E426D3">
        <w:t>høyringsnotatet</w:t>
      </w:r>
      <w:proofErr w:type="spellEnd"/>
      <w:r w:rsidRPr="00E426D3">
        <w:t>.</w:t>
      </w:r>
    </w:p>
    <w:p w14:paraId="0BB04B3B" w14:textId="77777777" w:rsidR="00772748" w:rsidRPr="00E426D3" w:rsidRDefault="00772748" w:rsidP="00E426D3">
      <w:pPr>
        <w:rPr>
          <w:rStyle w:val="sperret0"/>
        </w:rPr>
      </w:pPr>
      <w:r w:rsidRPr="00E426D3">
        <w:rPr>
          <w:rStyle w:val="sperret0"/>
        </w:rPr>
        <w:t xml:space="preserve">Departementet </w:t>
      </w:r>
      <w:r w:rsidRPr="00E426D3">
        <w:t xml:space="preserve">held fast ved vurderinga </w:t>
      </w:r>
      <w:proofErr w:type="spellStart"/>
      <w:r w:rsidRPr="00E426D3">
        <w:t>frå</w:t>
      </w:r>
      <w:proofErr w:type="spellEnd"/>
      <w:r w:rsidRPr="00E426D3">
        <w:t xml:space="preserve"> </w:t>
      </w:r>
      <w:proofErr w:type="spellStart"/>
      <w:r w:rsidRPr="00E426D3">
        <w:t>høyringsnotatet</w:t>
      </w:r>
      <w:proofErr w:type="spellEnd"/>
      <w:r w:rsidRPr="00E426D3">
        <w:t xml:space="preserve">, og </w:t>
      </w:r>
      <w:proofErr w:type="spellStart"/>
      <w:r w:rsidRPr="00E426D3">
        <w:t>gjer</w:t>
      </w:r>
      <w:proofErr w:type="spellEnd"/>
      <w:r w:rsidRPr="00E426D3">
        <w:t xml:space="preserve"> framlegg om at søksmålsfristen for kommunen skal begynne å løpe når </w:t>
      </w:r>
      <w:proofErr w:type="spellStart"/>
      <w:r w:rsidRPr="00E426D3">
        <w:t>skattemyndigheitene</w:t>
      </w:r>
      <w:proofErr w:type="spellEnd"/>
      <w:r w:rsidRPr="00E426D3">
        <w:t xml:space="preserve"> sender melding om </w:t>
      </w:r>
      <w:proofErr w:type="spellStart"/>
      <w:r w:rsidRPr="00E426D3">
        <w:t>verdsetjinga</w:t>
      </w:r>
      <w:proofErr w:type="spellEnd"/>
      <w:r w:rsidRPr="00E426D3">
        <w:t xml:space="preserve">, jf. </w:t>
      </w:r>
      <w:proofErr w:type="spellStart"/>
      <w:r w:rsidRPr="00E426D3">
        <w:t>eigedomsskattelova</w:t>
      </w:r>
      <w:proofErr w:type="spellEnd"/>
      <w:r w:rsidRPr="00E426D3">
        <w:t xml:space="preserve"> § 18. Føresegna skal gjelde både </w:t>
      </w:r>
      <w:proofErr w:type="spellStart"/>
      <w:r w:rsidRPr="00E426D3">
        <w:t>verdsetjing</w:t>
      </w:r>
      <w:proofErr w:type="spellEnd"/>
      <w:r w:rsidRPr="00E426D3">
        <w:t xml:space="preserve"> ved den skattepliktige si </w:t>
      </w:r>
      <w:proofErr w:type="spellStart"/>
      <w:r w:rsidRPr="00E426D3">
        <w:t>eigenfastsetjing</w:t>
      </w:r>
      <w:proofErr w:type="spellEnd"/>
      <w:r w:rsidRPr="00E426D3">
        <w:t xml:space="preserve">, og ved vedtak </w:t>
      </w:r>
      <w:proofErr w:type="spellStart"/>
      <w:r w:rsidRPr="00E426D3">
        <w:t>frå</w:t>
      </w:r>
      <w:proofErr w:type="spellEnd"/>
      <w:r w:rsidRPr="00E426D3">
        <w:t xml:space="preserve"> </w:t>
      </w:r>
      <w:proofErr w:type="spellStart"/>
      <w:r w:rsidRPr="00E426D3">
        <w:t>skattemyndigheitene</w:t>
      </w:r>
      <w:proofErr w:type="spellEnd"/>
      <w:r w:rsidRPr="00E426D3">
        <w:t>.</w:t>
      </w:r>
    </w:p>
    <w:p w14:paraId="0542CF29" w14:textId="77777777" w:rsidR="00772748" w:rsidRPr="00E426D3" w:rsidRDefault="00772748" w:rsidP="00E426D3">
      <w:r w:rsidRPr="00E426D3">
        <w:t xml:space="preserve">Kommunen vert informert om den skattepliktige si </w:t>
      </w:r>
      <w:proofErr w:type="spellStart"/>
      <w:r w:rsidRPr="00E426D3">
        <w:t>eigenfastsetjing</w:t>
      </w:r>
      <w:proofErr w:type="spellEnd"/>
      <w:r w:rsidRPr="00E426D3">
        <w:t xml:space="preserve"> og </w:t>
      </w:r>
      <w:proofErr w:type="spellStart"/>
      <w:r w:rsidRPr="00E426D3">
        <w:t>endringar</w:t>
      </w:r>
      <w:proofErr w:type="spellEnd"/>
      <w:r w:rsidRPr="00E426D3">
        <w:t xml:space="preserve"> gjort av </w:t>
      </w:r>
      <w:proofErr w:type="spellStart"/>
      <w:r w:rsidRPr="00E426D3">
        <w:t>skattemyndigheitene</w:t>
      </w:r>
      <w:proofErr w:type="spellEnd"/>
      <w:r w:rsidRPr="00E426D3">
        <w:t xml:space="preserve">, når </w:t>
      </w:r>
      <w:proofErr w:type="spellStart"/>
      <w:r w:rsidRPr="00E426D3">
        <w:t>skattemyndigheitene</w:t>
      </w:r>
      <w:proofErr w:type="spellEnd"/>
      <w:r w:rsidRPr="00E426D3">
        <w:t xml:space="preserve"> sender melding om </w:t>
      </w:r>
      <w:proofErr w:type="spellStart"/>
      <w:r w:rsidRPr="00E426D3">
        <w:t>verdsetjingane</w:t>
      </w:r>
      <w:proofErr w:type="spellEnd"/>
      <w:r w:rsidRPr="00E426D3">
        <w:t xml:space="preserve">, jf. </w:t>
      </w:r>
      <w:proofErr w:type="spellStart"/>
      <w:r w:rsidRPr="00E426D3">
        <w:t>eigedomsskattelova</w:t>
      </w:r>
      <w:proofErr w:type="spellEnd"/>
      <w:r w:rsidRPr="00E426D3">
        <w:t xml:space="preserve"> § 18. Departementet presiserer at søksmålsfristen til kommunen vert </w:t>
      </w:r>
      <w:proofErr w:type="spellStart"/>
      <w:r w:rsidRPr="00E426D3">
        <w:t>rekna</w:t>
      </w:r>
      <w:proofErr w:type="spellEnd"/>
      <w:r w:rsidRPr="00E426D3">
        <w:t xml:space="preserve"> </w:t>
      </w:r>
      <w:proofErr w:type="spellStart"/>
      <w:r w:rsidRPr="00E426D3">
        <w:t>frå</w:t>
      </w:r>
      <w:proofErr w:type="spellEnd"/>
      <w:r w:rsidRPr="00E426D3">
        <w:t xml:space="preserve"> datoen for oversendinga, og </w:t>
      </w:r>
      <w:proofErr w:type="spellStart"/>
      <w:r w:rsidRPr="00E426D3">
        <w:t>ikkje</w:t>
      </w:r>
      <w:proofErr w:type="spellEnd"/>
      <w:r w:rsidRPr="00E426D3">
        <w:t xml:space="preserve"> datoen for sjølve </w:t>
      </w:r>
      <w:proofErr w:type="spellStart"/>
      <w:r w:rsidRPr="00E426D3">
        <w:t>verdsetjingane</w:t>
      </w:r>
      <w:proofErr w:type="spellEnd"/>
      <w:r w:rsidRPr="00E426D3">
        <w:t xml:space="preserve">. Departementet syner til at det fyrst er </w:t>
      </w:r>
      <w:proofErr w:type="spellStart"/>
      <w:r w:rsidRPr="00E426D3">
        <w:t>frå</w:t>
      </w:r>
      <w:proofErr w:type="spellEnd"/>
      <w:r w:rsidRPr="00E426D3">
        <w:t xml:space="preserve"> oversendinga kommunen kan </w:t>
      </w:r>
      <w:proofErr w:type="spellStart"/>
      <w:r w:rsidRPr="00E426D3">
        <w:t>gjere</w:t>
      </w:r>
      <w:proofErr w:type="spellEnd"/>
      <w:r w:rsidRPr="00E426D3">
        <w:t xml:space="preserve"> seg kjent med </w:t>
      </w:r>
      <w:proofErr w:type="spellStart"/>
      <w:r w:rsidRPr="00E426D3">
        <w:t>verdsetjinga</w:t>
      </w:r>
      <w:proofErr w:type="spellEnd"/>
      <w:r w:rsidRPr="00E426D3">
        <w:t>.</w:t>
      </w:r>
    </w:p>
    <w:p w14:paraId="6F11F843" w14:textId="77777777" w:rsidR="00772748" w:rsidRPr="00E426D3" w:rsidRDefault="00772748" w:rsidP="00E426D3">
      <w:r w:rsidRPr="00E426D3">
        <w:t>Departementet syner til framlegg til skatteforvaltningsloven § 15-4 fyrste ledd nytt annet punktum.</w:t>
      </w:r>
    </w:p>
    <w:p w14:paraId="1F6E0E2A" w14:textId="77777777" w:rsidR="00772748" w:rsidRPr="00E426D3" w:rsidRDefault="00772748" w:rsidP="00E426D3">
      <w:pPr>
        <w:pStyle w:val="Overskrift3"/>
      </w:pPr>
      <w:r w:rsidRPr="00E426D3">
        <w:t>Oppretting av lovtekst</w:t>
      </w:r>
    </w:p>
    <w:p w14:paraId="5C22236B" w14:textId="77777777" w:rsidR="00772748" w:rsidRPr="00E426D3" w:rsidRDefault="00772748" w:rsidP="00E426D3">
      <w:r w:rsidRPr="00E426D3">
        <w:t xml:space="preserve">I overskrifta til </w:t>
      </w:r>
      <w:proofErr w:type="spellStart"/>
      <w:r w:rsidRPr="00E426D3">
        <w:t>Eigedomsskattelova</w:t>
      </w:r>
      <w:proofErr w:type="spellEnd"/>
      <w:r w:rsidRPr="00E426D3">
        <w:t xml:space="preserve"> § 8 B-1 vert omgrepet «kraftanlegg» brukt. I ordlyden til skatteforvaltningsloven § 15-2 tredje ledd vert omgrepet «kraftforetak» brukt. I </w:t>
      </w:r>
      <w:proofErr w:type="spellStart"/>
      <w:r w:rsidRPr="00E426D3">
        <w:t>høyringsnotatet</w:t>
      </w:r>
      <w:proofErr w:type="spellEnd"/>
      <w:r w:rsidRPr="00E426D3">
        <w:t xml:space="preserve"> gjorde departementet framlegg om ei oppretting i lovteksten til skatteforvaltningsloven § 15-2 tredje ledd, slik at omgrepa i føresegnene vert like.</w:t>
      </w:r>
    </w:p>
    <w:p w14:paraId="24B5A89F" w14:textId="77777777" w:rsidR="00772748" w:rsidRPr="00E426D3" w:rsidRDefault="00772748" w:rsidP="00E426D3">
      <w:pPr>
        <w:rPr>
          <w:rStyle w:val="kursiv"/>
        </w:rPr>
      </w:pPr>
      <w:r w:rsidRPr="00E426D3">
        <w:rPr>
          <w:rStyle w:val="kursiv"/>
        </w:rPr>
        <w:t xml:space="preserve">Fornybar Norge </w:t>
      </w:r>
      <w:r w:rsidRPr="00E426D3">
        <w:t xml:space="preserve">støtter framlegget til oppretting av lovtekst i skatteforvaltningsloven. Dei </w:t>
      </w:r>
      <w:proofErr w:type="spellStart"/>
      <w:r w:rsidRPr="00E426D3">
        <w:t>oppfordrar</w:t>
      </w:r>
      <w:proofErr w:type="spellEnd"/>
      <w:r w:rsidRPr="00E426D3">
        <w:t xml:space="preserve"> òg til å presisere omgrepet «kraftanlegg» i </w:t>
      </w:r>
      <w:proofErr w:type="spellStart"/>
      <w:r w:rsidRPr="00E426D3">
        <w:t>eigedomsskattelova</w:t>
      </w:r>
      <w:proofErr w:type="spellEnd"/>
      <w:r w:rsidRPr="00E426D3">
        <w:t xml:space="preserve">. Fornybar Norge syner til at omgrepet «kraftanlegg», brukt om vasskraftverk, kan føre til forvirring. Dette fordi </w:t>
      </w:r>
      <w:proofErr w:type="spellStart"/>
      <w:r w:rsidRPr="00E426D3">
        <w:t>ein</w:t>
      </w:r>
      <w:proofErr w:type="spellEnd"/>
      <w:r w:rsidRPr="00E426D3">
        <w:t xml:space="preserve"> feilaktig kan anta at </w:t>
      </w:r>
      <w:proofErr w:type="spellStart"/>
      <w:r w:rsidRPr="00E426D3">
        <w:t>særreglane</w:t>
      </w:r>
      <w:proofErr w:type="spellEnd"/>
      <w:r w:rsidRPr="00E426D3">
        <w:t xml:space="preserve"> for vasskraftverk </w:t>
      </w:r>
      <w:proofErr w:type="spellStart"/>
      <w:r w:rsidRPr="00E426D3">
        <w:t>omfattar</w:t>
      </w:r>
      <w:proofErr w:type="spellEnd"/>
      <w:r w:rsidRPr="00E426D3">
        <w:t xml:space="preserve"> andre </w:t>
      </w:r>
      <w:proofErr w:type="spellStart"/>
      <w:r w:rsidRPr="00E426D3">
        <w:t>typar</w:t>
      </w:r>
      <w:proofErr w:type="spellEnd"/>
      <w:r w:rsidRPr="00E426D3">
        <w:t xml:space="preserve"> kraftanlegg, som vindkraftverk og solkraftverk.</w:t>
      </w:r>
    </w:p>
    <w:p w14:paraId="6812B30D" w14:textId="77777777" w:rsidR="00772748" w:rsidRPr="00E426D3" w:rsidRDefault="00772748" w:rsidP="00E426D3">
      <w:pPr>
        <w:rPr>
          <w:rStyle w:val="kursiv"/>
        </w:rPr>
      </w:pPr>
      <w:r w:rsidRPr="00E426D3">
        <w:rPr>
          <w:rStyle w:val="kursiv"/>
        </w:rPr>
        <w:t xml:space="preserve">Landssamanslutninga av </w:t>
      </w:r>
      <w:proofErr w:type="spellStart"/>
      <w:r w:rsidRPr="00E426D3">
        <w:rPr>
          <w:rStyle w:val="kursiv"/>
        </w:rPr>
        <w:t>Vasskraftkommunar</w:t>
      </w:r>
      <w:proofErr w:type="spellEnd"/>
      <w:r w:rsidRPr="00E426D3">
        <w:rPr>
          <w:rStyle w:val="kursiv"/>
        </w:rPr>
        <w:t xml:space="preserve"> (LVK) </w:t>
      </w:r>
      <w:r w:rsidRPr="00E426D3">
        <w:t xml:space="preserve">har </w:t>
      </w:r>
      <w:proofErr w:type="spellStart"/>
      <w:r w:rsidRPr="00E426D3">
        <w:t>ikkje</w:t>
      </w:r>
      <w:proofErr w:type="spellEnd"/>
      <w:r w:rsidRPr="00E426D3">
        <w:t xml:space="preserve"> </w:t>
      </w:r>
      <w:proofErr w:type="spellStart"/>
      <w:r w:rsidRPr="00E426D3">
        <w:t>innvendingar</w:t>
      </w:r>
      <w:proofErr w:type="spellEnd"/>
      <w:r w:rsidRPr="00E426D3">
        <w:t xml:space="preserve"> til framlegget til oppretting av lovtekst, men ber departementet understreke at dette </w:t>
      </w:r>
      <w:proofErr w:type="spellStart"/>
      <w:r w:rsidRPr="00E426D3">
        <w:t>ikkje</w:t>
      </w:r>
      <w:proofErr w:type="spellEnd"/>
      <w:r w:rsidRPr="00E426D3">
        <w:t xml:space="preserve"> </w:t>
      </w:r>
      <w:proofErr w:type="spellStart"/>
      <w:r w:rsidRPr="00E426D3">
        <w:t>inneber</w:t>
      </w:r>
      <w:proofErr w:type="spellEnd"/>
      <w:r w:rsidRPr="00E426D3">
        <w:t xml:space="preserve"> </w:t>
      </w:r>
      <w:proofErr w:type="spellStart"/>
      <w:r w:rsidRPr="00E426D3">
        <w:t>noka</w:t>
      </w:r>
      <w:proofErr w:type="spellEnd"/>
      <w:r w:rsidRPr="00E426D3">
        <w:t xml:space="preserve"> innskrenking av søksmålsadgangen til </w:t>
      </w:r>
      <w:proofErr w:type="spellStart"/>
      <w:r w:rsidRPr="00E426D3">
        <w:t>kommunane</w:t>
      </w:r>
      <w:proofErr w:type="spellEnd"/>
      <w:r w:rsidRPr="00E426D3">
        <w:t>.</w:t>
      </w:r>
    </w:p>
    <w:p w14:paraId="306BEB04" w14:textId="77777777" w:rsidR="00772748" w:rsidRPr="00E426D3" w:rsidRDefault="00772748" w:rsidP="00E426D3">
      <w:pPr>
        <w:rPr>
          <w:rStyle w:val="sperret0"/>
        </w:rPr>
      </w:pPr>
      <w:r w:rsidRPr="00E426D3">
        <w:rPr>
          <w:rStyle w:val="sperret0"/>
        </w:rPr>
        <w:t>Departementet</w:t>
      </w:r>
      <w:r w:rsidRPr="00E426D3">
        <w:t xml:space="preserve"> syner til </w:t>
      </w:r>
      <w:proofErr w:type="spellStart"/>
      <w:r w:rsidRPr="00E426D3">
        <w:t>eigedomsskattelova</w:t>
      </w:r>
      <w:proofErr w:type="spellEnd"/>
      <w:r w:rsidRPr="00E426D3">
        <w:t xml:space="preserve"> § 8 B-1. Føresegna har overskrifta «Skattegrunnlag for kraftanlegg». Det følgjer av fyrste ledd i føresegna at «</w:t>
      </w:r>
      <w:proofErr w:type="spellStart"/>
      <w:r w:rsidRPr="00E426D3">
        <w:t>Eigedomsskatt</w:t>
      </w:r>
      <w:proofErr w:type="spellEnd"/>
      <w:r w:rsidRPr="00E426D3">
        <w:t xml:space="preserve"> for anlegg for produksjon av elektrisk kraft skal </w:t>
      </w:r>
      <w:proofErr w:type="spellStart"/>
      <w:r w:rsidRPr="00E426D3">
        <w:t>reknast</w:t>
      </w:r>
      <w:proofErr w:type="spellEnd"/>
      <w:r w:rsidRPr="00E426D3">
        <w:t xml:space="preserve"> ut etter </w:t>
      </w:r>
      <w:proofErr w:type="spellStart"/>
      <w:r w:rsidRPr="00E426D3">
        <w:t>verdet</w:t>
      </w:r>
      <w:proofErr w:type="spellEnd"/>
      <w:r w:rsidRPr="00E426D3">
        <w:t xml:space="preserve"> (taksten) som anlegget vert sett til ved </w:t>
      </w:r>
      <w:proofErr w:type="spellStart"/>
      <w:r w:rsidRPr="00E426D3">
        <w:t>fastsetjinga</w:t>
      </w:r>
      <w:proofErr w:type="spellEnd"/>
      <w:r w:rsidRPr="00E426D3">
        <w:t xml:space="preserve"> av formues- og inntektsskatt året før skatteåret.»</w:t>
      </w:r>
    </w:p>
    <w:p w14:paraId="3723C482" w14:textId="77777777" w:rsidR="00772748" w:rsidRPr="00E426D3" w:rsidRDefault="00772748" w:rsidP="00E426D3">
      <w:r w:rsidRPr="00E426D3">
        <w:t>Omgrepet «kraftanlegg» er definert i skatteloven § 18-1. Her står det at «Med kraftanlegg menes kraftstasjonen med tilhørende reguleringsanlegg eller andel i slike, men unntatt fjernledninger og fordelingsanlegg. Produksjonslinjer skal likevel regnes som en del av kraftanlegget.»</w:t>
      </w:r>
    </w:p>
    <w:p w14:paraId="723670B6" w14:textId="77777777" w:rsidR="00772748" w:rsidRPr="00E426D3" w:rsidRDefault="00772748" w:rsidP="00E426D3">
      <w:r w:rsidRPr="00E426D3">
        <w:lastRenderedPageBreak/>
        <w:t xml:space="preserve">I skatteforvaltningsloven § 15-2 tredje ledd siste punktum </w:t>
      </w:r>
      <w:proofErr w:type="spellStart"/>
      <w:r w:rsidRPr="00E426D3">
        <w:t>heiter</w:t>
      </w:r>
      <w:proofErr w:type="spellEnd"/>
      <w:r w:rsidRPr="00E426D3">
        <w:t xml:space="preserve"> det at «Kommunestyret kan også få prøvd den skattepliktiges fastsetting av skattegrunnlaget for kraftforetak som har betydning for utskrivingen av eiendomsskatt.»</w:t>
      </w:r>
    </w:p>
    <w:p w14:paraId="2D8EECE1" w14:textId="77777777" w:rsidR="00772748" w:rsidRPr="00E426D3" w:rsidRDefault="00772748" w:rsidP="00E426D3">
      <w:r w:rsidRPr="00E426D3">
        <w:t xml:space="preserve">Departementet held fast ved vurderinga </w:t>
      </w:r>
      <w:proofErr w:type="spellStart"/>
      <w:r w:rsidRPr="00E426D3">
        <w:t>frå</w:t>
      </w:r>
      <w:proofErr w:type="spellEnd"/>
      <w:r w:rsidRPr="00E426D3">
        <w:t xml:space="preserve"> </w:t>
      </w:r>
      <w:proofErr w:type="spellStart"/>
      <w:r w:rsidRPr="00E426D3">
        <w:t>høyringsnotatet</w:t>
      </w:r>
      <w:proofErr w:type="spellEnd"/>
      <w:r w:rsidRPr="00E426D3">
        <w:t xml:space="preserve"> og foreslår å bytte ut omgrepet «kraftforetak» med «kraftanlegg». Dette vil </w:t>
      </w:r>
      <w:proofErr w:type="spellStart"/>
      <w:r w:rsidRPr="00E426D3">
        <w:t>gje</w:t>
      </w:r>
      <w:proofErr w:type="spellEnd"/>
      <w:r w:rsidRPr="00E426D3">
        <w:t xml:space="preserve"> betre samsvar med omgrepa elles, og </w:t>
      </w:r>
      <w:proofErr w:type="spellStart"/>
      <w:r w:rsidRPr="00E426D3">
        <w:t>tydeleggjere</w:t>
      </w:r>
      <w:proofErr w:type="spellEnd"/>
      <w:r w:rsidRPr="00E426D3">
        <w:t xml:space="preserve"> kva del av </w:t>
      </w:r>
      <w:proofErr w:type="spellStart"/>
      <w:r w:rsidRPr="00E426D3">
        <w:t>fastsetjinga</w:t>
      </w:r>
      <w:proofErr w:type="spellEnd"/>
      <w:r w:rsidRPr="00E426D3">
        <w:t xml:space="preserve"> og kva anlegg (skatteobjekt) som er regulert i føresegna.</w:t>
      </w:r>
    </w:p>
    <w:p w14:paraId="5F2249D4" w14:textId="77777777" w:rsidR="00772748" w:rsidRPr="00E426D3" w:rsidRDefault="00772748" w:rsidP="00E426D3">
      <w:r w:rsidRPr="00E426D3">
        <w:t xml:space="preserve">Endringa er ei oppretting for å oppnå </w:t>
      </w:r>
      <w:proofErr w:type="spellStart"/>
      <w:r w:rsidRPr="00E426D3">
        <w:t>samsvarande</w:t>
      </w:r>
      <w:proofErr w:type="spellEnd"/>
      <w:r w:rsidRPr="00E426D3">
        <w:t xml:space="preserve"> omgrep i føresegnene, og vil </w:t>
      </w:r>
      <w:proofErr w:type="spellStart"/>
      <w:r w:rsidRPr="00E426D3">
        <w:t>ikkje</w:t>
      </w:r>
      <w:proofErr w:type="spellEnd"/>
      <w:r w:rsidRPr="00E426D3">
        <w:t xml:space="preserve"> </w:t>
      </w:r>
      <w:proofErr w:type="spellStart"/>
      <w:r w:rsidRPr="00E426D3">
        <w:t>påverke</w:t>
      </w:r>
      <w:proofErr w:type="spellEnd"/>
      <w:r w:rsidRPr="00E426D3">
        <w:t xml:space="preserve"> søksmålsadgangen til </w:t>
      </w:r>
      <w:proofErr w:type="spellStart"/>
      <w:r w:rsidRPr="00E426D3">
        <w:t>kommunane</w:t>
      </w:r>
      <w:proofErr w:type="spellEnd"/>
      <w:r w:rsidRPr="00E426D3">
        <w:t>.</w:t>
      </w:r>
    </w:p>
    <w:p w14:paraId="41773EE7" w14:textId="77777777" w:rsidR="00772748" w:rsidRPr="00E426D3" w:rsidRDefault="00772748" w:rsidP="00E426D3">
      <w:r w:rsidRPr="00E426D3">
        <w:t xml:space="preserve">Departementet vil vurdere </w:t>
      </w:r>
      <w:proofErr w:type="spellStart"/>
      <w:r w:rsidRPr="00E426D3">
        <w:t>innspelet</w:t>
      </w:r>
      <w:proofErr w:type="spellEnd"/>
      <w:r w:rsidRPr="00E426D3">
        <w:t xml:space="preserve"> </w:t>
      </w:r>
      <w:proofErr w:type="spellStart"/>
      <w:r w:rsidRPr="00E426D3">
        <w:t>frå</w:t>
      </w:r>
      <w:proofErr w:type="spellEnd"/>
      <w:r w:rsidRPr="00E426D3">
        <w:t xml:space="preserve"> Fornybar Norge ved </w:t>
      </w:r>
      <w:proofErr w:type="spellStart"/>
      <w:r w:rsidRPr="00E426D3">
        <w:t>eit</w:t>
      </w:r>
      <w:proofErr w:type="spellEnd"/>
      <w:r w:rsidRPr="00E426D3">
        <w:t xml:space="preserve"> </w:t>
      </w:r>
      <w:proofErr w:type="spellStart"/>
      <w:r w:rsidRPr="00E426D3">
        <w:t>seinare</w:t>
      </w:r>
      <w:proofErr w:type="spellEnd"/>
      <w:r w:rsidRPr="00E426D3">
        <w:t xml:space="preserve"> høve.</w:t>
      </w:r>
    </w:p>
    <w:p w14:paraId="16B50B8C" w14:textId="77777777" w:rsidR="00772748" w:rsidRPr="00E426D3" w:rsidRDefault="00772748" w:rsidP="00E426D3">
      <w:r w:rsidRPr="00E426D3">
        <w:t>Departementet syner til framlegg om endring i skatteforvaltningsloven § 15-2 tredje ledd annet punktum.</w:t>
      </w:r>
    </w:p>
    <w:p w14:paraId="3A88B55A" w14:textId="77777777" w:rsidR="00772748" w:rsidRPr="00E426D3" w:rsidRDefault="00772748" w:rsidP="00E426D3">
      <w:pPr>
        <w:pStyle w:val="Overskrift2"/>
      </w:pPr>
      <w:r w:rsidRPr="00E426D3">
        <w:t xml:space="preserve">Økonomiske og administrative </w:t>
      </w:r>
      <w:proofErr w:type="spellStart"/>
      <w:r w:rsidRPr="00E426D3">
        <w:t>konsekvensar</w:t>
      </w:r>
      <w:proofErr w:type="spellEnd"/>
    </w:p>
    <w:p w14:paraId="29A22014" w14:textId="77777777" w:rsidR="00772748" w:rsidRPr="00E426D3" w:rsidRDefault="00772748" w:rsidP="00E426D3">
      <w:r w:rsidRPr="00E426D3">
        <w:t xml:space="preserve">Departementet la i </w:t>
      </w:r>
      <w:proofErr w:type="spellStart"/>
      <w:r w:rsidRPr="00E426D3">
        <w:t>høyringsnotatet</w:t>
      </w:r>
      <w:proofErr w:type="spellEnd"/>
      <w:r w:rsidRPr="00E426D3">
        <w:t xml:space="preserve"> til grunn at </w:t>
      </w:r>
      <w:proofErr w:type="spellStart"/>
      <w:r w:rsidRPr="00E426D3">
        <w:t>dei</w:t>
      </w:r>
      <w:proofErr w:type="spellEnd"/>
      <w:r w:rsidRPr="00E426D3">
        <w:t xml:space="preserve"> økonomiske og administrative </w:t>
      </w:r>
      <w:proofErr w:type="spellStart"/>
      <w:r w:rsidRPr="00E426D3">
        <w:t>konsekvensane</w:t>
      </w:r>
      <w:proofErr w:type="spellEnd"/>
      <w:r w:rsidRPr="00E426D3">
        <w:t xml:space="preserve"> av framlegga vil </w:t>
      </w:r>
      <w:proofErr w:type="spellStart"/>
      <w:r w:rsidRPr="00E426D3">
        <w:t>vere</w:t>
      </w:r>
      <w:proofErr w:type="spellEnd"/>
      <w:r w:rsidRPr="00E426D3">
        <w:t xml:space="preserve"> relativt beskjedne.</w:t>
      </w:r>
    </w:p>
    <w:p w14:paraId="4BB565B3" w14:textId="77777777" w:rsidR="00772748" w:rsidRPr="00E426D3" w:rsidRDefault="00772748" w:rsidP="00E426D3">
      <w:pPr>
        <w:rPr>
          <w:rStyle w:val="kursiv"/>
        </w:rPr>
      </w:pPr>
      <w:r w:rsidRPr="00E426D3">
        <w:rPr>
          <w:rStyle w:val="kursiv"/>
        </w:rPr>
        <w:t xml:space="preserve">Skatteetaten </w:t>
      </w:r>
      <w:r w:rsidRPr="00E426D3">
        <w:t xml:space="preserve">meiner framlegga vil ha avgrensa økonomiske og administrative </w:t>
      </w:r>
      <w:proofErr w:type="spellStart"/>
      <w:r w:rsidRPr="00E426D3">
        <w:t>konsekvensar</w:t>
      </w:r>
      <w:proofErr w:type="spellEnd"/>
      <w:r w:rsidRPr="00E426D3">
        <w:t xml:space="preserve"> for </w:t>
      </w:r>
      <w:proofErr w:type="spellStart"/>
      <w:r w:rsidRPr="00E426D3">
        <w:t>skattemyndigheitene</w:t>
      </w:r>
      <w:proofErr w:type="spellEnd"/>
      <w:r w:rsidRPr="00E426D3">
        <w:t>.</w:t>
      </w:r>
    </w:p>
    <w:p w14:paraId="090B53FB" w14:textId="77777777" w:rsidR="00772748" w:rsidRPr="00E426D3" w:rsidRDefault="00772748" w:rsidP="00E426D3">
      <w:pPr>
        <w:rPr>
          <w:rStyle w:val="sperret0"/>
        </w:rPr>
      </w:pPr>
      <w:r w:rsidRPr="00E426D3">
        <w:rPr>
          <w:rStyle w:val="sperret0"/>
        </w:rPr>
        <w:t>Departementet</w:t>
      </w:r>
      <w:r w:rsidRPr="00E426D3">
        <w:t xml:space="preserve"> syner til at framlegga </w:t>
      </w:r>
      <w:proofErr w:type="spellStart"/>
      <w:r w:rsidRPr="00E426D3">
        <w:t>ikkje</w:t>
      </w:r>
      <w:proofErr w:type="spellEnd"/>
      <w:r w:rsidRPr="00E426D3">
        <w:t xml:space="preserve"> </w:t>
      </w:r>
      <w:proofErr w:type="spellStart"/>
      <w:r w:rsidRPr="00E426D3">
        <w:t>inneber</w:t>
      </w:r>
      <w:proofErr w:type="spellEnd"/>
      <w:r w:rsidRPr="00E426D3">
        <w:t xml:space="preserve"> </w:t>
      </w:r>
      <w:proofErr w:type="spellStart"/>
      <w:r w:rsidRPr="00E426D3">
        <w:t>nokon</w:t>
      </w:r>
      <w:proofErr w:type="spellEnd"/>
      <w:r w:rsidRPr="00E426D3">
        <w:t xml:space="preserve"> </w:t>
      </w:r>
      <w:proofErr w:type="spellStart"/>
      <w:r w:rsidRPr="00E426D3">
        <w:t>endringar</w:t>
      </w:r>
      <w:proofErr w:type="spellEnd"/>
      <w:r w:rsidRPr="00E426D3">
        <w:t xml:space="preserve"> i </w:t>
      </w:r>
      <w:proofErr w:type="spellStart"/>
      <w:r w:rsidRPr="00E426D3">
        <w:t>dei</w:t>
      </w:r>
      <w:proofErr w:type="spellEnd"/>
      <w:r w:rsidRPr="00E426D3">
        <w:t xml:space="preserve"> materielle </w:t>
      </w:r>
      <w:proofErr w:type="spellStart"/>
      <w:r w:rsidRPr="00E426D3">
        <w:t>reglane</w:t>
      </w:r>
      <w:proofErr w:type="spellEnd"/>
      <w:r w:rsidRPr="00E426D3">
        <w:t xml:space="preserve"> for utrekning av </w:t>
      </w:r>
      <w:proofErr w:type="spellStart"/>
      <w:r w:rsidRPr="00E426D3">
        <w:t>eigedomsskatt</w:t>
      </w:r>
      <w:proofErr w:type="spellEnd"/>
      <w:r w:rsidRPr="00E426D3">
        <w:t xml:space="preserve">. Framlegga vil </w:t>
      </w:r>
      <w:proofErr w:type="spellStart"/>
      <w:r w:rsidRPr="00E426D3">
        <w:t>difor</w:t>
      </w:r>
      <w:proofErr w:type="spellEnd"/>
      <w:r w:rsidRPr="00E426D3">
        <w:t xml:space="preserve"> </w:t>
      </w:r>
      <w:proofErr w:type="spellStart"/>
      <w:r w:rsidRPr="00E426D3">
        <w:t>ikkje</w:t>
      </w:r>
      <w:proofErr w:type="spellEnd"/>
      <w:r w:rsidRPr="00E426D3">
        <w:t xml:space="preserve"> ha </w:t>
      </w:r>
      <w:proofErr w:type="spellStart"/>
      <w:r w:rsidRPr="00E426D3">
        <w:t>provenymessige</w:t>
      </w:r>
      <w:proofErr w:type="spellEnd"/>
      <w:r w:rsidRPr="00E426D3">
        <w:t xml:space="preserve"> </w:t>
      </w:r>
      <w:proofErr w:type="spellStart"/>
      <w:r w:rsidRPr="00E426D3">
        <w:t>konsekvensar</w:t>
      </w:r>
      <w:proofErr w:type="spellEnd"/>
      <w:r w:rsidRPr="00E426D3">
        <w:t xml:space="preserve"> for </w:t>
      </w:r>
      <w:proofErr w:type="spellStart"/>
      <w:r w:rsidRPr="00E426D3">
        <w:t>korkje</w:t>
      </w:r>
      <w:proofErr w:type="spellEnd"/>
      <w:r w:rsidRPr="00E426D3">
        <w:t xml:space="preserve"> </w:t>
      </w:r>
      <w:proofErr w:type="spellStart"/>
      <w:r w:rsidRPr="00E426D3">
        <w:t>kommunane</w:t>
      </w:r>
      <w:proofErr w:type="spellEnd"/>
      <w:r w:rsidRPr="00E426D3">
        <w:t xml:space="preserve"> eller </w:t>
      </w:r>
      <w:proofErr w:type="spellStart"/>
      <w:r w:rsidRPr="00E426D3">
        <w:t>dei</w:t>
      </w:r>
      <w:proofErr w:type="spellEnd"/>
      <w:r w:rsidRPr="00E426D3">
        <w:t xml:space="preserve"> </w:t>
      </w:r>
      <w:proofErr w:type="spellStart"/>
      <w:r w:rsidRPr="00E426D3">
        <w:t>eigedomsskattepliktige</w:t>
      </w:r>
      <w:proofErr w:type="spellEnd"/>
      <w:r w:rsidRPr="00E426D3">
        <w:t xml:space="preserve">. Avhengig av om </w:t>
      </w:r>
      <w:proofErr w:type="spellStart"/>
      <w:r w:rsidRPr="00E426D3">
        <w:t>reglane</w:t>
      </w:r>
      <w:proofErr w:type="spellEnd"/>
      <w:r w:rsidRPr="00E426D3">
        <w:t xml:space="preserve"> fører til ei </w:t>
      </w:r>
      <w:proofErr w:type="spellStart"/>
      <w:r w:rsidRPr="00E426D3">
        <w:t>auke</w:t>
      </w:r>
      <w:proofErr w:type="spellEnd"/>
      <w:r w:rsidRPr="00E426D3">
        <w:t xml:space="preserve"> i </w:t>
      </w:r>
      <w:proofErr w:type="spellStart"/>
      <w:r w:rsidRPr="00E426D3">
        <w:t>talet</w:t>
      </w:r>
      <w:proofErr w:type="spellEnd"/>
      <w:r w:rsidRPr="00E426D3">
        <w:t xml:space="preserve"> på søksmål kan framlegga, svært avleidd, ha økonomisk betydning for </w:t>
      </w:r>
      <w:proofErr w:type="spellStart"/>
      <w:r w:rsidRPr="00E426D3">
        <w:t>partane</w:t>
      </w:r>
      <w:proofErr w:type="spellEnd"/>
      <w:r w:rsidRPr="00E426D3">
        <w:t>.</w:t>
      </w:r>
    </w:p>
    <w:p w14:paraId="12A17065" w14:textId="77777777" w:rsidR="00772748" w:rsidRPr="00E426D3" w:rsidRDefault="00772748" w:rsidP="00E426D3">
      <w:r w:rsidRPr="00E426D3">
        <w:t xml:space="preserve">For Skatteetaten vil framlegga </w:t>
      </w:r>
      <w:proofErr w:type="spellStart"/>
      <w:r w:rsidRPr="00E426D3">
        <w:t>innebere</w:t>
      </w:r>
      <w:proofErr w:type="spellEnd"/>
      <w:r w:rsidRPr="00E426D3">
        <w:t xml:space="preserve"> </w:t>
      </w:r>
      <w:proofErr w:type="spellStart"/>
      <w:r w:rsidRPr="00E426D3">
        <w:t>ein</w:t>
      </w:r>
      <w:proofErr w:type="spellEnd"/>
      <w:r w:rsidRPr="00E426D3">
        <w:t xml:space="preserve"> ny plikt som må </w:t>
      </w:r>
      <w:proofErr w:type="spellStart"/>
      <w:r w:rsidRPr="00E426D3">
        <w:t>overhaldast</w:t>
      </w:r>
      <w:proofErr w:type="spellEnd"/>
      <w:r w:rsidRPr="00E426D3">
        <w:t xml:space="preserve">. Dette kan </w:t>
      </w:r>
      <w:proofErr w:type="spellStart"/>
      <w:r w:rsidRPr="00E426D3">
        <w:t>innebere</w:t>
      </w:r>
      <w:proofErr w:type="spellEnd"/>
      <w:r w:rsidRPr="00E426D3">
        <w:t xml:space="preserve"> </w:t>
      </w:r>
      <w:proofErr w:type="spellStart"/>
      <w:r w:rsidRPr="00E426D3">
        <w:t>noko</w:t>
      </w:r>
      <w:proofErr w:type="spellEnd"/>
      <w:r w:rsidRPr="00E426D3">
        <w:t xml:space="preserve"> </w:t>
      </w:r>
      <w:proofErr w:type="spellStart"/>
      <w:r w:rsidRPr="00E426D3">
        <w:t>meir</w:t>
      </w:r>
      <w:proofErr w:type="spellEnd"/>
      <w:r w:rsidRPr="00E426D3">
        <w:t xml:space="preserve"> administrativt arbeid. Som Skatteetaten likevel </w:t>
      </w:r>
      <w:proofErr w:type="spellStart"/>
      <w:r w:rsidRPr="00E426D3">
        <w:t>påpeikar</w:t>
      </w:r>
      <w:proofErr w:type="spellEnd"/>
      <w:r w:rsidRPr="00E426D3">
        <w:t xml:space="preserve">, vil framlegga ha avgrensa administrative </w:t>
      </w:r>
      <w:proofErr w:type="spellStart"/>
      <w:r w:rsidRPr="00E426D3">
        <w:t>konsekvensar</w:t>
      </w:r>
      <w:proofErr w:type="spellEnd"/>
      <w:r w:rsidRPr="00E426D3">
        <w:t xml:space="preserve"> for </w:t>
      </w:r>
      <w:proofErr w:type="spellStart"/>
      <w:r w:rsidRPr="00E426D3">
        <w:t>skattemyndigheitene</w:t>
      </w:r>
      <w:proofErr w:type="spellEnd"/>
      <w:r w:rsidRPr="00E426D3">
        <w:t xml:space="preserve">. Totalt sett legg departementet til grunn at </w:t>
      </w:r>
      <w:proofErr w:type="spellStart"/>
      <w:r w:rsidRPr="00E426D3">
        <w:t>dei</w:t>
      </w:r>
      <w:proofErr w:type="spellEnd"/>
      <w:r w:rsidRPr="00E426D3">
        <w:t xml:space="preserve"> økonomiske og administrative </w:t>
      </w:r>
      <w:proofErr w:type="spellStart"/>
      <w:r w:rsidRPr="00E426D3">
        <w:t>konsekvensane</w:t>
      </w:r>
      <w:proofErr w:type="spellEnd"/>
      <w:r w:rsidRPr="00E426D3">
        <w:t xml:space="preserve"> av framlegga vil </w:t>
      </w:r>
      <w:proofErr w:type="spellStart"/>
      <w:r w:rsidRPr="00E426D3">
        <w:t>vere</w:t>
      </w:r>
      <w:proofErr w:type="spellEnd"/>
      <w:r w:rsidRPr="00E426D3">
        <w:t xml:space="preserve"> relativt beskjedne.</w:t>
      </w:r>
    </w:p>
    <w:p w14:paraId="56618C9C" w14:textId="77777777" w:rsidR="00772748" w:rsidRPr="00E426D3" w:rsidRDefault="00772748" w:rsidP="00E426D3">
      <w:pPr>
        <w:pStyle w:val="Overskrift2"/>
      </w:pPr>
      <w:proofErr w:type="spellStart"/>
      <w:r w:rsidRPr="00E426D3">
        <w:t>Iverksetjing</w:t>
      </w:r>
      <w:proofErr w:type="spellEnd"/>
    </w:p>
    <w:p w14:paraId="775C262B" w14:textId="77777777" w:rsidR="00772748" w:rsidRPr="00E426D3" w:rsidRDefault="00772748" w:rsidP="00E426D3">
      <w:r w:rsidRPr="00E426D3">
        <w:t xml:space="preserve">Departementet viste i </w:t>
      </w:r>
      <w:proofErr w:type="spellStart"/>
      <w:r w:rsidRPr="00E426D3">
        <w:t>høyringsnotatet</w:t>
      </w:r>
      <w:proofErr w:type="spellEnd"/>
      <w:r w:rsidRPr="00E426D3">
        <w:t xml:space="preserve"> til at framlegga </w:t>
      </w:r>
      <w:proofErr w:type="spellStart"/>
      <w:r w:rsidRPr="00E426D3">
        <w:t>tidlegast</w:t>
      </w:r>
      <w:proofErr w:type="spellEnd"/>
      <w:r w:rsidRPr="00E426D3">
        <w:t xml:space="preserve"> kan </w:t>
      </w:r>
      <w:proofErr w:type="spellStart"/>
      <w:r w:rsidRPr="00E426D3">
        <w:t>fremjast</w:t>
      </w:r>
      <w:proofErr w:type="spellEnd"/>
      <w:r w:rsidRPr="00E426D3">
        <w:t xml:space="preserve"> i revidert nasjonalbudsjett, med verknad </w:t>
      </w:r>
      <w:proofErr w:type="spellStart"/>
      <w:r w:rsidRPr="00E426D3">
        <w:t>frå</w:t>
      </w:r>
      <w:proofErr w:type="spellEnd"/>
      <w:r w:rsidRPr="00E426D3">
        <w:t xml:space="preserve"> skatteåret 2026.</w:t>
      </w:r>
    </w:p>
    <w:p w14:paraId="2531363C" w14:textId="77777777" w:rsidR="00772748" w:rsidRPr="00E426D3" w:rsidRDefault="00772748" w:rsidP="00E426D3">
      <w:pPr>
        <w:rPr>
          <w:rStyle w:val="kursiv"/>
        </w:rPr>
      </w:pPr>
      <w:r w:rsidRPr="00E426D3">
        <w:rPr>
          <w:rStyle w:val="kursiv"/>
        </w:rPr>
        <w:t xml:space="preserve">Landssamanslutninga av </w:t>
      </w:r>
      <w:proofErr w:type="spellStart"/>
      <w:r w:rsidRPr="00E426D3">
        <w:rPr>
          <w:rStyle w:val="kursiv"/>
        </w:rPr>
        <w:t>Vasskraftkommunar</w:t>
      </w:r>
      <w:proofErr w:type="spellEnd"/>
      <w:r w:rsidRPr="00E426D3">
        <w:rPr>
          <w:rStyle w:val="kursiv"/>
        </w:rPr>
        <w:t xml:space="preserve"> (LVK) </w:t>
      </w:r>
      <w:r w:rsidRPr="00E426D3">
        <w:t xml:space="preserve">meiner </w:t>
      </w:r>
      <w:proofErr w:type="spellStart"/>
      <w:r w:rsidRPr="00E426D3">
        <w:t>reglane</w:t>
      </w:r>
      <w:proofErr w:type="spellEnd"/>
      <w:r w:rsidRPr="00E426D3">
        <w:t xml:space="preserve"> om </w:t>
      </w:r>
      <w:proofErr w:type="spellStart"/>
      <w:r w:rsidRPr="00E426D3">
        <w:t>berekning</w:t>
      </w:r>
      <w:proofErr w:type="spellEnd"/>
      <w:r w:rsidRPr="00E426D3">
        <w:t xml:space="preserve"> av søksmålsfrist og kravet om varsling om søksmål kan </w:t>
      </w:r>
      <w:proofErr w:type="spellStart"/>
      <w:r w:rsidRPr="00E426D3">
        <w:t>fremjast</w:t>
      </w:r>
      <w:proofErr w:type="spellEnd"/>
      <w:r w:rsidRPr="00E426D3">
        <w:t xml:space="preserve"> i revidert nasjonalbudsjett, med verknad </w:t>
      </w:r>
      <w:proofErr w:type="spellStart"/>
      <w:r w:rsidRPr="00E426D3">
        <w:t>frå</w:t>
      </w:r>
      <w:proofErr w:type="spellEnd"/>
      <w:r w:rsidRPr="00E426D3">
        <w:t xml:space="preserve"> skatteåret 2025.</w:t>
      </w:r>
    </w:p>
    <w:p w14:paraId="6BFA63F3" w14:textId="77777777" w:rsidR="00772748" w:rsidRPr="00E426D3" w:rsidRDefault="00772748" w:rsidP="00E426D3">
      <w:pPr>
        <w:rPr>
          <w:rStyle w:val="sperret0"/>
        </w:rPr>
      </w:pPr>
      <w:r w:rsidRPr="00E426D3">
        <w:rPr>
          <w:rStyle w:val="sperret0"/>
        </w:rPr>
        <w:t>Departementet</w:t>
      </w:r>
      <w:r w:rsidRPr="00E426D3">
        <w:t xml:space="preserve"> syner til at </w:t>
      </w:r>
      <w:proofErr w:type="spellStart"/>
      <w:r w:rsidRPr="00E426D3">
        <w:t>eigedomsskatten</w:t>
      </w:r>
      <w:proofErr w:type="spellEnd"/>
      <w:r w:rsidRPr="00E426D3">
        <w:t xml:space="preserve"> «så langt råd er», skal </w:t>
      </w:r>
      <w:proofErr w:type="spellStart"/>
      <w:r w:rsidRPr="00E426D3">
        <w:t>vere</w:t>
      </w:r>
      <w:proofErr w:type="spellEnd"/>
      <w:r w:rsidRPr="00E426D3">
        <w:t xml:space="preserve"> </w:t>
      </w:r>
      <w:proofErr w:type="spellStart"/>
      <w:r w:rsidRPr="00E426D3">
        <w:t>utskriven</w:t>
      </w:r>
      <w:proofErr w:type="spellEnd"/>
      <w:r w:rsidRPr="00E426D3">
        <w:t xml:space="preserve"> før 1. mars i skatteåret. Dette </w:t>
      </w:r>
      <w:proofErr w:type="spellStart"/>
      <w:r w:rsidRPr="00E426D3">
        <w:t>inneber</w:t>
      </w:r>
      <w:proofErr w:type="spellEnd"/>
      <w:r w:rsidRPr="00E426D3">
        <w:t xml:space="preserve"> at </w:t>
      </w:r>
      <w:proofErr w:type="spellStart"/>
      <w:r w:rsidRPr="00E426D3">
        <w:t>eigedomsskatten</w:t>
      </w:r>
      <w:proofErr w:type="spellEnd"/>
      <w:r w:rsidRPr="00E426D3">
        <w:t xml:space="preserve"> for skatteåret 2025 </w:t>
      </w:r>
      <w:proofErr w:type="spellStart"/>
      <w:r w:rsidRPr="00E426D3">
        <w:t>allereie</w:t>
      </w:r>
      <w:proofErr w:type="spellEnd"/>
      <w:r w:rsidRPr="00E426D3">
        <w:t xml:space="preserve"> er </w:t>
      </w:r>
      <w:proofErr w:type="spellStart"/>
      <w:r w:rsidRPr="00E426D3">
        <w:t>utskriven</w:t>
      </w:r>
      <w:proofErr w:type="spellEnd"/>
      <w:r w:rsidRPr="00E426D3">
        <w:t xml:space="preserve">. </w:t>
      </w:r>
      <w:proofErr w:type="spellStart"/>
      <w:r w:rsidRPr="00E426D3">
        <w:t>Tilsvarande</w:t>
      </w:r>
      <w:proofErr w:type="spellEnd"/>
      <w:r w:rsidRPr="00E426D3">
        <w:t xml:space="preserve"> som for framlegget til samordning av reduksjonsfaktor, meiner departementet at </w:t>
      </w:r>
      <w:proofErr w:type="spellStart"/>
      <w:r w:rsidRPr="00E426D3">
        <w:t>ikraftsetjinga</w:t>
      </w:r>
      <w:proofErr w:type="spellEnd"/>
      <w:r w:rsidRPr="00E426D3">
        <w:t xml:space="preserve"> av </w:t>
      </w:r>
      <w:proofErr w:type="spellStart"/>
      <w:r w:rsidRPr="00E426D3">
        <w:t>lovendringane</w:t>
      </w:r>
      <w:proofErr w:type="spellEnd"/>
      <w:r w:rsidRPr="00E426D3">
        <w:t xml:space="preserve"> bør </w:t>
      </w:r>
      <w:proofErr w:type="spellStart"/>
      <w:r w:rsidRPr="00E426D3">
        <w:t>leggje</w:t>
      </w:r>
      <w:proofErr w:type="spellEnd"/>
      <w:r w:rsidRPr="00E426D3">
        <w:t xml:space="preserve"> til rette for </w:t>
      </w:r>
      <w:proofErr w:type="spellStart"/>
      <w:r w:rsidRPr="00E426D3">
        <w:t>føreseielegheit</w:t>
      </w:r>
      <w:proofErr w:type="spellEnd"/>
      <w:r w:rsidRPr="00E426D3">
        <w:t xml:space="preserve"> ved utskrivinga. Ei </w:t>
      </w:r>
      <w:proofErr w:type="spellStart"/>
      <w:r w:rsidRPr="00E426D3">
        <w:t>ikraftsetjing</w:t>
      </w:r>
      <w:proofErr w:type="spellEnd"/>
      <w:r w:rsidRPr="00E426D3">
        <w:t xml:space="preserve"> </w:t>
      </w:r>
      <w:proofErr w:type="spellStart"/>
      <w:r w:rsidRPr="00E426D3">
        <w:t>frå</w:t>
      </w:r>
      <w:proofErr w:type="spellEnd"/>
      <w:r w:rsidRPr="00E426D3">
        <w:t xml:space="preserve"> 2025 kan </w:t>
      </w:r>
      <w:proofErr w:type="spellStart"/>
      <w:r w:rsidRPr="00E426D3">
        <w:t>vidare</w:t>
      </w:r>
      <w:proofErr w:type="spellEnd"/>
      <w:r w:rsidRPr="00E426D3">
        <w:t xml:space="preserve"> reise spørsmål om </w:t>
      </w:r>
      <w:proofErr w:type="spellStart"/>
      <w:r w:rsidRPr="00E426D3">
        <w:t>lovendringane</w:t>
      </w:r>
      <w:proofErr w:type="spellEnd"/>
      <w:r w:rsidRPr="00E426D3">
        <w:t xml:space="preserve"> vil </w:t>
      </w:r>
      <w:proofErr w:type="spellStart"/>
      <w:r w:rsidRPr="00E426D3">
        <w:t>utgjere</w:t>
      </w:r>
      <w:proofErr w:type="spellEnd"/>
      <w:r w:rsidRPr="00E426D3">
        <w:t xml:space="preserve"> ei </w:t>
      </w:r>
      <w:proofErr w:type="spellStart"/>
      <w:r w:rsidRPr="00E426D3">
        <w:t>ulovleg</w:t>
      </w:r>
      <w:proofErr w:type="spellEnd"/>
      <w:r w:rsidRPr="00E426D3">
        <w:t xml:space="preserve"> </w:t>
      </w:r>
      <w:proofErr w:type="spellStart"/>
      <w:r w:rsidRPr="00E426D3">
        <w:t>tilbakeverknad</w:t>
      </w:r>
      <w:proofErr w:type="spellEnd"/>
      <w:r w:rsidRPr="00E426D3">
        <w:t xml:space="preserve">. </w:t>
      </w:r>
      <w:proofErr w:type="spellStart"/>
      <w:r w:rsidRPr="00E426D3">
        <w:t>Lovendringane</w:t>
      </w:r>
      <w:proofErr w:type="spellEnd"/>
      <w:r w:rsidRPr="00E426D3">
        <w:t xml:space="preserve"> bør </w:t>
      </w:r>
      <w:proofErr w:type="spellStart"/>
      <w:r w:rsidRPr="00E426D3">
        <w:t>difor</w:t>
      </w:r>
      <w:proofErr w:type="spellEnd"/>
      <w:r w:rsidRPr="00E426D3">
        <w:t xml:space="preserve"> </w:t>
      </w:r>
      <w:proofErr w:type="spellStart"/>
      <w:r w:rsidRPr="00E426D3">
        <w:t>ikkje</w:t>
      </w:r>
      <w:proofErr w:type="spellEnd"/>
      <w:r w:rsidRPr="00E426D3">
        <w:t xml:space="preserve"> gjelde for </w:t>
      </w:r>
      <w:proofErr w:type="spellStart"/>
      <w:r w:rsidRPr="00E426D3">
        <w:t>inneverande</w:t>
      </w:r>
      <w:proofErr w:type="spellEnd"/>
      <w:r w:rsidRPr="00E426D3">
        <w:t xml:space="preserve"> skatteår.</w:t>
      </w:r>
    </w:p>
    <w:p w14:paraId="7FD95E67" w14:textId="77777777" w:rsidR="00772748" w:rsidRPr="00E426D3" w:rsidRDefault="00772748" w:rsidP="00E426D3">
      <w:r w:rsidRPr="00E426D3">
        <w:lastRenderedPageBreak/>
        <w:t xml:space="preserve">Departementet </w:t>
      </w:r>
      <w:proofErr w:type="spellStart"/>
      <w:r w:rsidRPr="00E426D3">
        <w:t>gjer</w:t>
      </w:r>
      <w:proofErr w:type="spellEnd"/>
      <w:r w:rsidRPr="00E426D3">
        <w:t xml:space="preserve"> fremlegg om at </w:t>
      </w:r>
      <w:proofErr w:type="spellStart"/>
      <w:r w:rsidRPr="00E426D3">
        <w:t>lovendringane</w:t>
      </w:r>
      <w:proofErr w:type="spellEnd"/>
      <w:r w:rsidRPr="00E426D3">
        <w:t xml:space="preserve"> får verknad </w:t>
      </w:r>
      <w:proofErr w:type="spellStart"/>
      <w:r w:rsidRPr="00E426D3">
        <w:t>frå</w:t>
      </w:r>
      <w:proofErr w:type="spellEnd"/>
      <w:r w:rsidRPr="00E426D3">
        <w:t xml:space="preserve"> skatteåret 2026. Dette </w:t>
      </w:r>
      <w:proofErr w:type="spellStart"/>
      <w:r w:rsidRPr="00E426D3">
        <w:t>inneber</w:t>
      </w:r>
      <w:proofErr w:type="spellEnd"/>
      <w:r w:rsidRPr="00E426D3">
        <w:t xml:space="preserve"> at </w:t>
      </w:r>
      <w:proofErr w:type="spellStart"/>
      <w:r w:rsidRPr="00E426D3">
        <w:t>lovendringane</w:t>
      </w:r>
      <w:proofErr w:type="spellEnd"/>
      <w:r w:rsidRPr="00E426D3">
        <w:t xml:space="preserve"> tek til å gjelde med verknad for søksmål </w:t>
      </w:r>
      <w:proofErr w:type="spellStart"/>
      <w:r w:rsidRPr="00E426D3">
        <w:t>frå</w:t>
      </w:r>
      <w:proofErr w:type="spellEnd"/>
      <w:r w:rsidRPr="00E426D3">
        <w:t xml:space="preserve"> og med utskrivinga </w:t>
      </w:r>
      <w:proofErr w:type="spellStart"/>
      <w:r w:rsidRPr="00E426D3">
        <w:t>frå</w:t>
      </w:r>
      <w:proofErr w:type="spellEnd"/>
      <w:r w:rsidRPr="00E426D3">
        <w:t xml:space="preserve"> skatteåret 2026.</w:t>
      </w:r>
    </w:p>
    <w:p w14:paraId="5107A2CF" w14:textId="77777777" w:rsidR="00772748" w:rsidRPr="00E426D3" w:rsidRDefault="00772748" w:rsidP="00E426D3">
      <w:pPr>
        <w:pStyle w:val="Overskrift1"/>
      </w:pPr>
      <w:r w:rsidRPr="00E426D3">
        <w:t xml:space="preserve">Høve til å </w:t>
      </w:r>
      <w:proofErr w:type="spellStart"/>
      <w:r w:rsidRPr="00E426D3">
        <w:t>gje</w:t>
      </w:r>
      <w:proofErr w:type="spellEnd"/>
      <w:r w:rsidRPr="00E426D3">
        <w:t xml:space="preserve"> eigne </w:t>
      </w:r>
      <w:proofErr w:type="spellStart"/>
      <w:r w:rsidRPr="00E426D3">
        <w:t>reglar</w:t>
      </w:r>
      <w:proofErr w:type="spellEnd"/>
      <w:r w:rsidRPr="00E426D3">
        <w:t xml:space="preserve"> for </w:t>
      </w:r>
      <w:proofErr w:type="spellStart"/>
      <w:r w:rsidRPr="00E426D3">
        <w:t>rekneskapsføring</w:t>
      </w:r>
      <w:proofErr w:type="spellEnd"/>
      <w:r w:rsidRPr="00E426D3">
        <w:t xml:space="preserve"> av pensjonsforhold i </w:t>
      </w:r>
      <w:proofErr w:type="spellStart"/>
      <w:r w:rsidRPr="00E426D3">
        <w:t>helseføretak</w:t>
      </w:r>
      <w:proofErr w:type="spellEnd"/>
    </w:p>
    <w:p w14:paraId="2CFDAFC0" w14:textId="77777777" w:rsidR="00772748" w:rsidRPr="00E426D3" w:rsidRDefault="00772748" w:rsidP="00E426D3">
      <w:pPr>
        <w:pStyle w:val="Overskrift2"/>
      </w:pPr>
      <w:r w:rsidRPr="00E426D3">
        <w:t xml:space="preserve">Innleiing og </w:t>
      </w:r>
      <w:proofErr w:type="spellStart"/>
      <w:r w:rsidRPr="00E426D3">
        <w:t>samandrag</w:t>
      </w:r>
      <w:proofErr w:type="spellEnd"/>
    </w:p>
    <w:p w14:paraId="1B4C1658" w14:textId="77777777" w:rsidR="00772748" w:rsidRPr="00E426D3" w:rsidRDefault="00772748" w:rsidP="00E426D3">
      <w:r w:rsidRPr="00E426D3">
        <w:t xml:space="preserve">Regjeringa </w:t>
      </w:r>
      <w:proofErr w:type="spellStart"/>
      <w:r w:rsidRPr="00E426D3">
        <w:t>gjer</w:t>
      </w:r>
      <w:proofErr w:type="spellEnd"/>
      <w:r w:rsidRPr="00E426D3">
        <w:t xml:space="preserve"> framlegg om at Helse- og omsorgsdepartementet får høve til å </w:t>
      </w:r>
      <w:proofErr w:type="spellStart"/>
      <w:r w:rsidRPr="00E426D3">
        <w:t>fastsetje</w:t>
      </w:r>
      <w:proofErr w:type="spellEnd"/>
      <w:r w:rsidRPr="00E426D3">
        <w:t xml:space="preserve"> eigne </w:t>
      </w:r>
      <w:proofErr w:type="spellStart"/>
      <w:r w:rsidRPr="00E426D3">
        <w:t>reglar</w:t>
      </w:r>
      <w:proofErr w:type="spellEnd"/>
      <w:r w:rsidRPr="00E426D3">
        <w:t xml:space="preserve"> i forskrift for </w:t>
      </w:r>
      <w:proofErr w:type="spellStart"/>
      <w:r w:rsidRPr="00E426D3">
        <w:t>rekneskapsføring</w:t>
      </w:r>
      <w:proofErr w:type="spellEnd"/>
      <w:r w:rsidRPr="00E426D3">
        <w:t xml:space="preserve"> av pensjonsforhold i </w:t>
      </w:r>
      <w:proofErr w:type="spellStart"/>
      <w:r w:rsidRPr="00E426D3">
        <w:t>helseføretak</w:t>
      </w:r>
      <w:proofErr w:type="spellEnd"/>
      <w:r w:rsidRPr="00E426D3">
        <w:t>.</w:t>
      </w:r>
    </w:p>
    <w:p w14:paraId="5101ED48" w14:textId="77777777" w:rsidR="00772748" w:rsidRPr="00E426D3" w:rsidRDefault="00772748" w:rsidP="00E426D3">
      <w:pPr>
        <w:pStyle w:val="Overskrift2"/>
      </w:pPr>
      <w:proofErr w:type="spellStart"/>
      <w:r w:rsidRPr="00E426D3">
        <w:t>Gjeldande</w:t>
      </w:r>
      <w:proofErr w:type="spellEnd"/>
      <w:r w:rsidRPr="00E426D3">
        <w:t xml:space="preserve"> rett</w:t>
      </w:r>
    </w:p>
    <w:p w14:paraId="51F8CFA7" w14:textId="77777777" w:rsidR="00772748" w:rsidRPr="00E426D3" w:rsidRDefault="00772748" w:rsidP="00E426D3">
      <w:r w:rsidRPr="00E426D3">
        <w:t xml:space="preserve">Helseforetaksloven 15. juni 2001 nr. 93 § 43 fyrste ledd </w:t>
      </w:r>
      <w:proofErr w:type="spellStart"/>
      <w:r w:rsidRPr="00E426D3">
        <w:t>fastset</w:t>
      </w:r>
      <w:proofErr w:type="spellEnd"/>
      <w:r w:rsidRPr="00E426D3">
        <w:t xml:space="preserve"> at </w:t>
      </w:r>
      <w:proofErr w:type="spellStart"/>
      <w:r w:rsidRPr="00E426D3">
        <w:t>reglane</w:t>
      </w:r>
      <w:proofErr w:type="spellEnd"/>
      <w:r w:rsidRPr="00E426D3">
        <w:t xml:space="preserve"> i </w:t>
      </w:r>
      <w:proofErr w:type="spellStart"/>
      <w:r w:rsidRPr="00E426D3">
        <w:t>rekneskapslova</w:t>
      </w:r>
      <w:proofErr w:type="spellEnd"/>
      <w:r w:rsidRPr="00E426D3">
        <w:t xml:space="preserve"> gjeld for </w:t>
      </w:r>
      <w:proofErr w:type="spellStart"/>
      <w:r w:rsidRPr="00E426D3">
        <w:t>føretaka</w:t>
      </w:r>
      <w:proofErr w:type="spellEnd"/>
      <w:r w:rsidRPr="00E426D3">
        <w:t xml:space="preserve">. </w:t>
      </w:r>
      <w:proofErr w:type="spellStart"/>
      <w:r w:rsidRPr="00E426D3">
        <w:t>Helseføretak</w:t>
      </w:r>
      <w:proofErr w:type="spellEnd"/>
      <w:r w:rsidRPr="00E426D3">
        <w:t xml:space="preserve"> og regionale </w:t>
      </w:r>
      <w:proofErr w:type="spellStart"/>
      <w:r w:rsidRPr="00E426D3">
        <w:t>helseføretak</w:t>
      </w:r>
      <w:proofErr w:type="spellEnd"/>
      <w:r w:rsidRPr="00E426D3">
        <w:t xml:space="preserve"> er dermed </w:t>
      </w:r>
      <w:proofErr w:type="spellStart"/>
      <w:r w:rsidRPr="00E426D3">
        <w:t>underlagd</w:t>
      </w:r>
      <w:proofErr w:type="spellEnd"/>
      <w:r w:rsidRPr="00E426D3">
        <w:t xml:space="preserve"> </w:t>
      </w:r>
      <w:proofErr w:type="spellStart"/>
      <w:r w:rsidRPr="00E426D3">
        <w:t>vanleg</w:t>
      </w:r>
      <w:proofErr w:type="spellEnd"/>
      <w:r w:rsidRPr="00E426D3">
        <w:t xml:space="preserve"> </w:t>
      </w:r>
      <w:proofErr w:type="spellStart"/>
      <w:r w:rsidRPr="00E426D3">
        <w:t>rekneskapsplikt</w:t>
      </w:r>
      <w:proofErr w:type="spellEnd"/>
      <w:r w:rsidRPr="00E426D3">
        <w:t xml:space="preserve"> etter regnskapsloven, jf. regnskapsloven § 1-2 fyrste ledd nr. 12, og skal føre </w:t>
      </w:r>
      <w:proofErr w:type="spellStart"/>
      <w:r w:rsidRPr="00E426D3">
        <w:t>rekneskap</w:t>
      </w:r>
      <w:proofErr w:type="spellEnd"/>
      <w:r w:rsidRPr="00E426D3">
        <w:t xml:space="preserve"> etter </w:t>
      </w:r>
      <w:proofErr w:type="spellStart"/>
      <w:r w:rsidRPr="00E426D3">
        <w:t>reglane</w:t>
      </w:r>
      <w:proofErr w:type="spellEnd"/>
      <w:r w:rsidRPr="00E426D3">
        <w:t xml:space="preserve"> i regnskapsloven og god </w:t>
      </w:r>
      <w:proofErr w:type="spellStart"/>
      <w:r w:rsidRPr="00E426D3">
        <w:t>rekneskapsskikk</w:t>
      </w:r>
      <w:proofErr w:type="spellEnd"/>
      <w:r w:rsidRPr="00E426D3">
        <w:t>, jf. regnskapsloven § 4-6.</w:t>
      </w:r>
    </w:p>
    <w:p w14:paraId="5143141B" w14:textId="77777777" w:rsidR="00772748" w:rsidRPr="00E426D3" w:rsidRDefault="00772748" w:rsidP="00E426D3">
      <w:r w:rsidRPr="00E426D3">
        <w:t xml:space="preserve">Det er i tillegg utarbeidd ei felles </w:t>
      </w:r>
      <w:proofErr w:type="spellStart"/>
      <w:r w:rsidRPr="00E426D3">
        <w:t>rekneskapshandbok</w:t>
      </w:r>
      <w:proofErr w:type="spellEnd"/>
      <w:r w:rsidRPr="00E426D3">
        <w:t xml:space="preserve"> for regionale </w:t>
      </w:r>
      <w:proofErr w:type="spellStart"/>
      <w:r w:rsidRPr="00E426D3">
        <w:t>helseføretak</w:t>
      </w:r>
      <w:proofErr w:type="spellEnd"/>
      <w:r w:rsidRPr="00E426D3">
        <w:t xml:space="preserve"> og </w:t>
      </w:r>
      <w:proofErr w:type="spellStart"/>
      <w:r w:rsidRPr="00E426D3">
        <w:t>helseføretak</w:t>
      </w:r>
      <w:proofErr w:type="spellEnd"/>
      <w:r w:rsidRPr="00E426D3">
        <w:t xml:space="preserve"> der </w:t>
      </w:r>
      <w:proofErr w:type="spellStart"/>
      <w:r w:rsidRPr="00E426D3">
        <w:t>grunnleggjande</w:t>
      </w:r>
      <w:proofErr w:type="spellEnd"/>
      <w:r w:rsidRPr="00E426D3">
        <w:t xml:space="preserve"> krav er fastsett gjennom vedtak i </w:t>
      </w:r>
      <w:proofErr w:type="spellStart"/>
      <w:r w:rsidRPr="00E426D3">
        <w:t>føretaksmøter</w:t>
      </w:r>
      <w:proofErr w:type="spellEnd"/>
      <w:r w:rsidRPr="00E426D3">
        <w:t xml:space="preserve">. </w:t>
      </w:r>
      <w:proofErr w:type="spellStart"/>
      <w:r w:rsidRPr="00E426D3">
        <w:t>Vidare</w:t>
      </w:r>
      <w:proofErr w:type="spellEnd"/>
      <w:r w:rsidRPr="00E426D3">
        <w:t xml:space="preserve"> er det etablert felles </w:t>
      </w:r>
      <w:proofErr w:type="spellStart"/>
      <w:r w:rsidRPr="00E426D3">
        <w:t>malverk</w:t>
      </w:r>
      <w:proofErr w:type="spellEnd"/>
      <w:r w:rsidRPr="00E426D3">
        <w:t xml:space="preserve"> for </w:t>
      </w:r>
      <w:proofErr w:type="spellStart"/>
      <w:r w:rsidRPr="00E426D3">
        <w:t>årsrekneskap</w:t>
      </w:r>
      <w:proofErr w:type="spellEnd"/>
      <w:r w:rsidRPr="00E426D3">
        <w:t xml:space="preserve"> og </w:t>
      </w:r>
      <w:proofErr w:type="spellStart"/>
      <w:r w:rsidRPr="00E426D3">
        <w:t>tilhøyrande</w:t>
      </w:r>
      <w:proofErr w:type="spellEnd"/>
      <w:r w:rsidRPr="00E426D3">
        <w:t xml:space="preserve"> </w:t>
      </w:r>
      <w:proofErr w:type="spellStart"/>
      <w:r w:rsidRPr="00E426D3">
        <w:t>noteopplysningar</w:t>
      </w:r>
      <w:proofErr w:type="spellEnd"/>
      <w:r w:rsidRPr="00E426D3">
        <w:t xml:space="preserve"> med krav til informasjon om mellom anna pensjonsforhold.</w:t>
      </w:r>
    </w:p>
    <w:p w14:paraId="156732DE" w14:textId="77777777" w:rsidR="00772748" w:rsidRPr="00E426D3" w:rsidRDefault="00772748" w:rsidP="00E426D3">
      <w:proofErr w:type="spellStart"/>
      <w:r w:rsidRPr="00E426D3">
        <w:t>Rekneskapsføring</w:t>
      </w:r>
      <w:proofErr w:type="spellEnd"/>
      <w:r w:rsidRPr="00E426D3">
        <w:t xml:space="preserve"> av </w:t>
      </w:r>
      <w:proofErr w:type="spellStart"/>
      <w:r w:rsidRPr="00E426D3">
        <w:t>pensjonsytingar</w:t>
      </w:r>
      <w:proofErr w:type="spellEnd"/>
      <w:r w:rsidRPr="00E426D3">
        <w:t xml:space="preserve"> vert i dag gjort i samsvar med Norsk Regnekapsstandard, NRS 6 Pensjonskostnader. </w:t>
      </w:r>
      <w:proofErr w:type="spellStart"/>
      <w:r w:rsidRPr="00E426D3">
        <w:t>Helseføretaka</w:t>
      </w:r>
      <w:proofErr w:type="spellEnd"/>
      <w:r w:rsidRPr="00E426D3">
        <w:t xml:space="preserve"> sine </w:t>
      </w:r>
      <w:proofErr w:type="spellStart"/>
      <w:r w:rsidRPr="00E426D3">
        <w:t>pensjonsforpliktingar</w:t>
      </w:r>
      <w:proofErr w:type="spellEnd"/>
      <w:r w:rsidRPr="00E426D3">
        <w:t xml:space="preserve"> vert </w:t>
      </w:r>
      <w:proofErr w:type="spellStart"/>
      <w:r w:rsidRPr="00E426D3">
        <w:t>rekna</w:t>
      </w:r>
      <w:proofErr w:type="spellEnd"/>
      <w:r w:rsidRPr="00E426D3">
        <w:t xml:space="preserve"> som den diskonterte verdien av </w:t>
      </w:r>
      <w:proofErr w:type="spellStart"/>
      <w:r w:rsidRPr="00E426D3">
        <w:t>dei</w:t>
      </w:r>
      <w:proofErr w:type="spellEnd"/>
      <w:r w:rsidRPr="00E426D3">
        <w:t xml:space="preserve"> framtidige </w:t>
      </w:r>
      <w:proofErr w:type="spellStart"/>
      <w:r w:rsidRPr="00E426D3">
        <w:t>pensjonsytingane</w:t>
      </w:r>
      <w:proofErr w:type="spellEnd"/>
      <w:r w:rsidRPr="00E426D3">
        <w:t xml:space="preserve"> som vert </w:t>
      </w:r>
      <w:proofErr w:type="spellStart"/>
      <w:r w:rsidRPr="00E426D3">
        <w:t>rekna</w:t>
      </w:r>
      <w:proofErr w:type="spellEnd"/>
      <w:r w:rsidRPr="00E426D3">
        <w:t xml:space="preserve"> som påløpt på balansedagen og vert ført som ei gjeld i </w:t>
      </w:r>
      <w:proofErr w:type="spellStart"/>
      <w:r w:rsidRPr="00E426D3">
        <w:t>helseføretaka</w:t>
      </w:r>
      <w:proofErr w:type="spellEnd"/>
      <w:r w:rsidRPr="00E426D3">
        <w:t xml:space="preserve"> sin balanse. Pensjonsmidla er vurdert til </w:t>
      </w:r>
      <w:proofErr w:type="spellStart"/>
      <w:r w:rsidRPr="00E426D3">
        <w:t>verkeleg</w:t>
      </w:r>
      <w:proofErr w:type="spellEnd"/>
      <w:r w:rsidRPr="00E426D3">
        <w:t xml:space="preserve"> verdi og vert ført som </w:t>
      </w:r>
      <w:proofErr w:type="spellStart"/>
      <w:r w:rsidRPr="00E426D3">
        <w:t>ein</w:t>
      </w:r>
      <w:proofErr w:type="spellEnd"/>
      <w:r w:rsidRPr="00E426D3">
        <w:t xml:space="preserve"> </w:t>
      </w:r>
      <w:proofErr w:type="spellStart"/>
      <w:r w:rsidRPr="00E426D3">
        <w:t>eigedel</w:t>
      </w:r>
      <w:proofErr w:type="spellEnd"/>
      <w:r w:rsidRPr="00E426D3">
        <w:t xml:space="preserve"> i balansen. Pensjonskostnaden i perioden </w:t>
      </w:r>
      <w:proofErr w:type="spellStart"/>
      <w:r w:rsidRPr="00E426D3">
        <w:t>svarar</w:t>
      </w:r>
      <w:proofErr w:type="spellEnd"/>
      <w:r w:rsidRPr="00E426D3">
        <w:t xml:space="preserve"> til endring i den berekna pensjonsforpliktinga. Det kan </w:t>
      </w:r>
      <w:proofErr w:type="spellStart"/>
      <w:r w:rsidRPr="00E426D3">
        <w:t>vere</w:t>
      </w:r>
      <w:proofErr w:type="spellEnd"/>
      <w:r w:rsidRPr="00E426D3">
        <w:t xml:space="preserve"> </w:t>
      </w:r>
      <w:proofErr w:type="spellStart"/>
      <w:r w:rsidRPr="00E426D3">
        <w:t>betydelege</w:t>
      </w:r>
      <w:proofErr w:type="spellEnd"/>
      <w:r w:rsidRPr="00E426D3">
        <w:t xml:space="preserve"> avvik mellom betalte </w:t>
      </w:r>
      <w:proofErr w:type="spellStart"/>
      <w:r w:rsidRPr="00E426D3">
        <w:t>pensjonspremiar</w:t>
      </w:r>
      <w:proofErr w:type="spellEnd"/>
      <w:r w:rsidRPr="00E426D3">
        <w:t xml:space="preserve"> og den berekna pensjonskostnaden i perioden.</w:t>
      </w:r>
    </w:p>
    <w:p w14:paraId="33172712" w14:textId="77777777" w:rsidR="00772748" w:rsidRPr="00E426D3" w:rsidRDefault="00772748" w:rsidP="00E426D3">
      <w:pPr>
        <w:pStyle w:val="Overskrift2"/>
      </w:pPr>
      <w:r w:rsidRPr="00E426D3">
        <w:t xml:space="preserve">Helse- og omsorgsdepartementet </w:t>
      </w:r>
      <w:proofErr w:type="spellStart"/>
      <w:r w:rsidRPr="00E426D3">
        <w:t>si</w:t>
      </w:r>
      <w:proofErr w:type="spellEnd"/>
      <w:r w:rsidRPr="00E426D3">
        <w:t xml:space="preserve"> vurdering og framlegg</w:t>
      </w:r>
    </w:p>
    <w:p w14:paraId="1A42AEC4" w14:textId="77777777" w:rsidR="00772748" w:rsidRPr="00E426D3" w:rsidRDefault="00772748" w:rsidP="00E426D3">
      <w:r w:rsidRPr="00E426D3">
        <w:t xml:space="preserve">Gjennom Stortingets behandling av St.prp. nr. 1 (2008–2009) </w:t>
      </w:r>
      <w:proofErr w:type="spellStart"/>
      <w:r w:rsidRPr="00E426D3">
        <w:t>vart</w:t>
      </w:r>
      <w:proofErr w:type="spellEnd"/>
      <w:r w:rsidRPr="00E426D3">
        <w:t xml:space="preserve"> det etablert ei ordning der </w:t>
      </w:r>
      <w:proofErr w:type="spellStart"/>
      <w:r w:rsidRPr="00E426D3">
        <w:t>helseføretaka</w:t>
      </w:r>
      <w:proofErr w:type="spellEnd"/>
      <w:r w:rsidRPr="00E426D3">
        <w:t xml:space="preserve"> vert løyvd </w:t>
      </w:r>
      <w:proofErr w:type="spellStart"/>
      <w:r w:rsidRPr="00E426D3">
        <w:t>tilstrekkelege</w:t>
      </w:r>
      <w:proofErr w:type="spellEnd"/>
      <w:r w:rsidRPr="00E426D3">
        <w:t xml:space="preserve"> inntekter (basisramme) til å </w:t>
      </w:r>
      <w:proofErr w:type="spellStart"/>
      <w:r w:rsidRPr="00E426D3">
        <w:t>dekkje</w:t>
      </w:r>
      <w:proofErr w:type="spellEnd"/>
      <w:r w:rsidRPr="00E426D3">
        <w:t xml:space="preserve"> </w:t>
      </w:r>
      <w:proofErr w:type="spellStart"/>
      <w:r w:rsidRPr="00E426D3">
        <w:t>årlege</w:t>
      </w:r>
      <w:proofErr w:type="spellEnd"/>
      <w:r w:rsidRPr="00E426D3">
        <w:t xml:space="preserve"> </w:t>
      </w:r>
      <w:proofErr w:type="spellStart"/>
      <w:r w:rsidRPr="00E426D3">
        <w:t>rekneskapsmessige</w:t>
      </w:r>
      <w:proofErr w:type="spellEnd"/>
      <w:r w:rsidRPr="00E426D3">
        <w:t xml:space="preserve"> </w:t>
      </w:r>
      <w:proofErr w:type="spellStart"/>
      <w:r w:rsidRPr="00E426D3">
        <w:t>pensjonskostnadar</w:t>
      </w:r>
      <w:proofErr w:type="spellEnd"/>
      <w:r w:rsidRPr="00E426D3">
        <w:t xml:space="preserve">, slik at </w:t>
      </w:r>
      <w:proofErr w:type="spellStart"/>
      <w:r w:rsidRPr="00E426D3">
        <w:t>ein</w:t>
      </w:r>
      <w:proofErr w:type="spellEnd"/>
      <w:r w:rsidRPr="00E426D3">
        <w:t xml:space="preserve"> kan oppnå </w:t>
      </w:r>
      <w:proofErr w:type="spellStart"/>
      <w:r w:rsidRPr="00E426D3">
        <w:t>rekneskapsmessig</w:t>
      </w:r>
      <w:proofErr w:type="spellEnd"/>
      <w:r w:rsidRPr="00E426D3">
        <w:t xml:space="preserve"> balanse. Ordninga innebar òg å sikre </w:t>
      </w:r>
      <w:proofErr w:type="spellStart"/>
      <w:r w:rsidRPr="00E426D3">
        <w:t>helseføretaka</w:t>
      </w:r>
      <w:proofErr w:type="spellEnd"/>
      <w:r w:rsidRPr="00E426D3">
        <w:t xml:space="preserve"> </w:t>
      </w:r>
      <w:proofErr w:type="spellStart"/>
      <w:r w:rsidRPr="00E426D3">
        <w:t>tilstrekkeleg</w:t>
      </w:r>
      <w:proofErr w:type="spellEnd"/>
      <w:r w:rsidRPr="00E426D3">
        <w:t xml:space="preserve"> likviditet til å betale </w:t>
      </w:r>
      <w:proofErr w:type="spellStart"/>
      <w:r w:rsidRPr="00E426D3">
        <w:t>årlege</w:t>
      </w:r>
      <w:proofErr w:type="spellEnd"/>
      <w:r w:rsidRPr="00E426D3">
        <w:t xml:space="preserve"> </w:t>
      </w:r>
      <w:proofErr w:type="spellStart"/>
      <w:r w:rsidRPr="00E426D3">
        <w:t>pensjonspremiar</w:t>
      </w:r>
      <w:proofErr w:type="spellEnd"/>
      <w:r w:rsidRPr="00E426D3">
        <w:t xml:space="preserve">. Differansen mellom inntekt i basisramma til pensjonskostnad og betalbar pensjonspremie blei behandla gjennom </w:t>
      </w:r>
      <w:proofErr w:type="spellStart"/>
      <w:r w:rsidRPr="00E426D3">
        <w:t>auke</w:t>
      </w:r>
      <w:proofErr w:type="spellEnd"/>
      <w:r w:rsidRPr="00E426D3">
        <w:t xml:space="preserve"> eller reduksjon i driftskredittramma til </w:t>
      </w:r>
      <w:proofErr w:type="spellStart"/>
      <w:r w:rsidRPr="00E426D3">
        <w:t>helseføretaka</w:t>
      </w:r>
      <w:proofErr w:type="spellEnd"/>
      <w:r w:rsidRPr="00E426D3">
        <w:t xml:space="preserve">, alt etter </w:t>
      </w:r>
      <w:proofErr w:type="spellStart"/>
      <w:r w:rsidRPr="00E426D3">
        <w:t>forteiknet</w:t>
      </w:r>
      <w:proofErr w:type="spellEnd"/>
      <w:r w:rsidRPr="00E426D3">
        <w:t xml:space="preserve"> på differansen. Som </w:t>
      </w:r>
      <w:proofErr w:type="spellStart"/>
      <w:r w:rsidRPr="00E426D3">
        <w:t>følgje</w:t>
      </w:r>
      <w:proofErr w:type="spellEnd"/>
      <w:r w:rsidRPr="00E426D3">
        <w:t xml:space="preserve"> av langt </w:t>
      </w:r>
      <w:proofErr w:type="spellStart"/>
      <w:r w:rsidRPr="00E426D3">
        <w:t>høgare</w:t>
      </w:r>
      <w:proofErr w:type="spellEnd"/>
      <w:r w:rsidRPr="00E426D3">
        <w:t xml:space="preserve"> betalbare </w:t>
      </w:r>
      <w:proofErr w:type="spellStart"/>
      <w:r w:rsidRPr="00E426D3">
        <w:t>pensjonspremiar</w:t>
      </w:r>
      <w:proofErr w:type="spellEnd"/>
      <w:r w:rsidRPr="00E426D3">
        <w:t xml:space="preserve"> enn løyvd inntektsnivå (basert på </w:t>
      </w:r>
      <w:proofErr w:type="spellStart"/>
      <w:r w:rsidRPr="00E426D3">
        <w:t>årlege</w:t>
      </w:r>
      <w:proofErr w:type="spellEnd"/>
      <w:r w:rsidRPr="00E426D3">
        <w:t xml:space="preserve"> </w:t>
      </w:r>
      <w:proofErr w:type="spellStart"/>
      <w:r w:rsidRPr="00E426D3">
        <w:t>pensjonskostnadar</w:t>
      </w:r>
      <w:proofErr w:type="spellEnd"/>
      <w:r w:rsidRPr="00E426D3">
        <w:t xml:space="preserve">) over tid, har </w:t>
      </w:r>
      <w:proofErr w:type="spellStart"/>
      <w:r w:rsidRPr="00E426D3">
        <w:t>no</w:t>
      </w:r>
      <w:proofErr w:type="spellEnd"/>
      <w:r w:rsidRPr="00E426D3">
        <w:t xml:space="preserve"> </w:t>
      </w:r>
      <w:proofErr w:type="spellStart"/>
      <w:r w:rsidRPr="00E426D3">
        <w:t>helseføretaka</w:t>
      </w:r>
      <w:proofErr w:type="spellEnd"/>
      <w:r w:rsidRPr="00E426D3">
        <w:t xml:space="preserve"> </w:t>
      </w:r>
      <w:proofErr w:type="spellStart"/>
      <w:r w:rsidRPr="00E426D3">
        <w:t>ein</w:t>
      </w:r>
      <w:proofErr w:type="spellEnd"/>
      <w:r w:rsidRPr="00E426D3">
        <w:t xml:space="preserve"> </w:t>
      </w:r>
      <w:proofErr w:type="spellStart"/>
      <w:r w:rsidRPr="00E426D3">
        <w:t>rentebærande</w:t>
      </w:r>
      <w:proofErr w:type="spellEnd"/>
      <w:r w:rsidRPr="00E426D3">
        <w:t xml:space="preserve"> driftskreditt på om lag 25 mrd. kroner.</w:t>
      </w:r>
    </w:p>
    <w:p w14:paraId="0B3744C9" w14:textId="77777777" w:rsidR="00772748" w:rsidRPr="00E426D3" w:rsidRDefault="00772748" w:rsidP="00E426D3">
      <w:r w:rsidRPr="00E426D3">
        <w:lastRenderedPageBreak/>
        <w:t xml:space="preserve">Pensjonsforpliktinga vert målt som </w:t>
      </w:r>
      <w:proofErr w:type="spellStart"/>
      <w:r w:rsidRPr="00E426D3">
        <w:t>noverdien</w:t>
      </w:r>
      <w:proofErr w:type="spellEnd"/>
      <w:r w:rsidRPr="00E426D3">
        <w:t xml:space="preserve"> av </w:t>
      </w:r>
      <w:proofErr w:type="spellStart"/>
      <w:r w:rsidRPr="00E426D3">
        <w:t>dei</w:t>
      </w:r>
      <w:proofErr w:type="spellEnd"/>
      <w:r w:rsidRPr="00E426D3">
        <w:t xml:space="preserve"> estimerte framtidige </w:t>
      </w:r>
      <w:proofErr w:type="spellStart"/>
      <w:r w:rsidRPr="00E426D3">
        <w:t>pensjonsytingane</w:t>
      </w:r>
      <w:proofErr w:type="spellEnd"/>
      <w:r w:rsidRPr="00E426D3">
        <w:t xml:space="preserve"> som er opptente på balansedagen. Den lange perioden </w:t>
      </w:r>
      <w:proofErr w:type="spellStart"/>
      <w:r w:rsidRPr="00E426D3">
        <w:t>frå</w:t>
      </w:r>
      <w:proofErr w:type="spellEnd"/>
      <w:r w:rsidRPr="00E426D3">
        <w:t xml:space="preserve"> forpliktinga kjem til, til utbetaling finn stad, er </w:t>
      </w:r>
      <w:proofErr w:type="spellStart"/>
      <w:r w:rsidRPr="00E426D3">
        <w:t>eit</w:t>
      </w:r>
      <w:proofErr w:type="spellEnd"/>
      <w:r w:rsidRPr="00E426D3">
        <w:t xml:space="preserve"> særtrekk ved </w:t>
      </w:r>
      <w:proofErr w:type="spellStart"/>
      <w:r w:rsidRPr="00E426D3">
        <w:t>pensjonar</w:t>
      </w:r>
      <w:proofErr w:type="spellEnd"/>
      <w:r w:rsidRPr="00E426D3">
        <w:t xml:space="preserve">. Tidsavstanden </w:t>
      </w:r>
      <w:proofErr w:type="spellStart"/>
      <w:r w:rsidRPr="00E426D3">
        <w:t>aukar</w:t>
      </w:r>
      <w:proofErr w:type="spellEnd"/>
      <w:r w:rsidRPr="00E426D3">
        <w:t xml:space="preserve"> </w:t>
      </w:r>
      <w:proofErr w:type="spellStart"/>
      <w:r w:rsidRPr="00E426D3">
        <w:t>usikkerheita</w:t>
      </w:r>
      <w:proofErr w:type="spellEnd"/>
      <w:r w:rsidRPr="00E426D3">
        <w:t xml:space="preserve"> ved måling av forpliktinga i høve til andre </w:t>
      </w:r>
      <w:proofErr w:type="spellStart"/>
      <w:r w:rsidRPr="00E426D3">
        <w:t>forpliktingar</w:t>
      </w:r>
      <w:proofErr w:type="spellEnd"/>
      <w:r w:rsidRPr="00E426D3">
        <w:t xml:space="preserve">. Dei økonomiske </w:t>
      </w:r>
      <w:proofErr w:type="spellStart"/>
      <w:r w:rsidRPr="00E426D3">
        <w:t>føresetnadene</w:t>
      </w:r>
      <w:proofErr w:type="spellEnd"/>
      <w:r w:rsidRPr="00E426D3">
        <w:t xml:space="preserve"> som skal </w:t>
      </w:r>
      <w:proofErr w:type="spellStart"/>
      <w:r w:rsidRPr="00E426D3">
        <w:t>leggjast</w:t>
      </w:r>
      <w:proofErr w:type="spellEnd"/>
      <w:r w:rsidRPr="00E426D3">
        <w:t xml:space="preserve"> til grunn ved utrekning av </w:t>
      </w:r>
      <w:proofErr w:type="spellStart"/>
      <w:r w:rsidRPr="00E426D3">
        <w:t>pensjonsforpliktingar</w:t>
      </w:r>
      <w:proofErr w:type="spellEnd"/>
      <w:r w:rsidRPr="00E426D3">
        <w:t xml:space="preserve"> og </w:t>
      </w:r>
      <w:proofErr w:type="spellStart"/>
      <w:r w:rsidRPr="00E426D3">
        <w:t>pensjonskostnadar</w:t>
      </w:r>
      <w:proofErr w:type="spellEnd"/>
      <w:r w:rsidRPr="00E426D3">
        <w:t xml:space="preserve">, skal </w:t>
      </w:r>
      <w:proofErr w:type="spellStart"/>
      <w:r w:rsidRPr="00E426D3">
        <w:t>vere</w:t>
      </w:r>
      <w:proofErr w:type="spellEnd"/>
      <w:r w:rsidRPr="00E426D3">
        <w:t xml:space="preserve"> felles for alle </w:t>
      </w:r>
      <w:proofErr w:type="spellStart"/>
      <w:r w:rsidRPr="00E426D3">
        <w:t>helseføretaka</w:t>
      </w:r>
      <w:proofErr w:type="spellEnd"/>
      <w:r w:rsidRPr="00E426D3">
        <w:t xml:space="preserve"> i landet.</w:t>
      </w:r>
    </w:p>
    <w:p w14:paraId="6256939B" w14:textId="77777777" w:rsidR="00772748" w:rsidRPr="00E426D3" w:rsidRDefault="00772748" w:rsidP="00E426D3">
      <w:proofErr w:type="spellStart"/>
      <w:r w:rsidRPr="00E426D3">
        <w:t>Brukarane</w:t>
      </w:r>
      <w:proofErr w:type="spellEnd"/>
      <w:r w:rsidRPr="00E426D3">
        <w:t xml:space="preserve"> av </w:t>
      </w:r>
      <w:proofErr w:type="spellStart"/>
      <w:r w:rsidRPr="00E426D3">
        <w:t>helseføretaka</w:t>
      </w:r>
      <w:proofErr w:type="spellEnd"/>
      <w:r w:rsidRPr="00E426D3">
        <w:t xml:space="preserve"> sine </w:t>
      </w:r>
      <w:proofErr w:type="spellStart"/>
      <w:r w:rsidRPr="00E426D3">
        <w:t>rekneskap</w:t>
      </w:r>
      <w:proofErr w:type="spellEnd"/>
      <w:r w:rsidRPr="00E426D3">
        <w:t xml:space="preserve">, inkludert </w:t>
      </w:r>
      <w:proofErr w:type="spellStart"/>
      <w:r w:rsidRPr="00E426D3">
        <w:t>eigar</w:t>
      </w:r>
      <w:proofErr w:type="spellEnd"/>
      <w:r w:rsidRPr="00E426D3">
        <w:t xml:space="preserve">, står i ei særstilling overfor </w:t>
      </w:r>
      <w:proofErr w:type="spellStart"/>
      <w:r w:rsidRPr="00E426D3">
        <w:t>føretaket</w:t>
      </w:r>
      <w:proofErr w:type="spellEnd"/>
      <w:r w:rsidRPr="00E426D3">
        <w:t xml:space="preserve"> </w:t>
      </w:r>
      <w:proofErr w:type="spellStart"/>
      <w:r w:rsidRPr="00E426D3">
        <w:t>samanlikna</w:t>
      </w:r>
      <w:proofErr w:type="spellEnd"/>
      <w:r w:rsidRPr="00E426D3">
        <w:t xml:space="preserve"> med mange </w:t>
      </w:r>
      <w:proofErr w:type="spellStart"/>
      <w:r w:rsidRPr="00E426D3">
        <w:t>brukarar</w:t>
      </w:r>
      <w:proofErr w:type="spellEnd"/>
      <w:r w:rsidRPr="00E426D3">
        <w:t xml:space="preserve"> av regnskapsloven. På bakgrunn av </w:t>
      </w:r>
      <w:proofErr w:type="spellStart"/>
      <w:r w:rsidRPr="00E426D3">
        <w:t>dei</w:t>
      </w:r>
      <w:proofErr w:type="spellEnd"/>
      <w:r w:rsidRPr="00E426D3">
        <w:t xml:space="preserve"> </w:t>
      </w:r>
      <w:proofErr w:type="spellStart"/>
      <w:r w:rsidRPr="00E426D3">
        <w:t>særlege</w:t>
      </w:r>
      <w:proofErr w:type="spellEnd"/>
      <w:r w:rsidRPr="00E426D3">
        <w:t xml:space="preserve"> rammevilkåra for </w:t>
      </w:r>
      <w:proofErr w:type="spellStart"/>
      <w:r w:rsidRPr="00E426D3">
        <w:t>helseføretaka</w:t>
      </w:r>
      <w:proofErr w:type="spellEnd"/>
      <w:r w:rsidRPr="00E426D3">
        <w:t xml:space="preserve"> meiner regjeringa det er </w:t>
      </w:r>
      <w:proofErr w:type="spellStart"/>
      <w:r w:rsidRPr="00E426D3">
        <w:t>føremålstenleg</w:t>
      </w:r>
      <w:proofErr w:type="spellEnd"/>
      <w:r w:rsidRPr="00E426D3">
        <w:t xml:space="preserve"> å kunne </w:t>
      </w:r>
      <w:proofErr w:type="spellStart"/>
      <w:r w:rsidRPr="00E426D3">
        <w:t>gje</w:t>
      </w:r>
      <w:proofErr w:type="spellEnd"/>
      <w:r w:rsidRPr="00E426D3">
        <w:t xml:space="preserve"> eigne </w:t>
      </w:r>
      <w:proofErr w:type="spellStart"/>
      <w:r w:rsidRPr="00E426D3">
        <w:t>reglar</w:t>
      </w:r>
      <w:proofErr w:type="spellEnd"/>
      <w:r w:rsidRPr="00E426D3">
        <w:t xml:space="preserve"> for </w:t>
      </w:r>
      <w:proofErr w:type="spellStart"/>
      <w:r w:rsidRPr="00E426D3">
        <w:t>rekneskapsføring</w:t>
      </w:r>
      <w:proofErr w:type="spellEnd"/>
      <w:r w:rsidRPr="00E426D3">
        <w:t xml:space="preserve"> av pensjonsforhold, betre tilpassa statens behov som bruker av </w:t>
      </w:r>
      <w:proofErr w:type="spellStart"/>
      <w:r w:rsidRPr="00E426D3">
        <w:t>rekneskapane</w:t>
      </w:r>
      <w:proofErr w:type="spellEnd"/>
      <w:r w:rsidRPr="00E426D3">
        <w:t>.</w:t>
      </w:r>
    </w:p>
    <w:p w14:paraId="2E69912E" w14:textId="77777777" w:rsidR="00772748" w:rsidRPr="00E426D3" w:rsidRDefault="00772748" w:rsidP="00E426D3">
      <w:r w:rsidRPr="00E426D3">
        <w:t xml:space="preserve">Regjeringa </w:t>
      </w:r>
      <w:proofErr w:type="spellStart"/>
      <w:r w:rsidRPr="00E426D3">
        <w:t>legg</w:t>
      </w:r>
      <w:proofErr w:type="spellEnd"/>
      <w:r w:rsidRPr="00E426D3">
        <w:t xml:space="preserve"> til grunn at </w:t>
      </w:r>
      <w:proofErr w:type="spellStart"/>
      <w:r w:rsidRPr="00E426D3">
        <w:t>helseføretaka</w:t>
      </w:r>
      <w:proofErr w:type="spellEnd"/>
      <w:r w:rsidRPr="00E426D3">
        <w:t xml:space="preserve"> sine rammevilkår skal </w:t>
      </w:r>
      <w:proofErr w:type="spellStart"/>
      <w:r w:rsidRPr="00E426D3">
        <w:t>vere</w:t>
      </w:r>
      <w:proofErr w:type="spellEnd"/>
      <w:r w:rsidRPr="00E426D3">
        <w:t xml:space="preserve"> nøytrale for pensjonsforhold, og dette skal </w:t>
      </w:r>
      <w:proofErr w:type="spellStart"/>
      <w:r w:rsidRPr="00E426D3">
        <w:t>vidareførast</w:t>
      </w:r>
      <w:proofErr w:type="spellEnd"/>
      <w:r w:rsidRPr="00E426D3">
        <w:t xml:space="preserve">. Det vert </w:t>
      </w:r>
      <w:proofErr w:type="spellStart"/>
      <w:r w:rsidRPr="00E426D3">
        <w:t>teke</w:t>
      </w:r>
      <w:proofErr w:type="spellEnd"/>
      <w:r w:rsidRPr="00E426D3">
        <w:t xml:space="preserve"> sikte på at nytt regelverk skal bidra til at store premieavvik </w:t>
      </w:r>
      <w:proofErr w:type="spellStart"/>
      <w:r w:rsidRPr="00E426D3">
        <w:t>ikkje</w:t>
      </w:r>
      <w:proofErr w:type="spellEnd"/>
      <w:r w:rsidRPr="00E426D3">
        <w:t xml:space="preserve"> vert akkumulert over tid, regelverket skal </w:t>
      </w:r>
      <w:proofErr w:type="spellStart"/>
      <w:r w:rsidRPr="00E426D3">
        <w:t>byggje</w:t>
      </w:r>
      <w:proofErr w:type="spellEnd"/>
      <w:r w:rsidRPr="00E426D3">
        <w:t xml:space="preserve"> på forventningsrette økonomiske parameter så langt som </w:t>
      </w:r>
      <w:proofErr w:type="spellStart"/>
      <w:r w:rsidRPr="00E426D3">
        <w:t>mogeleg</w:t>
      </w:r>
      <w:proofErr w:type="spellEnd"/>
      <w:r w:rsidRPr="00E426D3">
        <w:t xml:space="preserve"> og </w:t>
      </w:r>
      <w:proofErr w:type="spellStart"/>
      <w:r w:rsidRPr="00E426D3">
        <w:t>setjast</w:t>
      </w:r>
      <w:proofErr w:type="spellEnd"/>
      <w:r w:rsidRPr="00E426D3">
        <w:t xml:space="preserve"> ut </w:t>
      </w:r>
      <w:proofErr w:type="spellStart"/>
      <w:r w:rsidRPr="00E426D3">
        <w:t>frå</w:t>
      </w:r>
      <w:proofErr w:type="spellEnd"/>
      <w:r w:rsidRPr="00E426D3">
        <w:t xml:space="preserve"> </w:t>
      </w:r>
      <w:proofErr w:type="spellStart"/>
      <w:r w:rsidRPr="00E426D3">
        <w:t>dei</w:t>
      </w:r>
      <w:proofErr w:type="spellEnd"/>
      <w:r w:rsidRPr="00E426D3">
        <w:t xml:space="preserve"> </w:t>
      </w:r>
      <w:proofErr w:type="spellStart"/>
      <w:r w:rsidRPr="00E426D3">
        <w:t>særlege</w:t>
      </w:r>
      <w:proofErr w:type="spellEnd"/>
      <w:r w:rsidRPr="00E426D3">
        <w:t xml:space="preserve"> rammevilkåra som </w:t>
      </w:r>
      <w:proofErr w:type="spellStart"/>
      <w:r w:rsidRPr="00E426D3">
        <w:t>kjenneteiknar</w:t>
      </w:r>
      <w:proofErr w:type="spellEnd"/>
      <w:r w:rsidRPr="00E426D3">
        <w:t xml:space="preserve"> </w:t>
      </w:r>
      <w:proofErr w:type="spellStart"/>
      <w:r w:rsidRPr="00E426D3">
        <w:t>helseføretaka</w:t>
      </w:r>
      <w:proofErr w:type="spellEnd"/>
      <w:r w:rsidRPr="00E426D3">
        <w:t xml:space="preserve">. Det skal </w:t>
      </w:r>
      <w:proofErr w:type="spellStart"/>
      <w:r w:rsidRPr="00E426D3">
        <w:t>framleis</w:t>
      </w:r>
      <w:proofErr w:type="spellEnd"/>
      <w:r w:rsidRPr="00E426D3">
        <w:t xml:space="preserve"> </w:t>
      </w:r>
      <w:proofErr w:type="spellStart"/>
      <w:r w:rsidRPr="00E426D3">
        <w:t>presenterast</w:t>
      </w:r>
      <w:proofErr w:type="spellEnd"/>
      <w:r w:rsidRPr="00E426D3">
        <w:t xml:space="preserve"> </w:t>
      </w:r>
      <w:proofErr w:type="spellStart"/>
      <w:r w:rsidRPr="00E426D3">
        <w:t>naudsynt</w:t>
      </w:r>
      <w:proofErr w:type="spellEnd"/>
      <w:r w:rsidRPr="00E426D3">
        <w:t xml:space="preserve"> informasjon om </w:t>
      </w:r>
      <w:proofErr w:type="spellStart"/>
      <w:r w:rsidRPr="00E426D3">
        <w:t>pensjonsforpliktingar</w:t>
      </w:r>
      <w:proofErr w:type="spellEnd"/>
      <w:r w:rsidRPr="00E426D3">
        <w:t xml:space="preserve"> i </w:t>
      </w:r>
      <w:proofErr w:type="spellStart"/>
      <w:r w:rsidRPr="00E426D3">
        <w:t>helseføretaka</w:t>
      </w:r>
      <w:proofErr w:type="spellEnd"/>
      <w:r w:rsidRPr="00E426D3">
        <w:t xml:space="preserve"> sine </w:t>
      </w:r>
      <w:proofErr w:type="spellStart"/>
      <w:r w:rsidRPr="00E426D3">
        <w:t>årsrekneskap</w:t>
      </w:r>
      <w:proofErr w:type="spellEnd"/>
      <w:r w:rsidRPr="00E426D3">
        <w:t xml:space="preserve"> og notar.</w:t>
      </w:r>
    </w:p>
    <w:p w14:paraId="22F34C75" w14:textId="77777777" w:rsidR="00772748" w:rsidRPr="00E426D3" w:rsidRDefault="00772748" w:rsidP="00E426D3">
      <w:r w:rsidRPr="00E426D3">
        <w:t xml:space="preserve">Departementet </w:t>
      </w:r>
      <w:proofErr w:type="spellStart"/>
      <w:r w:rsidRPr="00E426D3">
        <w:t>gjer</w:t>
      </w:r>
      <w:proofErr w:type="spellEnd"/>
      <w:r w:rsidRPr="00E426D3">
        <w:t xml:space="preserve"> på denne bakgrunn framlegg om å endre helseforetaksloven § 43 fyrste ledd slik at departementet i forskrift kan utfylle eller </w:t>
      </w:r>
      <w:proofErr w:type="spellStart"/>
      <w:r w:rsidRPr="00E426D3">
        <w:t>fråvike</w:t>
      </w:r>
      <w:proofErr w:type="spellEnd"/>
      <w:r w:rsidRPr="00E426D3">
        <w:t xml:space="preserve"> føresegn i regnskapsloven om </w:t>
      </w:r>
      <w:proofErr w:type="spellStart"/>
      <w:r w:rsidRPr="00E426D3">
        <w:t>rekneskapsføring</w:t>
      </w:r>
      <w:proofErr w:type="spellEnd"/>
      <w:r w:rsidRPr="00E426D3">
        <w:t xml:space="preserve"> av pensjonsforhold.</w:t>
      </w:r>
    </w:p>
    <w:p w14:paraId="6AC8E790" w14:textId="77777777" w:rsidR="00772748" w:rsidRPr="00E426D3" w:rsidRDefault="00772748" w:rsidP="00E426D3">
      <w:r w:rsidRPr="00E426D3">
        <w:t xml:space="preserve">Departementet vil utarbeide utkast til forskrift med </w:t>
      </w:r>
      <w:proofErr w:type="spellStart"/>
      <w:r w:rsidRPr="00E426D3">
        <w:t>reglar</w:t>
      </w:r>
      <w:proofErr w:type="spellEnd"/>
      <w:r w:rsidRPr="00E426D3">
        <w:t xml:space="preserve"> som kan utfylle eller </w:t>
      </w:r>
      <w:proofErr w:type="spellStart"/>
      <w:r w:rsidRPr="00E426D3">
        <w:t>fråvike</w:t>
      </w:r>
      <w:proofErr w:type="spellEnd"/>
      <w:r w:rsidRPr="00E426D3">
        <w:t xml:space="preserve"> føresegn i regnskapsloven når det </w:t>
      </w:r>
      <w:proofErr w:type="spellStart"/>
      <w:r w:rsidRPr="00E426D3">
        <w:t>gjeld</w:t>
      </w:r>
      <w:proofErr w:type="spellEnd"/>
      <w:r w:rsidRPr="00E426D3">
        <w:t xml:space="preserve"> pensjonsforhold, </w:t>
      </w:r>
      <w:proofErr w:type="spellStart"/>
      <w:r w:rsidRPr="00E426D3">
        <w:t>innan</w:t>
      </w:r>
      <w:proofErr w:type="spellEnd"/>
      <w:r w:rsidRPr="00E426D3">
        <w:t xml:space="preserve"> utgangen av 2025 og i samråd med </w:t>
      </w:r>
      <w:proofErr w:type="spellStart"/>
      <w:r w:rsidRPr="00E426D3">
        <w:t>dei</w:t>
      </w:r>
      <w:proofErr w:type="spellEnd"/>
      <w:r w:rsidRPr="00E426D3">
        <w:t xml:space="preserve"> regionale </w:t>
      </w:r>
      <w:proofErr w:type="spellStart"/>
      <w:r w:rsidRPr="00E426D3">
        <w:t>helseføretaka</w:t>
      </w:r>
      <w:proofErr w:type="spellEnd"/>
      <w:r w:rsidRPr="00E426D3">
        <w:t>.</w:t>
      </w:r>
    </w:p>
    <w:p w14:paraId="38686EF5" w14:textId="77777777" w:rsidR="00772748" w:rsidRPr="00E426D3" w:rsidRDefault="00772748" w:rsidP="00E426D3">
      <w:pPr>
        <w:pStyle w:val="Overskrift2"/>
      </w:pPr>
      <w:r w:rsidRPr="00E426D3">
        <w:t xml:space="preserve">Økonomiske og administrative </w:t>
      </w:r>
      <w:proofErr w:type="spellStart"/>
      <w:r w:rsidRPr="00E426D3">
        <w:t>konsekvensar</w:t>
      </w:r>
      <w:proofErr w:type="spellEnd"/>
    </w:p>
    <w:p w14:paraId="1975795C" w14:textId="77777777" w:rsidR="00772748" w:rsidRPr="00E426D3" w:rsidRDefault="00772748" w:rsidP="00E426D3">
      <w:r w:rsidRPr="00E426D3">
        <w:t xml:space="preserve">Høvet til å </w:t>
      </w:r>
      <w:proofErr w:type="spellStart"/>
      <w:r w:rsidRPr="00E426D3">
        <w:t>gje</w:t>
      </w:r>
      <w:proofErr w:type="spellEnd"/>
      <w:r w:rsidRPr="00E426D3">
        <w:t xml:space="preserve"> eigne </w:t>
      </w:r>
      <w:proofErr w:type="spellStart"/>
      <w:r w:rsidRPr="00E426D3">
        <w:t>reglar</w:t>
      </w:r>
      <w:proofErr w:type="spellEnd"/>
      <w:r w:rsidRPr="00E426D3">
        <w:t xml:space="preserve"> om </w:t>
      </w:r>
      <w:proofErr w:type="spellStart"/>
      <w:r w:rsidRPr="00E426D3">
        <w:t>rekneskapsføring</w:t>
      </w:r>
      <w:proofErr w:type="spellEnd"/>
      <w:r w:rsidRPr="00E426D3">
        <w:t xml:space="preserve"> av pensjonsforhold har i seg </w:t>
      </w:r>
      <w:proofErr w:type="spellStart"/>
      <w:r w:rsidRPr="00E426D3">
        <w:t>sjølv</w:t>
      </w:r>
      <w:proofErr w:type="spellEnd"/>
      <w:r w:rsidRPr="00E426D3">
        <w:t xml:space="preserve"> ingen administrative eller økonomiske </w:t>
      </w:r>
      <w:proofErr w:type="spellStart"/>
      <w:r w:rsidRPr="00E426D3">
        <w:t>konsekvensar</w:t>
      </w:r>
      <w:proofErr w:type="spellEnd"/>
      <w:r w:rsidRPr="00E426D3">
        <w:t>.</w:t>
      </w:r>
    </w:p>
    <w:p w14:paraId="4ABD756B" w14:textId="77777777" w:rsidR="00772748" w:rsidRPr="00E426D3" w:rsidRDefault="00772748" w:rsidP="00E426D3">
      <w:pPr>
        <w:pStyle w:val="Overskrift2"/>
      </w:pPr>
      <w:proofErr w:type="spellStart"/>
      <w:r w:rsidRPr="00E426D3">
        <w:t>Iverksetjing</w:t>
      </w:r>
      <w:proofErr w:type="spellEnd"/>
    </w:p>
    <w:p w14:paraId="614E7026" w14:textId="77777777" w:rsidR="00772748" w:rsidRPr="00E426D3" w:rsidRDefault="00772748" w:rsidP="00E426D3">
      <w:r w:rsidRPr="00E426D3">
        <w:t xml:space="preserve">Departementet </w:t>
      </w:r>
      <w:proofErr w:type="spellStart"/>
      <w:r w:rsidRPr="00E426D3">
        <w:t>gjer</w:t>
      </w:r>
      <w:proofErr w:type="spellEnd"/>
      <w:r w:rsidRPr="00E426D3">
        <w:t xml:space="preserve"> framlegg om at endringa trer i kraft straks.</w:t>
      </w:r>
    </w:p>
    <w:p w14:paraId="19313953" w14:textId="77777777" w:rsidR="00772748" w:rsidRPr="00E426D3" w:rsidRDefault="00772748" w:rsidP="00E426D3">
      <w:pPr>
        <w:pStyle w:val="Overskrift1"/>
      </w:pPr>
      <w:r w:rsidRPr="00E426D3">
        <w:t>Omtalesaker</w:t>
      </w:r>
    </w:p>
    <w:p w14:paraId="1070DEA0" w14:textId="77777777" w:rsidR="00772748" w:rsidRPr="00E426D3" w:rsidRDefault="00772748" w:rsidP="00E426D3">
      <w:pPr>
        <w:pStyle w:val="Overskrift2"/>
      </w:pPr>
      <w:r w:rsidRPr="00E426D3">
        <w:t xml:space="preserve">Tilbakeføring av </w:t>
      </w:r>
      <w:proofErr w:type="spellStart"/>
      <w:r w:rsidRPr="00E426D3">
        <w:t>meirverdiavgift</w:t>
      </w:r>
      <w:proofErr w:type="spellEnd"/>
      <w:r w:rsidRPr="00E426D3">
        <w:t xml:space="preserve"> ved </w:t>
      </w:r>
      <w:proofErr w:type="spellStart"/>
      <w:r w:rsidRPr="00E426D3">
        <w:t>vidaresal</w:t>
      </w:r>
      <w:proofErr w:type="spellEnd"/>
      <w:r w:rsidRPr="00E426D3">
        <w:t xml:space="preserve"> og anna omdisponering av </w:t>
      </w:r>
      <w:proofErr w:type="spellStart"/>
      <w:r w:rsidRPr="00E426D3">
        <w:t>personkøyretøy</w:t>
      </w:r>
      <w:proofErr w:type="spellEnd"/>
    </w:p>
    <w:p w14:paraId="55195FD0" w14:textId="77777777" w:rsidR="00772748" w:rsidRPr="00E426D3" w:rsidRDefault="00772748" w:rsidP="00E426D3">
      <w:r w:rsidRPr="00E426D3">
        <w:t xml:space="preserve">I Revidert nasjonalbudsjett 2024 vart </w:t>
      </w:r>
      <w:proofErr w:type="spellStart"/>
      <w:r w:rsidRPr="00E426D3">
        <w:t>reglane</w:t>
      </w:r>
      <w:proofErr w:type="spellEnd"/>
      <w:r w:rsidRPr="00E426D3">
        <w:t xml:space="preserve"> om tilbakeføring av </w:t>
      </w:r>
      <w:proofErr w:type="spellStart"/>
      <w:r w:rsidRPr="00E426D3">
        <w:t>frådragsført</w:t>
      </w:r>
      <w:proofErr w:type="spellEnd"/>
      <w:r w:rsidRPr="00E426D3">
        <w:t xml:space="preserve"> </w:t>
      </w:r>
      <w:proofErr w:type="spellStart"/>
      <w:r w:rsidRPr="00E426D3">
        <w:t>meirverdiavgift</w:t>
      </w:r>
      <w:proofErr w:type="spellEnd"/>
      <w:r w:rsidRPr="00E426D3">
        <w:t xml:space="preserve"> ved kjøp av </w:t>
      </w:r>
      <w:proofErr w:type="spellStart"/>
      <w:r w:rsidRPr="00E426D3">
        <w:t>personkøyretøy</w:t>
      </w:r>
      <w:proofErr w:type="spellEnd"/>
      <w:r w:rsidRPr="00E426D3">
        <w:t xml:space="preserve"> lagt om </w:t>
      </w:r>
      <w:proofErr w:type="spellStart"/>
      <w:r w:rsidRPr="00E426D3">
        <w:t>frå</w:t>
      </w:r>
      <w:proofErr w:type="spellEnd"/>
      <w:r w:rsidRPr="00E426D3">
        <w:t xml:space="preserve"> utrekning etter sjablong til utrekning etter restverdi. Endringa er </w:t>
      </w:r>
      <w:proofErr w:type="spellStart"/>
      <w:r w:rsidRPr="00E426D3">
        <w:t>omtala</w:t>
      </w:r>
      <w:proofErr w:type="spellEnd"/>
      <w:r w:rsidRPr="00E426D3">
        <w:t xml:space="preserve"> i </w:t>
      </w:r>
      <w:proofErr w:type="spellStart"/>
      <w:r w:rsidRPr="00E426D3">
        <w:t>Prop</w:t>
      </w:r>
      <w:proofErr w:type="spellEnd"/>
      <w:r w:rsidRPr="00E426D3">
        <w:t xml:space="preserve">. 103 LS (2023–2024) </w:t>
      </w:r>
      <w:proofErr w:type="spellStart"/>
      <w:r w:rsidRPr="00E426D3">
        <w:rPr>
          <w:rStyle w:val="kursiv"/>
        </w:rPr>
        <w:t>Endringar</w:t>
      </w:r>
      <w:proofErr w:type="spellEnd"/>
      <w:r w:rsidRPr="00E426D3">
        <w:rPr>
          <w:rStyle w:val="kursiv"/>
        </w:rPr>
        <w:t xml:space="preserve"> i skatte- og avgiftslovgivinga</w:t>
      </w:r>
      <w:r w:rsidRPr="00E426D3">
        <w:t xml:space="preserve">. I budsjettet for 2025 varsla regjeringa likevel at den ville skjerme drosjer </w:t>
      </w:r>
      <w:proofErr w:type="spellStart"/>
      <w:r w:rsidRPr="00E426D3">
        <w:t>frå</w:t>
      </w:r>
      <w:proofErr w:type="spellEnd"/>
      <w:r w:rsidRPr="00E426D3">
        <w:t xml:space="preserve"> </w:t>
      </w:r>
      <w:proofErr w:type="spellStart"/>
      <w:r w:rsidRPr="00E426D3">
        <w:t>desse</w:t>
      </w:r>
      <w:proofErr w:type="spellEnd"/>
      <w:r w:rsidRPr="00E426D3">
        <w:t xml:space="preserve"> </w:t>
      </w:r>
      <w:proofErr w:type="spellStart"/>
      <w:r w:rsidRPr="00E426D3">
        <w:t>endringane</w:t>
      </w:r>
      <w:proofErr w:type="spellEnd"/>
      <w:r w:rsidRPr="00E426D3">
        <w:t xml:space="preserve"> og at regjeringa ville </w:t>
      </w:r>
      <w:proofErr w:type="spellStart"/>
      <w:r w:rsidRPr="00E426D3">
        <w:t>kome</w:t>
      </w:r>
      <w:proofErr w:type="spellEnd"/>
      <w:r w:rsidRPr="00E426D3">
        <w:t xml:space="preserve"> med framlegg om dette i Revidert nasjonalbudsjett 2025.</w:t>
      </w:r>
    </w:p>
    <w:p w14:paraId="497D9789" w14:textId="77777777" w:rsidR="00772748" w:rsidRPr="00E426D3" w:rsidRDefault="00772748" w:rsidP="00E426D3">
      <w:r w:rsidRPr="00E426D3">
        <w:lastRenderedPageBreak/>
        <w:t xml:space="preserve">For </w:t>
      </w:r>
      <w:proofErr w:type="spellStart"/>
      <w:r w:rsidRPr="00E426D3">
        <w:t>personkøyretøy</w:t>
      </w:r>
      <w:proofErr w:type="spellEnd"/>
      <w:r w:rsidRPr="00E426D3">
        <w:t xml:space="preserve"> er det gjort unntak </w:t>
      </w:r>
      <w:proofErr w:type="spellStart"/>
      <w:r w:rsidRPr="00E426D3">
        <w:t>frå</w:t>
      </w:r>
      <w:proofErr w:type="spellEnd"/>
      <w:r w:rsidRPr="00E426D3">
        <w:t xml:space="preserve"> den generelle retten til </w:t>
      </w:r>
      <w:proofErr w:type="spellStart"/>
      <w:r w:rsidRPr="00E426D3">
        <w:t>frådrag</w:t>
      </w:r>
      <w:proofErr w:type="spellEnd"/>
      <w:r w:rsidRPr="00E426D3">
        <w:t xml:space="preserve"> for </w:t>
      </w:r>
      <w:proofErr w:type="spellStart"/>
      <w:r w:rsidRPr="00E426D3">
        <w:t>meirverdiavgift</w:t>
      </w:r>
      <w:proofErr w:type="spellEnd"/>
      <w:r w:rsidRPr="00E426D3">
        <w:t xml:space="preserve">. Denne særeigne behandlinga av </w:t>
      </w:r>
      <w:proofErr w:type="spellStart"/>
      <w:r w:rsidRPr="00E426D3">
        <w:t>personkøyretøy</w:t>
      </w:r>
      <w:proofErr w:type="spellEnd"/>
      <w:r w:rsidRPr="00E426D3">
        <w:t xml:space="preserve"> er grunna med faren for at private utgifter vert ført til </w:t>
      </w:r>
      <w:proofErr w:type="spellStart"/>
      <w:r w:rsidRPr="00E426D3">
        <w:t>frådrag</w:t>
      </w:r>
      <w:proofErr w:type="spellEnd"/>
      <w:r w:rsidRPr="00E426D3">
        <w:t xml:space="preserve"> i næring. </w:t>
      </w:r>
      <w:proofErr w:type="spellStart"/>
      <w:r w:rsidRPr="00E426D3">
        <w:t>Frådragsretten</w:t>
      </w:r>
      <w:proofErr w:type="spellEnd"/>
      <w:r w:rsidRPr="00E426D3">
        <w:t xml:space="preserve"> gjeld likevel for </w:t>
      </w:r>
      <w:proofErr w:type="spellStart"/>
      <w:r w:rsidRPr="00E426D3">
        <w:t>personkøyretøy</w:t>
      </w:r>
      <w:proofErr w:type="spellEnd"/>
      <w:r w:rsidRPr="00E426D3">
        <w:t xml:space="preserve"> som vert brukt som </w:t>
      </w:r>
      <w:proofErr w:type="spellStart"/>
      <w:r w:rsidRPr="00E426D3">
        <w:t>salsvare</w:t>
      </w:r>
      <w:proofErr w:type="spellEnd"/>
      <w:r w:rsidRPr="00E426D3">
        <w:t xml:space="preserve">, </w:t>
      </w:r>
      <w:proofErr w:type="spellStart"/>
      <w:r w:rsidRPr="00E426D3">
        <w:t>utleigekøyretøy</w:t>
      </w:r>
      <w:proofErr w:type="spellEnd"/>
      <w:r w:rsidRPr="00E426D3">
        <w:t xml:space="preserve"> (</w:t>
      </w:r>
      <w:proofErr w:type="spellStart"/>
      <w:r w:rsidRPr="00E426D3">
        <w:t>utleige</w:t>
      </w:r>
      <w:proofErr w:type="spellEnd"/>
      <w:r w:rsidRPr="00E426D3">
        <w:t xml:space="preserve"> og leasing) og persontransport (drosje).</w:t>
      </w:r>
    </w:p>
    <w:p w14:paraId="722B4EF7" w14:textId="77777777" w:rsidR="00772748" w:rsidRPr="00E426D3" w:rsidRDefault="00772748" w:rsidP="00E426D3">
      <w:r w:rsidRPr="00E426D3">
        <w:t xml:space="preserve">Det vert </w:t>
      </w:r>
      <w:proofErr w:type="spellStart"/>
      <w:r w:rsidRPr="00E426D3">
        <w:t>ikkje</w:t>
      </w:r>
      <w:proofErr w:type="spellEnd"/>
      <w:r w:rsidRPr="00E426D3">
        <w:t xml:space="preserve"> betalt </w:t>
      </w:r>
      <w:proofErr w:type="spellStart"/>
      <w:r w:rsidRPr="00E426D3">
        <w:t>meirverdiavgift</w:t>
      </w:r>
      <w:proofErr w:type="spellEnd"/>
      <w:r w:rsidRPr="00E426D3">
        <w:t xml:space="preserve"> ved omsetning av brukte motorvogner. Når </w:t>
      </w:r>
      <w:proofErr w:type="spellStart"/>
      <w:r w:rsidRPr="00E426D3">
        <w:t>meirverdiavgift</w:t>
      </w:r>
      <w:proofErr w:type="spellEnd"/>
      <w:r w:rsidRPr="00E426D3">
        <w:t xml:space="preserve"> vert </w:t>
      </w:r>
      <w:proofErr w:type="spellStart"/>
      <w:r w:rsidRPr="00E426D3">
        <w:t>frådragsført</w:t>
      </w:r>
      <w:proofErr w:type="spellEnd"/>
      <w:r w:rsidRPr="00E426D3">
        <w:t xml:space="preserve"> i tilfella </w:t>
      </w:r>
      <w:proofErr w:type="spellStart"/>
      <w:r w:rsidRPr="00E426D3">
        <w:t>nemnt</w:t>
      </w:r>
      <w:proofErr w:type="spellEnd"/>
      <w:r w:rsidRPr="00E426D3">
        <w:t xml:space="preserve"> </w:t>
      </w:r>
      <w:proofErr w:type="spellStart"/>
      <w:r w:rsidRPr="00E426D3">
        <w:t>ovanfor</w:t>
      </w:r>
      <w:proofErr w:type="spellEnd"/>
      <w:r w:rsidRPr="00E426D3">
        <w:t xml:space="preserve">, </w:t>
      </w:r>
      <w:proofErr w:type="spellStart"/>
      <w:r w:rsidRPr="00E426D3">
        <w:t>utan</w:t>
      </w:r>
      <w:proofErr w:type="spellEnd"/>
      <w:r w:rsidRPr="00E426D3">
        <w:t xml:space="preserve"> at </w:t>
      </w:r>
      <w:proofErr w:type="spellStart"/>
      <w:r w:rsidRPr="00E426D3">
        <w:t>vidaresal</w:t>
      </w:r>
      <w:proofErr w:type="spellEnd"/>
      <w:r w:rsidRPr="00E426D3">
        <w:t xml:space="preserve"> utløyser avgift, kan </w:t>
      </w:r>
      <w:proofErr w:type="spellStart"/>
      <w:r w:rsidRPr="00E426D3">
        <w:t>ein</w:t>
      </w:r>
      <w:proofErr w:type="spellEnd"/>
      <w:r w:rsidRPr="00E426D3">
        <w:t xml:space="preserve"> </w:t>
      </w:r>
      <w:proofErr w:type="spellStart"/>
      <w:r w:rsidRPr="00E426D3">
        <w:t>reinse</w:t>
      </w:r>
      <w:proofErr w:type="spellEnd"/>
      <w:r w:rsidRPr="00E426D3">
        <w:t xml:space="preserve"> </w:t>
      </w:r>
      <w:proofErr w:type="spellStart"/>
      <w:r w:rsidRPr="00E426D3">
        <w:t>personkøyretøy</w:t>
      </w:r>
      <w:proofErr w:type="spellEnd"/>
      <w:r w:rsidRPr="00E426D3">
        <w:t xml:space="preserve"> for </w:t>
      </w:r>
      <w:proofErr w:type="spellStart"/>
      <w:r w:rsidRPr="00E426D3">
        <w:t>meirverdiavgift</w:t>
      </w:r>
      <w:proofErr w:type="spellEnd"/>
      <w:r w:rsidRPr="00E426D3">
        <w:t xml:space="preserve"> og selje </w:t>
      </w:r>
      <w:proofErr w:type="spellStart"/>
      <w:r w:rsidRPr="00E426D3">
        <w:t>køyretøya</w:t>
      </w:r>
      <w:proofErr w:type="spellEnd"/>
      <w:r w:rsidRPr="00E426D3">
        <w:t xml:space="preserve"> </w:t>
      </w:r>
      <w:proofErr w:type="spellStart"/>
      <w:r w:rsidRPr="00E426D3">
        <w:t>vidare</w:t>
      </w:r>
      <w:proofErr w:type="spellEnd"/>
      <w:r w:rsidRPr="00E426D3">
        <w:t xml:space="preserve"> avgiftsfritt i </w:t>
      </w:r>
      <w:proofErr w:type="spellStart"/>
      <w:r w:rsidRPr="00E426D3">
        <w:t>bruktbilmarknaden</w:t>
      </w:r>
      <w:proofErr w:type="spellEnd"/>
      <w:r w:rsidRPr="00E426D3">
        <w:t xml:space="preserve">. For å </w:t>
      </w:r>
      <w:proofErr w:type="spellStart"/>
      <w:r w:rsidRPr="00E426D3">
        <w:t>motverke</w:t>
      </w:r>
      <w:proofErr w:type="spellEnd"/>
      <w:r w:rsidRPr="00E426D3">
        <w:t xml:space="preserve"> dette er det gitt </w:t>
      </w:r>
      <w:proofErr w:type="spellStart"/>
      <w:r w:rsidRPr="00E426D3">
        <w:t>reglar</w:t>
      </w:r>
      <w:proofErr w:type="spellEnd"/>
      <w:r w:rsidRPr="00E426D3">
        <w:t xml:space="preserve"> om tilbakeføring av </w:t>
      </w:r>
      <w:proofErr w:type="spellStart"/>
      <w:r w:rsidRPr="00E426D3">
        <w:t>frådragsført</w:t>
      </w:r>
      <w:proofErr w:type="spellEnd"/>
      <w:r w:rsidRPr="00E426D3">
        <w:t xml:space="preserve"> </w:t>
      </w:r>
      <w:proofErr w:type="spellStart"/>
      <w:r w:rsidRPr="00E426D3">
        <w:t>meirverdiavgift</w:t>
      </w:r>
      <w:proofErr w:type="spellEnd"/>
      <w:r w:rsidRPr="00E426D3">
        <w:t xml:space="preserve"> når </w:t>
      </w:r>
      <w:proofErr w:type="spellStart"/>
      <w:r w:rsidRPr="00E426D3">
        <w:t>personkøyretøy</w:t>
      </w:r>
      <w:proofErr w:type="spellEnd"/>
      <w:r w:rsidRPr="00E426D3">
        <w:t xml:space="preserve"> vert selt </w:t>
      </w:r>
      <w:proofErr w:type="spellStart"/>
      <w:r w:rsidRPr="00E426D3">
        <w:t>vidare</w:t>
      </w:r>
      <w:proofErr w:type="spellEnd"/>
      <w:r w:rsidRPr="00E426D3">
        <w:t xml:space="preserve"> eller på </w:t>
      </w:r>
      <w:proofErr w:type="spellStart"/>
      <w:r w:rsidRPr="00E426D3">
        <w:t>annan</w:t>
      </w:r>
      <w:proofErr w:type="spellEnd"/>
      <w:r w:rsidRPr="00E426D3">
        <w:t xml:space="preserve"> måte tatt ut av avgiftspliktig </w:t>
      </w:r>
      <w:proofErr w:type="spellStart"/>
      <w:r w:rsidRPr="00E426D3">
        <w:t>verksemd</w:t>
      </w:r>
      <w:proofErr w:type="spellEnd"/>
      <w:r w:rsidRPr="00E426D3">
        <w:t xml:space="preserve">. </w:t>
      </w:r>
      <w:proofErr w:type="spellStart"/>
      <w:r w:rsidRPr="00E426D3">
        <w:t>Reglane</w:t>
      </w:r>
      <w:proofErr w:type="spellEnd"/>
      <w:r w:rsidRPr="00E426D3">
        <w:t xml:space="preserve"> om tilbakeføring av </w:t>
      </w:r>
      <w:proofErr w:type="spellStart"/>
      <w:r w:rsidRPr="00E426D3">
        <w:t>frådragsført</w:t>
      </w:r>
      <w:proofErr w:type="spellEnd"/>
      <w:r w:rsidRPr="00E426D3">
        <w:t xml:space="preserve"> </w:t>
      </w:r>
      <w:proofErr w:type="spellStart"/>
      <w:r w:rsidRPr="00E426D3">
        <w:t>meirverdiavgift</w:t>
      </w:r>
      <w:proofErr w:type="spellEnd"/>
      <w:r w:rsidRPr="00E426D3">
        <w:t xml:space="preserve"> bidrar dermed til at restverdien av </w:t>
      </w:r>
      <w:proofErr w:type="spellStart"/>
      <w:r w:rsidRPr="00E426D3">
        <w:t>køyretøyet</w:t>
      </w:r>
      <w:proofErr w:type="spellEnd"/>
      <w:r w:rsidRPr="00E426D3">
        <w:t xml:space="preserve"> vert </w:t>
      </w:r>
      <w:proofErr w:type="spellStart"/>
      <w:r w:rsidRPr="00E426D3">
        <w:t>skattlagd</w:t>
      </w:r>
      <w:proofErr w:type="spellEnd"/>
      <w:r w:rsidRPr="00E426D3">
        <w:t xml:space="preserve"> ved </w:t>
      </w:r>
      <w:proofErr w:type="spellStart"/>
      <w:r w:rsidRPr="00E426D3">
        <w:t>vidaresal</w:t>
      </w:r>
      <w:proofErr w:type="spellEnd"/>
      <w:r w:rsidRPr="00E426D3">
        <w:t>.</w:t>
      </w:r>
    </w:p>
    <w:p w14:paraId="02813EAA" w14:textId="77777777" w:rsidR="00772748" w:rsidRPr="00E426D3" w:rsidRDefault="00772748" w:rsidP="00E426D3">
      <w:proofErr w:type="spellStart"/>
      <w:r w:rsidRPr="00E426D3">
        <w:t>Frå</w:t>
      </w:r>
      <w:proofErr w:type="spellEnd"/>
      <w:r w:rsidRPr="00E426D3">
        <w:t xml:space="preserve"> 1. juli 2024 vart </w:t>
      </w:r>
      <w:proofErr w:type="spellStart"/>
      <w:r w:rsidRPr="00E426D3">
        <w:t>reglane</w:t>
      </w:r>
      <w:proofErr w:type="spellEnd"/>
      <w:r w:rsidRPr="00E426D3">
        <w:t xml:space="preserve"> om tilbakeføring lagt om </w:t>
      </w:r>
      <w:proofErr w:type="spellStart"/>
      <w:r w:rsidRPr="00E426D3">
        <w:t>frå</w:t>
      </w:r>
      <w:proofErr w:type="spellEnd"/>
      <w:r w:rsidRPr="00E426D3">
        <w:t xml:space="preserve"> </w:t>
      </w:r>
      <w:proofErr w:type="spellStart"/>
      <w:r w:rsidRPr="00E426D3">
        <w:t>berekning</w:t>
      </w:r>
      <w:proofErr w:type="spellEnd"/>
      <w:r w:rsidRPr="00E426D3">
        <w:t xml:space="preserve"> etter sjablong til </w:t>
      </w:r>
      <w:proofErr w:type="spellStart"/>
      <w:r w:rsidRPr="00E426D3">
        <w:t>berekning</w:t>
      </w:r>
      <w:proofErr w:type="spellEnd"/>
      <w:r w:rsidRPr="00E426D3">
        <w:t xml:space="preserve"> ut </w:t>
      </w:r>
      <w:proofErr w:type="spellStart"/>
      <w:r w:rsidRPr="00E426D3">
        <w:t>frå</w:t>
      </w:r>
      <w:proofErr w:type="spellEnd"/>
      <w:r w:rsidRPr="00E426D3">
        <w:t xml:space="preserve"> restverdi. Tilbakeføringsbeløpet skal </w:t>
      </w:r>
      <w:proofErr w:type="spellStart"/>
      <w:r w:rsidRPr="00E426D3">
        <w:t>no</w:t>
      </w:r>
      <w:proofErr w:type="spellEnd"/>
      <w:r w:rsidRPr="00E426D3">
        <w:t xml:space="preserve"> </w:t>
      </w:r>
      <w:proofErr w:type="spellStart"/>
      <w:r w:rsidRPr="00E426D3">
        <w:t>reknast</w:t>
      </w:r>
      <w:proofErr w:type="spellEnd"/>
      <w:r w:rsidRPr="00E426D3">
        <w:t xml:space="preserve"> ut individuelt, ut </w:t>
      </w:r>
      <w:proofErr w:type="spellStart"/>
      <w:r w:rsidRPr="00E426D3">
        <w:t>frå</w:t>
      </w:r>
      <w:proofErr w:type="spellEnd"/>
      <w:r w:rsidRPr="00E426D3">
        <w:t xml:space="preserve"> forholdet mellom kjøpsverdi og verdi når </w:t>
      </w:r>
      <w:proofErr w:type="spellStart"/>
      <w:r w:rsidRPr="00E426D3">
        <w:t>køyretøyet</w:t>
      </w:r>
      <w:proofErr w:type="spellEnd"/>
      <w:r w:rsidRPr="00E426D3">
        <w:t xml:space="preserve"> vert selt </w:t>
      </w:r>
      <w:proofErr w:type="spellStart"/>
      <w:r w:rsidRPr="00E426D3">
        <w:t>vidare</w:t>
      </w:r>
      <w:proofErr w:type="spellEnd"/>
      <w:r w:rsidRPr="00E426D3">
        <w:t xml:space="preserve"> (</w:t>
      </w:r>
      <w:proofErr w:type="spellStart"/>
      <w:r w:rsidRPr="00E426D3">
        <w:t>salspris</w:t>
      </w:r>
      <w:proofErr w:type="spellEnd"/>
      <w:r w:rsidRPr="00E426D3">
        <w:t xml:space="preserve">). </w:t>
      </w:r>
      <w:proofErr w:type="spellStart"/>
      <w:r w:rsidRPr="00E426D3">
        <w:t>Føremålet</w:t>
      </w:r>
      <w:proofErr w:type="spellEnd"/>
      <w:r w:rsidRPr="00E426D3">
        <w:t xml:space="preserve"> med endringa var </w:t>
      </w:r>
      <w:proofErr w:type="spellStart"/>
      <w:r w:rsidRPr="00E426D3">
        <w:t>gjere</w:t>
      </w:r>
      <w:proofErr w:type="spellEnd"/>
      <w:r w:rsidRPr="00E426D3">
        <w:t xml:space="preserve"> </w:t>
      </w:r>
      <w:proofErr w:type="spellStart"/>
      <w:r w:rsidRPr="00E426D3">
        <w:t>reglane</w:t>
      </w:r>
      <w:proofErr w:type="spellEnd"/>
      <w:r w:rsidRPr="00E426D3">
        <w:t xml:space="preserve"> </w:t>
      </w:r>
      <w:proofErr w:type="spellStart"/>
      <w:r w:rsidRPr="00E426D3">
        <w:t>meir</w:t>
      </w:r>
      <w:proofErr w:type="spellEnd"/>
      <w:r w:rsidRPr="00E426D3">
        <w:t xml:space="preserve"> nøytrale. Når tilbakeføringsbeløpet vert </w:t>
      </w:r>
      <w:proofErr w:type="spellStart"/>
      <w:r w:rsidRPr="00E426D3">
        <w:t>rekna</w:t>
      </w:r>
      <w:proofErr w:type="spellEnd"/>
      <w:r w:rsidRPr="00E426D3">
        <w:t xml:space="preserve"> ut </w:t>
      </w:r>
      <w:proofErr w:type="spellStart"/>
      <w:r w:rsidRPr="00E426D3">
        <w:t>frå</w:t>
      </w:r>
      <w:proofErr w:type="spellEnd"/>
      <w:r w:rsidRPr="00E426D3">
        <w:t xml:space="preserve"> det faktiske verdifallet, får </w:t>
      </w:r>
      <w:proofErr w:type="spellStart"/>
      <w:r w:rsidRPr="00E426D3">
        <w:t>ein</w:t>
      </w:r>
      <w:proofErr w:type="spellEnd"/>
      <w:r w:rsidRPr="00E426D3">
        <w:t xml:space="preserve"> ei </w:t>
      </w:r>
      <w:proofErr w:type="spellStart"/>
      <w:r w:rsidRPr="00E426D3">
        <w:t>meir</w:t>
      </w:r>
      <w:proofErr w:type="spellEnd"/>
      <w:r w:rsidRPr="00E426D3">
        <w:t xml:space="preserve"> presis skattlegging av restverdien enn det den </w:t>
      </w:r>
      <w:proofErr w:type="spellStart"/>
      <w:r w:rsidRPr="00E426D3">
        <w:t>tidlegare</w:t>
      </w:r>
      <w:proofErr w:type="spellEnd"/>
      <w:r w:rsidRPr="00E426D3">
        <w:t xml:space="preserve"> sjablongen fanga opp.</w:t>
      </w:r>
    </w:p>
    <w:p w14:paraId="334DA6A6" w14:textId="77777777" w:rsidR="00772748" w:rsidRPr="00E426D3" w:rsidRDefault="00772748" w:rsidP="00E426D3">
      <w:r w:rsidRPr="00E426D3">
        <w:t xml:space="preserve">Omsetning av </w:t>
      </w:r>
      <w:proofErr w:type="spellStart"/>
      <w:r w:rsidRPr="00E426D3">
        <w:t>elbilar</w:t>
      </w:r>
      <w:proofErr w:type="spellEnd"/>
      <w:r w:rsidRPr="00E426D3">
        <w:t xml:space="preserve"> er </w:t>
      </w:r>
      <w:proofErr w:type="spellStart"/>
      <w:r w:rsidRPr="00E426D3">
        <w:t>friteke</w:t>
      </w:r>
      <w:proofErr w:type="spellEnd"/>
      <w:r w:rsidRPr="00E426D3">
        <w:t xml:space="preserve"> for </w:t>
      </w:r>
      <w:proofErr w:type="spellStart"/>
      <w:r w:rsidRPr="00E426D3">
        <w:t>meirverdiavgift</w:t>
      </w:r>
      <w:proofErr w:type="spellEnd"/>
      <w:r w:rsidRPr="00E426D3">
        <w:t xml:space="preserve"> for vederlag opp til og med 500 000 kroner. Dei nye </w:t>
      </w:r>
      <w:proofErr w:type="spellStart"/>
      <w:r w:rsidRPr="00E426D3">
        <w:t>reglane</w:t>
      </w:r>
      <w:proofErr w:type="spellEnd"/>
      <w:r w:rsidRPr="00E426D3">
        <w:t xml:space="preserve"> om tilbakeføring av </w:t>
      </w:r>
      <w:proofErr w:type="spellStart"/>
      <w:r w:rsidRPr="00E426D3">
        <w:t>frådragsført</w:t>
      </w:r>
      <w:proofErr w:type="spellEnd"/>
      <w:r w:rsidRPr="00E426D3">
        <w:t xml:space="preserve"> </w:t>
      </w:r>
      <w:proofErr w:type="spellStart"/>
      <w:r w:rsidRPr="00E426D3">
        <w:t>meirverdiavgift</w:t>
      </w:r>
      <w:proofErr w:type="spellEnd"/>
      <w:r w:rsidRPr="00E426D3">
        <w:t xml:space="preserve"> har </w:t>
      </w:r>
      <w:proofErr w:type="spellStart"/>
      <w:r w:rsidRPr="00E426D3">
        <w:t>difor</w:t>
      </w:r>
      <w:proofErr w:type="spellEnd"/>
      <w:r w:rsidRPr="00E426D3">
        <w:t xml:space="preserve"> </w:t>
      </w:r>
      <w:proofErr w:type="spellStart"/>
      <w:r w:rsidRPr="00E426D3">
        <w:t>berre</w:t>
      </w:r>
      <w:proofErr w:type="spellEnd"/>
      <w:r w:rsidRPr="00E426D3">
        <w:t xml:space="preserve"> </w:t>
      </w:r>
      <w:proofErr w:type="spellStart"/>
      <w:r w:rsidRPr="00E426D3">
        <w:t>betyding</w:t>
      </w:r>
      <w:proofErr w:type="spellEnd"/>
      <w:r w:rsidRPr="00E426D3">
        <w:t xml:space="preserve"> for </w:t>
      </w:r>
      <w:proofErr w:type="spellStart"/>
      <w:r w:rsidRPr="00E426D3">
        <w:t>personkøyretøy</w:t>
      </w:r>
      <w:proofErr w:type="spellEnd"/>
      <w:r w:rsidRPr="00E426D3">
        <w:t xml:space="preserve"> med forbrenningsmotor og </w:t>
      </w:r>
      <w:proofErr w:type="spellStart"/>
      <w:r w:rsidRPr="00E426D3">
        <w:t>dei</w:t>
      </w:r>
      <w:proofErr w:type="spellEnd"/>
      <w:r w:rsidRPr="00E426D3">
        <w:t xml:space="preserve"> </w:t>
      </w:r>
      <w:proofErr w:type="spellStart"/>
      <w:r w:rsidRPr="00E426D3">
        <w:t>dyraste</w:t>
      </w:r>
      <w:proofErr w:type="spellEnd"/>
      <w:r w:rsidRPr="00E426D3">
        <w:t xml:space="preserve"> </w:t>
      </w:r>
      <w:proofErr w:type="spellStart"/>
      <w:r w:rsidRPr="00E426D3">
        <w:t>elbilane</w:t>
      </w:r>
      <w:proofErr w:type="spellEnd"/>
      <w:r w:rsidRPr="00E426D3">
        <w:t xml:space="preserve">. Inntektene </w:t>
      </w:r>
      <w:proofErr w:type="spellStart"/>
      <w:r w:rsidRPr="00E426D3">
        <w:t>frå</w:t>
      </w:r>
      <w:proofErr w:type="spellEnd"/>
      <w:r w:rsidRPr="00E426D3">
        <w:t xml:space="preserve"> endringa </w:t>
      </w:r>
      <w:proofErr w:type="spellStart"/>
      <w:r w:rsidRPr="00E426D3">
        <w:t>vart</w:t>
      </w:r>
      <w:proofErr w:type="spellEnd"/>
      <w:r w:rsidRPr="00E426D3">
        <w:t xml:space="preserve"> brukt til å redusere </w:t>
      </w:r>
      <w:proofErr w:type="spellStart"/>
      <w:r w:rsidRPr="00E426D3">
        <w:t>eingongsavgifta</w:t>
      </w:r>
      <w:proofErr w:type="spellEnd"/>
      <w:r w:rsidRPr="00E426D3">
        <w:t xml:space="preserve"> på </w:t>
      </w:r>
      <w:proofErr w:type="spellStart"/>
      <w:r w:rsidRPr="00E426D3">
        <w:t>personbilar</w:t>
      </w:r>
      <w:proofErr w:type="spellEnd"/>
      <w:r w:rsidRPr="00E426D3">
        <w:t xml:space="preserve"> og på å frita rullestoldrosjer </w:t>
      </w:r>
      <w:proofErr w:type="spellStart"/>
      <w:r w:rsidRPr="00E426D3">
        <w:t>frå</w:t>
      </w:r>
      <w:proofErr w:type="spellEnd"/>
      <w:r w:rsidRPr="00E426D3">
        <w:t xml:space="preserve"> </w:t>
      </w:r>
      <w:proofErr w:type="spellStart"/>
      <w:r w:rsidRPr="00E426D3">
        <w:t>eingongsavgift</w:t>
      </w:r>
      <w:proofErr w:type="spellEnd"/>
      <w:r w:rsidRPr="00E426D3">
        <w:t xml:space="preserve">. Samla </w:t>
      </w:r>
      <w:proofErr w:type="spellStart"/>
      <w:r w:rsidRPr="00E426D3">
        <w:t>fekk</w:t>
      </w:r>
      <w:proofErr w:type="spellEnd"/>
      <w:r w:rsidRPr="00E426D3">
        <w:t xml:space="preserve"> drosjenæringa ei netto lempe på om lag 20 mill. kroner.</w:t>
      </w:r>
    </w:p>
    <w:p w14:paraId="44FEEC33" w14:textId="77777777" w:rsidR="00772748" w:rsidRPr="00E426D3" w:rsidRDefault="00772748" w:rsidP="00E426D3">
      <w:r w:rsidRPr="00E426D3">
        <w:t xml:space="preserve">Drosjer har </w:t>
      </w:r>
      <w:proofErr w:type="spellStart"/>
      <w:r w:rsidRPr="00E426D3">
        <w:t>vesentleg</w:t>
      </w:r>
      <w:proofErr w:type="spellEnd"/>
      <w:r w:rsidRPr="00E426D3">
        <w:t xml:space="preserve"> </w:t>
      </w:r>
      <w:proofErr w:type="spellStart"/>
      <w:r w:rsidRPr="00E426D3">
        <w:t>høgare</w:t>
      </w:r>
      <w:proofErr w:type="spellEnd"/>
      <w:r w:rsidRPr="00E426D3">
        <w:t xml:space="preserve"> verdifall enn </w:t>
      </w:r>
      <w:proofErr w:type="spellStart"/>
      <w:r w:rsidRPr="00E426D3">
        <w:t>leasingbilar</w:t>
      </w:r>
      <w:proofErr w:type="spellEnd"/>
      <w:r w:rsidRPr="00E426D3">
        <w:t xml:space="preserve">, og den </w:t>
      </w:r>
      <w:proofErr w:type="spellStart"/>
      <w:r w:rsidRPr="00E426D3">
        <w:t>tidlegare</w:t>
      </w:r>
      <w:proofErr w:type="spellEnd"/>
      <w:r w:rsidRPr="00E426D3">
        <w:t xml:space="preserve"> sjablongen </w:t>
      </w:r>
      <w:proofErr w:type="spellStart"/>
      <w:r w:rsidRPr="00E426D3">
        <w:t>trefte</w:t>
      </w:r>
      <w:proofErr w:type="spellEnd"/>
      <w:r w:rsidRPr="00E426D3">
        <w:t xml:space="preserve"> ganske godt for drosjene. Å gjeninnføre sjablongen vil </w:t>
      </w:r>
      <w:proofErr w:type="spellStart"/>
      <w:r w:rsidRPr="00E426D3">
        <w:t>difor</w:t>
      </w:r>
      <w:proofErr w:type="spellEnd"/>
      <w:r w:rsidRPr="00E426D3">
        <w:t xml:space="preserve"> etter høva få lite å </w:t>
      </w:r>
      <w:proofErr w:type="spellStart"/>
      <w:r w:rsidRPr="00E426D3">
        <w:t>seie</w:t>
      </w:r>
      <w:proofErr w:type="spellEnd"/>
      <w:r w:rsidRPr="00E426D3">
        <w:t xml:space="preserve"> for </w:t>
      </w:r>
      <w:proofErr w:type="spellStart"/>
      <w:r w:rsidRPr="00E426D3">
        <w:t>dei</w:t>
      </w:r>
      <w:proofErr w:type="spellEnd"/>
      <w:r w:rsidRPr="00E426D3">
        <w:t xml:space="preserve"> enkelte </w:t>
      </w:r>
      <w:proofErr w:type="spellStart"/>
      <w:r w:rsidRPr="00E426D3">
        <w:t>drosjeverksemdene</w:t>
      </w:r>
      <w:proofErr w:type="spellEnd"/>
      <w:r w:rsidRPr="00E426D3">
        <w:t xml:space="preserve">. For </w:t>
      </w:r>
      <w:proofErr w:type="spellStart"/>
      <w:r w:rsidRPr="00E426D3">
        <w:t>køyretøy</w:t>
      </w:r>
      <w:proofErr w:type="spellEnd"/>
      <w:r w:rsidRPr="00E426D3">
        <w:t xml:space="preserve"> med høgt verdifall vil sjablongen kunne </w:t>
      </w:r>
      <w:proofErr w:type="spellStart"/>
      <w:r w:rsidRPr="00E426D3">
        <w:t>gje</w:t>
      </w:r>
      <w:proofErr w:type="spellEnd"/>
      <w:r w:rsidRPr="00E426D3">
        <w:t xml:space="preserve"> </w:t>
      </w:r>
      <w:proofErr w:type="gramStart"/>
      <w:r w:rsidRPr="00E426D3">
        <w:t>ei avgiftsauke</w:t>
      </w:r>
      <w:proofErr w:type="gramEnd"/>
      <w:r w:rsidRPr="00E426D3">
        <w:t xml:space="preserve">. Ei reversering vil òg </w:t>
      </w:r>
      <w:proofErr w:type="spellStart"/>
      <w:r w:rsidRPr="00E426D3">
        <w:t>gjere</w:t>
      </w:r>
      <w:proofErr w:type="spellEnd"/>
      <w:r w:rsidRPr="00E426D3">
        <w:t xml:space="preserve"> systemet </w:t>
      </w:r>
      <w:proofErr w:type="spellStart"/>
      <w:r w:rsidRPr="00E426D3">
        <w:t>meir</w:t>
      </w:r>
      <w:proofErr w:type="spellEnd"/>
      <w:r w:rsidRPr="00E426D3">
        <w:t xml:space="preserve"> komplisert, med ulike </w:t>
      </w:r>
      <w:proofErr w:type="spellStart"/>
      <w:r w:rsidRPr="00E426D3">
        <w:t>reglar</w:t>
      </w:r>
      <w:proofErr w:type="spellEnd"/>
      <w:r w:rsidRPr="00E426D3">
        <w:t xml:space="preserve"> for tilbakeføring av avgift for drosjer og </w:t>
      </w:r>
      <w:proofErr w:type="spellStart"/>
      <w:r w:rsidRPr="00E426D3">
        <w:t>utleigekøyretøy</w:t>
      </w:r>
      <w:proofErr w:type="spellEnd"/>
      <w:r w:rsidRPr="00E426D3">
        <w:t xml:space="preserve">. Departementet </w:t>
      </w:r>
      <w:proofErr w:type="spellStart"/>
      <w:r w:rsidRPr="00E426D3">
        <w:t>nemner</w:t>
      </w:r>
      <w:proofErr w:type="spellEnd"/>
      <w:r w:rsidRPr="00E426D3">
        <w:t xml:space="preserve"> her at </w:t>
      </w:r>
      <w:proofErr w:type="spellStart"/>
      <w:r w:rsidRPr="00E426D3">
        <w:t>ein</w:t>
      </w:r>
      <w:proofErr w:type="spellEnd"/>
      <w:r w:rsidRPr="00E426D3">
        <w:t xml:space="preserve"> stor del av </w:t>
      </w:r>
      <w:proofErr w:type="spellStart"/>
      <w:r w:rsidRPr="00E426D3">
        <w:t>drosjebilane</w:t>
      </w:r>
      <w:proofErr w:type="spellEnd"/>
      <w:r w:rsidRPr="00E426D3">
        <w:t xml:space="preserve"> er finansiert ved leasing.</w:t>
      </w:r>
    </w:p>
    <w:p w14:paraId="02B82C5C" w14:textId="77777777" w:rsidR="00772748" w:rsidRPr="00E426D3" w:rsidRDefault="00772748" w:rsidP="00E426D3">
      <w:proofErr w:type="spellStart"/>
      <w:r w:rsidRPr="00E426D3">
        <w:t>Meirverdiavgifta</w:t>
      </w:r>
      <w:proofErr w:type="spellEnd"/>
      <w:r w:rsidRPr="00E426D3">
        <w:t xml:space="preserve"> er ei generell avgift på forbruk og er lite eigna som </w:t>
      </w:r>
      <w:proofErr w:type="spellStart"/>
      <w:r w:rsidRPr="00E426D3">
        <w:t>verkemiddel</w:t>
      </w:r>
      <w:proofErr w:type="spellEnd"/>
      <w:r w:rsidRPr="00E426D3">
        <w:t xml:space="preserve"> for å støtte </w:t>
      </w:r>
      <w:proofErr w:type="spellStart"/>
      <w:r w:rsidRPr="00E426D3">
        <w:t>enkeltnæringar</w:t>
      </w:r>
      <w:proofErr w:type="spellEnd"/>
      <w:r w:rsidRPr="00E426D3">
        <w:t xml:space="preserve">. Dette er slått fast i </w:t>
      </w:r>
      <w:proofErr w:type="spellStart"/>
      <w:r w:rsidRPr="00E426D3">
        <w:t>fleire</w:t>
      </w:r>
      <w:proofErr w:type="spellEnd"/>
      <w:r w:rsidRPr="00E426D3">
        <w:t xml:space="preserve"> </w:t>
      </w:r>
      <w:proofErr w:type="spellStart"/>
      <w:r w:rsidRPr="00E426D3">
        <w:t>ekspertutgreiingar</w:t>
      </w:r>
      <w:proofErr w:type="spellEnd"/>
      <w:r w:rsidRPr="00E426D3">
        <w:t>, sjå NOU 2014: 13</w:t>
      </w:r>
      <w:r w:rsidRPr="00E426D3">
        <w:rPr>
          <w:rStyle w:val="kursiv"/>
        </w:rPr>
        <w:t xml:space="preserve"> Kapitalbeskatning i en internasjonal økonomi</w:t>
      </w:r>
      <w:r w:rsidRPr="00E426D3">
        <w:t xml:space="preserve">, NOU 2019: 11 </w:t>
      </w:r>
      <w:r w:rsidRPr="00E426D3">
        <w:rPr>
          <w:rStyle w:val="kursiv"/>
        </w:rPr>
        <w:t>Enklere merverdiavgift med én sats</w:t>
      </w:r>
      <w:r w:rsidRPr="00E426D3">
        <w:t xml:space="preserve"> og NOU 2022: 20 </w:t>
      </w:r>
      <w:r w:rsidRPr="00E426D3">
        <w:rPr>
          <w:rStyle w:val="kursiv"/>
        </w:rPr>
        <w:t>Et helhetlig skattesystem</w:t>
      </w:r>
      <w:r w:rsidRPr="00E426D3">
        <w:t xml:space="preserve">. Å gjeninnføre </w:t>
      </w:r>
      <w:proofErr w:type="spellStart"/>
      <w:r w:rsidRPr="00E426D3">
        <w:t>dei</w:t>
      </w:r>
      <w:proofErr w:type="spellEnd"/>
      <w:r w:rsidRPr="00E426D3">
        <w:t xml:space="preserve"> </w:t>
      </w:r>
      <w:proofErr w:type="spellStart"/>
      <w:r w:rsidRPr="00E426D3">
        <w:t>tidlegare</w:t>
      </w:r>
      <w:proofErr w:type="spellEnd"/>
      <w:r w:rsidRPr="00E426D3">
        <w:t xml:space="preserve"> </w:t>
      </w:r>
      <w:proofErr w:type="spellStart"/>
      <w:r w:rsidRPr="00E426D3">
        <w:t>reglane</w:t>
      </w:r>
      <w:proofErr w:type="spellEnd"/>
      <w:r w:rsidRPr="00E426D3">
        <w:t xml:space="preserve"> vil òg </w:t>
      </w:r>
      <w:proofErr w:type="spellStart"/>
      <w:r w:rsidRPr="00E426D3">
        <w:t>gje</w:t>
      </w:r>
      <w:proofErr w:type="spellEnd"/>
      <w:r w:rsidRPr="00E426D3">
        <w:t xml:space="preserve"> insentiv til å kjøpe drosjer med forbrenningsmotor framfor </w:t>
      </w:r>
      <w:proofErr w:type="spellStart"/>
      <w:r w:rsidRPr="00E426D3">
        <w:t>elbilar</w:t>
      </w:r>
      <w:proofErr w:type="spellEnd"/>
      <w:r w:rsidRPr="00E426D3">
        <w:t>.</w:t>
      </w:r>
    </w:p>
    <w:p w14:paraId="6E8A7200" w14:textId="77777777" w:rsidR="00772748" w:rsidRPr="00E426D3" w:rsidRDefault="00772748" w:rsidP="00E426D3">
      <w:r w:rsidRPr="00E426D3">
        <w:t xml:space="preserve">På denne bakgrunn vil regjeringa </w:t>
      </w:r>
      <w:proofErr w:type="spellStart"/>
      <w:r w:rsidRPr="00E426D3">
        <w:t>ikkje</w:t>
      </w:r>
      <w:proofErr w:type="spellEnd"/>
      <w:r w:rsidRPr="00E426D3">
        <w:t xml:space="preserve"> endre </w:t>
      </w:r>
      <w:proofErr w:type="spellStart"/>
      <w:r w:rsidRPr="00E426D3">
        <w:t>reglane</w:t>
      </w:r>
      <w:proofErr w:type="spellEnd"/>
      <w:r w:rsidRPr="00E426D3">
        <w:t xml:space="preserve"> for tilbakeføring av </w:t>
      </w:r>
      <w:proofErr w:type="spellStart"/>
      <w:r w:rsidRPr="00E426D3">
        <w:t>frådragsført</w:t>
      </w:r>
      <w:proofErr w:type="spellEnd"/>
      <w:r w:rsidRPr="00E426D3">
        <w:t xml:space="preserve"> </w:t>
      </w:r>
      <w:proofErr w:type="spellStart"/>
      <w:r w:rsidRPr="00E426D3">
        <w:t>meirverdiavgift</w:t>
      </w:r>
      <w:proofErr w:type="spellEnd"/>
      <w:r w:rsidRPr="00E426D3">
        <w:t xml:space="preserve"> for </w:t>
      </w:r>
      <w:proofErr w:type="spellStart"/>
      <w:r w:rsidRPr="00E426D3">
        <w:t>personkøyretøy</w:t>
      </w:r>
      <w:proofErr w:type="spellEnd"/>
      <w:r w:rsidRPr="00E426D3">
        <w:t xml:space="preserve"> ved </w:t>
      </w:r>
      <w:proofErr w:type="spellStart"/>
      <w:r w:rsidRPr="00E426D3">
        <w:t>vidaresal</w:t>
      </w:r>
      <w:proofErr w:type="spellEnd"/>
      <w:r w:rsidRPr="00E426D3">
        <w:t>.</w:t>
      </w:r>
    </w:p>
    <w:p w14:paraId="50446D20" w14:textId="77777777" w:rsidR="00772748" w:rsidRPr="00E426D3" w:rsidRDefault="00772748" w:rsidP="00E426D3">
      <w:pPr>
        <w:pStyle w:val="Overskrift2"/>
      </w:pPr>
      <w:r w:rsidRPr="00E426D3">
        <w:t xml:space="preserve">Oppmodingsvedtak – fritak for trafikkforsikringsavgift for lette elektriske </w:t>
      </w:r>
      <w:proofErr w:type="spellStart"/>
      <w:r w:rsidRPr="00E426D3">
        <w:t>varebilar</w:t>
      </w:r>
      <w:proofErr w:type="spellEnd"/>
    </w:p>
    <w:p w14:paraId="6C1B5098" w14:textId="77777777" w:rsidR="00772748" w:rsidRPr="00E426D3" w:rsidRDefault="00772748" w:rsidP="00E426D3">
      <w:r w:rsidRPr="00E426D3">
        <w:t xml:space="preserve">Stortinget fatta i samband med </w:t>
      </w:r>
      <w:proofErr w:type="spellStart"/>
      <w:r w:rsidRPr="00E426D3">
        <w:t>behandlinga</w:t>
      </w:r>
      <w:proofErr w:type="spellEnd"/>
      <w:r w:rsidRPr="00E426D3">
        <w:t xml:space="preserve"> av Meld. St. 2 (2023–2024) </w:t>
      </w:r>
      <w:r w:rsidRPr="00E426D3">
        <w:rPr>
          <w:rStyle w:val="kursiv"/>
        </w:rPr>
        <w:t>Revidert nasjonalbudsjett 2024</w:t>
      </w:r>
      <w:r w:rsidRPr="00E426D3">
        <w:t xml:space="preserve">, sjå </w:t>
      </w:r>
      <w:proofErr w:type="spellStart"/>
      <w:r w:rsidRPr="00E426D3">
        <w:t>Innst</w:t>
      </w:r>
      <w:proofErr w:type="spellEnd"/>
      <w:r w:rsidRPr="00E426D3">
        <w:t xml:space="preserve">. 447 S (2023–2024) (vedtak nr. 922), </w:t>
      </w:r>
      <w:proofErr w:type="spellStart"/>
      <w:r w:rsidRPr="00E426D3">
        <w:t>følgjande</w:t>
      </w:r>
      <w:proofErr w:type="spellEnd"/>
      <w:r w:rsidRPr="00E426D3">
        <w:t xml:space="preserve"> oppmodingsvedtak:</w:t>
      </w:r>
    </w:p>
    <w:p w14:paraId="6EEFCD9A" w14:textId="77777777" w:rsidR="00772748" w:rsidRPr="00E426D3" w:rsidRDefault="00772748" w:rsidP="00E426D3">
      <w:pPr>
        <w:pStyle w:val="blokksit"/>
      </w:pPr>
      <w:r w:rsidRPr="00E426D3">
        <w:lastRenderedPageBreak/>
        <w:t>«Stortinget ber regjeringen i forbindelse med statsbudsjettet for 2025 foreslå å gi lette el-varebiler fritak for trafikkforsikringsavgift, med forbehold om notifisering og godkjenning av ESA.»</w:t>
      </w:r>
    </w:p>
    <w:p w14:paraId="00AF8CDA" w14:textId="77777777" w:rsidR="00772748" w:rsidRPr="00E426D3" w:rsidRDefault="00772748" w:rsidP="00E426D3">
      <w:r w:rsidRPr="00E426D3">
        <w:t xml:space="preserve">Trafikkforsikringsavgifta er ei avgift knytt til </w:t>
      </w:r>
      <w:proofErr w:type="spellStart"/>
      <w:r w:rsidRPr="00E426D3">
        <w:t>ansvarsforsikringar</w:t>
      </w:r>
      <w:proofErr w:type="spellEnd"/>
      <w:r w:rsidRPr="00E426D3">
        <w:t xml:space="preserve"> på motorvogner. Avgifta vert </w:t>
      </w:r>
      <w:proofErr w:type="spellStart"/>
      <w:r w:rsidRPr="00E426D3">
        <w:t>rekna</w:t>
      </w:r>
      <w:proofErr w:type="spellEnd"/>
      <w:r w:rsidRPr="00E426D3">
        <w:t xml:space="preserve"> per forsikringsdøgn, og er delt inn i avgiftsgrupper med ulike </w:t>
      </w:r>
      <w:proofErr w:type="spellStart"/>
      <w:r w:rsidRPr="00E426D3">
        <w:t>satsar</w:t>
      </w:r>
      <w:proofErr w:type="spellEnd"/>
      <w:r w:rsidRPr="00E426D3">
        <w:t xml:space="preserve"> avhengig av type </w:t>
      </w:r>
      <w:proofErr w:type="spellStart"/>
      <w:r w:rsidRPr="00E426D3">
        <w:t>køyretøy</w:t>
      </w:r>
      <w:proofErr w:type="spellEnd"/>
      <w:r w:rsidRPr="00E426D3">
        <w:t xml:space="preserve">. Avgiftsgruppe a </w:t>
      </w:r>
      <w:proofErr w:type="spellStart"/>
      <w:r w:rsidRPr="00E426D3">
        <w:t>omfattar</w:t>
      </w:r>
      <w:proofErr w:type="spellEnd"/>
      <w:r w:rsidRPr="00E426D3">
        <w:t xml:space="preserve"> </w:t>
      </w:r>
      <w:proofErr w:type="spellStart"/>
      <w:r w:rsidRPr="00E426D3">
        <w:t>personbilar</w:t>
      </w:r>
      <w:proofErr w:type="spellEnd"/>
      <w:r w:rsidRPr="00E426D3">
        <w:t xml:space="preserve">, </w:t>
      </w:r>
      <w:proofErr w:type="spellStart"/>
      <w:r w:rsidRPr="00E426D3">
        <w:t>bussar</w:t>
      </w:r>
      <w:proofErr w:type="spellEnd"/>
      <w:r w:rsidRPr="00E426D3">
        <w:t xml:space="preserve">, </w:t>
      </w:r>
      <w:proofErr w:type="spellStart"/>
      <w:r w:rsidRPr="00E426D3">
        <w:t>varebilar</w:t>
      </w:r>
      <w:proofErr w:type="spellEnd"/>
      <w:r w:rsidRPr="00E426D3">
        <w:t xml:space="preserve"> og lette </w:t>
      </w:r>
      <w:proofErr w:type="spellStart"/>
      <w:r w:rsidRPr="00E426D3">
        <w:t>lastebilar</w:t>
      </w:r>
      <w:proofErr w:type="spellEnd"/>
      <w:r w:rsidRPr="00E426D3">
        <w:t xml:space="preserve">. Satsen </w:t>
      </w:r>
      <w:proofErr w:type="spellStart"/>
      <w:r w:rsidRPr="00E426D3">
        <w:t>utgjer</w:t>
      </w:r>
      <w:proofErr w:type="spellEnd"/>
      <w:r w:rsidRPr="00E426D3">
        <w:t xml:space="preserve"> 6,38 kroner per døgn. </w:t>
      </w:r>
      <w:proofErr w:type="spellStart"/>
      <w:r w:rsidRPr="00E426D3">
        <w:t>Tilsvarande</w:t>
      </w:r>
      <w:proofErr w:type="spellEnd"/>
      <w:r w:rsidRPr="00E426D3">
        <w:t xml:space="preserve"> elektriske </w:t>
      </w:r>
      <w:proofErr w:type="spellStart"/>
      <w:r w:rsidRPr="00E426D3">
        <w:t>køyretøy</w:t>
      </w:r>
      <w:proofErr w:type="spellEnd"/>
      <w:r w:rsidRPr="00E426D3">
        <w:t xml:space="preserve"> er </w:t>
      </w:r>
      <w:proofErr w:type="spellStart"/>
      <w:r w:rsidRPr="00E426D3">
        <w:t>skilde</w:t>
      </w:r>
      <w:proofErr w:type="spellEnd"/>
      <w:r w:rsidRPr="00E426D3">
        <w:t xml:space="preserve"> ut i ei eiga avgiftsgruppe f. Dei har </w:t>
      </w:r>
      <w:proofErr w:type="spellStart"/>
      <w:r w:rsidRPr="00E426D3">
        <w:t>ein</w:t>
      </w:r>
      <w:proofErr w:type="spellEnd"/>
      <w:r w:rsidRPr="00E426D3">
        <w:t xml:space="preserve"> sats på 8,96 kroner per døgn. Det gir ei </w:t>
      </w:r>
      <w:proofErr w:type="spellStart"/>
      <w:r w:rsidRPr="00E426D3">
        <w:t>årleg</w:t>
      </w:r>
      <w:proofErr w:type="spellEnd"/>
      <w:r w:rsidRPr="00E426D3">
        <w:t xml:space="preserve"> </w:t>
      </w:r>
      <w:proofErr w:type="spellStart"/>
      <w:r w:rsidRPr="00E426D3">
        <w:t>avgiftsbelasting</w:t>
      </w:r>
      <w:proofErr w:type="spellEnd"/>
      <w:r w:rsidRPr="00E426D3">
        <w:t xml:space="preserve"> på 3 279 kroner for lette elektriske </w:t>
      </w:r>
      <w:proofErr w:type="spellStart"/>
      <w:r w:rsidRPr="00E426D3">
        <w:t>varebilar</w:t>
      </w:r>
      <w:proofErr w:type="spellEnd"/>
      <w:r w:rsidRPr="00E426D3">
        <w:t>.</w:t>
      </w:r>
    </w:p>
    <w:p w14:paraId="69BB3D11" w14:textId="77777777" w:rsidR="00772748" w:rsidRPr="00E426D3" w:rsidRDefault="00772748" w:rsidP="00E426D3">
      <w:r w:rsidRPr="00E426D3">
        <w:t xml:space="preserve">Departementet </w:t>
      </w:r>
      <w:proofErr w:type="spellStart"/>
      <w:r w:rsidRPr="00E426D3">
        <w:t>legg</w:t>
      </w:r>
      <w:proofErr w:type="spellEnd"/>
      <w:r w:rsidRPr="00E426D3">
        <w:t xml:space="preserve"> til grunn at </w:t>
      </w:r>
      <w:proofErr w:type="spellStart"/>
      <w:r w:rsidRPr="00E426D3">
        <w:t>føremålet</w:t>
      </w:r>
      <w:proofErr w:type="spellEnd"/>
      <w:r w:rsidRPr="00E426D3">
        <w:t xml:space="preserve"> med oppmodingsvedtaket er å stimulere til elektrifisering av varebilparken. Trafikkforsikringsavgifta er ei avgift på eige av </w:t>
      </w:r>
      <w:proofErr w:type="spellStart"/>
      <w:r w:rsidRPr="00E426D3">
        <w:t>køyretøy</w:t>
      </w:r>
      <w:proofErr w:type="spellEnd"/>
      <w:r w:rsidRPr="00E426D3">
        <w:t xml:space="preserve">. Størstedelen av lempinga vil </w:t>
      </w:r>
      <w:proofErr w:type="spellStart"/>
      <w:r w:rsidRPr="00E426D3">
        <w:t>difor</w:t>
      </w:r>
      <w:proofErr w:type="spellEnd"/>
      <w:r w:rsidRPr="00E426D3">
        <w:t xml:space="preserve"> vil gå til </w:t>
      </w:r>
      <w:proofErr w:type="spellStart"/>
      <w:r w:rsidRPr="00E426D3">
        <w:t>dei</w:t>
      </w:r>
      <w:proofErr w:type="spellEnd"/>
      <w:r w:rsidRPr="00E426D3">
        <w:t xml:space="preserve"> som </w:t>
      </w:r>
      <w:proofErr w:type="spellStart"/>
      <w:r w:rsidRPr="00E426D3">
        <w:t>allereie</w:t>
      </w:r>
      <w:proofErr w:type="spellEnd"/>
      <w:r w:rsidRPr="00E426D3">
        <w:t xml:space="preserve"> </w:t>
      </w:r>
      <w:proofErr w:type="spellStart"/>
      <w:r w:rsidRPr="00E426D3">
        <w:t>eig</w:t>
      </w:r>
      <w:proofErr w:type="spellEnd"/>
      <w:r w:rsidRPr="00E426D3">
        <w:t xml:space="preserve"> elektriske </w:t>
      </w:r>
      <w:proofErr w:type="spellStart"/>
      <w:r w:rsidRPr="00E426D3">
        <w:t>varebilar</w:t>
      </w:r>
      <w:proofErr w:type="spellEnd"/>
      <w:r w:rsidRPr="00E426D3">
        <w:t xml:space="preserve">. Trafikkforsikringsavgifta er i så høve lite eigna til å </w:t>
      </w:r>
      <w:proofErr w:type="spellStart"/>
      <w:r w:rsidRPr="00E426D3">
        <w:t>påverke</w:t>
      </w:r>
      <w:proofErr w:type="spellEnd"/>
      <w:r w:rsidRPr="00E426D3">
        <w:t xml:space="preserve"> </w:t>
      </w:r>
      <w:proofErr w:type="spellStart"/>
      <w:r w:rsidRPr="00E426D3">
        <w:t>samansetjinga</w:t>
      </w:r>
      <w:proofErr w:type="spellEnd"/>
      <w:r w:rsidRPr="00E426D3">
        <w:t xml:space="preserve"> av </w:t>
      </w:r>
      <w:proofErr w:type="spellStart"/>
      <w:r w:rsidRPr="00E426D3">
        <w:t>nybilsalet</w:t>
      </w:r>
      <w:proofErr w:type="spellEnd"/>
      <w:r w:rsidRPr="00E426D3">
        <w:t xml:space="preserve">. Det kan </w:t>
      </w:r>
      <w:proofErr w:type="spellStart"/>
      <w:r w:rsidRPr="00E426D3">
        <w:t>vere</w:t>
      </w:r>
      <w:proofErr w:type="spellEnd"/>
      <w:r w:rsidRPr="00E426D3">
        <w:t xml:space="preserve"> </w:t>
      </w:r>
      <w:proofErr w:type="spellStart"/>
      <w:r w:rsidRPr="00E426D3">
        <w:t>eit</w:t>
      </w:r>
      <w:proofErr w:type="spellEnd"/>
      <w:r w:rsidRPr="00E426D3">
        <w:t xml:space="preserve"> betre eigna </w:t>
      </w:r>
      <w:proofErr w:type="spellStart"/>
      <w:r w:rsidRPr="00E426D3">
        <w:t>verkemiddel</w:t>
      </w:r>
      <w:proofErr w:type="spellEnd"/>
      <w:r w:rsidRPr="00E426D3">
        <w:t xml:space="preserve"> å </w:t>
      </w:r>
      <w:proofErr w:type="spellStart"/>
      <w:r w:rsidRPr="00E426D3">
        <w:t>auke</w:t>
      </w:r>
      <w:proofErr w:type="spellEnd"/>
      <w:r w:rsidRPr="00E426D3">
        <w:t xml:space="preserve"> </w:t>
      </w:r>
      <w:proofErr w:type="spellStart"/>
      <w:r w:rsidRPr="00E426D3">
        <w:t>eingongsavgifta</w:t>
      </w:r>
      <w:proofErr w:type="spellEnd"/>
      <w:r w:rsidRPr="00E426D3">
        <w:t xml:space="preserve"> for </w:t>
      </w:r>
      <w:proofErr w:type="spellStart"/>
      <w:r w:rsidRPr="00E426D3">
        <w:t>varebilar</w:t>
      </w:r>
      <w:proofErr w:type="spellEnd"/>
      <w:r w:rsidRPr="00E426D3">
        <w:t xml:space="preserve"> med forbrenningsmotor. Departementet vil òg </w:t>
      </w:r>
      <w:proofErr w:type="spellStart"/>
      <w:r w:rsidRPr="00E426D3">
        <w:t>peike</w:t>
      </w:r>
      <w:proofErr w:type="spellEnd"/>
      <w:r w:rsidRPr="00E426D3">
        <w:t xml:space="preserve"> på at det er mindre behov for å </w:t>
      </w:r>
      <w:proofErr w:type="spellStart"/>
      <w:r w:rsidRPr="00E426D3">
        <w:t>styrkje</w:t>
      </w:r>
      <w:proofErr w:type="spellEnd"/>
      <w:r w:rsidRPr="00E426D3">
        <w:t xml:space="preserve"> insentiva til å </w:t>
      </w:r>
      <w:proofErr w:type="spellStart"/>
      <w:r w:rsidRPr="00E426D3">
        <w:t>velje</w:t>
      </w:r>
      <w:proofErr w:type="spellEnd"/>
      <w:r w:rsidRPr="00E426D3">
        <w:t xml:space="preserve"> lette elektriske </w:t>
      </w:r>
      <w:proofErr w:type="spellStart"/>
      <w:r w:rsidRPr="00E426D3">
        <w:t>varebilar</w:t>
      </w:r>
      <w:proofErr w:type="spellEnd"/>
      <w:r w:rsidRPr="00E426D3">
        <w:t xml:space="preserve">. Salet av lette fossile </w:t>
      </w:r>
      <w:proofErr w:type="spellStart"/>
      <w:r w:rsidRPr="00E426D3">
        <w:t>varebilar</w:t>
      </w:r>
      <w:proofErr w:type="spellEnd"/>
      <w:r w:rsidRPr="00E426D3">
        <w:t xml:space="preserve"> er </w:t>
      </w:r>
      <w:proofErr w:type="spellStart"/>
      <w:r w:rsidRPr="00E426D3">
        <w:t>betydeleg</w:t>
      </w:r>
      <w:proofErr w:type="spellEnd"/>
      <w:r w:rsidRPr="00E426D3">
        <w:t xml:space="preserve"> redusert </w:t>
      </w:r>
      <w:proofErr w:type="spellStart"/>
      <w:r w:rsidRPr="00E426D3">
        <w:t>dei</w:t>
      </w:r>
      <w:proofErr w:type="spellEnd"/>
      <w:r w:rsidRPr="00E426D3">
        <w:t xml:space="preserve"> siste 10 </w:t>
      </w:r>
      <w:proofErr w:type="spellStart"/>
      <w:r w:rsidRPr="00E426D3">
        <w:t>åra</w:t>
      </w:r>
      <w:proofErr w:type="spellEnd"/>
      <w:r w:rsidRPr="00E426D3">
        <w:t>.</w:t>
      </w:r>
    </w:p>
    <w:p w14:paraId="4F22A605" w14:textId="77777777" w:rsidR="00772748" w:rsidRPr="00E426D3" w:rsidRDefault="00772748" w:rsidP="00E426D3">
      <w:r w:rsidRPr="00E426D3">
        <w:t xml:space="preserve">Oppmodingsvedtaket vart </w:t>
      </w:r>
      <w:proofErr w:type="spellStart"/>
      <w:r w:rsidRPr="00E426D3">
        <w:t>omtala</w:t>
      </w:r>
      <w:proofErr w:type="spellEnd"/>
      <w:r w:rsidRPr="00E426D3">
        <w:t xml:space="preserve"> i </w:t>
      </w:r>
      <w:proofErr w:type="spellStart"/>
      <w:r w:rsidRPr="00E426D3">
        <w:t>Prop</w:t>
      </w:r>
      <w:proofErr w:type="spellEnd"/>
      <w:r w:rsidRPr="00E426D3">
        <w:t xml:space="preserve">. 1 LS (2024–2025) </w:t>
      </w:r>
      <w:r w:rsidRPr="00E426D3">
        <w:rPr>
          <w:rStyle w:val="kursiv"/>
        </w:rPr>
        <w:t>Skatter og avgifter 2025</w:t>
      </w:r>
      <w:r w:rsidRPr="00E426D3">
        <w:t xml:space="preserve"> kapittel 18. Der </w:t>
      </w:r>
      <w:proofErr w:type="spellStart"/>
      <w:r w:rsidRPr="00E426D3">
        <w:t>vart</w:t>
      </w:r>
      <w:proofErr w:type="spellEnd"/>
      <w:r w:rsidRPr="00E426D3">
        <w:t xml:space="preserve"> det </w:t>
      </w:r>
      <w:proofErr w:type="spellStart"/>
      <w:r w:rsidRPr="00E426D3">
        <w:t>synt</w:t>
      </w:r>
      <w:proofErr w:type="spellEnd"/>
      <w:r w:rsidRPr="00E426D3">
        <w:t xml:space="preserve"> til at departementet arbeidde med å avklare den </w:t>
      </w:r>
      <w:proofErr w:type="spellStart"/>
      <w:r w:rsidRPr="00E426D3">
        <w:t>nærare</w:t>
      </w:r>
      <w:proofErr w:type="spellEnd"/>
      <w:r w:rsidRPr="00E426D3">
        <w:t xml:space="preserve"> gjennomføringa, inkludert </w:t>
      </w:r>
      <w:proofErr w:type="spellStart"/>
      <w:r w:rsidRPr="00E426D3">
        <w:t>dei</w:t>
      </w:r>
      <w:proofErr w:type="spellEnd"/>
      <w:r w:rsidRPr="00E426D3">
        <w:t xml:space="preserve"> EØS-</w:t>
      </w:r>
      <w:proofErr w:type="spellStart"/>
      <w:r w:rsidRPr="00E426D3">
        <w:t>rettslege</w:t>
      </w:r>
      <w:proofErr w:type="spellEnd"/>
      <w:r w:rsidRPr="00E426D3">
        <w:t xml:space="preserve"> sidene av tiltaket. Skattedirektoratet har på oppdrag </w:t>
      </w:r>
      <w:proofErr w:type="spellStart"/>
      <w:r w:rsidRPr="00E426D3">
        <w:t>frå</w:t>
      </w:r>
      <w:proofErr w:type="spellEnd"/>
      <w:r w:rsidRPr="00E426D3">
        <w:t xml:space="preserve"> departementet vurdert den tekniske gjennomføringa av </w:t>
      </w:r>
      <w:proofErr w:type="spellStart"/>
      <w:r w:rsidRPr="00E426D3">
        <w:t>eit</w:t>
      </w:r>
      <w:proofErr w:type="spellEnd"/>
      <w:r w:rsidRPr="00E426D3">
        <w:t xml:space="preserve"> fritak.</w:t>
      </w:r>
    </w:p>
    <w:p w14:paraId="7F47E1E2" w14:textId="77777777" w:rsidR="00772748" w:rsidRPr="00E426D3" w:rsidRDefault="00772748" w:rsidP="00E426D3">
      <w:r w:rsidRPr="00E426D3">
        <w:t xml:space="preserve">Regjeringa vil for å oppfylle oppmodingsvedtaket </w:t>
      </w:r>
      <w:proofErr w:type="spellStart"/>
      <w:r w:rsidRPr="00E426D3">
        <w:t>gjere</w:t>
      </w:r>
      <w:proofErr w:type="spellEnd"/>
      <w:r w:rsidRPr="00E426D3">
        <w:t xml:space="preserve"> framlegg om å frita lette elektriske </w:t>
      </w:r>
      <w:proofErr w:type="spellStart"/>
      <w:r w:rsidRPr="00E426D3">
        <w:t>varebilar</w:t>
      </w:r>
      <w:proofErr w:type="spellEnd"/>
      <w:r w:rsidRPr="00E426D3">
        <w:t xml:space="preserve"> </w:t>
      </w:r>
      <w:proofErr w:type="spellStart"/>
      <w:r w:rsidRPr="00E426D3">
        <w:t>frå</w:t>
      </w:r>
      <w:proofErr w:type="spellEnd"/>
      <w:r w:rsidRPr="00E426D3">
        <w:t xml:space="preserve"> trafikkforsikringsavgift i statsbudsjettet for 2026. Fritaket vil </w:t>
      </w:r>
      <w:proofErr w:type="spellStart"/>
      <w:r w:rsidRPr="00E426D3">
        <w:t>vere</w:t>
      </w:r>
      <w:proofErr w:type="spellEnd"/>
      <w:r w:rsidRPr="00E426D3">
        <w:t xml:space="preserve"> avgrensa til elektriske </w:t>
      </w:r>
      <w:proofErr w:type="spellStart"/>
      <w:r w:rsidRPr="00E426D3">
        <w:t>varebilar</w:t>
      </w:r>
      <w:proofErr w:type="spellEnd"/>
      <w:r w:rsidRPr="00E426D3">
        <w:t xml:space="preserve"> med eigenvekt under 1785 kg. Dette er i samsvar med definisjonen av lette elektriske </w:t>
      </w:r>
      <w:proofErr w:type="spellStart"/>
      <w:r w:rsidRPr="00E426D3">
        <w:t>varebilar</w:t>
      </w:r>
      <w:proofErr w:type="spellEnd"/>
      <w:r w:rsidRPr="00E426D3">
        <w:t xml:space="preserve"> i </w:t>
      </w:r>
      <w:proofErr w:type="spellStart"/>
      <w:r w:rsidRPr="00E426D3">
        <w:t>måltala</w:t>
      </w:r>
      <w:proofErr w:type="spellEnd"/>
      <w:r w:rsidRPr="00E426D3">
        <w:t xml:space="preserve"> for innfasing av </w:t>
      </w:r>
      <w:proofErr w:type="spellStart"/>
      <w:r w:rsidRPr="00E426D3">
        <w:t>nullutsleppskøyretøy</w:t>
      </w:r>
      <w:proofErr w:type="spellEnd"/>
      <w:r w:rsidRPr="00E426D3">
        <w:t xml:space="preserve"> i Nasjonal transportplan. Lempinga vil gå til </w:t>
      </w:r>
      <w:proofErr w:type="spellStart"/>
      <w:r w:rsidRPr="00E426D3">
        <w:t>dei</w:t>
      </w:r>
      <w:proofErr w:type="spellEnd"/>
      <w:r w:rsidRPr="00E426D3">
        <w:t xml:space="preserve"> som </w:t>
      </w:r>
      <w:proofErr w:type="spellStart"/>
      <w:r w:rsidRPr="00E426D3">
        <w:t>eig</w:t>
      </w:r>
      <w:proofErr w:type="spellEnd"/>
      <w:r w:rsidRPr="00E426D3">
        <w:t xml:space="preserve"> lette elektriske </w:t>
      </w:r>
      <w:proofErr w:type="spellStart"/>
      <w:r w:rsidRPr="00E426D3">
        <w:t>varebilar</w:t>
      </w:r>
      <w:proofErr w:type="spellEnd"/>
      <w:r w:rsidRPr="00E426D3">
        <w:t>.</w:t>
      </w:r>
    </w:p>
    <w:p w14:paraId="03B193AA" w14:textId="77777777" w:rsidR="00772748" w:rsidRPr="00E426D3" w:rsidRDefault="00772748" w:rsidP="00E426D3">
      <w:r w:rsidRPr="00E426D3">
        <w:t xml:space="preserve">Forsikringsselskapa produserer </w:t>
      </w:r>
      <w:proofErr w:type="spellStart"/>
      <w:r w:rsidRPr="00E426D3">
        <w:t>vanlegvis</w:t>
      </w:r>
      <w:proofErr w:type="spellEnd"/>
      <w:r w:rsidRPr="00E426D3">
        <w:t xml:space="preserve"> krava som </w:t>
      </w:r>
      <w:proofErr w:type="spellStart"/>
      <w:r w:rsidRPr="00E426D3">
        <w:t>dei</w:t>
      </w:r>
      <w:proofErr w:type="spellEnd"/>
      <w:r w:rsidRPr="00E426D3">
        <w:t xml:space="preserve"> sender ut i samband med fornying av </w:t>
      </w:r>
      <w:proofErr w:type="spellStart"/>
      <w:r w:rsidRPr="00E426D3">
        <w:t>eksisterande</w:t>
      </w:r>
      <w:proofErr w:type="spellEnd"/>
      <w:r w:rsidRPr="00E426D3">
        <w:t xml:space="preserve"> forsikring, 60 </w:t>
      </w:r>
      <w:proofErr w:type="spellStart"/>
      <w:r w:rsidRPr="00E426D3">
        <w:t>dagar</w:t>
      </w:r>
      <w:proofErr w:type="spellEnd"/>
      <w:r w:rsidRPr="00E426D3">
        <w:t xml:space="preserve"> før fornyinga. </w:t>
      </w:r>
      <w:proofErr w:type="spellStart"/>
      <w:r w:rsidRPr="00E426D3">
        <w:t>Gjeldande</w:t>
      </w:r>
      <w:proofErr w:type="spellEnd"/>
      <w:r w:rsidRPr="00E426D3">
        <w:t xml:space="preserve"> avgift er tilpassa forsikringsselskapa sine </w:t>
      </w:r>
      <w:proofErr w:type="spellStart"/>
      <w:r w:rsidRPr="00E426D3">
        <w:t>rutinar</w:t>
      </w:r>
      <w:proofErr w:type="spellEnd"/>
      <w:r w:rsidRPr="00E426D3">
        <w:t xml:space="preserve">, ved at </w:t>
      </w:r>
      <w:proofErr w:type="spellStart"/>
      <w:r w:rsidRPr="00E426D3">
        <w:t>satsane</w:t>
      </w:r>
      <w:proofErr w:type="spellEnd"/>
      <w:r w:rsidRPr="00E426D3">
        <w:t xml:space="preserve"> som Stortinget </w:t>
      </w:r>
      <w:proofErr w:type="spellStart"/>
      <w:r w:rsidRPr="00E426D3">
        <w:t>vedtek</w:t>
      </w:r>
      <w:proofErr w:type="spellEnd"/>
      <w:r w:rsidRPr="00E426D3">
        <w:t xml:space="preserve"> i samband med det </w:t>
      </w:r>
      <w:proofErr w:type="spellStart"/>
      <w:r w:rsidRPr="00E426D3">
        <w:t>årlege</w:t>
      </w:r>
      <w:proofErr w:type="spellEnd"/>
      <w:r w:rsidRPr="00E426D3">
        <w:t xml:space="preserve"> statsbudsjettet, fyrst vert </w:t>
      </w:r>
      <w:proofErr w:type="spellStart"/>
      <w:r w:rsidRPr="00E426D3">
        <w:t>gjeldande</w:t>
      </w:r>
      <w:proofErr w:type="spellEnd"/>
      <w:r w:rsidRPr="00E426D3">
        <w:t xml:space="preserve"> </w:t>
      </w:r>
      <w:proofErr w:type="spellStart"/>
      <w:r w:rsidRPr="00E426D3">
        <w:t>frå</w:t>
      </w:r>
      <w:proofErr w:type="spellEnd"/>
      <w:r w:rsidRPr="00E426D3">
        <w:t xml:space="preserve"> 1. mars i budsjettåret. Forsikringsselskapa treng tid til å tilpasse sine system til </w:t>
      </w:r>
      <w:proofErr w:type="spellStart"/>
      <w:r w:rsidRPr="00E426D3">
        <w:t>eit</w:t>
      </w:r>
      <w:proofErr w:type="spellEnd"/>
      <w:r w:rsidRPr="00E426D3">
        <w:t xml:space="preserve"> nytt fritak. For at bransjen skal få </w:t>
      </w:r>
      <w:proofErr w:type="spellStart"/>
      <w:r w:rsidRPr="00E426D3">
        <w:t>tilstrekkeleg</w:t>
      </w:r>
      <w:proofErr w:type="spellEnd"/>
      <w:r w:rsidRPr="00E426D3">
        <w:t xml:space="preserve"> tid til å gjennomføre fritaket, vert endringa </w:t>
      </w:r>
      <w:proofErr w:type="spellStart"/>
      <w:r w:rsidRPr="00E426D3">
        <w:t>omtala</w:t>
      </w:r>
      <w:proofErr w:type="spellEnd"/>
      <w:r w:rsidRPr="00E426D3">
        <w:t xml:space="preserve"> her. </w:t>
      </w:r>
      <w:proofErr w:type="spellStart"/>
      <w:r w:rsidRPr="00E426D3">
        <w:t>Eit</w:t>
      </w:r>
      <w:proofErr w:type="spellEnd"/>
      <w:r w:rsidRPr="00E426D3">
        <w:t xml:space="preserve"> fritak </w:t>
      </w:r>
      <w:proofErr w:type="spellStart"/>
      <w:r w:rsidRPr="00E426D3">
        <w:t>frå</w:t>
      </w:r>
      <w:proofErr w:type="spellEnd"/>
      <w:r w:rsidRPr="00E426D3">
        <w:t xml:space="preserve"> trafikkforsikringsavgifta som vert </w:t>
      </w:r>
      <w:proofErr w:type="spellStart"/>
      <w:r w:rsidRPr="00E426D3">
        <w:t>vedteke</w:t>
      </w:r>
      <w:proofErr w:type="spellEnd"/>
      <w:r w:rsidRPr="00E426D3">
        <w:t xml:space="preserve"> i samband med budsjettet for 2026, vil </w:t>
      </w:r>
      <w:proofErr w:type="spellStart"/>
      <w:r w:rsidRPr="00E426D3">
        <w:t>difor</w:t>
      </w:r>
      <w:proofErr w:type="spellEnd"/>
      <w:r w:rsidRPr="00E426D3">
        <w:t xml:space="preserve"> gjelde </w:t>
      </w:r>
      <w:proofErr w:type="spellStart"/>
      <w:r w:rsidRPr="00E426D3">
        <w:t>frå</w:t>
      </w:r>
      <w:proofErr w:type="spellEnd"/>
      <w:r w:rsidRPr="00E426D3">
        <w:t xml:space="preserve"> 1. mars 2026.</w:t>
      </w:r>
    </w:p>
    <w:p w14:paraId="4E7A9E46" w14:textId="77777777" w:rsidR="00772748" w:rsidRPr="00E426D3" w:rsidRDefault="00772748" w:rsidP="00E426D3">
      <w:pPr>
        <w:pStyle w:val="Overskrift2"/>
      </w:pPr>
      <w:r w:rsidRPr="00E426D3">
        <w:t xml:space="preserve">Oppmodingsvedtak – </w:t>
      </w:r>
      <w:proofErr w:type="spellStart"/>
      <w:r w:rsidRPr="00E426D3">
        <w:t>skjermingsrenta</w:t>
      </w:r>
      <w:proofErr w:type="spellEnd"/>
      <w:r w:rsidRPr="00E426D3">
        <w:t xml:space="preserve"> i aksjonærmodellen</w:t>
      </w:r>
    </w:p>
    <w:p w14:paraId="5116C223" w14:textId="77777777" w:rsidR="00772748" w:rsidRPr="00E426D3" w:rsidRDefault="00772748" w:rsidP="00E426D3">
      <w:pPr>
        <w:pStyle w:val="Overskrift3"/>
      </w:pPr>
      <w:r w:rsidRPr="00E426D3">
        <w:t>Innleiing</w:t>
      </w:r>
    </w:p>
    <w:p w14:paraId="7122A954" w14:textId="77777777" w:rsidR="00772748" w:rsidRPr="00E426D3" w:rsidRDefault="00772748" w:rsidP="00E426D3">
      <w:r w:rsidRPr="00E426D3">
        <w:t xml:space="preserve">Stortinget fatta </w:t>
      </w:r>
      <w:proofErr w:type="spellStart"/>
      <w:r w:rsidRPr="00E426D3">
        <w:t>følgjande</w:t>
      </w:r>
      <w:proofErr w:type="spellEnd"/>
      <w:r w:rsidRPr="00E426D3">
        <w:t xml:space="preserve"> oppmodingsvedtak ved </w:t>
      </w:r>
      <w:proofErr w:type="spellStart"/>
      <w:r w:rsidRPr="00E426D3">
        <w:t>behandlinga</w:t>
      </w:r>
      <w:proofErr w:type="spellEnd"/>
      <w:r w:rsidRPr="00E426D3">
        <w:t xml:space="preserve"> av Prop. 1 LS (2023–2024) </w:t>
      </w:r>
      <w:r w:rsidRPr="00E426D3">
        <w:rPr>
          <w:rStyle w:val="kursiv"/>
        </w:rPr>
        <w:t>Skatter og avgifter 2024</w:t>
      </w:r>
      <w:r w:rsidRPr="00E426D3">
        <w:t xml:space="preserve">, sjå </w:t>
      </w:r>
      <w:proofErr w:type="spellStart"/>
      <w:r w:rsidRPr="00E426D3">
        <w:t>Innst</w:t>
      </w:r>
      <w:proofErr w:type="spellEnd"/>
      <w:r w:rsidRPr="00E426D3">
        <w:t>. 2 S (2023–2024) (vedtak 89):</w:t>
      </w:r>
    </w:p>
    <w:p w14:paraId="59C6FBF1" w14:textId="77777777" w:rsidR="00772748" w:rsidRPr="00E426D3" w:rsidRDefault="00772748" w:rsidP="00E426D3">
      <w:r w:rsidRPr="00E426D3">
        <w:t>«Stortinget ber regjeringen utrede nivået på fastsettelsen av skjermingsfradraget, herunder påslaget, i aksjonærmodellen, jf. Skatteutvalget.»</w:t>
      </w:r>
    </w:p>
    <w:p w14:paraId="41BC3347" w14:textId="77777777" w:rsidR="00772748" w:rsidRPr="00E426D3" w:rsidRDefault="00772748" w:rsidP="00E426D3">
      <w:r w:rsidRPr="00E426D3">
        <w:lastRenderedPageBreak/>
        <w:t xml:space="preserve">I omtalen av oppmodingsvedtaket i Meld. St. 4 (2024–2025) </w:t>
      </w:r>
      <w:r w:rsidRPr="00E426D3">
        <w:rPr>
          <w:rStyle w:val="kursiv"/>
        </w:rPr>
        <w:t>Anmodnings- og utredningsvedtak i stortingssesjonen 2023–2024</w:t>
      </w:r>
      <w:r w:rsidRPr="00E426D3">
        <w:t xml:space="preserve"> står det at regjeringa vil </w:t>
      </w:r>
      <w:proofErr w:type="spellStart"/>
      <w:r w:rsidRPr="00E426D3">
        <w:t>følgje</w:t>
      </w:r>
      <w:proofErr w:type="spellEnd"/>
      <w:r w:rsidRPr="00E426D3">
        <w:t xml:space="preserve"> opp dette vedtaket og </w:t>
      </w:r>
      <w:proofErr w:type="spellStart"/>
      <w:r w:rsidRPr="00E426D3">
        <w:t>kome</w:t>
      </w:r>
      <w:proofErr w:type="spellEnd"/>
      <w:r w:rsidRPr="00E426D3">
        <w:t xml:space="preserve"> tilbake til Stortinget med ei vurdering i Revidert nasjonalbudsjett 2025.</w:t>
      </w:r>
    </w:p>
    <w:p w14:paraId="6C0805C1" w14:textId="77777777" w:rsidR="00772748" w:rsidRPr="00E426D3" w:rsidRDefault="00772748" w:rsidP="00E426D3">
      <w:pPr>
        <w:pStyle w:val="Overskrift3"/>
      </w:pPr>
      <w:r w:rsidRPr="00E426D3">
        <w:t xml:space="preserve">Om </w:t>
      </w:r>
      <w:proofErr w:type="spellStart"/>
      <w:r w:rsidRPr="00E426D3">
        <w:t>skjermingsrenta</w:t>
      </w:r>
      <w:proofErr w:type="spellEnd"/>
      <w:r w:rsidRPr="00E426D3">
        <w:t xml:space="preserve"> og aksjonærmodellen</w:t>
      </w:r>
    </w:p>
    <w:p w14:paraId="0AD1AA96" w14:textId="77777777" w:rsidR="00772748" w:rsidRPr="00E426D3" w:rsidRDefault="00772748" w:rsidP="00E426D3">
      <w:r w:rsidRPr="00E426D3">
        <w:t xml:space="preserve">I aksjonærmodellen er </w:t>
      </w:r>
      <w:proofErr w:type="spellStart"/>
      <w:r w:rsidRPr="00E426D3">
        <w:t>utbyte</w:t>
      </w:r>
      <w:proofErr w:type="spellEnd"/>
      <w:r w:rsidRPr="00E426D3">
        <w:t xml:space="preserve"> og </w:t>
      </w:r>
      <w:proofErr w:type="spellStart"/>
      <w:r w:rsidRPr="00E426D3">
        <w:t>gevinstar</w:t>
      </w:r>
      <w:proofErr w:type="spellEnd"/>
      <w:r w:rsidRPr="00E426D3">
        <w:t xml:space="preserve"> utover </w:t>
      </w:r>
      <w:proofErr w:type="spellStart"/>
      <w:r w:rsidRPr="00E426D3">
        <w:t>skjermingsfrådraget</w:t>
      </w:r>
      <w:proofErr w:type="spellEnd"/>
      <w:r w:rsidRPr="00E426D3">
        <w:t xml:space="preserve"> skattepliktige for </w:t>
      </w:r>
      <w:proofErr w:type="spellStart"/>
      <w:r w:rsidRPr="00E426D3">
        <w:t>personlege</w:t>
      </w:r>
      <w:proofErr w:type="spellEnd"/>
      <w:r w:rsidRPr="00E426D3">
        <w:t xml:space="preserve"> </w:t>
      </w:r>
      <w:proofErr w:type="spellStart"/>
      <w:r w:rsidRPr="00E426D3">
        <w:t>aksjonærar</w:t>
      </w:r>
      <w:proofErr w:type="spellEnd"/>
      <w:r w:rsidRPr="00E426D3">
        <w:t xml:space="preserve"> med </w:t>
      </w:r>
      <w:proofErr w:type="spellStart"/>
      <w:r w:rsidRPr="00E426D3">
        <w:t>ein</w:t>
      </w:r>
      <w:proofErr w:type="spellEnd"/>
      <w:r w:rsidRPr="00E426D3">
        <w:t xml:space="preserve"> sats på 37,8 pst. Den delen av aksjeinntektene som vert skjerma </w:t>
      </w:r>
      <w:proofErr w:type="spellStart"/>
      <w:r w:rsidRPr="00E426D3">
        <w:t>frå</w:t>
      </w:r>
      <w:proofErr w:type="spellEnd"/>
      <w:r w:rsidRPr="00E426D3">
        <w:t xml:space="preserve"> </w:t>
      </w:r>
      <w:proofErr w:type="spellStart"/>
      <w:r w:rsidRPr="00E426D3">
        <w:t>utbyte</w:t>
      </w:r>
      <w:proofErr w:type="spellEnd"/>
      <w:r w:rsidRPr="00E426D3">
        <w:t xml:space="preserve">- og gevinstskatt, er </w:t>
      </w:r>
      <w:proofErr w:type="spellStart"/>
      <w:r w:rsidRPr="00E426D3">
        <w:t>berre</w:t>
      </w:r>
      <w:proofErr w:type="spellEnd"/>
      <w:r w:rsidRPr="00E426D3">
        <w:t xml:space="preserve"> skattlagt i selskap med skattesatsen for </w:t>
      </w:r>
      <w:proofErr w:type="spellStart"/>
      <w:r w:rsidRPr="00E426D3">
        <w:t>alminneleg</w:t>
      </w:r>
      <w:proofErr w:type="spellEnd"/>
      <w:r w:rsidRPr="00E426D3">
        <w:t xml:space="preserve"> inntekt på 22 pst.</w:t>
      </w:r>
    </w:p>
    <w:p w14:paraId="2889FE81" w14:textId="77777777" w:rsidR="00772748" w:rsidRPr="00E426D3" w:rsidRDefault="00772748" w:rsidP="00E426D3">
      <w:r w:rsidRPr="00E426D3">
        <w:t xml:space="preserve">Aksjonærmodellen reduserer skilnaden mellom </w:t>
      </w:r>
      <w:proofErr w:type="spellStart"/>
      <w:r w:rsidRPr="00E426D3">
        <w:t>høgaste</w:t>
      </w:r>
      <w:proofErr w:type="spellEnd"/>
      <w:r w:rsidRPr="00E426D3">
        <w:t xml:space="preserve"> marginalsats på arbeidsinntekter og aksjeinntekter. På den måten </w:t>
      </w:r>
      <w:proofErr w:type="spellStart"/>
      <w:r w:rsidRPr="00E426D3">
        <w:t>gjer</w:t>
      </w:r>
      <w:proofErr w:type="spellEnd"/>
      <w:r w:rsidRPr="00E426D3">
        <w:t xml:space="preserve"> skattesystemet det mindre </w:t>
      </w:r>
      <w:proofErr w:type="spellStart"/>
      <w:r w:rsidRPr="00E426D3">
        <w:t>lønsamt</w:t>
      </w:r>
      <w:proofErr w:type="spellEnd"/>
      <w:r w:rsidRPr="00E426D3">
        <w:t xml:space="preserve"> å </w:t>
      </w:r>
      <w:proofErr w:type="spellStart"/>
      <w:r w:rsidRPr="00E426D3">
        <w:t>gjere</w:t>
      </w:r>
      <w:proofErr w:type="spellEnd"/>
      <w:r w:rsidRPr="00E426D3">
        <w:t xml:space="preserve"> om reelle arbeidsinntekter til kapitalinntekter for å oppnå </w:t>
      </w:r>
      <w:proofErr w:type="spellStart"/>
      <w:r w:rsidRPr="00E426D3">
        <w:t>lågare</w:t>
      </w:r>
      <w:proofErr w:type="spellEnd"/>
      <w:r w:rsidRPr="00E426D3">
        <w:t xml:space="preserve"> skatt. Skauge-</w:t>
      </w:r>
      <w:proofErr w:type="spellStart"/>
      <w:r w:rsidRPr="00E426D3">
        <w:t>utvalet</w:t>
      </w:r>
      <w:proofErr w:type="spellEnd"/>
      <w:r w:rsidRPr="00E426D3">
        <w:t xml:space="preserve"> (NOU 2003: 9 </w:t>
      </w:r>
      <w:r w:rsidRPr="00E426D3">
        <w:rPr>
          <w:rStyle w:val="kursiv"/>
        </w:rPr>
        <w:t>Skatteutvalget – forslag til endringer i skattesystemet</w:t>
      </w:r>
      <w:r w:rsidRPr="00E426D3">
        <w:t xml:space="preserve">) tilrådde å innføre </w:t>
      </w:r>
      <w:proofErr w:type="spellStart"/>
      <w:r w:rsidRPr="00E426D3">
        <w:t>utbyteskatt</w:t>
      </w:r>
      <w:proofErr w:type="spellEnd"/>
      <w:r w:rsidRPr="00E426D3">
        <w:t xml:space="preserve"> med skjerming (aksjonærmodellen), samt å redusere </w:t>
      </w:r>
      <w:proofErr w:type="spellStart"/>
      <w:r w:rsidRPr="00E426D3">
        <w:t>dei</w:t>
      </w:r>
      <w:proofErr w:type="spellEnd"/>
      <w:r w:rsidRPr="00E426D3">
        <w:t xml:space="preserve"> </w:t>
      </w:r>
      <w:proofErr w:type="spellStart"/>
      <w:r w:rsidRPr="00E426D3">
        <w:t>høgaste</w:t>
      </w:r>
      <w:proofErr w:type="spellEnd"/>
      <w:r w:rsidRPr="00E426D3">
        <w:t xml:space="preserve"> </w:t>
      </w:r>
      <w:proofErr w:type="spellStart"/>
      <w:r w:rsidRPr="00E426D3">
        <w:t>marginalskattesatsane</w:t>
      </w:r>
      <w:proofErr w:type="spellEnd"/>
      <w:r w:rsidRPr="00E426D3">
        <w:t xml:space="preserve"> på arbeidsinntekter for å </w:t>
      </w:r>
      <w:proofErr w:type="spellStart"/>
      <w:r w:rsidRPr="00E426D3">
        <w:t>motverke</w:t>
      </w:r>
      <w:proofErr w:type="spellEnd"/>
      <w:r w:rsidRPr="00E426D3">
        <w:t xml:space="preserve"> dette.</w:t>
      </w:r>
    </w:p>
    <w:p w14:paraId="50F575AD" w14:textId="77777777" w:rsidR="00772748" w:rsidRPr="00E426D3" w:rsidRDefault="00772748" w:rsidP="00E426D3">
      <w:proofErr w:type="spellStart"/>
      <w:r w:rsidRPr="00E426D3">
        <w:t>Skjermingsfrådraget</w:t>
      </w:r>
      <w:proofErr w:type="spellEnd"/>
      <w:r w:rsidRPr="00E426D3">
        <w:t xml:space="preserve"> til </w:t>
      </w:r>
      <w:proofErr w:type="spellStart"/>
      <w:r w:rsidRPr="00E426D3">
        <w:t>ein</w:t>
      </w:r>
      <w:proofErr w:type="spellEnd"/>
      <w:r w:rsidRPr="00E426D3">
        <w:t xml:space="preserve"> aksjonær er skjermingsgrunnlaget multiplisert med </w:t>
      </w:r>
      <w:proofErr w:type="spellStart"/>
      <w:r w:rsidRPr="00E426D3">
        <w:t>skjermingsrenta</w:t>
      </w:r>
      <w:proofErr w:type="spellEnd"/>
      <w:r w:rsidRPr="00E426D3">
        <w:t xml:space="preserve">. Skjermingsgrunnlaget er i utgangspunktet kostprisen på aksjen. Dersom </w:t>
      </w:r>
      <w:proofErr w:type="spellStart"/>
      <w:r w:rsidRPr="00E426D3">
        <w:t>utbytet</w:t>
      </w:r>
      <w:proofErr w:type="spellEnd"/>
      <w:r w:rsidRPr="00E426D3">
        <w:t xml:space="preserve"> er </w:t>
      </w:r>
      <w:proofErr w:type="spellStart"/>
      <w:r w:rsidRPr="00E426D3">
        <w:t>lågare</w:t>
      </w:r>
      <w:proofErr w:type="spellEnd"/>
      <w:r w:rsidRPr="00E426D3">
        <w:t xml:space="preserve"> enn </w:t>
      </w:r>
      <w:proofErr w:type="spellStart"/>
      <w:r w:rsidRPr="00E426D3">
        <w:t>skjermingsfrådraget</w:t>
      </w:r>
      <w:proofErr w:type="spellEnd"/>
      <w:r w:rsidRPr="00E426D3">
        <w:t xml:space="preserve">, kan ubrukt </w:t>
      </w:r>
      <w:proofErr w:type="spellStart"/>
      <w:r w:rsidRPr="00E426D3">
        <w:t>skjermingsfrådrag</w:t>
      </w:r>
      <w:proofErr w:type="spellEnd"/>
      <w:r w:rsidRPr="00E426D3">
        <w:t xml:space="preserve"> </w:t>
      </w:r>
      <w:proofErr w:type="spellStart"/>
      <w:r w:rsidRPr="00E426D3">
        <w:t>førast</w:t>
      </w:r>
      <w:proofErr w:type="spellEnd"/>
      <w:r w:rsidRPr="00E426D3">
        <w:t xml:space="preserve"> </w:t>
      </w:r>
      <w:proofErr w:type="spellStart"/>
      <w:r w:rsidRPr="00E426D3">
        <w:t>vidare</w:t>
      </w:r>
      <w:proofErr w:type="spellEnd"/>
      <w:r w:rsidRPr="00E426D3">
        <w:t xml:space="preserve"> og </w:t>
      </w:r>
      <w:proofErr w:type="spellStart"/>
      <w:r w:rsidRPr="00E426D3">
        <w:t>leggjast</w:t>
      </w:r>
      <w:proofErr w:type="spellEnd"/>
      <w:r w:rsidRPr="00E426D3">
        <w:t xml:space="preserve"> til skjermingsgrunnlaget for neste år. Slik vert </w:t>
      </w:r>
      <w:proofErr w:type="spellStart"/>
      <w:r w:rsidRPr="00E426D3">
        <w:t>noverdien</w:t>
      </w:r>
      <w:proofErr w:type="spellEnd"/>
      <w:r w:rsidRPr="00E426D3">
        <w:t xml:space="preserve"> av det ubrukte </w:t>
      </w:r>
      <w:proofErr w:type="spellStart"/>
      <w:r w:rsidRPr="00E426D3">
        <w:t>skjermingsfrådraget</w:t>
      </w:r>
      <w:proofErr w:type="spellEnd"/>
      <w:r w:rsidRPr="00E426D3">
        <w:t xml:space="preserve"> </w:t>
      </w:r>
      <w:proofErr w:type="spellStart"/>
      <w:r w:rsidRPr="00E426D3">
        <w:t>heldt</w:t>
      </w:r>
      <w:proofErr w:type="spellEnd"/>
      <w:r w:rsidRPr="00E426D3">
        <w:t xml:space="preserve"> uendra.</w:t>
      </w:r>
    </w:p>
    <w:p w14:paraId="73B04D61" w14:textId="77777777" w:rsidR="00772748" w:rsidRPr="00E426D3" w:rsidRDefault="00772748" w:rsidP="00E426D3">
      <w:r w:rsidRPr="00E426D3">
        <w:t xml:space="preserve">I dag vert </w:t>
      </w:r>
      <w:proofErr w:type="spellStart"/>
      <w:r w:rsidRPr="00E426D3">
        <w:t>skjermingsrenta</w:t>
      </w:r>
      <w:proofErr w:type="spellEnd"/>
      <w:r w:rsidRPr="00E426D3">
        <w:t xml:space="preserve"> fastsett til årets </w:t>
      </w:r>
      <w:proofErr w:type="spellStart"/>
      <w:r w:rsidRPr="00E426D3">
        <w:t>gjennomsnittlege</w:t>
      </w:r>
      <w:proofErr w:type="spellEnd"/>
      <w:r w:rsidRPr="00E426D3">
        <w:t xml:space="preserve"> rente på </w:t>
      </w:r>
      <w:proofErr w:type="spellStart"/>
      <w:r w:rsidRPr="00E426D3">
        <w:t>statskassevekslar</w:t>
      </w:r>
      <w:proofErr w:type="spellEnd"/>
      <w:r w:rsidRPr="00E426D3">
        <w:t xml:space="preserve"> med tre </w:t>
      </w:r>
      <w:proofErr w:type="spellStart"/>
      <w:r w:rsidRPr="00E426D3">
        <w:t>månaders</w:t>
      </w:r>
      <w:proofErr w:type="spellEnd"/>
      <w:r w:rsidRPr="00E426D3">
        <w:t xml:space="preserve"> </w:t>
      </w:r>
      <w:proofErr w:type="spellStart"/>
      <w:r w:rsidRPr="00E426D3">
        <w:t>laupetid</w:t>
      </w:r>
      <w:proofErr w:type="spellEnd"/>
      <w:r w:rsidRPr="00E426D3">
        <w:t xml:space="preserve">, tillagt 0,5 </w:t>
      </w:r>
      <w:proofErr w:type="spellStart"/>
      <w:r w:rsidRPr="00E426D3">
        <w:t>prosenteiningar</w:t>
      </w:r>
      <w:proofErr w:type="spellEnd"/>
      <w:r w:rsidRPr="00E426D3">
        <w:t xml:space="preserve">. Denne storleiken vert redusert med skattesatsen for </w:t>
      </w:r>
      <w:proofErr w:type="spellStart"/>
      <w:r w:rsidRPr="00E426D3">
        <w:t>alminneleg</w:t>
      </w:r>
      <w:proofErr w:type="spellEnd"/>
      <w:r w:rsidRPr="00E426D3">
        <w:t xml:space="preserve"> inntekt, som er 22 pst.</w:t>
      </w:r>
    </w:p>
    <w:p w14:paraId="4D9572C8" w14:textId="77777777" w:rsidR="00772748" w:rsidRPr="00E426D3" w:rsidRDefault="00772748" w:rsidP="00E426D3">
      <w:pPr>
        <w:pStyle w:val="Overskrift3"/>
      </w:pPr>
      <w:proofErr w:type="spellStart"/>
      <w:r w:rsidRPr="00E426D3">
        <w:t>Skatteutvalet</w:t>
      </w:r>
      <w:proofErr w:type="spellEnd"/>
    </w:p>
    <w:p w14:paraId="796135E6" w14:textId="77777777" w:rsidR="00772748" w:rsidRPr="00E426D3" w:rsidRDefault="00772748" w:rsidP="00E426D3">
      <w:proofErr w:type="spellStart"/>
      <w:r w:rsidRPr="00E426D3">
        <w:t>Skatteutvalet</w:t>
      </w:r>
      <w:proofErr w:type="spellEnd"/>
      <w:r w:rsidRPr="00E426D3">
        <w:t xml:space="preserve"> (NOU 2022: 20 </w:t>
      </w:r>
      <w:r w:rsidRPr="00E426D3">
        <w:rPr>
          <w:rStyle w:val="kursiv"/>
        </w:rPr>
        <w:t>Et helhetlig skattesystem</w:t>
      </w:r>
      <w:r w:rsidRPr="00E426D3">
        <w:t xml:space="preserve">) vurderte nivået på </w:t>
      </w:r>
      <w:proofErr w:type="spellStart"/>
      <w:r w:rsidRPr="00E426D3">
        <w:t>skjermingsrenta</w:t>
      </w:r>
      <w:proofErr w:type="spellEnd"/>
      <w:r w:rsidRPr="00E426D3">
        <w:t xml:space="preserve">. </w:t>
      </w:r>
      <w:proofErr w:type="spellStart"/>
      <w:r w:rsidRPr="00E426D3">
        <w:t>Utvalet</w:t>
      </w:r>
      <w:proofErr w:type="spellEnd"/>
      <w:r w:rsidRPr="00E426D3">
        <w:t xml:space="preserve"> </w:t>
      </w:r>
      <w:proofErr w:type="spellStart"/>
      <w:r w:rsidRPr="00E426D3">
        <w:t>peikte</w:t>
      </w:r>
      <w:proofErr w:type="spellEnd"/>
      <w:r w:rsidRPr="00E426D3">
        <w:t xml:space="preserve"> på at dersom </w:t>
      </w:r>
      <w:proofErr w:type="spellStart"/>
      <w:r w:rsidRPr="00E426D3">
        <w:t>eigarskatten</w:t>
      </w:r>
      <w:proofErr w:type="spellEnd"/>
      <w:r w:rsidRPr="00E426D3">
        <w:t xml:space="preserve"> skal verke mest </w:t>
      </w:r>
      <w:proofErr w:type="spellStart"/>
      <w:r w:rsidRPr="00E426D3">
        <w:t>mogleg</w:t>
      </w:r>
      <w:proofErr w:type="spellEnd"/>
      <w:r w:rsidRPr="00E426D3">
        <w:t xml:space="preserve"> nøytralt på </w:t>
      </w:r>
      <w:proofErr w:type="spellStart"/>
      <w:r w:rsidRPr="00E426D3">
        <w:t>kapitalkostnadar</w:t>
      </w:r>
      <w:proofErr w:type="spellEnd"/>
      <w:r w:rsidRPr="00E426D3">
        <w:t xml:space="preserve"> og val av tidspunkt for å realisere aksjeinntekt (periodiseringsnøytralitet), må </w:t>
      </w:r>
      <w:proofErr w:type="spellStart"/>
      <w:r w:rsidRPr="00E426D3">
        <w:t>skjermingsrenta</w:t>
      </w:r>
      <w:proofErr w:type="spellEnd"/>
      <w:r w:rsidRPr="00E426D3">
        <w:t xml:space="preserve"> svare til den marginale finansieringskostnaden for investor etter skatt. Denne kan variere mellom </w:t>
      </w:r>
      <w:proofErr w:type="spellStart"/>
      <w:r w:rsidRPr="00E426D3">
        <w:t>investorar</w:t>
      </w:r>
      <w:proofErr w:type="spellEnd"/>
      <w:r w:rsidRPr="00E426D3">
        <w:t xml:space="preserve">, </w:t>
      </w:r>
      <w:proofErr w:type="spellStart"/>
      <w:r w:rsidRPr="00E426D3">
        <w:t>frå</w:t>
      </w:r>
      <w:proofErr w:type="spellEnd"/>
      <w:r w:rsidRPr="00E426D3">
        <w:t xml:space="preserve"> risikofri rente til lånerente i </w:t>
      </w:r>
      <w:proofErr w:type="spellStart"/>
      <w:r w:rsidRPr="00E426D3">
        <w:t>kredittmarknaden</w:t>
      </w:r>
      <w:proofErr w:type="spellEnd"/>
      <w:r w:rsidRPr="00E426D3">
        <w:t xml:space="preserve">. Etter </w:t>
      </w:r>
      <w:proofErr w:type="spellStart"/>
      <w:r w:rsidRPr="00E426D3">
        <w:t>utvalet</w:t>
      </w:r>
      <w:proofErr w:type="spellEnd"/>
      <w:r w:rsidRPr="00E426D3">
        <w:t xml:space="preserve"> </w:t>
      </w:r>
      <w:proofErr w:type="spellStart"/>
      <w:r w:rsidRPr="00E426D3">
        <w:t>si</w:t>
      </w:r>
      <w:proofErr w:type="spellEnd"/>
      <w:r w:rsidRPr="00E426D3">
        <w:t xml:space="preserve"> vurdering burde </w:t>
      </w:r>
      <w:proofErr w:type="spellStart"/>
      <w:r w:rsidRPr="00E426D3">
        <w:t>skjermingsrenta</w:t>
      </w:r>
      <w:proofErr w:type="spellEnd"/>
      <w:r w:rsidRPr="00E426D3">
        <w:t xml:space="preserve"> </w:t>
      </w:r>
      <w:proofErr w:type="spellStart"/>
      <w:r w:rsidRPr="00E426D3">
        <w:t>liggje</w:t>
      </w:r>
      <w:proofErr w:type="spellEnd"/>
      <w:r w:rsidRPr="00E426D3">
        <w:t xml:space="preserve"> </w:t>
      </w:r>
      <w:proofErr w:type="spellStart"/>
      <w:r w:rsidRPr="00E426D3">
        <w:t>ein</w:t>
      </w:r>
      <w:proofErr w:type="spellEnd"/>
      <w:r w:rsidRPr="00E426D3">
        <w:t xml:space="preserve"> stad i dette intervallet, og dermed </w:t>
      </w:r>
      <w:proofErr w:type="spellStart"/>
      <w:r w:rsidRPr="00E426D3">
        <w:t>vere</w:t>
      </w:r>
      <w:proofErr w:type="spellEnd"/>
      <w:r w:rsidRPr="00E426D3">
        <w:t xml:space="preserve"> </w:t>
      </w:r>
      <w:proofErr w:type="spellStart"/>
      <w:r w:rsidRPr="00E426D3">
        <w:t>noko</w:t>
      </w:r>
      <w:proofErr w:type="spellEnd"/>
      <w:r w:rsidRPr="00E426D3">
        <w:t xml:space="preserve"> </w:t>
      </w:r>
      <w:proofErr w:type="spellStart"/>
      <w:r w:rsidRPr="00E426D3">
        <w:t>høgare</w:t>
      </w:r>
      <w:proofErr w:type="spellEnd"/>
      <w:r w:rsidRPr="00E426D3">
        <w:t xml:space="preserve"> enn risikofri rente etter skatt. Samstundes </w:t>
      </w:r>
      <w:proofErr w:type="spellStart"/>
      <w:r w:rsidRPr="00E426D3">
        <w:t>peikte</w:t>
      </w:r>
      <w:proofErr w:type="spellEnd"/>
      <w:r w:rsidRPr="00E426D3">
        <w:t xml:space="preserve"> </w:t>
      </w:r>
      <w:proofErr w:type="spellStart"/>
      <w:r w:rsidRPr="00E426D3">
        <w:t>utvalet</w:t>
      </w:r>
      <w:proofErr w:type="spellEnd"/>
      <w:r w:rsidRPr="00E426D3">
        <w:t xml:space="preserve"> på at omsynet til fordeling og faren for uønskte </w:t>
      </w:r>
      <w:proofErr w:type="spellStart"/>
      <w:r w:rsidRPr="00E426D3">
        <w:t>tilpassingar</w:t>
      </w:r>
      <w:proofErr w:type="spellEnd"/>
      <w:r w:rsidRPr="00E426D3">
        <w:t xml:space="preserve"> </w:t>
      </w:r>
      <w:proofErr w:type="spellStart"/>
      <w:r w:rsidRPr="00E426D3">
        <w:t>tilseier</w:t>
      </w:r>
      <w:proofErr w:type="spellEnd"/>
      <w:r w:rsidRPr="00E426D3">
        <w:t xml:space="preserve"> at det er betre om </w:t>
      </w:r>
      <w:proofErr w:type="spellStart"/>
      <w:r w:rsidRPr="00E426D3">
        <w:t>skjermingsrenta</w:t>
      </w:r>
      <w:proofErr w:type="spellEnd"/>
      <w:r w:rsidRPr="00E426D3">
        <w:t xml:space="preserve"> er for låg enn for </w:t>
      </w:r>
      <w:proofErr w:type="spellStart"/>
      <w:r w:rsidRPr="00E426D3">
        <w:t>høg</w:t>
      </w:r>
      <w:proofErr w:type="spellEnd"/>
      <w:r w:rsidRPr="00E426D3">
        <w:t xml:space="preserve">. </w:t>
      </w:r>
      <w:proofErr w:type="spellStart"/>
      <w:r w:rsidRPr="00E426D3">
        <w:t>Utvalet</w:t>
      </w:r>
      <w:proofErr w:type="spellEnd"/>
      <w:r w:rsidRPr="00E426D3">
        <w:t xml:space="preserve"> tilrådde at </w:t>
      </w:r>
      <w:proofErr w:type="spellStart"/>
      <w:r w:rsidRPr="00E426D3">
        <w:t>skjermingsrenta</w:t>
      </w:r>
      <w:proofErr w:type="spellEnd"/>
      <w:r w:rsidRPr="00E426D3">
        <w:t xml:space="preserve"> bør </w:t>
      </w:r>
      <w:proofErr w:type="spellStart"/>
      <w:r w:rsidRPr="00E426D3">
        <w:t>fastsetjast</w:t>
      </w:r>
      <w:proofErr w:type="spellEnd"/>
      <w:r w:rsidRPr="00E426D3">
        <w:t xml:space="preserve"> til </w:t>
      </w:r>
      <w:proofErr w:type="spellStart"/>
      <w:r w:rsidRPr="00E426D3">
        <w:t>gjennomsnittleg</w:t>
      </w:r>
      <w:proofErr w:type="spellEnd"/>
      <w:r w:rsidRPr="00E426D3">
        <w:t xml:space="preserve"> rente på norske </w:t>
      </w:r>
      <w:proofErr w:type="spellStart"/>
      <w:r w:rsidRPr="00E426D3">
        <w:t>statsobligasjonar</w:t>
      </w:r>
      <w:proofErr w:type="spellEnd"/>
      <w:r w:rsidRPr="00E426D3">
        <w:t xml:space="preserve"> med ti års </w:t>
      </w:r>
      <w:proofErr w:type="spellStart"/>
      <w:r w:rsidRPr="00E426D3">
        <w:t>laupetid</w:t>
      </w:r>
      <w:proofErr w:type="spellEnd"/>
      <w:r w:rsidRPr="00E426D3">
        <w:t xml:space="preserve">, redusert med skattesatsen på 22 pst., </w:t>
      </w:r>
      <w:proofErr w:type="spellStart"/>
      <w:r w:rsidRPr="00E426D3">
        <w:t>utan</w:t>
      </w:r>
      <w:proofErr w:type="spellEnd"/>
      <w:r w:rsidRPr="00E426D3">
        <w:t xml:space="preserve"> påslag.</w:t>
      </w:r>
    </w:p>
    <w:p w14:paraId="215DB131" w14:textId="77777777" w:rsidR="00772748" w:rsidRPr="00E426D3" w:rsidRDefault="00772748" w:rsidP="00E426D3">
      <w:pPr>
        <w:pStyle w:val="Overskrift3"/>
      </w:pPr>
      <w:r w:rsidRPr="00E426D3">
        <w:t xml:space="preserve">Nivået på </w:t>
      </w:r>
      <w:proofErr w:type="spellStart"/>
      <w:r w:rsidRPr="00E426D3">
        <w:t>fastsetjinga</w:t>
      </w:r>
      <w:proofErr w:type="spellEnd"/>
      <w:r w:rsidRPr="00E426D3">
        <w:t xml:space="preserve"> av </w:t>
      </w:r>
      <w:proofErr w:type="spellStart"/>
      <w:r w:rsidRPr="00E426D3">
        <w:t>skjermingsrenta</w:t>
      </w:r>
      <w:proofErr w:type="spellEnd"/>
    </w:p>
    <w:p w14:paraId="2263695D" w14:textId="77777777" w:rsidR="00772748" w:rsidRPr="00E426D3" w:rsidRDefault="00772748" w:rsidP="00E426D3">
      <w:proofErr w:type="spellStart"/>
      <w:r w:rsidRPr="00E426D3">
        <w:t>Skjermingsrenta</w:t>
      </w:r>
      <w:proofErr w:type="spellEnd"/>
      <w:r w:rsidRPr="00E426D3">
        <w:t xml:space="preserve"> i dagens system skal reflektere investoren sin alternativkostnad ved ei risikofri plassering. Dersom investoren òg får fullt </w:t>
      </w:r>
      <w:proofErr w:type="spellStart"/>
      <w:r w:rsidRPr="00E426D3">
        <w:t>tapsfrådrag</w:t>
      </w:r>
      <w:proofErr w:type="spellEnd"/>
      <w:r w:rsidRPr="00E426D3">
        <w:t xml:space="preserve"> ved negativ avkastning, vil då </w:t>
      </w:r>
      <w:proofErr w:type="spellStart"/>
      <w:r w:rsidRPr="00E426D3">
        <w:t>utbyteskatten</w:t>
      </w:r>
      <w:proofErr w:type="spellEnd"/>
      <w:r w:rsidRPr="00E426D3">
        <w:t xml:space="preserve"> </w:t>
      </w:r>
      <w:proofErr w:type="spellStart"/>
      <w:r w:rsidRPr="00E426D3">
        <w:t>berre</w:t>
      </w:r>
      <w:proofErr w:type="spellEnd"/>
      <w:r w:rsidRPr="00E426D3">
        <w:t xml:space="preserve"> falle på risikopremien og eventuell reinprofitt. Dette </w:t>
      </w:r>
      <w:proofErr w:type="spellStart"/>
      <w:r w:rsidRPr="00E426D3">
        <w:t>motverkar</w:t>
      </w:r>
      <w:proofErr w:type="spellEnd"/>
      <w:r w:rsidRPr="00E426D3">
        <w:t xml:space="preserve"> at </w:t>
      </w:r>
      <w:proofErr w:type="spellStart"/>
      <w:r w:rsidRPr="00E426D3">
        <w:t>utbyteskatten</w:t>
      </w:r>
      <w:proofErr w:type="spellEnd"/>
      <w:r w:rsidRPr="00E426D3">
        <w:t xml:space="preserve"> </w:t>
      </w:r>
      <w:proofErr w:type="spellStart"/>
      <w:r w:rsidRPr="00E426D3">
        <w:t>aukar</w:t>
      </w:r>
      <w:proofErr w:type="spellEnd"/>
      <w:r w:rsidRPr="00E426D3">
        <w:t xml:space="preserve"> avkastningskravet for </w:t>
      </w:r>
      <w:proofErr w:type="spellStart"/>
      <w:r w:rsidRPr="00E426D3">
        <w:t>aksjeinvesteringar</w:t>
      </w:r>
      <w:proofErr w:type="spellEnd"/>
      <w:r w:rsidRPr="00E426D3">
        <w:t xml:space="preserve"> og påverkar </w:t>
      </w:r>
      <w:proofErr w:type="spellStart"/>
      <w:r w:rsidRPr="00E426D3">
        <w:t>åtferda</w:t>
      </w:r>
      <w:proofErr w:type="spellEnd"/>
      <w:r w:rsidRPr="00E426D3">
        <w:t xml:space="preserve"> til norske </w:t>
      </w:r>
      <w:proofErr w:type="spellStart"/>
      <w:r w:rsidRPr="00E426D3">
        <w:t>investorar</w:t>
      </w:r>
      <w:proofErr w:type="spellEnd"/>
      <w:r w:rsidRPr="00E426D3">
        <w:t xml:space="preserve">. Fordi </w:t>
      </w:r>
      <w:r w:rsidRPr="00E426D3">
        <w:lastRenderedPageBreak/>
        <w:t xml:space="preserve">staten deler risikoen med investoren gjennom </w:t>
      </w:r>
      <w:proofErr w:type="spellStart"/>
      <w:r w:rsidRPr="00E426D3">
        <w:t>tapsfrådraget</w:t>
      </w:r>
      <w:proofErr w:type="spellEnd"/>
      <w:r w:rsidRPr="00E426D3">
        <w:t xml:space="preserve">, er det i utgangspunktet </w:t>
      </w:r>
      <w:proofErr w:type="spellStart"/>
      <w:r w:rsidRPr="00E426D3">
        <w:t>ikkje</w:t>
      </w:r>
      <w:proofErr w:type="spellEnd"/>
      <w:r w:rsidRPr="00E426D3">
        <w:t xml:space="preserve"> grunnlag for </w:t>
      </w:r>
      <w:proofErr w:type="spellStart"/>
      <w:r w:rsidRPr="00E426D3">
        <w:t>eit</w:t>
      </w:r>
      <w:proofErr w:type="spellEnd"/>
      <w:r w:rsidRPr="00E426D3">
        <w:t xml:space="preserve"> risikotillegg i </w:t>
      </w:r>
      <w:proofErr w:type="spellStart"/>
      <w:r w:rsidRPr="00E426D3">
        <w:t>skjermingsrenta</w:t>
      </w:r>
      <w:proofErr w:type="spellEnd"/>
      <w:r w:rsidRPr="00E426D3">
        <w:t xml:space="preserve"> utover risikofri rente.</w:t>
      </w:r>
    </w:p>
    <w:p w14:paraId="5ACDCFFA" w14:textId="77777777" w:rsidR="00772748" w:rsidRPr="00E426D3" w:rsidRDefault="00772748" w:rsidP="00E426D3">
      <w:r w:rsidRPr="00E426D3">
        <w:t xml:space="preserve">For å vise korleis </w:t>
      </w:r>
      <w:proofErr w:type="spellStart"/>
      <w:r w:rsidRPr="00E426D3">
        <w:t>skjermingsfrådraget</w:t>
      </w:r>
      <w:proofErr w:type="spellEnd"/>
      <w:r w:rsidRPr="00E426D3">
        <w:t xml:space="preserve"> bidrar til at lønnsame </w:t>
      </w:r>
      <w:proofErr w:type="spellStart"/>
      <w:r w:rsidRPr="00E426D3">
        <w:t>investeringar</w:t>
      </w:r>
      <w:proofErr w:type="spellEnd"/>
      <w:r w:rsidRPr="00E426D3">
        <w:t xml:space="preserve"> før skatt òg er lønnsame </w:t>
      </w:r>
      <w:proofErr w:type="spellStart"/>
      <w:r w:rsidRPr="00E426D3">
        <w:t>investeringar</w:t>
      </w:r>
      <w:proofErr w:type="spellEnd"/>
      <w:r w:rsidRPr="00E426D3">
        <w:t xml:space="preserve"> etter skatt (investeringsnøytral), kan </w:t>
      </w:r>
      <w:proofErr w:type="spellStart"/>
      <w:r w:rsidRPr="00E426D3">
        <w:t>ein</w:t>
      </w:r>
      <w:proofErr w:type="spellEnd"/>
      <w:r w:rsidRPr="00E426D3">
        <w:t xml:space="preserve"> </w:t>
      </w:r>
      <w:proofErr w:type="spellStart"/>
      <w:r w:rsidRPr="00E426D3">
        <w:t>samanlikne</w:t>
      </w:r>
      <w:proofErr w:type="spellEnd"/>
      <w:r w:rsidRPr="00E426D3">
        <w:t xml:space="preserve"> aksjonærmodellen med </w:t>
      </w:r>
      <w:proofErr w:type="spellStart"/>
      <w:r w:rsidRPr="00E426D3">
        <w:t>ein</w:t>
      </w:r>
      <w:proofErr w:type="spellEnd"/>
      <w:r w:rsidRPr="00E426D3">
        <w:t xml:space="preserve"> kontantstrømskatt, som per definisjon er nøytral. I </w:t>
      </w:r>
      <w:proofErr w:type="spellStart"/>
      <w:r w:rsidRPr="00E426D3">
        <w:t>ein</w:t>
      </w:r>
      <w:proofErr w:type="spellEnd"/>
      <w:r w:rsidRPr="00E426D3">
        <w:t xml:space="preserve"> kontantstrømskatt kjem </w:t>
      </w:r>
      <w:proofErr w:type="spellStart"/>
      <w:r w:rsidRPr="00E426D3">
        <w:t>frådrag</w:t>
      </w:r>
      <w:proofErr w:type="spellEnd"/>
      <w:r w:rsidRPr="00E426D3">
        <w:t xml:space="preserve"> for investeringsutgifta med </w:t>
      </w:r>
      <w:proofErr w:type="spellStart"/>
      <w:r w:rsidRPr="00E426D3">
        <w:t>ein</w:t>
      </w:r>
      <w:proofErr w:type="spellEnd"/>
      <w:r w:rsidRPr="00E426D3">
        <w:t xml:space="preserve"> gong. Med skjermingsmetoden får </w:t>
      </w:r>
      <w:proofErr w:type="spellStart"/>
      <w:r w:rsidRPr="00E426D3">
        <w:t>ikkje</w:t>
      </w:r>
      <w:proofErr w:type="spellEnd"/>
      <w:r w:rsidRPr="00E426D3">
        <w:t xml:space="preserve"> </w:t>
      </w:r>
      <w:proofErr w:type="spellStart"/>
      <w:r w:rsidRPr="00E426D3">
        <w:t>skatteytar</w:t>
      </w:r>
      <w:proofErr w:type="spellEnd"/>
      <w:r w:rsidRPr="00E426D3">
        <w:t xml:space="preserve"> </w:t>
      </w:r>
      <w:proofErr w:type="spellStart"/>
      <w:r w:rsidRPr="00E426D3">
        <w:t>frådrag</w:t>
      </w:r>
      <w:proofErr w:type="spellEnd"/>
      <w:r w:rsidRPr="00E426D3">
        <w:t xml:space="preserve"> før avkastninga er realisert. </w:t>
      </w:r>
      <w:proofErr w:type="spellStart"/>
      <w:r w:rsidRPr="00E426D3">
        <w:t>Frådraget</w:t>
      </w:r>
      <w:proofErr w:type="spellEnd"/>
      <w:r w:rsidRPr="00E426D3">
        <w:t xml:space="preserve"> kjem på </w:t>
      </w:r>
      <w:proofErr w:type="spellStart"/>
      <w:r w:rsidRPr="00E426D3">
        <w:t>utbyte</w:t>
      </w:r>
      <w:proofErr w:type="spellEnd"/>
      <w:r w:rsidRPr="00E426D3">
        <w:t xml:space="preserve"> eller gevinst. </w:t>
      </w:r>
      <w:proofErr w:type="spellStart"/>
      <w:r w:rsidRPr="00E426D3">
        <w:t>Sidan</w:t>
      </w:r>
      <w:proofErr w:type="spellEnd"/>
      <w:r w:rsidRPr="00E426D3">
        <w:t xml:space="preserve"> staten er </w:t>
      </w:r>
      <w:proofErr w:type="spellStart"/>
      <w:r w:rsidRPr="00E426D3">
        <w:t>ein</w:t>
      </w:r>
      <w:proofErr w:type="spellEnd"/>
      <w:r w:rsidRPr="00E426D3">
        <w:t xml:space="preserve"> sikker </w:t>
      </w:r>
      <w:proofErr w:type="spellStart"/>
      <w:r w:rsidRPr="00E426D3">
        <w:t>betalar</w:t>
      </w:r>
      <w:proofErr w:type="spellEnd"/>
      <w:r w:rsidRPr="00E426D3">
        <w:t xml:space="preserve">, er det </w:t>
      </w:r>
      <w:proofErr w:type="spellStart"/>
      <w:r w:rsidRPr="00E426D3">
        <w:t>tilstrekkeleg</w:t>
      </w:r>
      <w:proofErr w:type="spellEnd"/>
      <w:r w:rsidRPr="00E426D3">
        <w:t xml:space="preserve"> at renta på dette lånet tilsvarer risikofri rente. Dette </w:t>
      </w:r>
      <w:proofErr w:type="spellStart"/>
      <w:r w:rsidRPr="00E426D3">
        <w:t>gjer</w:t>
      </w:r>
      <w:proofErr w:type="spellEnd"/>
      <w:r w:rsidRPr="00E426D3">
        <w:t xml:space="preserve"> at forventa avkastning etter skatt vil </w:t>
      </w:r>
      <w:proofErr w:type="spellStart"/>
      <w:r w:rsidRPr="00E426D3">
        <w:t>vere</w:t>
      </w:r>
      <w:proofErr w:type="spellEnd"/>
      <w:r w:rsidRPr="00E426D3">
        <w:t xml:space="preserve"> den same i </w:t>
      </w:r>
      <w:proofErr w:type="spellStart"/>
      <w:r w:rsidRPr="00E426D3">
        <w:t>noverdi</w:t>
      </w:r>
      <w:proofErr w:type="spellEnd"/>
      <w:r w:rsidRPr="00E426D3">
        <w:t xml:space="preserve"> i </w:t>
      </w:r>
      <w:proofErr w:type="spellStart"/>
      <w:r w:rsidRPr="00E426D3">
        <w:t>dei</w:t>
      </w:r>
      <w:proofErr w:type="spellEnd"/>
      <w:r w:rsidRPr="00E426D3">
        <w:t xml:space="preserve"> to </w:t>
      </w:r>
      <w:proofErr w:type="spellStart"/>
      <w:r w:rsidRPr="00E426D3">
        <w:t>modellane</w:t>
      </w:r>
      <w:proofErr w:type="spellEnd"/>
      <w:r w:rsidRPr="00E426D3">
        <w:t>.</w:t>
      </w:r>
    </w:p>
    <w:p w14:paraId="24B096B1" w14:textId="77777777" w:rsidR="00772748" w:rsidRPr="00E426D3" w:rsidRDefault="00772748" w:rsidP="00E426D3">
      <w:pPr>
        <w:pStyle w:val="avsnitt-tittel"/>
      </w:pPr>
      <w:r w:rsidRPr="00E426D3">
        <w:t xml:space="preserve">Påslag i </w:t>
      </w:r>
      <w:proofErr w:type="spellStart"/>
      <w:r w:rsidRPr="00E426D3">
        <w:t>skjermingsrenta</w:t>
      </w:r>
      <w:proofErr w:type="spellEnd"/>
    </w:p>
    <w:p w14:paraId="2591DB38" w14:textId="77777777" w:rsidR="00772748" w:rsidRPr="00E426D3" w:rsidRDefault="00772748" w:rsidP="00E426D3">
      <w:proofErr w:type="spellStart"/>
      <w:r w:rsidRPr="00E426D3">
        <w:t>Fleire</w:t>
      </w:r>
      <w:proofErr w:type="spellEnd"/>
      <w:r w:rsidRPr="00E426D3">
        <w:t xml:space="preserve"> omsyn kan tale for at </w:t>
      </w:r>
      <w:proofErr w:type="spellStart"/>
      <w:r w:rsidRPr="00E426D3">
        <w:t>skjermingsrenta</w:t>
      </w:r>
      <w:proofErr w:type="spellEnd"/>
      <w:r w:rsidRPr="00E426D3">
        <w:t xml:space="preserve"> skal </w:t>
      </w:r>
      <w:proofErr w:type="spellStart"/>
      <w:r w:rsidRPr="00E426D3">
        <w:t>vere</w:t>
      </w:r>
      <w:proofErr w:type="spellEnd"/>
      <w:r w:rsidRPr="00E426D3">
        <w:t xml:space="preserve"> </w:t>
      </w:r>
      <w:proofErr w:type="spellStart"/>
      <w:r w:rsidRPr="00E426D3">
        <w:t>høgare</w:t>
      </w:r>
      <w:proofErr w:type="spellEnd"/>
      <w:r w:rsidRPr="00E426D3">
        <w:t xml:space="preserve"> enn risikofri rente. I kva grad </w:t>
      </w:r>
      <w:proofErr w:type="spellStart"/>
      <w:r w:rsidRPr="00E426D3">
        <w:t>desse</w:t>
      </w:r>
      <w:proofErr w:type="spellEnd"/>
      <w:r w:rsidRPr="00E426D3">
        <w:t xml:space="preserve"> omsyna </w:t>
      </w:r>
      <w:proofErr w:type="spellStart"/>
      <w:r w:rsidRPr="00E426D3">
        <w:t>gjer</w:t>
      </w:r>
      <w:proofErr w:type="spellEnd"/>
      <w:r w:rsidRPr="00E426D3">
        <w:t xml:space="preserve"> seg </w:t>
      </w:r>
      <w:proofErr w:type="spellStart"/>
      <w:r w:rsidRPr="00E426D3">
        <w:t>gjeldande</w:t>
      </w:r>
      <w:proofErr w:type="spellEnd"/>
      <w:r w:rsidRPr="00E426D3">
        <w:t xml:space="preserve">, avheng av kva for </w:t>
      </w:r>
      <w:proofErr w:type="spellStart"/>
      <w:r w:rsidRPr="00E426D3">
        <w:t>føresetnadar</w:t>
      </w:r>
      <w:proofErr w:type="spellEnd"/>
      <w:r w:rsidRPr="00E426D3">
        <w:t xml:space="preserve"> om </w:t>
      </w:r>
      <w:proofErr w:type="spellStart"/>
      <w:r w:rsidRPr="00E426D3">
        <w:t>investorar</w:t>
      </w:r>
      <w:proofErr w:type="spellEnd"/>
      <w:r w:rsidRPr="00E426D3">
        <w:t xml:space="preserve"> </w:t>
      </w:r>
      <w:proofErr w:type="spellStart"/>
      <w:r w:rsidRPr="00E426D3">
        <w:t>ein</w:t>
      </w:r>
      <w:proofErr w:type="spellEnd"/>
      <w:r w:rsidRPr="00E426D3">
        <w:t xml:space="preserve"> legg til grunn. Dette avsnittet </w:t>
      </w:r>
      <w:proofErr w:type="spellStart"/>
      <w:r w:rsidRPr="00E426D3">
        <w:t>omtalar</w:t>
      </w:r>
      <w:proofErr w:type="spellEnd"/>
      <w:r w:rsidRPr="00E426D3">
        <w:t xml:space="preserve"> tre </w:t>
      </w:r>
      <w:proofErr w:type="spellStart"/>
      <w:r w:rsidRPr="00E426D3">
        <w:t>grunngjevingar</w:t>
      </w:r>
      <w:proofErr w:type="spellEnd"/>
      <w:r w:rsidRPr="00E426D3">
        <w:t xml:space="preserve"> til at </w:t>
      </w:r>
      <w:proofErr w:type="spellStart"/>
      <w:r w:rsidRPr="00E426D3">
        <w:t>eit</w:t>
      </w:r>
      <w:proofErr w:type="spellEnd"/>
      <w:r w:rsidRPr="00E426D3">
        <w:t xml:space="preserve"> nøytralt nivå på </w:t>
      </w:r>
      <w:proofErr w:type="spellStart"/>
      <w:r w:rsidRPr="00E426D3">
        <w:t>fastsetjinga</w:t>
      </w:r>
      <w:proofErr w:type="spellEnd"/>
      <w:r w:rsidRPr="00E426D3">
        <w:t xml:space="preserve"> til </w:t>
      </w:r>
      <w:proofErr w:type="spellStart"/>
      <w:r w:rsidRPr="00E426D3">
        <w:t>skjermingsrenta</w:t>
      </w:r>
      <w:proofErr w:type="spellEnd"/>
      <w:r w:rsidRPr="00E426D3">
        <w:t xml:space="preserve"> bør </w:t>
      </w:r>
      <w:proofErr w:type="spellStart"/>
      <w:r w:rsidRPr="00E426D3">
        <w:t>innehalde</w:t>
      </w:r>
      <w:proofErr w:type="spellEnd"/>
      <w:r w:rsidRPr="00E426D3">
        <w:t xml:space="preserve"> </w:t>
      </w:r>
      <w:proofErr w:type="spellStart"/>
      <w:r w:rsidRPr="00E426D3">
        <w:t>eit</w:t>
      </w:r>
      <w:proofErr w:type="spellEnd"/>
      <w:r w:rsidRPr="00E426D3">
        <w:t xml:space="preserve"> påslag.</w:t>
      </w:r>
    </w:p>
    <w:p w14:paraId="6793C1CB" w14:textId="77777777" w:rsidR="00772748" w:rsidRPr="00E426D3" w:rsidRDefault="00772748" w:rsidP="00E426D3">
      <w:pPr>
        <w:pStyle w:val="avsnitt-tittel"/>
      </w:pPr>
      <w:r w:rsidRPr="00E426D3">
        <w:t>Likviditetspremie</w:t>
      </w:r>
    </w:p>
    <w:p w14:paraId="2A7E6968" w14:textId="77777777" w:rsidR="00772748" w:rsidRPr="00E426D3" w:rsidRDefault="00772748" w:rsidP="00E426D3">
      <w:r w:rsidRPr="00E426D3">
        <w:t xml:space="preserve">I motsetning til norske </w:t>
      </w:r>
      <w:proofErr w:type="spellStart"/>
      <w:r w:rsidRPr="00E426D3">
        <w:t>statsobligasjonar</w:t>
      </w:r>
      <w:proofErr w:type="spellEnd"/>
      <w:r w:rsidRPr="00E426D3">
        <w:t xml:space="preserve"> er </w:t>
      </w:r>
      <w:proofErr w:type="spellStart"/>
      <w:r w:rsidRPr="00E426D3">
        <w:t>ikkje</w:t>
      </w:r>
      <w:proofErr w:type="spellEnd"/>
      <w:r w:rsidRPr="00E426D3">
        <w:t xml:space="preserve"> </w:t>
      </w:r>
      <w:proofErr w:type="spellStart"/>
      <w:r w:rsidRPr="00E426D3">
        <w:t>skjermingsfrådraget</w:t>
      </w:r>
      <w:proofErr w:type="spellEnd"/>
      <w:r w:rsidRPr="00E426D3">
        <w:t xml:space="preserve"> </w:t>
      </w:r>
      <w:proofErr w:type="spellStart"/>
      <w:r w:rsidRPr="00E426D3">
        <w:t>omsetjeleg</w:t>
      </w:r>
      <w:proofErr w:type="spellEnd"/>
      <w:r w:rsidRPr="00E426D3">
        <w:t xml:space="preserve">. Dette </w:t>
      </w:r>
      <w:proofErr w:type="spellStart"/>
      <w:r w:rsidRPr="00E426D3">
        <w:t>inneber</w:t>
      </w:r>
      <w:proofErr w:type="spellEnd"/>
      <w:r w:rsidRPr="00E426D3">
        <w:t xml:space="preserve"> ei likviditetsulempe for investoren. For å nytte verdien av </w:t>
      </w:r>
      <w:proofErr w:type="spellStart"/>
      <w:r w:rsidRPr="00E426D3">
        <w:t>skjermingsfrådraget</w:t>
      </w:r>
      <w:proofErr w:type="spellEnd"/>
      <w:r w:rsidRPr="00E426D3">
        <w:t xml:space="preserve"> slik ho </w:t>
      </w:r>
      <w:proofErr w:type="spellStart"/>
      <w:r w:rsidRPr="00E426D3">
        <w:t>føretrekk</w:t>
      </w:r>
      <w:proofErr w:type="spellEnd"/>
      <w:r w:rsidRPr="00E426D3">
        <w:t xml:space="preserve">, kan investoren låne med utgangspunkt i </w:t>
      </w:r>
      <w:proofErr w:type="spellStart"/>
      <w:r w:rsidRPr="00E426D3">
        <w:t>skjermingsfrådraget</w:t>
      </w:r>
      <w:proofErr w:type="spellEnd"/>
      <w:r w:rsidRPr="00E426D3">
        <w:t xml:space="preserve">, som er ei fordring på staten. I </w:t>
      </w:r>
      <w:proofErr w:type="spellStart"/>
      <w:r w:rsidRPr="00E426D3">
        <w:t>ein</w:t>
      </w:r>
      <w:proofErr w:type="spellEnd"/>
      <w:r w:rsidRPr="00E426D3">
        <w:t xml:space="preserve"> effektiv </w:t>
      </w:r>
      <w:proofErr w:type="spellStart"/>
      <w:r w:rsidRPr="00E426D3">
        <w:t>kapitalmarknad</w:t>
      </w:r>
      <w:proofErr w:type="spellEnd"/>
      <w:r w:rsidRPr="00E426D3">
        <w:t xml:space="preserve">, der det er </w:t>
      </w:r>
      <w:proofErr w:type="spellStart"/>
      <w:r w:rsidRPr="00E426D3">
        <w:t>ope</w:t>
      </w:r>
      <w:proofErr w:type="spellEnd"/>
      <w:r w:rsidRPr="00E426D3">
        <w:t xml:space="preserve"> kjent at </w:t>
      </w:r>
      <w:proofErr w:type="spellStart"/>
      <w:r w:rsidRPr="00E426D3">
        <w:t>skjermingsfrådraget</w:t>
      </w:r>
      <w:proofErr w:type="spellEnd"/>
      <w:r w:rsidRPr="00E426D3">
        <w:t xml:space="preserve"> er ei sikker fordring på staten, vil den implisitte lånerenta tilsvara renta på </w:t>
      </w:r>
      <w:proofErr w:type="spellStart"/>
      <w:r w:rsidRPr="00E426D3">
        <w:t>statskassevekslar</w:t>
      </w:r>
      <w:proofErr w:type="spellEnd"/>
      <w:r w:rsidRPr="00E426D3">
        <w:t xml:space="preserve">. Det er likevel forhold som </w:t>
      </w:r>
      <w:proofErr w:type="spellStart"/>
      <w:r w:rsidRPr="00E426D3">
        <w:t>tilseier</w:t>
      </w:r>
      <w:proofErr w:type="spellEnd"/>
      <w:r w:rsidRPr="00E426D3">
        <w:t xml:space="preserve"> at </w:t>
      </w:r>
      <w:proofErr w:type="spellStart"/>
      <w:r w:rsidRPr="00E426D3">
        <w:t>kapitalmarknaden</w:t>
      </w:r>
      <w:proofErr w:type="spellEnd"/>
      <w:r w:rsidRPr="00E426D3">
        <w:t xml:space="preserve"> </w:t>
      </w:r>
      <w:proofErr w:type="spellStart"/>
      <w:r w:rsidRPr="00E426D3">
        <w:t>ikkje</w:t>
      </w:r>
      <w:proofErr w:type="spellEnd"/>
      <w:r w:rsidRPr="00E426D3">
        <w:t xml:space="preserve"> er fullt ut effektiv. Dette kan </w:t>
      </w:r>
      <w:proofErr w:type="spellStart"/>
      <w:r w:rsidRPr="00E426D3">
        <w:t>forklarast</w:t>
      </w:r>
      <w:proofErr w:type="spellEnd"/>
      <w:r w:rsidRPr="00E426D3">
        <w:t xml:space="preserve"> med informasjonsproblem, </w:t>
      </w:r>
      <w:proofErr w:type="spellStart"/>
      <w:r w:rsidRPr="00E426D3">
        <w:t>marknadsmakt</w:t>
      </w:r>
      <w:proofErr w:type="spellEnd"/>
      <w:r w:rsidRPr="00E426D3">
        <w:t xml:space="preserve"> i </w:t>
      </w:r>
      <w:proofErr w:type="spellStart"/>
      <w:r w:rsidRPr="00E426D3">
        <w:t>kredittmarknaden</w:t>
      </w:r>
      <w:proofErr w:type="spellEnd"/>
      <w:r w:rsidRPr="00E426D3">
        <w:t xml:space="preserve"> eller administrative </w:t>
      </w:r>
      <w:proofErr w:type="spellStart"/>
      <w:r w:rsidRPr="00E426D3">
        <w:t>kostnadar</w:t>
      </w:r>
      <w:proofErr w:type="spellEnd"/>
      <w:r w:rsidRPr="00E426D3">
        <w:t xml:space="preserve"> hos </w:t>
      </w:r>
      <w:proofErr w:type="spellStart"/>
      <w:r w:rsidRPr="00E426D3">
        <w:t>långivar</w:t>
      </w:r>
      <w:proofErr w:type="spellEnd"/>
      <w:r w:rsidRPr="00E426D3">
        <w:t xml:space="preserve"> som fører til at lånerenta, og dermed investoren sin marginale finansieringskostnad, vert </w:t>
      </w:r>
      <w:proofErr w:type="spellStart"/>
      <w:r w:rsidRPr="00E426D3">
        <w:t>høgare</w:t>
      </w:r>
      <w:proofErr w:type="spellEnd"/>
      <w:r w:rsidRPr="00E426D3">
        <w:t xml:space="preserve"> enn renta på norske </w:t>
      </w:r>
      <w:proofErr w:type="spellStart"/>
      <w:r w:rsidRPr="00E426D3">
        <w:t>statskassevekslar</w:t>
      </w:r>
      <w:proofErr w:type="spellEnd"/>
      <w:r w:rsidRPr="00E426D3">
        <w:t>.</w:t>
      </w:r>
    </w:p>
    <w:p w14:paraId="4E9E7A65" w14:textId="77777777" w:rsidR="00772748" w:rsidRPr="00E426D3" w:rsidRDefault="00772748" w:rsidP="00E426D3">
      <w:pPr>
        <w:pStyle w:val="avsnitt-tittel"/>
      </w:pPr>
      <w:r w:rsidRPr="00E426D3">
        <w:t>Asymmetri</w:t>
      </w:r>
    </w:p>
    <w:p w14:paraId="30CA56B3" w14:textId="77777777" w:rsidR="00772748" w:rsidRPr="00E426D3" w:rsidRDefault="00772748" w:rsidP="00E426D3">
      <w:r w:rsidRPr="00E426D3">
        <w:t xml:space="preserve">Ubrukt skjerming går tapt ved realisasjon. Dette bidrar til at </w:t>
      </w:r>
      <w:proofErr w:type="spellStart"/>
      <w:r w:rsidRPr="00E426D3">
        <w:t>utbyteskatten</w:t>
      </w:r>
      <w:proofErr w:type="spellEnd"/>
      <w:r w:rsidRPr="00E426D3">
        <w:t xml:space="preserve"> </w:t>
      </w:r>
      <w:proofErr w:type="spellStart"/>
      <w:r w:rsidRPr="00E426D3">
        <w:t>aukar</w:t>
      </w:r>
      <w:proofErr w:type="spellEnd"/>
      <w:r w:rsidRPr="00E426D3">
        <w:t xml:space="preserve"> avkastningskravet til </w:t>
      </w:r>
      <w:proofErr w:type="spellStart"/>
      <w:r w:rsidRPr="00E426D3">
        <w:t>investorar</w:t>
      </w:r>
      <w:proofErr w:type="spellEnd"/>
      <w:r w:rsidRPr="00E426D3">
        <w:t>.</w:t>
      </w:r>
    </w:p>
    <w:p w14:paraId="5D6CDAFB" w14:textId="77777777" w:rsidR="00772748" w:rsidRPr="00E426D3" w:rsidRDefault="00772748" w:rsidP="00E426D3">
      <w:r w:rsidRPr="00E426D3">
        <w:t xml:space="preserve">Dette kan </w:t>
      </w:r>
      <w:proofErr w:type="spellStart"/>
      <w:r w:rsidRPr="00E426D3">
        <w:t>tilseie</w:t>
      </w:r>
      <w:proofErr w:type="spellEnd"/>
      <w:r w:rsidRPr="00E426D3">
        <w:t xml:space="preserve"> at </w:t>
      </w:r>
      <w:proofErr w:type="spellStart"/>
      <w:r w:rsidRPr="00E426D3">
        <w:t>skjermingsrenta</w:t>
      </w:r>
      <w:proofErr w:type="spellEnd"/>
      <w:r w:rsidRPr="00E426D3">
        <w:t xml:space="preserve"> bør </w:t>
      </w:r>
      <w:proofErr w:type="spellStart"/>
      <w:r w:rsidRPr="00E426D3">
        <w:t>vere</w:t>
      </w:r>
      <w:proofErr w:type="spellEnd"/>
      <w:r w:rsidRPr="00E426D3">
        <w:t xml:space="preserve"> </w:t>
      </w:r>
      <w:proofErr w:type="spellStart"/>
      <w:r w:rsidRPr="00E426D3">
        <w:t>høgare</w:t>
      </w:r>
      <w:proofErr w:type="spellEnd"/>
      <w:r w:rsidRPr="00E426D3">
        <w:t xml:space="preserve"> enn risikofri rente. Denne asymmetrien har </w:t>
      </w:r>
      <w:proofErr w:type="spellStart"/>
      <w:r w:rsidRPr="00E426D3">
        <w:t>truleg</w:t>
      </w:r>
      <w:proofErr w:type="spellEnd"/>
      <w:r w:rsidRPr="00E426D3">
        <w:t xml:space="preserve"> avgrensa verknad for </w:t>
      </w:r>
      <w:proofErr w:type="spellStart"/>
      <w:r w:rsidRPr="00E426D3">
        <w:t>investorar</w:t>
      </w:r>
      <w:proofErr w:type="spellEnd"/>
      <w:r w:rsidRPr="00E426D3">
        <w:t xml:space="preserve"> som </w:t>
      </w:r>
      <w:proofErr w:type="spellStart"/>
      <w:r w:rsidRPr="00E426D3">
        <w:t>nyttar</w:t>
      </w:r>
      <w:proofErr w:type="spellEnd"/>
      <w:r w:rsidRPr="00E426D3">
        <w:t xml:space="preserve"> aksjesparekonto eller holdingselskap. Skjermingsgrunnlaget er då knytt til samla </w:t>
      </w:r>
      <w:proofErr w:type="spellStart"/>
      <w:r w:rsidRPr="00E426D3">
        <w:t>investeringar</w:t>
      </w:r>
      <w:proofErr w:type="spellEnd"/>
      <w:r w:rsidRPr="00E426D3">
        <w:t xml:space="preserve"> i holdingselskapet eller aksjesparekontoen og </w:t>
      </w:r>
      <w:proofErr w:type="spellStart"/>
      <w:r w:rsidRPr="00E426D3">
        <w:t>ikkje</w:t>
      </w:r>
      <w:proofErr w:type="spellEnd"/>
      <w:r w:rsidRPr="00E426D3">
        <w:t xml:space="preserve"> til den enkelte aksje. </w:t>
      </w:r>
      <w:proofErr w:type="spellStart"/>
      <w:r w:rsidRPr="00E426D3">
        <w:t>Difor</w:t>
      </w:r>
      <w:proofErr w:type="spellEnd"/>
      <w:r w:rsidRPr="00E426D3">
        <w:t xml:space="preserve"> må holdingselskapet eller aksjesparekontoen som heilskap ha ubrukt skjerming ved realisasjonstidspunktet for at ubrukt skjerming skal gå tapt. Sannsynet for at ubrukt skjerming går tapt er såleis </w:t>
      </w:r>
      <w:proofErr w:type="spellStart"/>
      <w:r w:rsidRPr="00E426D3">
        <w:t>lågare</w:t>
      </w:r>
      <w:proofErr w:type="spellEnd"/>
      <w:r w:rsidRPr="00E426D3">
        <w:t>.</w:t>
      </w:r>
    </w:p>
    <w:p w14:paraId="3419B3BD" w14:textId="77777777" w:rsidR="00772748" w:rsidRPr="00E426D3" w:rsidRDefault="00772748" w:rsidP="00E426D3">
      <w:proofErr w:type="spellStart"/>
      <w:r w:rsidRPr="00E426D3">
        <w:t>Ein</w:t>
      </w:r>
      <w:proofErr w:type="spellEnd"/>
      <w:r w:rsidRPr="00E426D3">
        <w:t xml:space="preserve"> </w:t>
      </w:r>
      <w:proofErr w:type="spellStart"/>
      <w:r w:rsidRPr="00E426D3">
        <w:t>annan</w:t>
      </w:r>
      <w:proofErr w:type="spellEnd"/>
      <w:r w:rsidRPr="00E426D3">
        <w:t xml:space="preserve"> </w:t>
      </w:r>
      <w:proofErr w:type="spellStart"/>
      <w:r w:rsidRPr="00E426D3">
        <w:t>føresetnad</w:t>
      </w:r>
      <w:proofErr w:type="spellEnd"/>
      <w:r w:rsidRPr="00E426D3">
        <w:t xml:space="preserve"> for at </w:t>
      </w:r>
      <w:proofErr w:type="spellStart"/>
      <w:r w:rsidRPr="00E426D3">
        <w:t>utbyteskatten</w:t>
      </w:r>
      <w:proofErr w:type="spellEnd"/>
      <w:r w:rsidRPr="00E426D3">
        <w:t xml:space="preserve"> skal verke nøytralt, er at det vert gitt fullt </w:t>
      </w:r>
      <w:proofErr w:type="spellStart"/>
      <w:r w:rsidRPr="00E426D3">
        <w:t>frådrag</w:t>
      </w:r>
      <w:proofErr w:type="spellEnd"/>
      <w:r w:rsidRPr="00E426D3">
        <w:t xml:space="preserve"> for tap. I dagens system vert det gitt </w:t>
      </w:r>
      <w:proofErr w:type="spellStart"/>
      <w:r w:rsidRPr="00E426D3">
        <w:t>frådrag</w:t>
      </w:r>
      <w:proofErr w:type="spellEnd"/>
      <w:r w:rsidRPr="00E426D3">
        <w:t xml:space="preserve"> for tap òg mot andre inntekter enn aksjeinntekter gjennom </w:t>
      </w:r>
      <w:proofErr w:type="spellStart"/>
      <w:r w:rsidRPr="00E426D3">
        <w:t>frådrag</w:t>
      </w:r>
      <w:proofErr w:type="spellEnd"/>
      <w:r w:rsidRPr="00E426D3">
        <w:t xml:space="preserve"> i </w:t>
      </w:r>
      <w:proofErr w:type="spellStart"/>
      <w:r w:rsidRPr="00E426D3">
        <w:t>alminneleg</w:t>
      </w:r>
      <w:proofErr w:type="spellEnd"/>
      <w:r w:rsidRPr="00E426D3">
        <w:t xml:space="preserve"> inntekt hos </w:t>
      </w:r>
      <w:proofErr w:type="spellStart"/>
      <w:r w:rsidRPr="00E426D3">
        <w:t>skattytar</w:t>
      </w:r>
      <w:proofErr w:type="spellEnd"/>
      <w:r w:rsidRPr="00E426D3">
        <w:t xml:space="preserve">. Dersom </w:t>
      </w:r>
      <w:proofErr w:type="spellStart"/>
      <w:r w:rsidRPr="00E426D3">
        <w:t>skattytar</w:t>
      </w:r>
      <w:proofErr w:type="spellEnd"/>
      <w:r w:rsidRPr="00E426D3">
        <w:t xml:space="preserve"> </w:t>
      </w:r>
      <w:proofErr w:type="spellStart"/>
      <w:r w:rsidRPr="00E426D3">
        <w:t>ikkje</w:t>
      </w:r>
      <w:proofErr w:type="spellEnd"/>
      <w:r w:rsidRPr="00E426D3">
        <w:t xml:space="preserve"> har </w:t>
      </w:r>
      <w:proofErr w:type="spellStart"/>
      <w:r w:rsidRPr="00E426D3">
        <w:t>tilstrekkeleg</w:t>
      </w:r>
      <w:proofErr w:type="spellEnd"/>
      <w:r w:rsidRPr="00E426D3">
        <w:t xml:space="preserve"> inntekt til å bruke </w:t>
      </w:r>
      <w:proofErr w:type="spellStart"/>
      <w:r w:rsidRPr="00E426D3">
        <w:t>frådraget</w:t>
      </w:r>
      <w:proofErr w:type="spellEnd"/>
      <w:r w:rsidRPr="00E426D3">
        <w:t xml:space="preserve">, vert </w:t>
      </w:r>
      <w:proofErr w:type="spellStart"/>
      <w:r w:rsidRPr="00E426D3">
        <w:t>frådraget</w:t>
      </w:r>
      <w:proofErr w:type="spellEnd"/>
      <w:r w:rsidRPr="00E426D3">
        <w:t xml:space="preserve"> ført </w:t>
      </w:r>
      <w:proofErr w:type="spellStart"/>
      <w:r w:rsidRPr="00E426D3">
        <w:t>vidare</w:t>
      </w:r>
      <w:proofErr w:type="spellEnd"/>
      <w:r w:rsidRPr="00E426D3">
        <w:t xml:space="preserve"> til </w:t>
      </w:r>
      <w:proofErr w:type="spellStart"/>
      <w:r w:rsidRPr="00E426D3">
        <w:t>seinare</w:t>
      </w:r>
      <w:proofErr w:type="spellEnd"/>
      <w:r w:rsidRPr="00E426D3">
        <w:t xml:space="preserve"> år </w:t>
      </w:r>
      <w:proofErr w:type="spellStart"/>
      <w:r w:rsidRPr="00E426D3">
        <w:t>utan</w:t>
      </w:r>
      <w:proofErr w:type="spellEnd"/>
      <w:r w:rsidRPr="00E426D3">
        <w:t xml:space="preserve"> rente. Det </w:t>
      </w:r>
      <w:proofErr w:type="spellStart"/>
      <w:r w:rsidRPr="00E426D3">
        <w:t>inneber</w:t>
      </w:r>
      <w:proofErr w:type="spellEnd"/>
      <w:r w:rsidRPr="00E426D3">
        <w:t xml:space="preserve"> i praksis at </w:t>
      </w:r>
      <w:proofErr w:type="spellStart"/>
      <w:r w:rsidRPr="00E426D3">
        <w:t>tapsfrådraget</w:t>
      </w:r>
      <w:proofErr w:type="spellEnd"/>
      <w:r w:rsidRPr="00E426D3">
        <w:t xml:space="preserve"> </w:t>
      </w:r>
      <w:proofErr w:type="spellStart"/>
      <w:r w:rsidRPr="00E426D3">
        <w:t>ikkje</w:t>
      </w:r>
      <w:proofErr w:type="spellEnd"/>
      <w:r w:rsidRPr="00E426D3">
        <w:t xml:space="preserve"> er heilt sikkert, og at realverdien av </w:t>
      </w:r>
      <w:proofErr w:type="spellStart"/>
      <w:r w:rsidRPr="00E426D3">
        <w:t>tapsfrådraget</w:t>
      </w:r>
      <w:proofErr w:type="spellEnd"/>
      <w:r w:rsidRPr="00E426D3">
        <w:t xml:space="preserve"> vert redusert dersom </w:t>
      </w:r>
      <w:proofErr w:type="spellStart"/>
      <w:r w:rsidRPr="00E426D3">
        <w:lastRenderedPageBreak/>
        <w:t>frådraget</w:t>
      </w:r>
      <w:proofErr w:type="spellEnd"/>
      <w:r w:rsidRPr="00E426D3">
        <w:t xml:space="preserve"> vert utsett i tid. Dette svekker risikodelinga med staten og </w:t>
      </w:r>
      <w:proofErr w:type="spellStart"/>
      <w:r w:rsidRPr="00E426D3">
        <w:t>aukar</w:t>
      </w:r>
      <w:proofErr w:type="spellEnd"/>
      <w:r w:rsidRPr="00E426D3">
        <w:t xml:space="preserve"> investorens risiko ved </w:t>
      </w:r>
      <w:proofErr w:type="spellStart"/>
      <w:r w:rsidRPr="00E426D3">
        <w:t>aksjeinvesteringar</w:t>
      </w:r>
      <w:proofErr w:type="spellEnd"/>
      <w:r w:rsidRPr="00E426D3">
        <w:t xml:space="preserve"> </w:t>
      </w:r>
      <w:proofErr w:type="spellStart"/>
      <w:r w:rsidRPr="00E426D3">
        <w:t>samanlikna</w:t>
      </w:r>
      <w:proofErr w:type="spellEnd"/>
      <w:r w:rsidRPr="00E426D3">
        <w:t xml:space="preserve"> med </w:t>
      </w:r>
      <w:proofErr w:type="spellStart"/>
      <w:r w:rsidRPr="00E426D3">
        <w:t>ein</w:t>
      </w:r>
      <w:proofErr w:type="spellEnd"/>
      <w:r w:rsidRPr="00E426D3">
        <w:t xml:space="preserve"> situasjon med fullt </w:t>
      </w:r>
      <w:proofErr w:type="spellStart"/>
      <w:r w:rsidRPr="00E426D3">
        <w:t>tapsfrådrag</w:t>
      </w:r>
      <w:proofErr w:type="spellEnd"/>
      <w:r w:rsidRPr="00E426D3">
        <w:t xml:space="preserve">. Dette kan isolert sett </w:t>
      </w:r>
      <w:proofErr w:type="spellStart"/>
      <w:r w:rsidRPr="00E426D3">
        <w:t>tala</w:t>
      </w:r>
      <w:proofErr w:type="spellEnd"/>
      <w:r w:rsidRPr="00E426D3">
        <w:t xml:space="preserve"> for </w:t>
      </w:r>
      <w:proofErr w:type="spellStart"/>
      <w:r w:rsidRPr="00E426D3">
        <w:t>eit</w:t>
      </w:r>
      <w:proofErr w:type="spellEnd"/>
      <w:r w:rsidRPr="00E426D3">
        <w:t xml:space="preserve"> risikopåslag i </w:t>
      </w:r>
      <w:proofErr w:type="spellStart"/>
      <w:r w:rsidRPr="00E426D3">
        <w:t>skjermingsrenta</w:t>
      </w:r>
      <w:proofErr w:type="spellEnd"/>
      <w:r w:rsidRPr="00E426D3">
        <w:t>.</w:t>
      </w:r>
    </w:p>
    <w:p w14:paraId="59112A5B" w14:textId="77777777" w:rsidR="00772748" w:rsidRPr="00E426D3" w:rsidRDefault="00772748" w:rsidP="00E426D3">
      <w:pPr>
        <w:pStyle w:val="avsnitt-tittel"/>
      </w:pPr>
      <w:r w:rsidRPr="00E426D3">
        <w:t>Periodiseringsnøytralitet</w:t>
      </w:r>
    </w:p>
    <w:p w14:paraId="0292D6F4" w14:textId="77777777" w:rsidR="00772748" w:rsidRPr="00E426D3" w:rsidRDefault="00772748" w:rsidP="00E426D3">
      <w:r w:rsidRPr="00E426D3">
        <w:t xml:space="preserve">Skattesystemet bør </w:t>
      </w:r>
      <w:proofErr w:type="spellStart"/>
      <w:r w:rsidRPr="00E426D3">
        <w:t>ikkje</w:t>
      </w:r>
      <w:proofErr w:type="spellEnd"/>
      <w:r w:rsidRPr="00E426D3">
        <w:t xml:space="preserve"> </w:t>
      </w:r>
      <w:proofErr w:type="spellStart"/>
      <w:r w:rsidRPr="00E426D3">
        <w:t>påverke</w:t>
      </w:r>
      <w:proofErr w:type="spellEnd"/>
      <w:r w:rsidRPr="00E426D3">
        <w:t xml:space="preserve"> korleis ei investering vert finansiert eller når </w:t>
      </w:r>
      <w:proofErr w:type="spellStart"/>
      <w:r w:rsidRPr="00E426D3">
        <w:t>eigaren</w:t>
      </w:r>
      <w:proofErr w:type="spellEnd"/>
      <w:r w:rsidRPr="00E426D3">
        <w:t xml:space="preserve"> </w:t>
      </w:r>
      <w:proofErr w:type="spellStart"/>
      <w:r w:rsidRPr="00E426D3">
        <w:t>tek</w:t>
      </w:r>
      <w:proofErr w:type="spellEnd"/>
      <w:r w:rsidRPr="00E426D3">
        <w:t xml:space="preserve"> ut </w:t>
      </w:r>
      <w:proofErr w:type="spellStart"/>
      <w:r w:rsidRPr="00E426D3">
        <w:t>utbyte</w:t>
      </w:r>
      <w:proofErr w:type="spellEnd"/>
      <w:r w:rsidRPr="00E426D3">
        <w:t xml:space="preserve">. Det er </w:t>
      </w:r>
      <w:proofErr w:type="spellStart"/>
      <w:r w:rsidRPr="00E426D3">
        <w:t>dei</w:t>
      </w:r>
      <w:proofErr w:type="spellEnd"/>
      <w:r w:rsidRPr="00E426D3">
        <w:t xml:space="preserve"> same </w:t>
      </w:r>
      <w:proofErr w:type="spellStart"/>
      <w:r w:rsidRPr="00E426D3">
        <w:t>avvegingane</w:t>
      </w:r>
      <w:proofErr w:type="spellEnd"/>
      <w:r w:rsidRPr="00E426D3">
        <w:t xml:space="preserve"> som </w:t>
      </w:r>
      <w:proofErr w:type="spellStart"/>
      <w:r w:rsidRPr="00E426D3">
        <w:t>gjer</w:t>
      </w:r>
      <w:proofErr w:type="spellEnd"/>
      <w:r w:rsidRPr="00E426D3">
        <w:t xml:space="preserve"> seg </w:t>
      </w:r>
      <w:proofErr w:type="spellStart"/>
      <w:r w:rsidRPr="00E426D3">
        <w:t>gjeldande</w:t>
      </w:r>
      <w:proofErr w:type="spellEnd"/>
      <w:r w:rsidRPr="00E426D3">
        <w:t xml:space="preserve"> ved </w:t>
      </w:r>
      <w:proofErr w:type="spellStart"/>
      <w:r w:rsidRPr="00E426D3">
        <w:t>fastsetjing</w:t>
      </w:r>
      <w:proofErr w:type="spellEnd"/>
      <w:r w:rsidRPr="00E426D3">
        <w:t xml:space="preserve"> av </w:t>
      </w:r>
      <w:proofErr w:type="spellStart"/>
      <w:r w:rsidRPr="00E426D3">
        <w:t>skjermingsrenta</w:t>
      </w:r>
      <w:proofErr w:type="spellEnd"/>
      <w:r w:rsidRPr="00E426D3">
        <w:t xml:space="preserve"> for å oppnå periodiseringsnøytralitet, som for investerings- og finansieringsnøytralitet. Skatt på </w:t>
      </w:r>
      <w:proofErr w:type="spellStart"/>
      <w:r w:rsidRPr="00E426D3">
        <w:t>eigarinntekter</w:t>
      </w:r>
      <w:proofErr w:type="spellEnd"/>
      <w:r w:rsidRPr="00E426D3">
        <w:t xml:space="preserve"> kan </w:t>
      </w:r>
      <w:proofErr w:type="spellStart"/>
      <w:r w:rsidRPr="00E426D3">
        <w:t>gje</w:t>
      </w:r>
      <w:proofErr w:type="spellEnd"/>
      <w:r w:rsidRPr="00E426D3">
        <w:t xml:space="preserve"> insentiv til å finansiere </w:t>
      </w:r>
      <w:proofErr w:type="spellStart"/>
      <w:r w:rsidRPr="00E426D3">
        <w:t>investeringar</w:t>
      </w:r>
      <w:proofErr w:type="spellEnd"/>
      <w:r w:rsidRPr="00E426D3">
        <w:t xml:space="preserve"> i selskapet med </w:t>
      </w:r>
      <w:proofErr w:type="spellStart"/>
      <w:r w:rsidRPr="00E426D3">
        <w:t>tilbakehaldt</w:t>
      </w:r>
      <w:proofErr w:type="spellEnd"/>
      <w:r w:rsidRPr="00E426D3">
        <w:t xml:space="preserve"> </w:t>
      </w:r>
      <w:proofErr w:type="spellStart"/>
      <w:r w:rsidRPr="00E426D3">
        <w:t>overskot</w:t>
      </w:r>
      <w:proofErr w:type="spellEnd"/>
      <w:r w:rsidRPr="00E426D3">
        <w:t xml:space="preserve"> framfor ny eigenkapital, fordi </w:t>
      </w:r>
      <w:proofErr w:type="spellStart"/>
      <w:r w:rsidRPr="00E426D3">
        <w:t>ein</w:t>
      </w:r>
      <w:proofErr w:type="spellEnd"/>
      <w:r w:rsidRPr="00E426D3">
        <w:t xml:space="preserve"> då kan </w:t>
      </w:r>
      <w:proofErr w:type="spellStart"/>
      <w:r w:rsidRPr="00E426D3">
        <w:t>utsetje</w:t>
      </w:r>
      <w:proofErr w:type="spellEnd"/>
      <w:r w:rsidRPr="00E426D3">
        <w:t xml:space="preserve"> skatten. I prinsippet </w:t>
      </w:r>
      <w:proofErr w:type="spellStart"/>
      <w:r w:rsidRPr="00E426D3">
        <w:t>fjernar</w:t>
      </w:r>
      <w:proofErr w:type="spellEnd"/>
      <w:r w:rsidRPr="00E426D3">
        <w:t xml:space="preserve"> </w:t>
      </w:r>
      <w:proofErr w:type="spellStart"/>
      <w:r w:rsidRPr="00E426D3">
        <w:t>skjermingsfrådraget</w:t>
      </w:r>
      <w:proofErr w:type="spellEnd"/>
      <w:r w:rsidRPr="00E426D3">
        <w:t xml:space="preserve"> skattefordelen av å </w:t>
      </w:r>
      <w:proofErr w:type="spellStart"/>
      <w:r w:rsidRPr="00E426D3">
        <w:t>utsetje</w:t>
      </w:r>
      <w:proofErr w:type="spellEnd"/>
      <w:r w:rsidRPr="00E426D3">
        <w:t xml:space="preserve"> uttak eller realisasjon av aksjeinntekter. Det kjem av at den delen av aksjeinntekta som vert pålagd </w:t>
      </w:r>
      <w:proofErr w:type="spellStart"/>
      <w:r w:rsidRPr="00E426D3">
        <w:t>utbyteskatt</w:t>
      </w:r>
      <w:proofErr w:type="spellEnd"/>
      <w:r w:rsidRPr="00E426D3">
        <w:t xml:space="preserve">, </w:t>
      </w:r>
      <w:proofErr w:type="spellStart"/>
      <w:r w:rsidRPr="00E426D3">
        <w:t>ikkje</w:t>
      </w:r>
      <w:proofErr w:type="spellEnd"/>
      <w:r w:rsidRPr="00E426D3">
        <w:t xml:space="preserve"> inngår i skjermingsgrunnlaget.</w:t>
      </w:r>
    </w:p>
    <w:p w14:paraId="564D05B6" w14:textId="77777777" w:rsidR="00772748" w:rsidRPr="00E426D3" w:rsidRDefault="00772748" w:rsidP="00E426D3">
      <w:r w:rsidRPr="00E426D3">
        <w:t xml:space="preserve">Det har </w:t>
      </w:r>
      <w:proofErr w:type="spellStart"/>
      <w:r w:rsidRPr="00E426D3">
        <w:t>vore</w:t>
      </w:r>
      <w:proofErr w:type="spellEnd"/>
      <w:r w:rsidRPr="00E426D3">
        <w:t xml:space="preserve"> </w:t>
      </w:r>
      <w:proofErr w:type="spellStart"/>
      <w:r w:rsidRPr="00E426D3">
        <w:t>påpeikt</w:t>
      </w:r>
      <w:proofErr w:type="spellEnd"/>
      <w:r w:rsidRPr="00E426D3">
        <w:t xml:space="preserve"> at </w:t>
      </w:r>
      <w:proofErr w:type="spellStart"/>
      <w:r w:rsidRPr="00E426D3">
        <w:t>eit</w:t>
      </w:r>
      <w:proofErr w:type="spellEnd"/>
      <w:r w:rsidRPr="00E426D3">
        <w:t xml:space="preserve"> </w:t>
      </w:r>
      <w:proofErr w:type="spellStart"/>
      <w:r w:rsidRPr="00E426D3">
        <w:t>skjermingsfrådrag</w:t>
      </w:r>
      <w:proofErr w:type="spellEnd"/>
      <w:r w:rsidRPr="00E426D3">
        <w:t xml:space="preserve"> basert på risikofri rente er for lågt for at denne effekten skal </w:t>
      </w:r>
      <w:proofErr w:type="spellStart"/>
      <w:r w:rsidRPr="00E426D3">
        <w:t>verte</w:t>
      </w:r>
      <w:proofErr w:type="spellEnd"/>
      <w:r w:rsidRPr="00E426D3">
        <w:t xml:space="preserve"> heilt eliminert. </w:t>
      </w:r>
      <w:proofErr w:type="spellStart"/>
      <w:r w:rsidRPr="00E426D3">
        <w:t>Ein</w:t>
      </w:r>
      <w:proofErr w:type="spellEnd"/>
      <w:r w:rsidRPr="00E426D3">
        <w:t xml:space="preserve"> relevant effekt som kan </w:t>
      </w:r>
      <w:proofErr w:type="spellStart"/>
      <w:r w:rsidRPr="00E426D3">
        <w:t>motverka</w:t>
      </w:r>
      <w:proofErr w:type="spellEnd"/>
      <w:r w:rsidRPr="00E426D3">
        <w:t xml:space="preserve"> dette, er at </w:t>
      </w:r>
      <w:proofErr w:type="spellStart"/>
      <w:r w:rsidRPr="00E426D3">
        <w:t>investorar</w:t>
      </w:r>
      <w:proofErr w:type="spellEnd"/>
      <w:r w:rsidRPr="00E426D3">
        <w:t xml:space="preserve"> som er i formuesskatteposisjon, vil ha </w:t>
      </w:r>
      <w:proofErr w:type="spellStart"/>
      <w:r w:rsidRPr="00E426D3">
        <w:t>ein</w:t>
      </w:r>
      <w:proofErr w:type="spellEnd"/>
      <w:r w:rsidRPr="00E426D3">
        <w:t xml:space="preserve"> ulempe ved å </w:t>
      </w:r>
      <w:proofErr w:type="spellStart"/>
      <w:r w:rsidRPr="00E426D3">
        <w:t>utsetje</w:t>
      </w:r>
      <w:proofErr w:type="spellEnd"/>
      <w:r w:rsidRPr="00E426D3">
        <w:t xml:space="preserve"> skatten. Den latente skatten på </w:t>
      </w:r>
      <w:proofErr w:type="spellStart"/>
      <w:r w:rsidRPr="00E426D3">
        <w:t>ein</w:t>
      </w:r>
      <w:proofErr w:type="spellEnd"/>
      <w:r w:rsidRPr="00E426D3">
        <w:t xml:space="preserve"> framtidig gevinst vil </w:t>
      </w:r>
      <w:proofErr w:type="spellStart"/>
      <w:r w:rsidRPr="00E426D3">
        <w:t>vere</w:t>
      </w:r>
      <w:proofErr w:type="spellEnd"/>
      <w:r w:rsidRPr="00E426D3">
        <w:t xml:space="preserve"> </w:t>
      </w:r>
      <w:proofErr w:type="spellStart"/>
      <w:r w:rsidRPr="00E426D3">
        <w:t>ein</w:t>
      </w:r>
      <w:proofErr w:type="spellEnd"/>
      <w:r w:rsidRPr="00E426D3">
        <w:t xml:space="preserve"> del av formueskattegrunnlaget til gevinsten vert realisert og skatten vert betalt. Denne effekten av formuesskatten reduserer fordelen av å </w:t>
      </w:r>
      <w:proofErr w:type="spellStart"/>
      <w:r w:rsidRPr="00E426D3">
        <w:t>utsetje</w:t>
      </w:r>
      <w:proofErr w:type="spellEnd"/>
      <w:r w:rsidRPr="00E426D3">
        <w:t xml:space="preserve"> skattebetalinga.</w:t>
      </w:r>
    </w:p>
    <w:p w14:paraId="63E1045D" w14:textId="77777777" w:rsidR="00772748" w:rsidRPr="00E426D3" w:rsidRDefault="00772748" w:rsidP="00E426D3">
      <w:pPr>
        <w:pStyle w:val="Overskrift3"/>
      </w:pPr>
      <w:r w:rsidRPr="00E426D3">
        <w:t xml:space="preserve">Verknader av for låg eller for </w:t>
      </w:r>
      <w:proofErr w:type="spellStart"/>
      <w:r w:rsidRPr="00E426D3">
        <w:t>høg</w:t>
      </w:r>
      <w:proofErr w:type="spellEnd"/>
      <w:r w:rsidRPr="00E426D3">
        <w:t xml:space="preserve"> </w:t>
      </w:r>
      <w:proofErr w:type="spellStart"/>
      <w:r w:rsidRPr="00E426D3">
        <w:t>skjermingsrente</w:t>
      </w:r>
      <w:proofErr w:type="spellEnd"/>
    </w:p>
    <w:p w14:paraId="4A714E2F" w14:textId="77777777" w:rsidR="00772748" w:rsidRPr="00E426D3" w:rsidRDefault="00772748" w:rsidP="00E426D3">
      <w:r w:rsidRPr="00E426D3">
        <w:t xml:space="preserve">For </w:t>
      </w:r>
      <w:proofErr w:type="spellStart"/>
      <w:r w:rsidRPr="00E426D3">
        <w:t>investeringar</w:t>
      </w:r>
      <w:proofErr w:type="spellEnd"/>
      <w:r w:rsidRPr="00E426D3">
        <w:t xml:space="preserve"> i selskap som har tilgang til gjeldsfinansiering, den internasjonale </w:t>
      </w:r>
      <w:proofErr w:type="spellStart"/>
      <w:r w:rsidRPr="00E426D3">
        <w:t>kapitalmarknaden</w:t>
      </w:r>
      <w:proofErr w:type="spellEnd"/>
      <w:r w:rsidRPr="00E426D3">
        <w:t xml:space="preserve"> eller </w:t>
      </w:r>
      <w:proofErr w:type="spellStart"/>
      <w:r w:rsidRPr="00E426D3">
        <w:t>tilbakehaldt</w:t>
      </w:r>
      <w:proofErr w:type="spellEnd"/>
      <w:r w:rsidRPr="00E426D3">
        <w:t xml:space="preserve"> </w:t>
      </w:r>
      <w:proofErr w:type="spellStart"/>
      <w:r w:rsidRPr="00E426D3">
        <w:t>overskot</w:t>
      </w:r>
      <w:proofErr w:type="spellEnd"/>
      <w:r w:rsidRPr="00E426D3">
        <w:t xml:space="preserve">, har norske </w:t>
      </w:r>
      <w:proofErr w:type="spellStart"/>
      <w:r w:rsidRPr="00E426D3">
        <w:t>personskattereglar</w:t>
      </w:r>
      <w:proofErr w:type="spellEnd"/>
      <w:r w:rsidRPr="00E426D3">
        <w:t xml:space="preserve"> avgrensa verknad. Verknaden av </w:t>
      </w:r>
      <w:proofErr w:type="spellStart"/>
      <w:r w:rsidRPr="00E426D3">
        <w:t>skjermingsfrådragets</w:t>
      </w:r>
      <w:proofErr w:type="spellEnd"/>
      <w:r w:rsidRPr="00E426D3">
        <w:t xml:space="preserve"> på </w:t>
      </w:r>
      <w:proofErr w:type="spellStart"/>
      <w:r w:rsidRPr="00E426D3">
        <w:t>investeringar</w:t>
      </w:r>
      <w:proofErr w:type="spellEnd"/>
      <w:r w:rsidRPr="00E426D3">
        <w:t xml:space="preserve"> er avgrensa til selskap som på marginen </w:t>
      </w:r>
      <w:proofErr w:type="spellStart"/>
      <w:r w:rsidRPr="00E426D3">
        <w:t>nyttar</w:t>
      </w:r>
      <w:proofErr w:type="spellEnd"/>
      <w:r w:rsidRPr="00E426D3">
        <w:t xml:space="preserve"> finansiering </w:t>
      </w:r>
      <w:proofErr w:type="spellStart"/>
      <w:r w:rsidRPr="00E426D3">
        <w:t>frå</w:t>
      </w:r>
      <w:proofErr w:type="spellEnd"/>
      <w:r w:rsidRPr="00E426D3">
        <w:t xml:space="preserve"> norske </w:t>
      </w:r>
      <w:proofErr w:type="spellStart"/>
      <w:r w:rsidRPr="00E426D3">
        <w:t>aksjonærar</w:t>
      </w:r>
      <w:proofErr w:type="spellEnd"/>
      <w:r w:rsidRPr="00E426D3">
        <w:t>.</w:t>
      </w:r>
    </w:p>
    <w:p w14:paraId="77D13836" w14:textId="77777777" w:rsidR="00772748" w:rsidRPr="00E426D3" w:rsidRDefault="00772748" w:rsidP="00E426D3">
      <w:r w:rsidRPr="00E426D3">
        <w:t xml:space="preserve">«Rett» </w:t>
      </w:r>
      <w:proofErr w:type="spellStart"/>
      <w:r w:rsidRPr="00E426D3">
        <w:t>skjermingsrente</w:t>
      </w:r>
      <w:proofErr w:type="spellEnd"/>
      <w:r w:rsidRPr="00E426D3">
        <w:t xml:space="preserve"> </w:t>
      </w:r>
      <w:proofErr w:type="spellStart"/>
      <w:r w:rsidRPr="00E426D3">
        <w:t>inneber</w:t>
      </w:r>
      <w:proofErr w:type="spellEnd"/>
      <w:r w:rsidRPr="00E426D3">
        <w:t xml:space="preserve"> at investors avkastningskrav etter skatt er det same som avkastningskravet før skatt. Med ei for låg </w:t>
      </w:r>
      <w:proofErr w:type="spellStart"/>
      <w:r w:rsidRPr="00E426D3">
        <w:t>skjermingsrente</w:t>
      </w:r>
      <w:proofErr w:type="spellEnd"/>
      <w:r w:rsidRPr="00E426D3">
        <w:t xml:space="preserve"> vil </w:t>
      </w:r>
      <w:proofErr w:type="spellStart"/>
      <w:r w:rsidRPr="00E426D3">
        <w:t>investorar</w:t>
      </w:r>
      <w:proofErr w:type="spellEnd"/>
      <w:r w:rsidRPr="00E426D3">
        <w:t xml:space="preserve"> betale </w:t>
      </w:r>
      <w:proofErr w:type="spellStart"/>
      <w:r w:rsidRPr="00E426D3">
        <w:t>meir</w:t>
      </w:r>
      <w:proofErr w:type="spellEnd"/>
      <w:r w:rsidRPr="00E426D3">
        <w:t xml:space="preserve"> skatt på den delen av aksjeavkastninga som tilsvarer risikofri avkastning, enn på avkastning </w:t>
      </w:r>
      <w:proofErr w:type="spellStart"/>
      <w:r w:rsidRPr="00E426D3">
        <w:t>frå</w:t>
      </w:r>
      <w:proofErr w:type="spellEnd"/>
      <w:r w:rsidRPr="00E426D3">
        <w:t xml:space="preserve"> risikofrie verdipapir. Det vil </w:t>
      </w:r>
      <w:proofErr w:type="spellStart"/>
      <w:r w:rsidRPr="00E426D3">
        <w:t>auke</w:t>
      </w:r>
      <w:proofErr w:type="spellEnd"/>
      <w:r w:rsidRPr="00E426D3">
        <w:t xml:space="preserve"> avkastningskravet for </w:t>
      </w:r>
      <w:proofErr w:type="spellStart"/>
      <w:r w:rsidRPr="00E426D3">
        <w:t>aksjeinvesteringar</w:t>
      </w:r>
      <w:proofErr w:type="spellEnd"/>
      <w:r w:rsidRPr="00E426D3">
        <w:t xml:space="preserve">. Det kan videre </w:t>
      </w:r>
      <w:proofErr w:type="spellStart"/>
      <w:r w:rsidRPr="00E426D3">
        <w:t>påverke</w:t>
      </w:r>
      <w:proofErr w:type="spellEnd"/>
      <w:r w:rsidRPr="00E426D3">
        <w:t xml:space="preserve"> </w:t>
      </w:r>
      <w:proofErr w:type="spellStart"/>
      <w:r w:rsidRPr="00E426D3">
        <w:t>samansetjinga</w:t>
      </w:r>
      <w:proofErr w:type="spellEnd"/>
      <w:r w:rsidRPr="00E426D3">
        <w:t xml:space="preserve"> av </w:t>
      </w:r>
      <w:proofErr w:type="spellStart"/>
      <w:r w:rsidRPr="00E426D3">
        <w:t>hushalda</w:t>
      </w:r>
      <w:proofErr w:type="spellEnd"/>
      <w:r w:rsidRPr="00E426D3">
        <w:t xml:space="preserve"> sine </w:t>
      </w:r>
      <w:proofErr w:type="spellStart"/>
      <w:r w:rsidRPr="00E426D3">
        <w:t>investeringar</w:t>
      </w:r>
      <w:proofErr w:type="spellEnd"/>
      <w:r w:rsidRPr="00E426D3">
        <w:t xml:space="preserve"> og medføre at </w:t>
      </w:r>
      <w:proofErr w:type="spellStart"/>
      <w:r w:rsidRPr="00E426D3">
        <w:t>noko</w:t>
      </w:r>
      <w:proofErr w:type="spellEnd"/>
      <w:r w:rsidRPr="00E426D3">
        <w:t xml:space="preserve"> av </w:t>
      </w:r>
      <w:proofErr w:type="spellStart"/>
      <w:r w:rsidRPr="00E426D3">
        <w:t>eigarskapet</w:t>
      </w:r>
      <w:proofErr w:type="spellEnd"/>
      <w:r w:rsidRPr="00E426D3">
        <w:t xml:space="preserve"> til </w:t>
      </w:r>
      <w:proofErr w:type="spellStart"/>
      <w:r w:rsidRPr="00E426D3">
        <w:t>innanlandske</w:t>
      </w:r>
      <w:proofErr w:type="spellEnd"/>
      <w:r w:rsidRPr="00E426D3">
        <w:t xml:space="preserve"> selskap vert fortrengt av </w:t>
      </w:r>
      <w:proofErr w:type="spellStart"/>
      <w:r w:rsidRPr="00E426D3">
        <w:t>utanlandske</w:t>
      </w:r>
      <w:proofErr w:type="spellEnd"/>
      <w:r w:rsidRPr="00E426D3">
        <w:t xml:space="preserve"> </w:t>
      </w:r>
      <w:proofErr w:type="spellStart"/>
      <w:r w:rsidRPr="00E426D3">
        <w:t>eigarar</w:t>
      </w:r>
      <w:proofErr w:type="spellEnd"/>
      <w:r w:rsidRPr="00E426D3">
        <w:t xml:space="preserve"> eller av lånefinansiering. </w:t>
      </w:r>
      <w:proofErr w:type="spellStart"/>
      <w:r w:rsidRPr="00E426D3">
        <w:t>Skatteutvalet</w:t>
      </w:r>
      <w:proofErr w:type="spellEnd"/>
      <w:r w:rsidRPr="00E426D3">
        <w:t xml:space="preserve"> </w:t>
      </w:r>
      <w:proofErr w:type="spellStart"/>
      <w:r w:rsidRPr="00E426D3">
        <w:t>peikte</w:t>
      </w:r>
      <w:proofErr w:type="spellEnd"/>
      <w:r w:rsidRPr="00E426D3">
        <w:t xml:space="preserve"> på at dersom </w:t>
      </w:r>
      <w:proofErr w:type="spellStart"/>
      <w:r w:rsidRPr="00E426D3">
        <w:t>skjermingsrenta</w:t>
      </w:r>
      <w:proofErr w:type="spellEnd"/>
      <w:r w:rsidRPr="00E426D3">
        <w:t xml:space="preserve"> vert sett </w:t>
      </w:r>
      <w:proofErr w:type="spellStart"/>
      <w:r w:rsidRPr="00E426D3">
        <w:t>høgare</w:t>
      </w:r>
      <w:proofErr w:type="spellEnd"/>
      <w:r w:rsidRPr="00E426D3">
        <w:t xml:space="preserve"> enn risikofri rente, kan det </w:t>
      </w:r>
      <w:proofErr w:type="spellStart"/>
      <w:r w:rsidRPr="00E426D3">
        <w:t>gje</w:t>
      </w:r>
      <w:proofErr w:type="spellEnd"/>
      <w:r w:rsidRPr="00E426D3">
        <w:t xml:space="preserve"> </w:t>
      </w:r>
      <w:proofErr w:type="spellStart"/>
      <w:r w:rsidRPr="00E426D3">
        <w:t>investorar</w:t>
      </w:r>
      <w:proofErr w:type="spellEnd"/>
      <w:r w:rsidRPr="00E426D3">
        <w:t xml:space="preserve"> insentiv til å plassere verdipapir med sikker avkastning i selskap. Dermed kan skjerminga, som overstig avkastninga på slike sikre verdipapir, </w:t>
      </w:r>
      <w:proofErr w:type="spellStart"/>
      <w:r w:rsidRPr="00E426D3">
        <w:t>verte</w:t>
      </w:r>
      <w:proofErr w:type="spellEnd"/>
      <w:r w:rsidRPr="00E426D3">
        <w:t xml:space="preserve"> nytta til å skjerme anna inntekt </w:t>
      </w:r>
      <w:proofErr w:type="spellStart"/>
      <w:r w:rsidRPr="00E426D3">
        <w:t>frå</w:t>
      </w:r>
      <w:proofErr w:type="spellEnd"/>
      <w:r w:rsidRPr="00E426D3">
        <w:t xml:space="preserve"> </w:t>
      </w:r>
      <w:proofErr w:type="spellStart"/>
      <w:r w:rsidRPr="00E426D3">
        <w:t>meir</w:t>
      </w:r>
      <w:proofErr w:type="spellEnd"/>
      <w:r w:rsidRPr="00E426D3">
        <w:t xml:space="preserve"> risikable verdipapir.</w:t>
      </w:r>
    </w:p>
    <w:p w14:paraId="30667956" w14:textId="77777777" w:rsidR="00772748" w:rsidRPr="00E426D3" w:rsidRDefault="00772748" w:rsidP="00E426D3">
      <w:pPr>
        <w:pStyle w:val="Overskrift3"/>
      </w:pPr>
      <w:r w:rsidRPr="00E426D3">
        <w:t>Fordelingsverknader</w:t>
      </w:r>
    </w:p>
    <w:p w14:paraId="6649ACAF" w14:textId="77777777" w:rsidR="00772748" w:rsidRPr="00E426D3" w:rsidRDefault="00772748" w:rsidP="00E426D3">
      <w:proofErr w:type="spellStart"/>
      <w:r w:rsidRPr="00E426D3">
        <w:t>Utbyteskatten</w:t>
      </w:r>
      <w:proofErr w:type="spellEnd"/>
      <w:r w:rsidRPr="00E426D3">
        <w:t xml:space="preserve"> ivaretar fordelingsomsyn ved at den </w:t>
      </w:r>
      <w:proofErr w:type="spellStart"/>
      <w:r w:rsidRPr="00E426D3">
        <w:t>motverker</w:t>
      </w:r>
      <w:proofErr w:type="spellEnd"/>
      <w:r w:rsidRPr="00E426D3">
        <w:t xml:space="preserve"> at skattesystemet vert regressivt for </w:t>
      </w:r>
      <w:proofErr w:type="spellStart"/>
      <w:r w:rsidRPr="00E426D3">
        <w:t>personar</w:t>
      </w:r>
      <w:proofErr w:type="spellEnd"/>
      <w:r w:rsidRPr="00E426D3">
        <w:t xml:space="preserve"> med høge </w:t>
      </w:r>
      <w:proofErr w:type="spellStart"/>
      <w:r w:rsidRPr="00E426D3">
        <w:t>eigarinntekter</w:t>
      </w:r>
      <w:proofErr w:type="spellEnd"/>
      <w:r w:rsidRPr="00E426D3">
        <w:t xml:space="preserve">. </w:t>
      </w:r>
      <w:proofErr w:type="spellStart"/>
      <w:r w:rsidRPr="00E426D3">
        <w:t>Aksjeutbyte</w:t>
      </w:r>
      <w:proofErr w:type="spellEnd"/>
      <w:r w:rsidRPr="00E426D3">
        <w:t xml:space="preserve"> og -</w:t>
      </w:r>
      <w:proofErr w:type="spellStart"/>
      <w:r w:rsidRPr="00E426D3">
        <w:t>gevinstar</w:t>
      </w:r>
      <w:proofErr w:type="spellEnd"/>
      <w:r w:rsidRPr="00E426D3">
        <w:t xml:space="preserve"> er konsentrert i toppen av inntektsfordelinga, og 94 pst. av </w:t>
      </w:r>
      <w:proofErr w:type="spellStart"/>
      <w:r w:rsidRPr="00E426D3">
        <w:t>utbyteskatten</w:t>
      </w:r>
      <w:proofErr w:type="spellEnd"/>
      <w:r w:rsidRPr="00E426D3">
        <w:t xml:space="preserve"> vert betalt av tidelen med </w:t>
      </w:r>
      <w:proofErr w:type="spellStart"/>
      <w:r w:rsidRPr="00E426D3">
        <w:t>høgast</w:t>
      </w:r>
      <w:proofErr w:type="spellEnd"/>
      <w:r w:rsidRPr="00E426D3">
        <w:t xml:space="preserve"> bruttoinntekt. </w:t>
      </w:r>
      <w:proofErr w:type="spellStart"/>
      <w:r w:rsidRPr="00E426D3">
        <w:t>Skjermingsfrådraget</w:t>
      </w:r>
      <w:proofErr w:type="spellEnd"/>
      <w:r w:rsidRPr="00E426D3">
        <w:t xml:space="preserve"> </w:t>
      </w:r>
      <w:proofErr w:type="spellStart"/>
      <w:r w:rsidRPr="00E426D3">
        <w:t>bidreg</w:t>
      </w:r>
      <w:proofErr w:type="spellEnd"/>
      <w:r w:rsidRPr="00E426D3">
        <w:t xml:space="preserve"> til å motvirke </w:t>
      </w:r>
      <w:proofErr w:type="spellStart"/>
      <w:r w:rsidRPr="00E426D3">
        <w:t>vridingar</w:t>
      </w:r>
      <w:proofErr w:type="spellEnd"/>
      <w:r w:rsidRPr="00E426D3">
        <w:t xml:space="preserve"> i </w:t>
      </w:r>
      <w:proofErr w:type="spellStart"/>
      <w:r w:rsidRPr="00E426D3">
        <w:t>investeringar</w:t>
      </w:r>
      <w:proofErr w:type="spellEnd"/>
      <w:r w:rsidRPr="00E426D3">
        <w:t xml:space="preserve"> og finansiering som følge av skattesystemet, mellom anna skatt på </w:t>
      </w:r>
      <w:proofErr w:type="spellStart"/>
      <w:r w:rsidRPr="00E426D3">
        <w:t>utbyte</w:t>
      </w:r>
      <w:proofErr w:type="spellEnd"/>
      <w:r w:rsidRPr="00E426D3">
        <w:t>.</w:t>
      </w:r>
    </w:p>
    <w:p w14:paraId="3372AA9D" w14:textId="77777777" w:rsidR="00772748" w:rsidRPr="00E426D3" w:rsidRDefault="00772748" w:rsidP="00E426D3">
      <w:r w:rsidRPr="00E426D3">
        <w:lastRenderedPageBreak/>
        <w:t xml:space="preserve">Individ med store </w:t>
      </w:r>
      <w:proofErr w:type="spellStart"/>
      <w:r w:rsidRPr="00E426D3">
        <w:t>aksjebehaldningar</w:t>
      </w:r>
      <w:proofErr w:type="spellEnd"/>
      <w:r w:rsidRPr="00E426D3">
        <w:t xml:space="preserve"> treng </w:t>
      </w:r>
      <w:proofErr w:type="spellStart"/>
      <w:r w:rsidRPr="00E426D3">
        <w:t>ikkje</w:t>
      </w:r>
      <w:proofErr w:type="spellEnd"/>
      <w:r w:rsidRPr="00E426D3">
        <w:t xml:space="preserve"> å ta ut inntekter utover </w:t>
      </w:r>
      <w:proofErr w:type="spellStart"/>
      <w:r w:rsidRPr="00E426D3">
        <w:t>skjermingsfrådraget</w:t>
      </w:r>
      <w:proofErr w:type="spellEnd"/>
      <w:r w:rsidRPr="00E426D3">
        <w:t xml:space="preserve"> for å ha gode </w:t>
      </w:r>
      <w:proofErr w:type="spellStart"/>
      <w:r w:rsidRPr="00E426D3">
        <w:t>konsummoglegheiter</w:t>
      </w:r>
      <w:proofErr w:type="spellEnd"/>
      <w:r w:rsidRPr="00E426D3">
        <w:t xml:space="preserve">. Om slike individ </w:t>
      </w:r>
      <w:proofErr w:type="spellStart"/>
      <w:r w:rsidRPr="00E426D3">
        <w:t>ynskjer</w:t>
      </w:r>
      <w:proofErr w:type="spellEnd"/>
      <w:r w:rsidRPr="00E426D3">
        <w:t xml:space="preserve"> å spare </w:t>
      </w:r>
      <w:proofErr w:type="spellStart"/>
      <w:r w:rsidRPr="00E426D3">
        <w:t>ein</w:t>
      </w:r>
      <w:proofErr w:type="spellEnd"/>
      <w:r w:rsidRPr="00E426D3">
        <w:t xml:space="preserve"> stor del av inntekta si, vil </w:t>
      </w:r>
      <w:proofErr w:type="spellStart"/>
      <w:r w:rsidRPr="00E426D3">
        <w:t>deira</w:t>
      </w:r>
      <w:proofErr w:type="spellEnd"/>
      <w:r w:rsidRPr="00E426D3">
        <w:t xml:space="preserve"> inntekter </w:t>
      </w:r>
      <w:proofErr w:type="spellStart"/>
      <w:r w:rsidRPr="00E426D3">
        <w:t>sjeldan</w:t>
      </w:r>
      <w:proofErr w:type="spellEnd"/>
      <w:r w:rsidRPr="00E426D3">
        <w:t xml:space="preserve"> overstige </w:t>
      </w:r>
      <w:proofErr w:type="spellStart"/>
      <w:r w:rsidRPr="00E426D3">
        <w:t>skjermingsfrådraget</w:t>
      </w:r>
      <w:proofErr w:type="spellEnd"/>
      <w:r w:rsidRPr="00E426D3">
        <w:t xml:space="preserve">, og inntektene </w:t>
      </w:r>
      <w:proofErr w:type="spellStart"/>
      <w:r w:rsidRPr="00E426D3">
        <w:t>deira</w:t>
      </w:r>
      <w:proofErr w:type="spellEnd"/>
      <w:r w:rsidRPr="00E426D3">
        <w:t xml:space="preserve"> vil </w:t>
      </w:r>
      <w:proofErr w:type="spellStart"/>
      <w:r w:rsidRPr="00E426D3">
        <w:t>sjeldan</w:t>
      </w:r>
      <w:proofErr w:type="spellEnd"/>
      <w:r w:rsidRPr="00E426D3">
        <w:t xml:space="preserve"> </w:t>
      </w:r>
      <w:proofErr w:type="spellStart"/>
      <w:r w:rsidRPr="00E426D3">
        <w:t>verte</w:t>
      </w:r>
      <w:proofErr w:type="spellEnd"/>
      <w:r w:rsidRPr="00E426D3">
        <w:t xml:space="preserve"> skattlagt med </w:t>
      </w:r>
      <w:proofErr w:type="spellStart"/>
      <w:r w:rsidRPr="00E426D3">
        <w:t>utbyteskatt</w:t>
      </w:r>
      <w:proofErr w:type="spellEnd"/>
      <w:r w:rsidRPr="00E426D3">
        <w:t xml:space="preserve">. </w:t>
      </w:r>
      <w:proofErr w:type="spellStart"/>
      <w:r w:rsidRPr="00E426D3">
        <w:t>Sjølv</w:t>
      </w:r>
      <w:proofErr w:type="spellEnd"/>
      <w:r w:rsidRPr="00E426D3">
        <w:t xml:space="preserve"> om skattesystemet </w:t>
      </w:r>
      <w:proofErr w:type="spellStart"/>
      <w:r w:rsidRPr="00E426D3">
        <w:t>ikkje</w:t>
      </w:r>
      <w:proofErr w:type="spellEnd"/>
      <w:r w:rsidRPr="00E426D3">
        <w:t xml:space="preserve"> skulle </w:t>
      </w:r>
      <w:proofErr w:type="spellStart"/>
      <w:r w:rsidRPr="00E426D3">
        <w:t>gje</w:t>
      </w:r>
      <w:proofErr w:type="spellEnd"/>
      <w:r w:rsidRPr="00E426D3">
        <w:t xml:space="preserve"> insentiv til å </w:t>
      </w:r>
      <w:proofErr w:type="spellStart"/>
      <w:r w:rsidRPr="00E426D3">
        <w:t>tilbakehalde</w:t>
      </w:r>
      <w:proofErr w:type="spellEnd"/>
      <w:r w:rsidRPr="00E426D3">
        <w:t xml:space="preserve"> </w:t>
      </w:r>
      <w:proofErr w:type="spellStart"/>
      <w:r w:rsidRPr="00E426D3">
        <w:t>overskot</w:t>
      </w:r>
      <w:proofErr w:type="spellEnd"/>
      <w:r w:rsidRPr="00E426D3">
        <w:t xml:space="preserve">, vil kombinasjonen av </w:t>
      </w:r>
      <w:proofErr w:type="spellStart"/>
      <w:r w:rsidRPr="00E426D3">
        <w:t>høg</w:t>
      </w:r>
      <w:proofErr w:type="spellEnd"/>
      <w:r w:rsidRPr="00E426D3">
        <w:t xml:space="preserve"> formue og </w:t>
      </w:r>
      <w:proofErr w:type="spellStart"/>
      <w:r w:rsidRPr="00E426D3">
        <w:t>låg</w:t>
      </w:r>
      <w:proofErr w:type="spellEnd"/>
      <w:r w:rsidRPr="00E426D3">
        <w:t xml:space="preserve"> </w:t>
      </w:r>
      <w:proofErr w:type="spellStart"/>
      <w:r w:rsidRPr="00E426D3">
        <w:t>konsumtilbøyelegheit</w:t>
      </w:r>
      <w:proofErr w:type="spellEnd"/>
      <w:r w:rsidRPr="00E426D3">
        <w:t xml:space="preserve"> </w:t>
      </w:r>
      <w:proofErr w:type="spellStart"/>
      <w:r w:rsidRPr="00E426D3">
        <w:t>innebere</w:t>
      </w:r>
      <w:proofErr w:type="spellEnd"/>
      <w:r w:rsidRPr="00E426D3">
        <w:t xml:space="preserve"> at enkelte tar ut relativt store inntekter </w:t>
      </w:r>
      <w:proofErr w:type="spellStart"/>
      <w:r w:rsidRPr="00E426D3">
        <w:t>utan</w:t>
      </w:r>
      <w:proofErr w:type="spellEnd"/>
      <w:r w:rsidRPr="00E426D3">
        <w:t xml:space="preserve"> å betale </w:t>
      </w:r>
      <w:proofErr w:type="spellStart"/>
      <w:r w:rsidRPr="00E426D3">
        <w:t>utbyteskatt</w:t>
      </w:r>
      <w:proofErr w:type="spellEnd"/>
      <w:r w:rsidRPr="00E426D3">
        <w:t xml:space="preserve">. </w:t>
      </w:r>
      <w:proofErr w:type="spellStart"/>
      <w:r w:rsidRPr="00E426D3">
        <w:t>Eit</w:t>
      </w:r>
      <w:proofErr w:type="spellEnd"/>
      <w:r w:rsidRPr="00E426D3">
        <w:t xml:space="preserve"> </w:t>
      </w:r>
      <w:proofErr w:type="spellStart"/>
      <w:r w:rsidRPr="00E426D3">
        <w:t>høgare</w:t>
      </w:r>
      <w:proofErr w:type="spellEnd"/>
      <w:r w:rsidRPr="00E426D3">
        <w:t xml:space="preserve"> påslag vil føre til at større inntekter kan tas ut </w:t>
      </w:r>
      <w:proofErr w:type="spellStart"/>
      <w:r w:rsidRPr="00E426D3">
        <w:t>utan</w:t>
      </w:r>
      <w:proofErr w:type="spellEnd"/>
      <w:r w:rsidRPr="00E426D3">
        <w:t xml:space="preserve"> </w:t>
      </w:r>
      <w:proofErr w:type="spellStart"/>
      <w:r w:rsidRPr="00E426D3">
        <w:t>utbyteskatt</w:t>
      </w:r>
      <w:proofErr w:type="spellEnd"/>
      <w:r w:rsidRPr="00E426D3">
        <w:t xml:space="preserve">. Slik taler omsynet til fordelingsverknader for at </w:t>
      </w:r>
      <w:proofErr w:type="spellStart"/>
      <w:r w:rsidRPr="00E426D3">
        <w:t>skjermingsrenta</w:t>
      </w:r>
      <w:proofErr w:type="spellEnd"/>
      <w:r w:rsidRPr="00E426D3">
        <w:t xml:space="preserve"> heller burde bli sett for lågt enn for høgt.</w:t>
      </w:r>
    </w:p>
    <w:p w14:paraId="5108183C" w14:textId="77777777" w:rsidR="00772748" w:rsidRPr="00E426D3" w:rsidRDefault="00772748" w:rsidP="00E426D3">
      <w:pPr>
        <w:pStyle w:val="Overskrift3"/>
      </w:pPr>
      <w:r w:rsidRPr="00E426D3">
        <w:t xml:space="preserve">Påslag eller </w:t>
      </w:r>
      <w:proofErr w:type="spellStart"/>
      <w:r w:rsidRPr="00E426D3">
        <w:t>obligasjonar</w:t>
      </w:r>
      <w:proofErr w:type="spellEnd"/>
      <w:r w:rsidRPr="00E426D3">
        <w:t xml:space="preserve"> med lengre </w:t>
      </w:r>
      <w:proofErr w:type="spellStart"/>
      <w:r w:rsidRPr="00E426D3">
        <w:t>laupetid</w:t>
      </w:r>
      <w:proofErr w:type="spellEnd"/>
    </w:p>
    <w:p w14:paraId="3E968F69" w14:textId="77777777" w:rsidR="00772748" w:rsidRPr="00E426D3" w:rsidRDefault="00772748" w:rsidP="00E426D3">
      <w:r w:rsidRPr="00E426D3">
        <w:t xml:space="preserve">For å ivareta </w:t>
      </w:r>
      <w:proofErr w:type="spellStart"/>
      <w:r w:rsidRPr="00E426D3">
        <w:t>systemeigenskapane</w:t>
      </w:r>
      <w:proofErr w:type="spellEnd"/>
      <w:r w:rsidRPr="00E426D3">
        <w:t xml:space="preserve"> og bidra til </w:t>
      </w:r>
      <w:proofErr w:type="spellStart"/>
      <w:r w:rsidRPr="00E426D3">
        <w:t>føreseielege</w:t>
      </w:r>
      <w:proofErr w:type="spellEnd"/>
      <w:r w:rsidRPr="00E426D3">
        <w:t xml:space="preserve"> </w:t>
      </w:r>
      <w:proofErr w:type="spellStart"/>
      <w:r w:rsidRPr="00E426D3">
        <w:t>skattereglar</w:t>
      </w:r>
      <w:proofErr w:type="spellEnd"/>
      <w:r w:rsidRPr="00E426D3">
        <w:t xml:space="preserve"> er det </w:t>
      </w:r>
      <w:proofErr w:type="spellStart"/>
      <w:r w:rsidRPr="00E426D3">
        <w:t>ein</w:t>
      </w:r>
      <w:proofErr w:type="spellEnd"/>
      <w:r w:rsidRPr="00E426D3">
        <w:t xml:space="preserve"> fordel om </w:t>
      </w:r>
      <w:proofErr w:type="spellStart"/>
      <w:r w:rsidRPr="00E426D3">
        <w:t>skjermingsrenta</w:t>
      </w:r>
      <w:proofErr w:type="spellEnd"/>
      <w:r w:rsidRPr="00E426D3">
        <w:t xml:space="preserve"> har </w:t>
      </w:r>
      <w:proofErr w:type="spellStart"/>
      <w:r w:rsidRPr="00E426D3">
        <w:t>ein</w:t>
      </w:r>
      <w:proofErr w:type="spellEnd"/>
      <w:r w:rsidRPr="00E426D3">
        <w:t xml:space="preserve"> prinsipiell forankring og vert knytt til </w:t>
      </w:r>
      <w:proofErr w:type="spellStart"/>
      <w:r w:rsidRPr="00E426D3">
        <w:t>ein</w:t>
      </w:r>
      <w:proofErr w:type="spellEnd"/>
      <w:r w:rsidRPr="00E426D3">
        <w:t xml:space="preserve"> mest </w:t>
      </w:r>
      <w:proofErr w:type="spellStart"/>
      <w:r w:rsidRPr="00E426D3">
        <w:t>mogleg</w:t>
      </w:r>
      <w:proofErr w:type="spellEnd"/>
      <w:r w:rsidRPr="00E426D3">
        <w:t xml:space="preserve"> korrekt og observerbar rentestorleik. Ei rente </w:t>
      </w:r>
      <w:proofErr w:type="spellStart"/>
      <w:r w:rsidRPr="00E426D3">
        <w:t>utan</w:t>
      </w:r>
      <w:proofErr w:type="spellEnd"/>
      <w:r w:rsidRPr="00E426D3">
        <w:t xml:space="preserve"> påslag kan verke mindre </w:t>
      </w:r>
      <w:proofErr w:type="spellStart"/>
      <w:r w:rsidRPr="00E426D3">
        <w:t>vilkårleg</w:t>
      </w:r>
      <w:proofErr w:type="spellEnd"/>
      <w:r w:rsidRPr="00E426D3">
        <w:t xml:space="preserve"> satt og </w:t>
      </w:r>
      <w:proofErr w:type="spellStart"/>
      <w:r w:rsidRPr="00E426D3">
        <w:t>vere</w:t>
      </w:r>
      <w:proofErr w:type="spellEnd"/>
      <w:r w:rsidRPr="00E426D3">
        <w:t xml:space="preserve"> </w:t>
      </w:r>
      <w:proofErr w:type="spellStart"/>
      <w:r w:rsidRPr="00E426D3">
        <w:t>meir</w:t>
      </w:r>
      <w:proofErr w:type="spellEnd"/>
      <w:r w:rsidRPr="00E426D3">
        <w:t xml:space="preserve"> </w:t>
      </w:r>
      <w:proofErr w:type="gramStart"/>
      <w:r w:rsidRPr="00E426D3">
        <w:t>robust</w:t>
      </w:r>
      <w:proofErr w:type="gramEnd"/>
      <w:r w:rsidRPr="00E426D3">
        <w:t xml:space="preserve"> mot svakt </w:t>
      </w:r>
      <w:proofErr w:type="spellStart"/>
      <w:r w:rsidRPr="00E426D3">
        <w:t>grunngjevne</w:t>
      </w:r>
      <w:proofErr w:type="spellEnd"/>
      <w:r w:rsidRPr="00E426D3">
        <w:t xml:space="preserve"> </w:t>
      </w:r>
      <w:proofErr w:type="spellStart"/>
      <w:r w:rsidRPr="00E426D3">
        <w:t>endringar</w:t>
      </w:r>
      <w:proofErr w:type="spellEnd"/>
      <w:r w:rsidRPr="00E426D3">
        <w:t xml:space="preserve">. </w:t>
      </w:r>
      <w:proofErr w:type="spellStart"/>
      <w:r w:rsidRPr="00E426D3">
        <w:t>Eit</w:t>
      </w:r>
      <w:proofErr w:type="spellEnd"/>
      <w:r w:rsidRPr="00E426D3">
        <w:t xml:space="preserve"> slikt alternativ til påslaget i dagens </w:t>
      </w:r>
      <w:proofErr w:type="spellStart"/>
      <w:r w:rsidRPr="00E426D3">
        <w:t>skjermingsrente</w:t>
      </w:r>
      <w:proofErr w:type="spellEnd"/>
      <w:r w:rsidRPr="00E426D3">
        <w:t xml:space="preserve"> kan </w:t>
      </w:r>
      <w:proofErr w:type="spellStart"/>
      <w:r w:rsidRPr="00E426D3">
        <w:t>vere</w:t>
      </w:r>
      <w:proofErr w:type="spellEnd"/>
      <w:r w:rsidRPr="00E426D3">
        <w:t xml:space="preserve"> å nytte ei rente med lengre </w:t>
      </w:r>
      <w:proofErr w:type="spellStart"/>
      <w:r w:rsidRPr="00E426D3">
        <w:t>laupetid</w:t>
      </w:r>
      <w:proofErr w:type="spellEnd"/>
      <w:r w:rsidRPr="00E426D3">
        <w:t>.</w:t>
      </w:r>
    </w:p>
    <w:p w14:paraId="31089247" w14:textId="77777777" w:rsidR="00772748" w:rsidRPr="00E426D3" w:rsidRDefault="00772748" w:rsidP="00E426D3">
      <w:r w:rsidRPr="00E426D3">
        <w:t xml:space="preserve">Dagens </w:t>
      </w:r>
      <w:proofErr w:type="spellStart"/>
      <w:r w:rsidRPr="00E426D3">
        <w:t>skjermingsrente</w:t>
      </w:r>
      <w:proofErr w:type="spellEnd"/>
      <w:r w:rsidRPr="00E426D3">
        <w:t xml:space="preserve"> er basert på </w:t>
      </w:r>
      <w:proofErr w:type="spellStart"/>
      <w:r w:rsidRPr="00E426D3">
        <w:t>statskassevekslar</w:t>
      </w:r>
      <w:proofErr w:type="spellEnd"/>
      <w:r w:rsidRPr="00E426D3">
        <w:t xml:space="preserve"> med tre </w:t>
      </w:r>
      <w:proofErr w:type="spellStart"/>
      <w:r w:rsidRPr="00E426D3">
        <w:t>månaders</w:t>
      </w:r>
      <w:proofErr w:type="spellEnd"/>
      <w:r w:rsidRPr="00E426D3">
        <w:t xml:space="preserve"> </w:t>
      </w:r>
      <w:proofErr w:type="spellStart"/>
      <w:r w:rsidRPr="00E426D3">
        <w:t>laupetid</w:t>
      </w:r>
      <w:proofErr w:type="spellEnd"/>
      <w:r w:rsidRPr="00E426D3">
        <w:t xml:space="preserve">. Figur 11.1 viser renter på norske </w:t>
      </w:r>
      <w:proofErr w:type="spellStart"/>
      <w:r w:rsidRPr="00E426D3">
        <w:t>statlege</w:t>
      </w:r>
      <w:proofErr w:type="spellEnd"/>
      <w:r w:rsidRPr="00E426D3">
        <w:t xml:space="preserve"> gjeldspapir mellom 2003 og 2024. I gjennomsnitt ligg renta på 10-års </w:t>
      </w:r>
      <w:proofErr w:type="spellStart"/>
      <w:r w:rsidRPr="00E426D3">
        <w:t>statsobligasjonar</w:t>
      </w:r>
      <w:proofErr w:type="spellEnd"/>
      <w:r w:rsidRPr="00E426D3">
        <w:t xml:space="preserve">, som </w:t>
      </w:r>
      <w:proofErr w:type="spellStart"/>
      <w:r w:rsidRPr="00E426D3">
        <w:t>Skatteutvalet</w:t>
      </w:r>
      <w:proofErr w:type="spellEnd"/>
      <w:r w:rsidRPr="00E426D3">
        <w:t xml:space="preserve"> </w:t>
      </w:r>
      <w:proofErr w:type="spellStart"/>
      <w:r w:rsidRPr="00E426D3">
        <w:t>føreslo</w:t>
      </w:r>
      <w:proofErr w:type="spellEnd"/>
      <w:r w:rsidRPr="00E426D3">
        <w:t xml:space="preserve"> å nytte, 0,90 </w:t>
      </w:r>
      <w:proofErr w:type="spellStart"/>
      <w:r w:rsidRPr="00E426D3">
        <w:t>prosenteiningar</w:t>
      </w:r>
      <w:proofErr w:type="spellEnd"/>
      <w:r w:rsidRPr="00E426D3">
        <w:t xml:space="preserve"> over renta på </w:t>
      </w:r>
      <w:proofErr w:type="spellStart"/>
      <w:r w:rsidRPr="00E426D3">
        <w:t>tremånaders</w:t>
      </w:r>
      <w:proofErr w:type="spellEnd"/>
      <w:r w:rsidRPr="00E426D3">
        <w:t xml:space="preserve"> </w:t>
      </w:r>
      <w:proofErr w:type="spellStart"/>
      <w:r w:rsidRPr="00E426D3">
        <w:t>statskassevekslar</w:t>
      </w:r>
      <w:proofErr w:type="spellEnd"/>
      <w:r w:rsidRPr="00E426D3">
        <w:t xml:space="preserve"> over denne perioden. Renta på femårs </w:t>
      </w:r>
      <w:proofErr w:type="spellStart"/>
      <w:r w:rsidRPr="00E426D3">
        <w:t>statsobligasjonar</w:t>
      </w:r>
      <w:proofErr w:type="spellEnd"/>
      <w:r w:rsidRPr="00E426D3">
        <w:t xml:space="preserve"> ligg 0,50 </w:t>
      </w:r>
      <w:proofErr w:type="spellStart"/>
      <w:r w:rsidRPr="00E426D3">
        <w:t>prosenteiningar</w:t>
      </w:r>
      <w:proofErr w:type="spellEnd"/>
      <w:r w:rsidRPr="00E426D3">
        <w:t xml:space="preserve"> over renta på </w:t>
      </w:r>
      <w:proofErr w:type="spellStart"/>
      <w:r w:rsidRPr="00E426D3">
        <w:t>tremånaders</w:t>
      </w:r>
      <w:proofErr w:type="spellEnd"/>
      <w:r w:rsidRPr="00E426D3">
        <w:t xml:space="preserve"> </w:t>
      </w:r>
      <w:proofErr w:type="spellStart"/>
      <w:r w:rsidRPr="00E426D3">
        <w:t>statskassevekslar</w:t>
      </w:r>
      <w:proofErr w:type="spellEnd"/>
      <w:r w:rsidRPr="00E426D3">
        <w:t xml:space="preserve">. Gjeldspapir med lengre </w:t>
      </w:r>
      <w:proofErr w:type="spellStart"/>
      <w:r w:rsidRPr="00E426D3">
        <w:t>laupetid</w:t>
      </w:r>
      <w:proofErr w:type="spellEnd"/>
      <w:r w:rsidRPr="00E426D3">
        <w:t xml:space="preserve"> har ofte </w:t>
      </w:r>
      <w:proofErr w:type="spellStart"/>
      <w:r w:rsidRPr="00E426D3">
        <w:t>høgare</w:t>
      </w:r>
      <w:proofErr w:type="spellEnd"/>
      <w:r w:rsidRPr="00E426D3">
        <w:t xml:space="preserve"> renter over tid, fordi </w:t>
      </w:r>
      <w:proofErr w:type="spellStart"/>
      <w:r w:rsidRPr="00E426D3">
        <w:t>dei</w:t>
      </w:r>
      <w:proofErr w:type="spellEnd"/>
      <w:r w:rsidRPr="00E426D3">
        <w:t xml:space="preserve"> </w:t>
      </w:r>
      <w:proofErr w:type="spellStart"/>
      <w:r w:rsidRPr="00E426D3">
        <w:t>inneber</w:t>
      </w:r>
      <w:proofErr w:type="spellEnd"/>
      <w:r w:rsidRPr="00E426D3">
        <w:t xml:space="preserve"> </w:t>
      </w:r>
      <w:proofErr w:type="spellStart"/>
      <w:r w:rsidRPr="00E426D3">
        <w:t>usikkerheit</w:t>
      </w:r>
      <w:proofErr w:type="spellEnd"/>
      <w:r w:rsidRPr="00E426D3">
        <w:t xml:space="preserve"> om rentenivået på framtidige tidspunkt.</w:t>
      </w:r>
    </w:p>
    <w:p w14:paraId="30E06D2F" w14:textId="77777777" w:rsidR="00772748" w:rsidRPr="00E426D3" w:rsidRDefault="00772748" w:rsidP="00E426D3">
      <w:r w:rsidRPr="00E426D3">
        <w:t xml:space="preserve">Basert på </w:t>
      </w:r>
      <w:proofErr w:type="spellStart"/>
      <w:r w:rsidRPr="00E426D3">
        <w:t>dei</w:t>
      </w:r>
      <w:proofErr w:type="spellEnd"/>
      <w:r w:rsidRPr="00E426D3">
        <w:t xml:space="preserve"> siste tjue </w:t>
      </w:r>
      <w:proofErr w:type="spellStart"/>
      <w:r w:rsidRPr="00E426D3">
        <w:t>åra</w:t>
      </w:r>
      <w:proofErr w:type="spellEnd"/>
      <w:r w:rsidRPr="00E426D3">
        <w:t xml:space="preserve"> vil til dømes ei </w:t>
      </w:r>
      <w:proofErr w:type="spellStart"/>
      <w:r w:rsidRPr="00E426D3">
        <w:t>skjermingsrente</w:t>
      </w:r>
      <w:proofErr w:type="spellEnd"/>
      <w:r w:rsidRPr="00E426D3">
        <w:t xml:space="preserve"> som vert fastsett basert på femårs </w:t>
      </w:r>
      <w:proofErr w:type="spellStart"/>
      <w:r w:rsidRPr="00E426D3">
        <w:t>statsobligasjonar</w:t>
      </w:r>
      <w:proofErr w:type="spellEnd"/>
      <w:r w:rsidRPr="00E426D3">
        <w:t xml:space="preserve"> over tid, </w:t>
      </w:r>
      <w:proofErr w:type="spellStart"/>
      <w:r w:rsidRPr="00E426D3">
        <w:t>liggja</w:t>
      </w:r>
      <w:proofErr w:type="spellEnd"/>
      <w:r w:rsidRPr="00E426D3">
        <w:t xml:space="preserve"> omtrent på nivå med dagens </w:t>
      </w:r>
      <w:proofErr w:type="spellStart"/>
      <w:r w:rsidRPr="00E426D3">
        <w:t>skjermingsrente</w:t>
      </w:r>
      <w:proofErr w:type="spellEnd"/>
      <w:r w:rsidRPr="00E426D3">
        <w:t xml:space="preserve">, som har påslag på 0,5 </w:t>
      </w:r>
      <w:proofErr w:type="spellStart"/>
      <w:r w:rsidRPr="00E426D3">
        <w:t>prosenteiningar</w:t>
      </w:r>
      <w:proofErr w:type="spellEnd"/>
      <w:r w:rsidRPr="00E426D3">
        <w:t xml:space="preserve">, sjå figur 11.1. På den måten kan ei </w:t>
      </w:r>
      <w:proofErr w:type="spellStart"/>
      <w:r w:rsidRPr="00E426D3">
        <w:t>fastsetjing</w:t>
      </w:r>
      <w:proofErr w:type="spellEnd"/>
      <w:r w:rsidRPr="00E426D3">
        <w:t xml:space="preserve"> basert på ei rente med fem års </w:t>
      </w:r>
      <w:proofErr w:type="spellStart"/>
      <w:r w:rsidRPr="00E426D3">
        <w:t>laupetid</w:t>
      </w:r>
      <w:proofErr w:type="spellEnd"/>
      <w:r w:rsidRPr="00E426D3">
        <w:t xml:space="preserve"> erstatte dagens </w:t>
      </w:r>
      <w:proofErr w:type="spellStart"/>
      <w:r w:rsidRPr="00E426D3">
        <w:t>fastsetjing</w:t>
      </w:r>
      <w:proofErr w:type="spellEnd"/>
      <w:r w:rsidRPr="00E426D3">
        <w:t xml:space="preserve"> </w:t>
      </w:r>
      <w:proofErr w:type="spellStart"/>
      <w:r w:rsidRPr="00E426D3">
        <w:t>utan</w:t>
      </w:r>
      <w:proofErr w:type="spellEnd"/>
      <w:r w:rsidRPr="00E426D3">
        <w:t xml:space="preserve"> at det får verknad for den </w:t>
      </w:r>
      <w:proofErr w:type="spellStart"/>
      <w:r w:rsidRPr="00E426D3">
        <w:t>gjennomsnittlege</w:t>
      </w:r>
      <w:proofErr w:type="spellEnd"/>
      <w:r w:rsidRPr="00E426D3">
        <w:t xml:space="preserve"> </w:t>
      </w:r>
      <w:proofErr w:type="spellStart"/>
      <w:r w:rsidRPr="00E426D3">
        <w:t>skjermingsrenta</w:t>
      </w:r>
      <w:proofErr w:type="spellEnd"/>
      <w:r w:rsidRPr="00E426D3">
        <w:t xml:space="preserve"> over tid.</w:t>
      </w:r>
    </w:p>
    <w:p w14:paraId="2CC9712D" w14:textId="167F499D" w:rsidR="00772748" w:rsidRPr="00E426D3" w:rsidRDefault="00E426D3" w:rsidP="00E426D3">
      <w:r w:rsidRPr="00E426D3">
        <w:rPr>
          <w:noProof/>
        </w:rPr>
        <w:drawing>
          <wp:inline distT="0" distB="0" distL="0" distR="0" wp14:anchorId="57B0F559" wp14:editId="3B2506B6">
            <wp:extent cx="6082030" cy="2764155"/>
            <wp:effectExtent l="0" t="0" r="0" b="0"/>
            <wp:docPr id="28"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2030" cy="2764155"/>
                    </a:xfrm>
                    <a:prstGeom prst="rect">
                      <a:avLst/>
                    </a:prstGeom>
                    <a:noFill/>
                    <a:ln>
                      <a:noFill/>
                    </a:ln>
                  </pic:spPr>
                </pic:pic>
              </a:graphicData>
            </a:graphic>
          </wp:inline>
        </w:drawing>
      </w:r>
    </w:p>
    <w:p w14:paraId="4707A1AA" w14:textId="77777777" w:rsidR="00772748" w:rsidRPr="00E426D3" w:rsidRDefault="00772748" w:rsidP="00E426D3">
      <w:pPr>
        <w:pStyle w:val="figur-tittel"/>
      </w:pPr>
      <w:r w:rsidRPr="00E426D3">
        <w:t>Renter på norsk statsgjeld. 2003–2024. Prosent</w:t>
      </w:r>
    </w:p>
    <w:p w14:paraId="0AD1DA31" w14:textId="77777777" w:rsidR="00772748" w:rsidRPr="00E426D3" w:rsidRDefault="00772748" w:rsidP="00E426D3">
      <w:pPr>
        <w:pStyle w:val="Kilde"/>
      </w:pPr>
      <w:r w:rsidRPr="00E426D3">
        <w:lastRenderedPageBreak/>
        <w:t>Kjelde: Noregs Bank</w:t>
      </w:r>
    </w:p>
    <w:p w14:paraId="2FAC3EB4" w14:textId="77777777" w:rsidR="00772748" w:rsidRPr="00E426D3" w:rsidRDefault="00772748" w:rsidP="00E426D3">
      <w:r w:rsidRPr="00E426D3">
        <w:t xml:space="preserve">På den andre sida vil det </w:t>
      </w:r>
      <w:proofErr w:type="spellStart"/>
      <w:r w:rsidRPr="00E426D3">
        <w:t>vere</w:t>
      </w:r>
      <w:proofErr w:type="spellEnd"/>
      <w:r w:rsidRPr="00E426D3">
        <w:t xml:space="preserve"> mindre </w:t>
      </w:r>
      <w:proofErr w:type="spellStart"/>
      <w:r w:rsidRPr="00E426D3">
        <w:t>tydeleg</w:t>
      </w:r>
      <w:proofErr w:type="spellEnd"/>
      <w:r w:rsidRPr="00E426D3">
        <w:t xml:space="preserve"> at dagens </w:t>
      </w:r>
      <w:proofErr w:type="spellStart"/>
      <w:r w:rsidRPr="00E426D3">
        <w:t>skjermingsrente</w:t>
      </w:r>
      <w:proofErr w:type="spellEnd"/>
      <w:r w:rsidRPr="00E426D3">
        <w:t xml:space="preserve"> </w:t>
      </w:r>
      <w:proofErr w:type="spellStart"/>
      <w:r w:rsidRPr="00E426D3">
        <w:t>inneheld</w:t>
      </w:r>
      <w:proofErr w:type="spellEnd"/>
      <w:r w:rsidRPr="00E426D3">
        <w:t xml:space="preserve"> </w:t>
      </w:r>
      <w:proofErr w:type="spellStart"/>
      <w:r w:rsidRPr="00E426D3">
        <w:t>eit</w:t>
      </w:r>
      <w:proofErr w:type="spellEnd"/>
      <w:r w:rsidRPr="00E426D3">
        <w:t xml:space="preserve"> tillegg utover risikofri rente, om </w:t>
      </w:r>
      <w:proofErr w:type="spellStart"/>
      <w:r w:rsidRPr="00E426D3">
        <w:t>ein</w:t>
      </w:r>
      <w:proofErr w:type="spellEnd"/>
      <w:r w:rsidRPr="00E426D3">
        <w:t xml:space="preserve"> </w:t>
      </w:r>
      <w:proofErr w:type="spellStart"/>
      <w:r w:rsidRPr="00E426D3">
        <w:t>fjernar</w:t>
      </w:r>
      <w:proofErr w:type="spellEnd"/>
      <w:r w:rsidRPr="00E426D3">
        <w:t xml:space="preserve"> påslaget og </w:t>
      </w:r>
      <w:proofErr w:type="spellStart"/>
      <w:r w:rsidRPr="00E426D3">
        <w:t>nyttar</w:t>
      </w:r>
      <w:proofErr w:type="spellEnd"/>
      <w:r w:rsidRPr="00E426D3">
        <w:t xml:space="preserve"> </w:t>
      </w:r>
      <w:proofErr w:type="spellStart"/>
      <w:r w:rsidRPr="00E426D3">
        <w:t>statsobligasjonar</w:t>
      </w:r>
      <w:proofErr w:type="spellEnd"/>
      <w:r w:rsidRPr="00E426D3">
        <w:t xml:space="preserve"> med lengre </w:t>
      </w:r>
      <w:proofErr w:type="spellStart"/>
      <w:r w:rsidRPr="00E426D3">
        <w:t>laupetid</w:t>
      </w:r>
      <w:proofErr w:type="spellEnd"/>
      <w:r w:rsidRPr="00E426D3">
        <w:t xml:space="preserve">. Det kan òg føre til avvik </w:t>
      </w:r>
      <w:proofErr w:type="spellStart"/>
      <w:r w:rsidRPr="00E426D3">
        <w:t>frå</w:t>
      </w:r>
      <w:proofErr w:type="spellEnd"/>
      <w:r w:rsidRPr="00E426D3">
        <w:t xml:space="preserve"> risikofri rente i enkelte år. Eksempelvis var </w:t>
      </w:r>
      <w:proofErr w:type="spellStart"/>
      <w:r w:rsidRPr="00E426D3">
        <w:t>gjennomsnittleg</w:t>
      </w:r>
      <w:proofErr w:type="spellEnd"/>
      <w:r w:rsidRPr="00E426D3">
        <w:t xml:space="preserve"> rente på </w:t>
      </w:r>
      <w:proofErr w:type="spellStart"/>
      <w:r w:rsidRPr="00E426D3">
        <w:t>tremånaders</w:t>
      </w:r>
      <w:proofErr w:type="spellEnd"/>
      <w:r w:rsidRPr="00E426D3">
        <w:t xml:space="preserve"> </w:t>
      </w:r>
      <w:proofErr w:type="spellStart"/>
      <w:r w:rsidRPr="00E426D3">
        <w:t>statskassevekslar</w:t>
      </w:r>
      <w:proofErr w:type="spellEnd"/>
      <w:r w:rsidRPr="00E426D3">
        <w:t xml:space="preserve"> </w:t>
      </w:r>
      <w:proofErr w:type="spellStart"/>
      <w:r w:rsidRPr="00E426D3">
        <w:t>høgare</w:t>
      </w:r>
      <w:proofErr w:type="spellEnd"/>
      <w:r w:rsidRPr="00E426D3">
        <w:t xml:space="preserve"> enn renta på </w:t>
      </w:r>
      <w:proofErr w:type="spellStart"/>
      <w:r w:rsidRPr="00E426D3">
        <w:t>obligasjonar</w:t>
      </w:r>
      <w:proofErr w:type="spellEnd"/>
      <w:r w:rsidRPr="00E426D3">
        <w:t xml:space="preserve"> med lengre </w:t>
      </w:r>
      <w:proofErr w:type="spellStart"/>
      <w:r w:rsidRPr="00E426D3">
        <w:t>laupetid</w:t>
      </w:r>
      <w:proofErr w:type="spellEnd"/>
      <w:r w:rsidRPr="00E426D3">
        <w:t xml:space="preserve"> i 2024, sjå figur 11.1.</w:t>
      </w:r>
    </w:p>
    <w:p w14:paraId="7DEE3C01" w14:textId="77777777" w:rsidR="00772748" w:rsidRPr="00E426D3" w:rsidRDefault="00772748" w:rsidP="00E426D3">
      <w:pPr>
        <w:pStyle w:val="avsnitt-tittel"/>
      </w:pPr>
      <w:r w:rsidRPr="00E426D3">
        <w:t>Vurderinga til departementet</w:t>
      </w:r>
    </w:p>
    <w:p w14:paraId="3780F08B" w14:textId="77777777" w:rsidR="00772748" w:rsidRPr="00E426D3" w:rsidRDefault="00772748" w:rsidP="00E426D3">
      <w:proofErr w:type="spellStart"/>
      <w:r w:rsidRPr="00E426D3">
        <w:t>Skjermingsrenta</w:t>
      </w:r>
      <w:proofErr w:type="spellEnd"/>
      <w:r w:rsidRPr="00E426D3">
        <w:t xml:space="preserve"> bør </w:t>
      </w:r>
      <w:proofErr w:type="spellStart"/>
      <w:r w:rsidRPr="00E426D3">
        <w:t>liggje</w:t>
      </w:r>
      <w:proofErr w:type="spellEnd"/>
      <w:r w:rsidRPr="00E426D3">
        <w:t xml:space="preserve"> mellom risikofri rente og renta i </w:t>
      </w:r>
      <w:proofErr w:type="spellStart"/>
      <w:r w:rsidRPr="00E426D3">
        <w:t>kredittmarknaden</w:t>
      </w:r>
      <w:proofErr w:type="spellEnd"/>
      <w:r w:rsidRPr="00E426D3">
        <w:t xml:space="preserve">. Fordi den marginale finansieringskostnaden til </w:t>
      </w:r>
      <w:proofErr w:type="spellStart"/>
      <w:r w:rsidRPr="00E426D3">
        <w:t>investorar</w:t>
      </w:r>
      <w:proofErr w:type="spellEnd"/>
      <w:r w:rsidRPr="00E426D3">
        <w:t xml:space="preserve"> er ulik, </w:t>
      </w:r>
      <w:proofErr w:type="spellStart"/>
      <w:r w:rsidRPr="00E426D3">
        <w:t>finst</w:t>
      </w:r>
      <w:proofErr w:type="spellEnd"/>
      <w:r w:rsidRPr="00E426D3">
        <w:t xml:space="preserve"> det </w:t>
      </w:r>
      <w:proofErr w:type="spellStart"/>
      <w:r w:rsidRPr="00E426D3">
        <w:t>ikkje</w:t>
      </w:r>
      <w:proofErr w:type="spellEnd"/>
      <w:r w:rsidRPr="00E426D3">
        <w:t xml:space="preserve"> </w:t>
      </w:r>
      <w:proofErr w:type="spellStart"/>
      <w:r w:rsidRPr="00E426D3">
        <w:t>eitt</w:t>
      </w:r>
      <w:proofErr w:type="spellEnd"/>
      <w:r w:rsidRPr="00E426D3">
        <w:t xml:space="preserve"> nivå på </w:t>
      </w:r>
      <w:proofErr w:type="spellStart"/>
      <w:r w:rsidRPr="00E426D3">
        <w:t>skjermingsrenta</w:t>
      </w:r>
      <w:proofErr w:type="spellEnd"/>
      <w:r w:rsidRPr="00E426D3">
        <w:t xml:space="preserve"> som er rett i alle høve. </w:t>
      </w:r>
      <w:proofErr w:type="spellStart"/>
      <w:r w:rsidRPr="00E426D3">
        <w:t>Difor</w:t>
      </w:r>
      <w:proofErr w:type="spellEnd"/>
      <w:r w:rsidRPr="00E426D3">
        <w:t xml:space="preserve"> er det usikkert om </w:t>
      </w:r>
      <w:proofErr w:type="spellStart"/>
      <w:r w:rsidRPr="00E426D3">
        <w:t>eit</w:t>
      </w:r>
      <w:proofErr w:type="spellEnd"/>
      <w:r w:rsidRPr="00E426D3">
        <w:t xml:space="preserve"> </w:t>
      </w:r>
      <w:proofErr w:type="spellStart"/>
      <w:r w:rsidRPr="00E426D3">
        <w:t>høgare</w:t>
      </w:r>
      <w:proofErr w:type="spellEnd"/>
      <w:r w:rsidRPr="00E426D3">
        <w:t xml:space="preserve"> nivå på </w:t>
      </w:r>
      <w:proofErr w:type="spellStart"/>
      <w:r w:rsidRPr="00E426D3">
        <w:t>skjermingsrenta</w:t>
      </w:r>
      <w:proofErr w:type="spellEnd"/>
      <w:r w:rsidRPr="00E426D3">
        <w:t xml:space="preserve"> vil </w:t>
      </w:r>
      <w:proofErr w:type="spellStart"/>
      <w:r w:rsidRPr="00E426D3">
        <w:t>vere</w:t>
      </w:r>
      <w:proofErr w:type="spellEnd"/>
      <w:r w:rsidRPr="00E426D3">
        <w:t xml:space="preserve"> </w:t>
      </w:r>
      <w:proofErr w:type="spellStart"/>
      <w:r w:rsidRPr="00E426D3">
        <w:t>meir</w:t>
      </w:r>
      <w:proofErr w:type="spellEnd"/>
      <w:r w:rsidRPr="00E426D3">
        <w:t xml:space="preserve"> treffsikkert.</w:t>
      </w:r>
    </w:p>
    <w:p w14:paraId="6898D9D6" w14:textId="77777777" w:rsidR="00772748" w:rsidRPr="00E426D3" w:rsidRDefault="00772748" w:rsidP="00E426D3">
      <w:r w:rsidRPr="00E426D3">
        <w:t xml:space="preserve">Når det gjeld om </w:t>
      </w:r>
      <w:proofErr w:type="spellStart"/>
      <w:r w:rsidRPr="00E426D3">
        <w:t>skjermingsrenta</w:t>
      </w:r>
      <w:proofErr w:type="spellEnd"/>
      <w:r w:rsidRPr="00E426D3">
        <w:t xml:space="preserve"> skal </w:t>
      </w:r>
      <w:proofErr w:type="spellStart"/>
      <w:r w:rsidRPr="00E426D3">
        <w:t>innehalde</w:t>
      </w:r>
      <w:proofErr w:type="spellEnd"/>
      <w:r w:rsidRPr="00E426D3">
        <w:t xml:space="preserve"> </w:t>
      </w:r>
      <w:proofErr w:type="spellStart"/>
      <w:r w:rsidRPr="00E426D3">
        <w:t>eit</w:t>
      </w:r>
      <w:proofErr w:type="spellEnd"/>
      <w:r w:rsidRPr="00E426D3">
        <w:t xml:space="preserve"> påslag eller om </w:t>
      </w:r>
      <w:proofErr w:type="spellStart"/>
      <w:r w:rsidRPr="00E426D3">
        <w:t>fastsetjinga</w:t>
      </w:r>
      <w:proofErr w:type="spellEnd"/>
      <w:r w:rsidRPr="00E426D3">
        <w:t xml:space="preserve"> til dømes skal nytte </w:t>
      </w:r>
      <w:proofErr w:type="spellStart"/>
      <w:r w:rsidRPr="00E426D3">
        <w:t>obligasjonar</w:t>
      </w:r>
      <w:proofErr w:type="spellEnd"/>
      <w:r w:rsidRPr="00E426D3">
        <w:t xml:space="preserve"> med lenger </w:t>
      </w:r>
      <w:proofErr w:type="spellStart"/>
      <w:r w:rsidRPr="00E426D3">
        <w:t>laupetid</w:t>
      </w:r>
      <w:proofErr w:type="spellEnd"/>
      <w:r w:rsidRPr="00E426D3">
        <w:t xml:space="preserve">, er det </w:t>
      </w:r>
      <w:proofErr w:type="spellStart"/>
      <w:r w:rsidRPr="00E426D3">
        <w:t>ikkje</w:t>
      </w:r>
      <w:proofErr w:type="spellEnd"/>
      <w:r w:rsidRPr="00E426D3">
        <w:t xml:space="preserve"> </w:t>
      </w:r>
      <w:proofErr w:type="spellStart"/>
      <w:r w:rsidRPr="00E426D3">
        <w:t>eintydige</w:t>
      </w:r>
      <w:proofErr w:type="spellEnd"/>
      <w:r w:rsidRPr="00E426D3">
        <w:t xml:space="preserve"> og sterke </w:t>
      </w:r>
      <w:proofErr w:type="spellStart"/>
      <w:r w:rsidRPr="00E426D3">
        <w:t>grunngjevingar</w:t>
      </w:r>
      <w:proofErr w:type="spellEnd"/>
      <w:r w:rsidRPr="00E426D3">
        <w:t xml:space="preserve"> for å erstatte dagens påslag.</w:t>
      </w:r>
    </w:p>
    <w:p w14:paraId="4AE9E2AC" w14:textId="77777777" w:rsidR="00772748" w:rsidRPr="00E426D3" w:rsidRDefault="00772748" w:rsidP="00E426D3">
      <w:r w:rsidRPr="00E426D3">
        <w:t xml:space="preserve">Departementet </w:t>
      </w:r>
      <w:proofErr w:type="spellStart"/>
      <w:r w:rsidRPr="00E426D3">
        <w:t>legg</w:t>
      </w:r>
      <w:proofErr w:type="spellEnd"/>
      <w:r w:rsidRPr="00E426D3">
        <w:t xml:space="preserve"> òg vekt på stabilitet i regelverket og ser </w:t>
      </w:r>
      <w:proofErr w:type="spellStart"/>
      <w:r w:rsidRPr="00E426D3">
        <w:t>ikkje</w:t>
      </w:r>
      <w:proofErr w:type="spellEnd"/>
      <w:r w:rsidRPr="00E426D3">
        <w:t xml:space="preserve"> </w:t>
      </w:r>
      <w:proofErr w:type="spellStart"/>
      <w:r w:rsidRPr="00E426D3">
        <w:t>tilstrekkeleg</w:t>
      </w:r>
      <w:proofErr w:type="spellEnd"/>
      <w:r w:rsidRPr="00E426D3">
        <w:t xml:space="preserve"> sterke </w:t>
      </w:r>
      <w:proofErr w:type="spellStart"/>
      <w:r w:rsidRPr="00E426D3">
        <w:t>grunngjevingar</w:t>
      </w:r>
      <w:proofErr w:type="spellEnd"/>
      <w:r w:rsidRPr="00E426D3">
        <w:t xml:space="preserve"> for at </w:t>
      </w:r>
      <w:proofErr w:type="spellStart"/>
      <w:r w:rsidRPr="00E426D3">
        <w:t>fastsetjinga</w:t>
      </w:r>
      <w:proofErr w:type="spellEnd"/>
      <w:r w:rsidRPr="00E426D3">
        <w:t xml:space="preserve"> skal </w:t>
      </w:r>
      <w:proofErr w:type="spellStart"/>
      <w:r w:rsidRPr="00E426D3">
        <w:t>endrast</w:t>
      </w:r>
      <w:proofErr w:type="spellEnd"/>
      <w:r w:rsidRPr="00E426D3">
        <w:t xml:space="preserve">. Departementet held </w:t>
      </w:r>
      <w:proofErr w:type="spellStart"/>
      <w:r w:rsidRPr="00E426D3">
        <w:t>difor</w:t>
      </w:r>
      <w:proofErr w:type="spellEnd"/>
      <w:r w:rsidRPr="00E426D3">
        <w:t xml:space="preserve"> fast ved </w:t>
      </w:r>
      <w:proofErr w:type="spellStart"/>
      <w:r w:rsidRPr="00E426D3">
        <w:t>gjeldande</w:t>
      </w:r>
      <w:proofErr w:type="spellEnd"/>
      <w:r w:rsidRPr="00E426D3">
        <w:t xml:space="preserve"> </w:t>
      </w:r>
      <w:proofErr w:type="spellStart"/>
      <w:r w:rsidRPr="00E426D3">
        <w:t>fastsetjing</w:t>
      </w:r>
      <w:proofErr w:type="spellEnd"/>
      <w:r w:rsidRPr="00E426D3">
        <w:t>.</w:t>
      </w:r>
    </w:p>
    <w:p w14:paraId="09A9CAF6" w14:textId="77777777" w:rsidR="00772748" w:rsidRPr="00E426D3" w:rsidRDefault="00772748" w:rsidP="00E426D3">
      <w:r w:rsidRPr="00E426D3">
        <w:t xml:space="preserve">Oppmodingsvedtaket vert </w:t>
      </w:r>
      <w:proofErr w:type="spellStart"/>
      <w:r w:rsidRPr="00E426D3">
        <w:t>rekna</w:t>
      </w:r>
      <w:proofErr w:type="spellEnd"/>
      <w:r w:rsidRPr="00E426D3">
        <w:t xml:space="preserve"> som </w:t>
      </w:r>
      <w:proofErr w:type="spellStart"/>
      <w:r w:rsidRPr="00E426D3">
        <w:t>fylgt</w:t>
      </w:r>
      <w:proofErr w:type="spellEnd"/>
      <w:r w:rsidRPr="00E426D3">
        <w:t xml:space="preserve"> opp med denne omtalen.</w:t>
      </w:r>
    </w:p>
    <w:p w14:paraId="51DBF71D" w14:textId="77777777" w:rsidR="00772748" w:rsidRPr="00E426D3" w:rsidRDefault="00772748" w:rsidP="00E426D3">
      <w:pPr>
        <w:pStyle w:val="Overskrift2"/>
      </w:pPr>
      <w:r w:rsidRPr="00E426D3">
        <w:t xml:space="preserve">Oppmodingsvedtak – </w:t>
      </w:r>
      <w:proofErr w:type="spellStart"/>
      <w:r w:rsidRPr="00E426D3">
        <w:t>treprosentregelen</w:t>
      </w:r>
      <w:proofErr w:type="spellEnd"/>
      <w:r w:rsidRPr="00E426D3">
        <w:t xml:space="preserve"> i fritaksmetoden</w:t>
      </w:r>
    </w:p>
    <w:p w14:paraId="7EA3F2C4" w14:textId="77777777" w:rsidR="00772748" w:rsidRPr="00E426D3" w:rsidRDefault="00772748" w:rsidP="00E426D3">
      <w:pPr>
        <w:pStyle w:val="Overskrift3"/>
      </w:pPr>
      <w:r w:rsidRPr="00E426D3">
        <w:t>Bakgrunn</w:t>
      </w:r>
    </w:p>
    <w:p w14:paraId="72A5443C" w14:textId="77777777" w:rsidR="00772748" w:rsidRPr="00E426D3" w:rsidRDefault="00772748" w:rsidP="00E426D3">
      <w:r w:rsidRPr="00E426D3">
        <w:t xml:space="preserve">Stortinget fatta </w:t>
      </w:r>
      <w:proofErr w:type="spellStart"/>
      <w:r w:rsidRPr="00E426D3">
        <w:t>følgjande</w:t>
      </w:r>
      <w:proofErr w:type="spellEnd"/>
      <w:r w:rsidRPr="00E426D3">
        <w:t xml:space="preserve"> oppmodingsvedtak ved </w:t>
      </w:r>
      <w:proofErr w:type="spellStart"/>
      <w:r w:rsidRPr="00E426D3">
        <w:t>behandlinga</w:t>
      </w:r>
      <w:proofErr w:type="spellEnd"/>
      <w:r w:rsidRPr="00E426D3">
        <w:t xml:space="preserve"> av Prop. 1 LS (2023–2024) </w:t>
      </w:r>
      <w:r w:rsidRPr="00E426D3">
        <w:rPr>
          <w:rStyle w:val="kursiv"/>
        </w:rPr>
        <w:t>Skatter, avgifter og toll 2024</w:t>
      </w:r>
      <w:r w:rsidRPr="00E426D3">
        <w:t xml:space="preserve">, sjå </w:t>
      </w:r>
      <w:proofErr w:type="spellStart"/>
      <w:r w:rsidRPr="00E426D3">
        <w:t>Innst</w:t>
      </w:r>
      <w:proofErr w:type="spellEnd"/>
      <w:r w:rsidRPr="00E426D3">
        <w:t>. 2 S (2023–2024) (vedtak nr. 90):</w:t>
      </w:r>
    </w:p>
    <w:p w14:paraId="49379587" w14:textId="77777777" w:rsidR="00772748" w:rsidRPr="00E426D3" w:rsidRDefault="00772748" w:rsidP="00E426D3">
      <w:pPr>
        <w:pStyle w:val="blokksit"/>
      </w:pPr>
      <w:r w:rsidRPr="00E426D3">
        <w:t xml:space="preserve">«Stortinget ber regjeringen utrede nivået på </w:t>
      </w:r>
      <w:proofErr w:type="spellStart"/>
      <w:r w:rsidRPr="00E426D3">
        <w:t>treprosentregelen</w:t>
      </w:r>
      <w:proofErr w:type="spellEnd"/>
      <w:r w:rsidRPr="00E426D3">
        <w:t xml:space="preserve"> i fritaksmetoden, jf. Skatteutvalget.»</w:t>
      </w:r>
    </w:p>
    <w:p w14:paraId="74702CE3" w14:textId="77777777" w:rsidR="00772748" w:rsidRPr="00E426D3" w:rsidRDefault="00772748" w:rsidP="00E426D3">
      <w:r w:rsidRPr="00E426D3">
        <w:t xml:space="preserve">I Meld. St. 4 (2024–2025) </w:t>
      </w:r>
      <w:r w:rsidRPr="00E426D3">
        <w:rPr>
          <w:rStyle w:val="kursiv"/>
        </w:rPr>
        <w:t>Anmodnings- og utredningsvedtak i stortingssesjonen 2023–2024</w:t>
      </w:r>
      <w:r w:rsidRPr="00E426D3">
        <w:t xml:space="preserve"> vart det varsla at regjeringa ville </w:t>
      </w:r>
      <w:proofErr w:type="spellStart"/>
      <w:r w:rsidRPr="00E426D3">
        <w:t>kome</w:t>
      </w:r>
      <w:proofErr w:type="spellEnd"/>
      <w:r w:rsidRPr="00E426D3">
        <w:t xml:space="preserve"> tilbake til Stortinget med ei </w:t>
      </w:r>
      <w:r w:rsidRPr="00E426D3">
        <w:rPr>
          <w:rStyle w:val="kursiv"/>
        </w:rPr>
        <w:t>vurdering</w:t>
      </w:r>
      <w:r w:rsidRPr="00E426D3">
        <w:t xml:space="preserve"> i Revidert nasjonalbudsjett 2025. I </w:t>
      </w:r>
      <w:proofErr w:type="spellStart"/>
      <w:r w:rsidRPr="00E426D3">
        <w:t>Innst</w:t>
      </w:r>
      <w:proofErr w:type="spellEnd"/>
      <w:r w:rsidRPr="00E426D3">
        <w:t xml:space="preserve">. 5 S (2024–2025) synte </w:t>
      </w:r>
      <w:proofErr w:type="spellStart"/>
      <w:r w:rsidRPr="00E426D3">
        <w:t>fleirtalet</w:t>
      </w:r>
      <w:proofErr w:type="spellEnd"/>
      <w:r w:rsidRPr="00E426D3">
        <w:t xml:space="preserve"> i finanskomiteen til denne omtalen, og presiserte at </w:t>
      </w:r>
      <w:proofErr w:type="spellStart"/>
      <w:r w:rsidRPr="00E426D3">
        <w:t>fleirtalet</w:t>
      </w:r>
      <w:proofErr w:type="spellEnd"/>
      <w:r w:rsidRPr="00E426D3">
        <w:t xml:space="preserve"> var samde om at regjeringa skulle </w:t>
      </w:r>
      <w:proofErr w:type="spellStart"/>
      <w:r w:rsidRPr="00E426D3">
        <w:t>kome</w:t>
      </w:r>
      <w:proofErr w:type="spellEnd"/>
      <w:r w:rsidRPr="00E426D3">
        <w:t xml:space="preserve"> med ei </w:t>
      </w:r>
      <w:r w:rsidRPr="00E426D3">
        <w:rPr>
          <w:rStyle w:val="kursiv"/>
        </w:rPr>
        <w:t>utgreiing</w:t>
      </w:r>
      <w:r w:rsidRPr="00E426D3">
        <w:t xml:space="preserve"> </w:t>
      </w:r>
      <w:proofErr w:type="spellStart"/>
      <w:r w:rsidRPr="00E426D3">
        <w:t>seinast</w:t>
      </w:r>
      <w:proofErr w:type="spellEnd"/>
      <w:r w:rsidRPr="00E426D3">
        <w:t xml:space="preserve"> i samband med revidert nasjonalbudsjett for 2025.</w:t>
      </w:r>
    </w:p>
    <w:p w14:paraId="0E77004C" w14:textId="77777777" w:rsidR="00772748" w:rsidRPr="00E426D3" w:rsidRDefault="00772748" w:rsidP="00E426D3">
      <w:pPr>
        <w:pStyle w:val="Overskrift3"/>
      </w:pPr>
      <w:proofErr w:type="spellStart"/>
      <w:r w:rsidRPr="00E426D3">
        <w:t>Gjeldande</w:t>
      </w:r>
      <w:proofErr w:type="spellEnd"/>
      <w:r w:rsidRPr="00E426D3">
        <w:t xml:space="preserve"> rett og </w:t>
      </w:r>
      <w:proofErr w:type="spellStart"/>
      <w:r w:rsidRPr="00E426D3">
        <w:t>lovhistorikk</w:t>
      </w:r>
      <w:proofErr w:type="spellEnd"/>
    </w:p>
    <w:p w14:paraId="06531298" w14:textId="77777777" w:rsidR="00772748" w:rsidRPr="00E426D3" w:rsidRDefault="00772748" w:rsidP="00E426D3">
      <w:r w:rsidRPr="00E426D3">
        <w:t xml:space="preserve">Fritaksmetoden </w:t>
      </w:r>
      <w:proofErr w:type="spellStart"/>
      <w:r w:rsidRPr="00E426D3">
        <w:t>inneber</w:t>
      </w:r>
      <w:proofErr w:type="spellEnd"/>
      <w:r w:rsidRPr="00E426D3">
        <w:t xml:space="preserve"> at aksjeselskap mv. som </w:t>
      </w:r>
      <w:proofErr w:type="spellStart"/>
      <w:r w:rsidRPr="00E426D3">
        <w:t>hovudregel</w:t>
      </w:r>
      <w:proofErr w:type="spellEnd"/>
      <w:r w:rsidRPr="00E426D3">
        <w:t xml:space="preserve"> er </w:t>
      </w:r>
      <w:proofErr w:type="spellStart"/>
      <w:r w:rsidRPr="00E426D3">
        <w:t>fritekne</w:t>
      </w:r>
      <w:proofErr w:type="spellEnd"/>
      <w:r w:rsidRPr="00E426D3">
        <w:t xml:space="preserve"> for skatt på </w:t>
      </w:r>
      <w:proofErr w:type="spellStart"/>
      <w:r w:rsidRPr="00E426D3">
        <w:t>aksjeutbyte</w:t>
      </w:r>
      <w:proofErr w:type="spellEnd"/>
      <w:r w:rsidRPr="00E426D3">
        <w:t xml:space="preserve"> og </w:t>
      </w:r>
      <w:proofErr w:type="spellStart"/>
      <w:r w:rsidRPr="00E426D3">
        <w:t>aksjegevinstar</w:t>
      </w:r>
      <w:proofErr w:type="spellEnd"/>
      <w:r w:rsidRPr="00E426D3">
        <w:t xml:space="preserve"> mv., jf. skatteloven § 2-38. Motstykket er at aksjeselskap mv. </w:t>
      </w:r>
      <w:proofErr w:type="spellStart"/>
      <w:r w:rsidRPr="00E426D3">
        <w:t>ikkje</w:t>
      </w:r>
      <w:proofErr w:type="spellEnd"/>
      <w:r w:rsidRPr="00E426D3">
        <w:t xml:space="preserve"> har rett på </w:t>
      </w:r>
      <w:proofErr w:type="spellStart"/>
      <w:r w:rsidRPr="00E426D3">
        <w:t>frådrag</w:t>
      </w:r>
      <w:proofErr w:type="spellEnd"/>
      <w:r w:rsidRPr="00E426D3">
        <w:t xml:space="preserve"> for tap ved realisasjon av </w:t>
      </w:r>
      <w:proofErr w:type="spellStart"/>
      <w:r w:rsidRPr="00E426D3">
        <w:t>aksjar</w:t>
      </w:r>
      <w:proofErr w:type="spellEnd"/>
      <w:r w:rsidRPr="00E426D3">
        <w:t xml:space="preserve"> mv. </w:t>
      </w:r>
      <w:proofErr w:type="spellStart"/>
      <w:r w:rsidRPr="00E426D3">
        <w:t>Føremålet</w:t>
      </w:r>
      <w:proofErr w:type="spellEnd"/>
      <w:r w:rsidRPr="00E426D3">
        <w:t xml:space="preserve"> med fritaksmetoden er å unngå at </w:t>
      </w:r>
      <w:proofErr w:type="spellStart"/>
      <w:r w:rsidRPr="00E426D3">
        <w:t>overskot</w:t>
      </w:r>
      <w:proofErr w:type="spellEnd"/>
      <w:r w:rsidRPr="00E426D3">
        <w:t xml:space="preserve"> vert skattlagt </w:t>
      </w:r>
      <w:proofErr w:type="spellStart"/>
      <w:r w:rsidRPr="00E426D3">
        <w:t>fleire</w:t>
      </w:r>
      <w:proofErr w:type="spellEnd"/>
      <w:r w:rsidRPr="00E426D3">
        <w:t xml:space="preserve"> gonger i selskapssektoren (kjedeskattlegging). Kjedeskattlegging kan føre til innlåsing av kapital og dermed </w:t>
      </w:r>
      <w:proofErr w:type="spellStart"/>
      <w:r w:rsidRPr="00E426D3">
        <w:t>svekkje</w:t>
      </w:r>
      <w:proofErr w:type="spellEnd"/>
      <w:r w:rsidRPr="00E426D3">
        <w:t xml:space="preserve"> kapitalmobiliteten i næringslivet. Dette kan igjen redusere den samla verdiskapinga i økonomien og </w:t>
      </w:r>
      <w:proofErr w:type="spellStart"/>
      <w:r w:rsidRPr="00E426D3">
        <w:t>motverke</w:t>
      </w:r>
      <w:proofErr w:type="spellEnd"/>
      <w:r w:rsidRPr="00E426D3">
        <w:t xml:space="preserve"> </w:t>
      </w:r>
      <w:proofErr w:type="spellStart"/>
      <w:r w:rsidRPr="00E426D3">
        <w:t>omstillingar</w:t>
      </w:r>
      <w:proofErr w:type="spellEnd"/>
      <w:r w:rsidRPr="00E426D3">
        <w:t xml:space="preserve">. </w:t>
      </w:r>
      <w:proofErr w:type="spellStart"/>
      <w:r w:rsidRPr="00E426D3">
        <w:t>Vidare</w:t>
      </w:r>
      <w:proofErr w:type="spellEnd"/>
      <w:r w:rsidRPr="00E426D3">
        <w:t xml:space="preserve"> vil </w:t>
      </w:r>
      <w:r w:rsidRPr="00E426D3">
        <w:lastRenderedPageBreak/>
        <w:t xml:space="preserve">kjedeskattlegging skape insentiv til å samle </w:t>
      </w:r>
      <w:proofErr w:type="spellStart"/>
      <w:r w:rsidRPr="00E426D3">
        <w:t>næringsverksemd</w:t>
      </w:r>
      <w:proofErr w:type="spellEnd"/>
      <w:r w:rsidRPr="00E426D3">
        <w:t xml:space="preserve"> i </w:t>
      </w:r>
      <w:proofErr w:type="spellStart"/>
      <w:r w:rsidRPr="00E426D3">
        <w:t>eitt</w:t>
      </w:r>
      <w:proofErr w:type="spellEnd"/>
      <w:r w:rsidRPr="00E426D3">
        <w:t xml:space="preserve"> selskap, </w:t>
      </w:r>
      <w:proofErr w:type="spellStart"/>
      <w:r w:rsidRPr="00E426D3">
        <w:t>sjølv</w:t>
      </w:r>
      <w:proofErr w:type="spellEnd"/>
      <w:r w:rsidRPr="00E426D3">
        <w:t xml:space="preserve"> om dette </w:t>
      </w:r>
      <w:proofErr w:type="spellStart"/>
      <w:r w:rsidRPr="00E426D3">
        <w:t>ikkje</w:t>
      </w:r>
      <w:proofErr w:type="spellEnd"/>
      <w:r w:rsidRPr="00E426D3">
        <w:t xml:space="preserve"> treng </w:t>
      </w:r>
      <w:proofErr w:type="spellStart"/>
      <w:r w:rsidRPr="00E426D3">
        <w:t>vere</w:t>
      </w:r>
      <w:proofErr w:type="spellEnd"/>
      <w:r w:rsidRPr="00E426D3">
        <w:t xml:space="preserve"> forretningsmessig </w:t>
      </w:r>
      <w:proofErr w:type="spellStart"/>
      <w:r w:rsidRPr="00E426D3">
        <w:t>føremålstenleg</w:t>
      </w:r>
      <w:proofErr w:type="spellEnd"/>
      <w:r w:rsidRPr="00E426D3">
        <w:t>.</w:t>
      </w:r>
    </w:p>
    <w:p w14:paraId="3BFD006D" w14:textId="77777777" w:rsidR="00772748" w:rsidRPr="00E426D3" w:rsidRDefault="00772748" w:rsidP="00E426D3">
      <w:r w:rsidRPr="00E426D3">
        <w:t xml:space="preserve">Den </w:t>
      </w:r>
      <w:proofErr w:type="spellStart"/>
      <w:r w:rsidRPr="00E426D3">
        <w:t>såkalla</w:t>
      </w:r>
      <w:proofErr w:type="spellEnd"/>
      <w:r w:rsidRPr="00E426D3">
        <w:t xml:space="preserve"> «</w:t>
      </w:r>
      <w:proofErr w:type="spellStart"/>
      <w:r w:rsidRPr="00E426D3">
        <w:t>treprosentregelen</w:t>
      </w:r>
      <w:proofErr w:type="spellEnd"/>
      <w:r w:rsidRPr="00E426D3">
        <w:t xml:space="preserve">» </w:t>
      </w:r>
      <w:proofErr w:type="spellStart"/>
      <w:r w:rsidRPr="00E426D3">
        <w:t>gjer</w:t>
      </w:r>
      <w:proofErr w:type="spellEnd"/>
      <w:r w:rsidRPr="00E426D3">
        <w:t xml:space="preserve"> unntak </w:t>
      </w:r>
      <w:proofErr w:type="spellStart"/>
      <w:r w:rsidRPr="00E426D3">
        <w:t>frå</w:t>
      </w:r>
      <w:proofErr w:type="spellEnd"/>
      <w:r w:rsidRPr="00E426D3">
        <w:t xml:space="preserve"> </w:t>
      </w:r>
      <w:proofErr w:type="spellStart"/>
      <w:r w:rsidRPr="00E426D3">
        <w:t>hovudregelen</w:t>
      </w:r>
      <w:proofErr w:type="spellEnd"/>
      <w:r w:rsidRPr="00E426D3">
        <w:t xml:space="preserve"> om skattefridom, jf. skatteloven § 2-38 sjette ledd. </w:t>
      </w:r>
      <w:proofErr w:type="spellStart"/>
      <w:r w:rsidRPr="00E426D3">
        <w:t>Treprosentregelen</w:t>
      </w:r>
      <w:proofErr w:type="spellEnd"/>
      <w:r w:rsidRPr="00E426D3">
        <w:t xml:space="preserve"> </w:t>
      </w:r>
      <w:proofErr w:type="spellStart"/>
      <w:r w:rsidRPr="00E426D3">
        <w:t>inneber</w:t>
      </w:r>
      <w:proofErr w:type="spellEnd"/>
      <w:r w:rsidRPr="00E426D3">
        <w:t xml:space="preserve"> at tre pst. av </w:t>
      </w:r>
      <w:proofErr w:type="spellStart"/>
      <w:r w:rsidRPr="00E426D3">
        <w:t>aksjeutbyte</w:t>
      </w:r>
      <w:proofErr w:type="spellEnd"/>
      <w:r w:rsidRPr="00E426D3">
        <w:t xml:space="preserve"> (som i utgangspunktet er </w:t>
      </w:r>
      <w:proofErr w:type="spellStart"/>
      <w:r w:rsidRPr="00E426D3">
        <w:t>friteke</w:t>
      </w:r>
      <w:proofErr w:type="spellEnd"/>
      <w:r w:rsidRPr="00E426D3">
        <w:t xml:space="preserve"> for skatt etter fritaksmetoden), skal </w:t>
      </w:r>
      <w:proofErr w:type="spellStart"/>
      <w:r w:rsidRPr="00E426D3">
        <w:t>reknast</w:t>
      </w:r>
      <w:proofErr w:type="spellEnd"/>
      <w:r w:rsidRPr="00E426D3">
        <w:t xml:space="preserve"> som skattepliktig inntekt for selskapet som mottek </w:t>
      </w:r>
      <w:proofErr w:type="spellStart"/>
      <w:r w:rsidRPr="00E426D3">
        <w:t>utbytet</w:t>
      </w:r>
      <w:proofErr w:type="spellEnd"/>
      <w:r w:rsidRPr="00E426D3">
        <w:t xml:space="preserve">. Det betyr at </w:t>
      </w:r>
      <w:proofErr w:type="spellStart"/>
      <w:r w:rsidRPr="00E426D3">
        <w:t>utbytet</w:t>
      </w:r>
      <w:proofErr w:type="spellEnd"/>
      <w:r w:rsidRPr="00E426D3">
        <w:t xml:space="preserve"> skal </w:t>
      </w:r>
      <w:proofErr w:type="spellStart"/>
      <w:r w:rsidRPr="00E426D3">
        <w:t>inntektsførast</w:t>
      </w:r>
      <w:proofErr w:type="spellEnd"/>
      <w:r w:rsidRPr="00E426D3">
        <w:t xml:space="preserve"> og </w:t>
      </w:r>
      <w:proofErr w:type="spellStart"/>
      <w:r w:rsidRPr="00E426D3">
        <w:t>skattleggjast</w:t>
      </w:r>
      <w:proofErr w:type="spellEnd"/>
      <w:r w:rsidRPr="00E426D3">
        <w:t xml:space="preserve"> på mottakarselskapet si hand med </w:t>
      </w:r>
      <w:proofErr w:type="spellStart"/>
      <w:r w:rsidRPr="00E426D3">
        <w:t>ein</w:t>
      </w:r>
      <w:proofErr w:type="spellEnd"/>
      <w:r w:rsidRPr="00E426D3">
        <w:t xml:space="preserve"> effektiv sats på 0,66 pst. i 2025 (22 pst. skatt av tre pst. av </w:t>
      </w:r>
      <w:proofErr w:type="spellStart"/>
      <w:r w:rsidRPr="00E426D3">
        <w:t>utbytet</w:t>
      </w:r>
      <w:proofErr w:type="spellEnd"/>
      <w:r w:rsidRPr="00E426D3">
        <w:t>).</w:t>
      </w:r>
    </w:p>
    <w:p w14:paraId="740619B4" w14:textId="77777777" w:rsidR="00772748" w:rsidRPr="00E426D3" w:rsidRDefault="00772748" w:rsidP="00E426D3">
      <w:proofErr w:type="spellStart"/>
      <w:r w:rsidRPr="00E426D3">
        <w:t>Treprosentregelen</w:t>
      </w:r>
      <w:proofErr w:type="spellEnd"/>
      <w:r w:rsidRPr="00E426D3">
        <w:t xml:space="preserve"> har </w:t>
      </w:r>
      <w:proofErr w:type="spellStart"/>
      <w:r w:rsidRPr="00E426D3">
        <w:t>samanheng</w:t>
      </w:r>
      <w:proofErr w:type="spellEnd"/>
      <w:r w:rsidRPr="00E426D3">
        <w:t xml:space="preserve"> med </w:t>
      </w:r>
      <w:proofErr w:type="spellStart"/>
      <w:r w:rsidRPr="00E426D3">
        <w:t>frådragsreglane</w:t>
      </w:r>
      <w:proofErr w:type="spellEnd"/>
      <w:r w:rsidRPr="00E426D3">
        <w:t xml:space="preserve">. Som </w:t>
      </w:r>
      <w:proofErr w:type="spellStart"/>
      <w:r w:rsidRPr="00E426D3">
        <w:t>hovudregel</w:t>
      </w:r>
      <w:proofErr w:type="spellEnd"/>
      <w:r w:rsidRPr="00E426D3">
        <w:t xml:space="preserve"> skal det </w:t>
      </w:r>
      <w:proofErr w:type="spellStart"/>
      <w:r w:rsidRPr="00E426D3">
        <w:t>berre</w:t>
      </w:r>
      <w:proofErr w:type="spellEnd"/>
      <w:r w:rsidRPr="00E426D3">
        <w:t xml:space="preserve"> </w:t>
      </w:r>
      <w:proofErr w:type="spellStart"/>
      <w:r w:rsidRPr="00E426D3">
        <w:t>gjevast</w:t>
      </w:r>
      <w:proofErr w:type="spellEnd"/>
      <w:r w:rsidRPr="00E426D3">
        <w:t xml:space="preserve"> </w:t>
      </w:r>
      <w:proofErr w:type="spellStart"/>
      <w:r w:rsidRPr="00E426D3">
        <w:t>frådrag</w:t>
      </w:r>
      <w:proofErr w:type="spellEnd"/>
      <w:r w:rsidRPr="00E426D3">
        <w:t xml:space="preserve"> for </w:t>
      </w:r>
      <w:proofErr w:type="spellStart"/>
      <w:r w:rsidRPr="00E426D3">
        <w:t>kostnadar</w:t>
      </w:r>
      <w:proofErr w:type="spellEnd"/>
      <w:r w:rsidRPr="00E426D3">
        <w:t xml:space="preserve"> til å erverve, </w:t>
      </w:r>
      <w:proofErr w:type="spellStart"/>
      <w:r w:rsidRPr="00E426D3">
        <w:t>vedlikehalde</w:t>
      </w:r>
      <w:proofErr w:type="spellEnd"/>
      <w:r w:rsidRPr="00E426D3">
        <w:t xml:space="preserve"> eller sikre skattepliktig inntekt, jf. skatteloven § 6-1. Det er likevel gjeve </w:t>
      </w:r>
      <w:proofErr w:type="spellStart"/>
      <w:r w:rsidRPr="00E426D3">
        <w:t>ein</w:t>
      </w:r>
      <w:proofErr w:type="spellEnd"/>
      <w:r w:rsidRPr="00E426D3">
        <w:t xml:space="preserve"> særregel i skatteloven § 6-24 som </w:t>
      </w:r>
      <w:proofErr w:type="spellStart"/>
      <w:r w:rsidRPr="00E426D3">
        <w:t>utvidar</w:t>
      </w:r>
      <w:proofErr w:type="spellEnd"/>
      <w:r w:rsidRPr="00E426D3">
        <w:t xml:space="preserve"> </w:t>
      </w:r>
      <w:proofErr w:type="spellStart"/>
      <w:r w:rsidRPr="00E426D3">
        <w:t>frådragsretten</w:t>
      </w:r>
      <w:proofErr w:type="spellEnd"/>
      <w:r w:rsidRPr="00E426D3">
        <w:t xml:space="preserve"> til òg å gjelde </w:t>
      </w:r>
      <w:proofErr w:type="spellStart"/>
      <w:r w:rsidRPr="00E426D3">
        <w:t>kostnadar</w:t>
      </w:r>
      <w:proofErr w:type="spellEnd"/>
      <w:r w:rsidRPr="00E426D3">
        <w:t xml:space="preserve"> knytt til inntekter som er skattefrie etter fritaksmetoden. Denne regelen er </w:t>
      </w:r>
      <w:proofErr w:type="spellStart"/>
      <w:r w:rsidRPr="00E426D3">
        <w:t>grunngjeven</w:t>
      </w:r>
      <w:proofErr w:type="spellEnd"/>
      <w:r w:rsidRPr="00E426D3">
        <w:t xml:space="preserve"> med at det ville ha </w:t>
      </w:r>
      <w:proofErr w:type="spellStart"/>
      <w:r w:rsidRPr="00E426D3">
        <w:t>vore</w:t>
      </w:r>
      <w:proofErr w:type="spellEnd"/>
      <w:r w:rsidRPr="00E426D3">
        <w:t xml:space="preserve"> komplisert å </w:t>
      </w:r>
      <w:proofErr w:type="spellStart"/>
      <w:r w:rsidRPr="00E426D3">
        <w:t>skilje</w:t>
      </w:r>
      <w:proofErr w:type="spellEnd"/>
      <w:r w:rsidRPr="00E426D3">
        <w:t xml:space="preserve"> konkret mellom </w:t>
      </w:r>
      <w:proofErr w:type="spellStart"/>
      <w:r w:rsidRPr="00E426D3">
        <w:t>kostnadar</w:t>
      </w:r>
      <w:proofErr w:type="spellEnd"/>
      <w:r w:rsidRPr="00E426D3">
        <w:t xml:space="preserve"> som er knytt til </w:t>
      </w:r>
      <w:proofErr w:type="spellStart"/>
      <w:r w:rsidRPr="00E426D3">
        <w:t>høvesvis</w:t>
      </w:r>
      <w:proofErr w:type="spellEnd"/>
      <w:r w:rsidRPr="00E426D3">
        <w:t xml:space="preserve"> skattepliktige og skattefrie inntekter, jf. Ot.prp. nr. 1 (2008–2009) kapittel 6.</w:t>
      </w:r>
    </w:p>
    <w:p w14:paraId="291512DE" w14:textId="77777777" w:rsidR="00772748" w:rsidRPr="00E426D3" w:rsidRDefault="00772748" w:rsidP="00E426D3">
      <w:proofErr w:type="spellStart"/>
      <w:r w:rsidRPr="00E426D3">
        <w:t>Føremålet</w:t>
      </w:r>
      <w:proofErr w:type="spellEnd"/>
      <w:r w:rsidRPr="00E426D3">
        <w:t xml:space="preserve"> med </w:t>
      </w:r>
      <w:proofErr w:type="spellStart"/>
      <w:r w:rsidRPr="00E426D3">
        <w:t>treprosentregelen</w:t>
      </w:r>
      <w:proofErr w:type="spellEnd"/>
      <w:r w:rsidRPr="00E426D3">
        <w:t xml:space="preserve"> er å reversere </w:t>
      </w:r>
      <w:proofErr w:type="spellStart"/>
      <w:r w:rsidRPr="00E426D3">
        <w:t>frådrag</w:t>
      </w:r>
      <w:proofErr w:type="spellEnd"/>
      <w:r w:rsidRPr="00E426D3">
        <w:t xml:space="preserve"> som vert gjeve etter skatteloven § 6-24 for </w:t>
      </w:r>
      <w:proofErr w:type="spellStart"/>
      <w:r w:rsidRPr="00E426D3">
        <w:t>kostnadar</w:t>
      </w:r>
      <w:proofErr w:type="spellEnd"/>
      <w:r w:rsidRPr="00E426D3">
        <w:t xml:space="preserve"> knytt til skattefrie inntekter, på </w:t>
      </w:r>
      <w:proofErr w:type="spellStart"/>
      <w:r w:rsidRPr="00E426D3">
        <w:t>ein</w:t>
      </w:r>
      <w:proofErr w:type="spellEnd"/>
      <w:r w:rsidRPr="00E426D3">
        <w:t xml:space="preserve"> sjablongmessig måte. Dette er </w:t>
      </w:r>
      <w:proofErr w:type="spellStart"/>
      <w:r w:rsidRPr="00E426D3">
        <w:t>frådrag</w:t>
      </w:r>
      <w:proofErr w:type="spellEnd"/>
      <w:r w:rsidRPr="00E426D3">
        <w:t xml:space="preserve"> som prinsipielt </w:t>
      </w:r>
      <w:proofErr w:type="spellStart"/>
      <w:r w:rsidRPr="00E426D3">
        <w:t>ikkje</w:t>
      </w:r>
      <w:proofErr w:type="spellEnd"/>
      <w:r w:rsidRPr="00E426D3">
        <w:t xml:space="preserve"> skulle ha </w:t>
      </w:r>
      <w:proofErr w:type="spellStart"/>
      <w:r w:rsidRPr="00E426D3">
        <w:t>vore</w:t>
      </w:r>
      <w:proofErr w:type="spellEnd"/>
      <w:r w:rsidRPr="00E426D3">
        <w:t xml:space="preserve"> gjeve.</w:t>
      </w:r>
    </w:p>
    <w:p w14:paraId="28818785" w14:textId="77777777" w:rsidR="00772748" w:rsidRPr="00E426D3" w:rsidRDefault="00772748" w:rsidP="00E426D3">
      <w:r w:rsidRPr="00E426D3">
        <w:t xml:space="preserve">Ved innføringa av </w:t>
      </w:r>
      <w:proofErr w:type="spellStart"/>
      <w:r w:rsidRPr="00E426D3">
        <w:t>treprosentregelen</w:t>
      </w:r>
      <w:proofErr w:type="spellEnd"/>
      <w:r w:rsidRPr="00E426D3">
        <w:t xml:space="preserve"> i 2008 var både </w:t>
      </w:r>
      <w:proofErr w:type="spellStart"/>
      <w:r w:rsidRPr="00E426D3">
        <w:t>utbyte</w:t>
      </w:r>
      <w:proofErr w:type="spellEnd"/>
      <w:r w:rsidRPr="00E426D3">
        <w:t xml:space="preserve"> og </w:t>
      </w:r>
      <w:proofErr w:type="spellStart"/>
      <w:r w:rsidRPr="00E426D3">
        <w:t>gevinstar</w:t>
      </w:r>
      <w:proofErr w:type="spellEnd"/>
      <w:r w:rsidRPr="00E426D3">
        <w:t xml:space="preserve"> omfatta av </w:t>
      </w:r>
      <w:proofErr w:type="spellStart"/>
      <w:r w:rsidRPr="00E426D3">
        <w:t>treprosentregelen</w:t>
      </w:r>
      <w:proofErr w:type="spellEnd"/>
      <w:r w:rsidRPr="00E426D3">
        <w:t xml:space="preserve">. Føresegna gjaldt òg for </w:t>
      </w:r>
      <w:proofErr w:type="spellStart"/>
      <w:r w:rsidRPr="00E426D3">
        <w:t>transaksjonar</w:t>
      </w:r>
      <w:proofErr w:type="spellEnd"/>
      <w:r w:rsidRPr="00E426D3">
        <w:t xml:space="preserve"> mellom selskap i same konsern.</w:t>
      </w:r>
    </w:p>
    <w:p w14:paraId="0C38CDFD" w14:textId="77777777" w:rsidR="00772748" w:rsidRPr="00E426D3" w:rsidRDefault="00772748" w:rsidP="00E426D3">
      <w:proofErr w:type="spellStart"/>
      <w:r w:rsidRPr="00E426D3">
        <w:t>Frå</w:t>
      </w:r>
      <w:proofErr w:type="spellEnd"/>
      <w:r w:rsidRPr="00E426D3">
        <w:t xml:space="preserve"> og med inntektsåret 2012 vart </w:t>
      </w:r>
      <w:proofErr w:type="spellStart"/>
      <w:r w:rsidRPr="00E426D3">
        <w:t>treprosentregelen</w:t>
      </w:r>
      <w:proofErr w:type="spellEnd"/>
      <w:r w:rsidRPr="00E426D3">
        <w:t xml:space="preserve"> endra, mellom anna slik at han </w:t>
      </w:r>
      <w:proofErr w:type="spellStart"/>
      <w:r w:rsidRPr="00E426D3">
        <w:t>ikkje</w:t>
      </w:r>
      <w:proofErr w:type="spellEnd"/>
      <w:r w:rsidRPr="00E426D3">
        <w:t xml:space="preserve"> lenger gjeld for </w:t>
      </w:r>
      <w:proofErr w:type="spellStart"/>
      <w:r w:rsidRPr="00E426D3">
        <w:t>gevinstar</w:t>
      </w:r>
      <w:proofErr w:type="spellEnd"/>
      <w:r w:rsidRPr="00E426D3">
        <w:t xml:space="preserve">. I forarbeida til endringa, Prop. 1 LS (2011–2012) </w:t>
      </w:r>
      <w:r w:rsidRPr="00E426D3">
        <w:rPr>
          <w:rStyle w:val="kursiv"/>
        </w:rPr>
        <w:t xml:space="preserve">Skatter, avgifter og toll 2012 </w:t>
      </w:r>
      <w:r w:rsidRPr="00E426D3">
        <w:t xml:space="preserve">kapittel 14, </w:t>
      </w:r>
      <w:proofErr w:type="spellStart"/>
      <w:r w:rsidRPr="00E426D3">
        <w:t>vart</w:t>
      </w:r>
      <w:proofErr w:type="spellEnd"/>
      <w:r w:rsidRPr="00E426D3">
        <w:t xml:space="preserve"> det lagt vekt på at </w:t>
      </w:r>
      <w:proofErr w:type="spellStart"/>
      <w:r w:rsidRPr="00E426D3">
        <w:t>treprosentregelen</w:t>
      </w:r>
      <w:proofErr w:type="spellEnd"/>
      <w:r w:rsidRPr="00E426D3">
        <w:t xml:space="preserve"> hadde gjort fritaksmetoden komplisert ved at det igjen vart </w:t>
      </w:r>
      <w:proofErr w:type="spellStart"/>
      <w:r w:rsidRPr="00E426D3">
        <w:t>eit</w:t>
      </w:r>
      <w:proofErr w:type="spellEnd"/>
      <w:r w:rsidRPr="00E426D3">
        <w:t xml:space="preserve"> behov for å dokumentere skattemessige </w:t>
      </w:r>
      <w:proofErr w:type="spellStart"/>
      <w:r w:rsidRPr="00E426D3">
        <w:t>inngangsverdiar</w:t>
      </w:r>
      <w:proofErr w:type="spellEnd"/>
      <w:r w:rsidRPr="00E426D3">
        <w:t xml:space="preserve"> og utføre gevinst- og </w:t>
      </w:r>
      <w:proofErr w:type="spellStart"/>
      <w:r w:rsidRPr="00E426D3">
        <w:t>tapsberekning</w:t>
      </w:r>
      <w:proofErr w:type="spellEnd"/>
      <w:r w:rsidRPr="00E426D3">
        <w:t xml:space="preserve"> ved realisasjon av </w:t>
      </w:r>
      <w:proofErr w:type="spellStart"/>
      <w:r w:rsidRPr="00E426D3">
        <w:t>aksjar</w:t>
      </w:r>
      <w:proofErr w:type="spellEnd"/>
      <w:r w:rsidRPr="00E426D3">
        <w:t xml:space="preserve"> mv. </w:t>
      </w:r>
      <w:proofErr w:type="spellStart"/>
      <w:r w:rsidRPr="00E426D3">
        <w:t>Vidare</w:t>
      </w:r>
      <w:proofErr w:type="spellEnd"/>
      <w:r w:rsidRPr="00E426D3">
        <w:t xml:space="preserve"> </w:t>
      </w:r>
      <w:proofErr w:type="spellStart"/>
      <w:r w:rsidRPr="00E426D3">
        <w:t>vart</w:t>
      </w:r>
      <w:proofErr w:type="spellEnd"/>
      <w:r w:rsidRPr="00E426D3">
        <w:t xml:space="preserve"> det uttalt at regelen i konkrete tilfelle kunne </w:t>
      </w:r>
      <w:proofErr w:type="spellStart"/>
      <w:r w:rsidRPr="00E426D3">
        <w:t>vere</w:t>
      </w:r>
      <w:proofErr w:type="spellEnd"/>
      <w:r w:rsidRPr="00E426D3">
        <w:t xml:space="preserve"> lite treffsikker, </w:t>
      </w:r>
      <w:proofErr w:type="spellStart"/>
      <w:r w:rsidRPr="00E426D3">
        <w:t>særleg</w:t>
      </w:r>
      <w:proofErr w:type="spellEnd"/>
      <w:r w:rsidRPr="00E426D3">
        <w:t xml:space="preserve"> ved realisasjon av </w:t>
      </w:r>
      <w:proofErr w:type="spellStart"/>
      <w:r w:rsidRPr="00E426D3">
        <w:t>aksjepostar</w:t>
      </w:r>
      <w:proofErr w:type="spellEnd"/>
      <w:r w:rsidRPr="00E426D3">
        <w:t xml:space="preserve"> med store, latente </w:t>
      </w:r>
      <w:proofErr w:type="spellStart"/>
      <w:r w:rsidRPr="00E426D3">
        <w:t>gevinstar</w:t>
      </w:r>
      <w:proofErr w:type="spellEnd"/>
      <w:r w:rsidRPr="00E426D3">
        <w:t xml:space="preserve">. Det vart òg </w:t>
      </w:r>
      <w:proofErr w:type="spellStart"/>
      <w:r w:rsidRPr="00E426D3">
        <w:t>peikt</w:t>
      </w:r>
      <w:proofErr w:type="spellEnd"/>
      <w:r w:rsidRPr="00E426D3">
        <w:t xml:space="preserve"> på at skattebelastninga kunne framstå som </w:t>
      </w:r>
      <w:proofErr w:type="spellStart"/>
      <w:r w:rsidRPr="00E426D3">
        <w:t>dårleg</w:t>
      </w:r>
      <w:proofErr w:type="spellEnd"/>
      <w:r w:rsidRPr="00E426D3">
        <w:t xml:space="preserve"> avpassa i høve til </w:t>
      </w:r>
      <w:proofErr w:type="spellStart"/>
      <w:r w:rsidRPr="00E426D3">
        <w:t>kostnadane</w:t>
      </w:r>
      <w:proofErr w:type="spellEnd"/>
      <w:r w:rsidRPr="00E426D3">
        <w:t xml:space="preserve"> som aksjonæren faktisk har ført til </w:t>
      </w:r>
      <w:proofErr w:type="spellStart"/>
      <w:r w:rsidRPr="00E426D3">
        <w:t>frådrag</w:t>
      </w:r>
      <w:proofErr w:type="spellEnd"/>
      <w:r w:rsidRPr="00E426D3">
        <w:t xml:space="preserve"> i </w:t>
      </w:r>
      <w:proofErr w:type="spellStart"/>
      <w:r w:rsidRPr="00E426D3">
        <w:t>si</w:t>
      </w:r>
      <w:proofErr w:type="spellEnd"/>
      <w:r w:rsidRPr="00E426D3">
        <w:t xml:space="preserve"> </w:t>
      </w:r>
      <w:proofErr w:type="spellStart"/>
      <w:r w:rsidRPr="00E426D3">
        <w:t>eigartid</w:t>
      </w:r>
      <w:proofErr w:type="spellEnd"/>
      <w:r w:rsidRPr="00E426D3">
        <w:t xml:space="preserve">. </w:t>
      </w:r>
      <w:proofErr w:type="spellStart"/>
      <w:r w:rsidRPr="00E426D3">
        <w:t>Endeleg</w:t>
      </w:r>
      <w:proofErr w:type="spellEnd"/>
      <w:r w:rsidRPr="00E426D3">
        <w:t xml:space="preserve"> vart det </w:t>
      </w:r>
      <w:proofErr w:type="spellStart"/>
      <w:r w:rsidRPr="00E426D3">
        <w:t>halde</w:t>
      </w:r>
      <w:proofErr w:type="spellEnd"/>
      <w:r w:rsidRPr="00E426D3">
        <w:t xml:space="preserve"> fram at skattlegging av </w:t>
      </w:r>
      <w:proofErr w:type="spellStart"/>
      <w:r w:rsidRPr="00E426D3">
        <w:t>gevinstar</w:t>
      </w:r>
      <w:proofErr w:type="spellEnd"/>
      <w:r w:rsidRPr="00E426D3">
        <w:t xml:space="preserve"> kan hemme fornuftige </w:t>
      </w:r>
      <w:proofErr w:type="spellStart"/>
      <w:r w:rsidRPr="00E426D3">
        <w:t>endringar</w:t>
      </w:r>
      <w:proofErr w:type="spellEnd"/>
      <w:r w:rsidRPr="00E426D3">
        <w:t xml:space="preserve"> av </w:t>
      </w:r>
      <w:proofErr w:type="spellStart"/>
      <w:r w:rsidRPr="00E426D3">
        <w:t>konsernstrukturar</w:t>
      </w:r>
      <w:proofErr w:type="spellEnd"/>
      <w:r w:rsidRPr="00E426D3">
        <w:t xml:space="preserve">, fordi </w:t>
      </w:r>
      <w:proofErr w:type="spellStart"/>
      <w:r w:rsidRPr="00E426D3">
        <w:t>overføringar</w:t>
      </w:r>
      <w:proofErr w:type="spellEnd"/>
      <w:r w:rsidRPr="00E426D3">
        <w:t xml:space="preserve"> av </w:t>
      </w:r>
      <w:proofErr w:type="spellStart"/>
      <w:r w:rsidRPr="00E426D3">
        <w:t>aksjar</w:t>
      </w:r>
      <w:proofErr w:type="spellEnd"/>
      <w:r w:rsidRPr="00E426D3">
        <w:t xml:space="preserve"> mellom selskap i samband med ei omorganisering ofte utløyser </w:t>
      </w:r>
      <w:proofErr w:type="spellStart"/>
      <w:r w:rsidRPr="00E426D3">
        <w:t>realisasjonsgevinstar</w:t>
      </w:r>
      <w:proofErr w:type="spellEnd"/>
      <w:r w:rsidRPr="00E426D3">
        <w:t xml:space="preserve">. Det </w:t>
      </w:r>
      <w:proofErr w:type="spellStart"/>
      <w:r w:rsidRPr="00E426D3">
        <w:t>vart</w:t>
      </w:r>
      <w:proofErr w:type="spellEnd"/>
      <w:r w:rsidRPr="00E426D3">
        <w:t xml:space="preserve"> lagt til grunn at </w:t>
      </w:r>
      <w:proofErr w:type="spellStart"/>
      <w:r w:rsidRPr="00E426D3">
        <w:t>dei</w:t>
      </w:r>
      <w:proofErr w:type="spellEnd"/>
      <w:r w:rsidRPr="00E426D3">
        <w:t xml:space="preserve"> </w:t>
      </w:r>
      <w:proofErr w:type="spellStart"/>
      <w:r w:rsidRPr="00E426D3">
        <w:t>nemnde</w:t>
      </w:r>
      <w:proofErr w:type="spellEnd"/>
      <w:r w:rsidRPr="00E426D3">
        <w:t xml:space="preserve"> problematiske sidene ved </w:t>
      </w:r>
      <w:proofErr w:type="spellStart"/>
      <w:r w:rsidRPr="00E426D3">
        <w:t>treprosentregelen</w:t>
      </w:r>
      <w:proofErr w:type="spellEnd"/>
      <w:r w:rsidRPr="00E426D3">
        <w:t xml:space="preserve"> i </w:t>
      </w:r>
      <w:proofErr w:type="spellStart"/>
      <w:r w:rsidRPr="00E426D3">
        <w:t>hovudsak</w:t>
      </w:r>
      <w:proofErr w:type="spellEnd"/>
      <w:r w:rsidRPr="00E426D3">
        <w:t xml:space="preserve"> </w:t>
      </w:r>
      <w:proofErr w:type="spellStart"/>
      <w:r w:rsidRPr="00E426D3">
        <w:t>skuldast</w:t>
      </w:r>
      <w:proofErr w:type="spellEnd"/>
      <w:r w:rsidRPr="00E426D3">
        <w:t xml:space="preserve"> skattlegging av </w:t>
      </w:r>
      <w:proofErr w:type="spellStart"/>
      <w:r w:rsidRPr="00E426D3">
        <w:t>gevinstar</w:t>
      </w:r>
      <w:proofErr w:type="spellEnd"/>
      <w:r w:rsidRPr="00E426D3">
        <w:t>.</w:t>
      </w:r>
    </w:p>
    <w:p w14:paraId="7A432020" w14:textId="77777777" w:rsidR="00772748" w:rsidRPr="00E426D3" w:rsidRDefault="00772748" w:rsidP="00E426D3">
      <w:proofErr w:type="spellStart"/>
      <w:r w:rsidRPr="00E426D3">
        <w:t>Frå</w:t>
      </w:r>
      <w:proofErr w:type="spellEnd"/>
      <w:r w:rsidRPr="00E426D3">
        <w:t xml:space="preserve"> same tidspunkt vart </w:t>
      </w:r>
      <w:proofErr w:type="spellStart"/>
      <w:r w:rsidRPr="00E426D3">
        <w:t>treprosentregelen</w:t>
      </w:r>
      <w:proofErr w:type="spellEnd"/>
      <w:r w:rsidRPr="00E426D3">
        <w:t xml:space="preserve"> òg endra slik at den </w:t>
      </w:r>
      <w:proofErr w:type="spellStart"/>
      <w:r w:rsidRPr="00E426D3">
        <w:t>ikkje</w:t>
      </w:r>
      <w:proofErr w:type="spellEnd"/>
      <w:r w:rsidRPr="00E426D3">
        <w:t xml:space="preserve"> lenger gjeld for </w:t>
      </w:r>
      <w:proofErr w:type="spellStart"/>
      <w:r w:rsidRPr="00E426D3">
        <w:t>utbyte</w:t>
      </w:r>
      <w:proofErr w:type="spellEnd"/>
      <w:r w:rsidRPr="00E426D3">
        <w:t xml:space="preserve"> mellom selskap i same skattekonsern (kor det er </w:t>
      </w:r>
      <w:proofErr w:type="spellStart"/>
      <w:r w:rsidRPr="00E426D3">
        <w:t>meir</w:t>
      </w:r>
      <w:proofErr w:type="spellEnd"/>
      <w:r w:rsidRPr="00E426D3">
        <w:t xml:space="preserve"> enn 90 pst. </w:t>
      </w:r>
      <w:proofErr w:type="spellStart"/>
      <w:r w:rsidRPr="00E426D3">
        <w:t>eigar</w:t>
      </w:r>
      <w:proofErr w:type="spellEnd"/>
      <w:r w:rsidRPr="00E426D3">
        <w:t xml:space="preserve">- og stemmeandel). Dette vart grunngjeve med at det i slike skattekonsern kan </w:t>
      </w:r>
      <w:proofErr w:type="spellStart"/>
      <w:r w:rsidRPr="00E426D3">
        <w:t>ytast</w:t>
      </w:r>
      <w:proofErr w:type="spellEnd"/>
      <w:r w:rsidRPr="00E426D3">
        <w:t xml:space="preserve"> konsernbidrag i staden for </w:t>
      </w:r>
      <w:proofErr w:type="spellStart"/>
      <w:r w:rsidRPr="00E426D3">
        <w:t>utbyte</w:t>
      </w:r>
      <w:proofErr w:type="spellEnd"/>
      <w:r w:rsidRPr="00E426D3">
        <w:t xml:space="preserve">, og at det </w:t>
      </w:r>
      <w:proofErr w:type="spellStart"/>
      <w:r w:rsidRPr="00E426D3">
        <w:t>difor</w:t>
      </w:r>
      <w:proofErr w:type="spellEnd"/>
      <w:r w:rsidRPr="00E426D3">
        <w:t xml:space="preserve"> </w:t>
      </w:r>
      <w:proofErr w:type="spellStart"/>
      <w:r w:rsidRPr="00E426D3">
        <w:t>ikkje</w:t>
      </w:r>
      <w:proofErr w:type="spellEnd"/>
      <w:r w:rsidRPr="00E426D3">
        <w:t xml:space="preserve"> var hensiktsmessig å </w:t>
      </w:r>
      <w:proofErr w:type="spellStart"/>
      <w:r w:rsidRPr="00E426D3">
        <w:t>oppretthalde</w:t>
      </w:r>
      <w:proofErr w:type="spellEnd"/>
      <w:r w:rsidRPr="00E426D3">
        <w:t xml:space="preserve"> </w:t>
      </w:r>
      <w:proofErr w:type="spellStart"/>
      <w:r w:rsidRPr="00E426D3">
        <w:t>treprosentregelen</w:t>
      </w:r>
      <w:proofErr w:type="spellEnd"/>
      <w:r w:rsidRPr="00E426D3">
        <w:t xml:space="preserve"> for </w:t>
      </w:r>
      <w:proofErr w:type="spellStart"/>
      <w:r w:rsidRPr="00E426D3">
        <w:t>utbyte</w:t>
      </w:r>
      <w:proofErr w:type="spellEnd"/>
      <w:r w:rsidRPr="00E426D3">
        <w:t>.</w:t>
      </w:r>
    </w:p>
    <w:p w14:paraId="7C3454D2" w14:textId="77777777" w:rsidR="00772748" w:rsidRPr="00E426D3" w:rsidRDefault="00772748" w:rsidP="00E426D3">
      <w:pPr>
        <w:pStyle w:val="Overskrift3"/>
      </w:pPr>
      <w:proofErr w:type="spellStart"/>
      <w:r w:rsidRPr="00E426D3">
        <w:t>Skatteutvalet</w:t>
      </w:r>
      <w:proofErr w:type="spellEnd"/>
      <w:r w:rsidRPr="00E426D3">
        <w:t xml:space="preserve"> – </w:t>
      </w:r>
      <w:proofErr w:type="spellStart"/>
      <w:r w:rsidRPr="00E426D3">
        <w:t>tilrådingar</w:t>
      </w:r>
      <w:proofErr w:type="spellEnd"/>
      <w:r w:rsidRPr="00E426D3">
        <w:t xml:space="preserve"> og </w:t>
      </w:r>
      <w:proofErr w:type="spellStart"/>
      <w:r w:rsidRPr="00E426D3">
        <w:t>høyring</w:t>
      </w:r>
      <w:proofErr w:type="spellEnd"/>
    </w:p>
    <w:p w14:paraId="7EA6FD63" w14:textId="77777777" w:rsidR="00772748" w:rsidRPr="00E426D3" w:rsidRDefault="00772748" w:rsidP="00E426D3">
      <w:proofErr w:type="spellStart"/>
      <w:r w:rsidRPr="00E426D3">
        <w:t>Skatteutvalet</w:t>
      </w:r>
      <w:proofErr w:type="spellEnd"/>
      <w:r w:rsidRPr="00E426D3">
        <w:t xml:space="preserve"> i NOU 2022: 20 </w:t>
      </w:r>
      <w:r w:rsidRPr="00E426D3">
        <w:rPr>
          <w:rStyle w:val="kursiv"/>
        </w:rPr>
        <w:t>Et helhetlig skattesystem</w:t>
      </w:r>
      <w:r w:rsidRPr="00E426D3">
        <w:t xml:space="preserve"> drøfta fritaksmetoden i kapittel 8. </w:t>
      </w:r>
      <w:proofErr w:type="spellStart"/>
      <w:r w:rsidRPr="00E426D3">
        <w:t>Utvalet</w:t>
      </w:r>
      <w:proofErr w:type="spellEnd"/>
      <w:r w:rsidRPr="00E426D3">
        <w:t xml:space="preserve"> meinte at </w:t>
      </w:r>
      <w:proofErr w:type="spellStart"/>
      <w:r w:rsidRPr="00E426D3">
        <w:t>ein</w:t>
      </w:r>
      <w:proofErr w:type="spellEnd"/>
      <w:r w:rsidRPr="00E426D3">
        <w:t xml:space="preserve"> bør unngå kjedeskattlegging i selskapssektoren og konkluderte med at fritaksmetoden er </w:t>
      </w:r>
      <w:proofErr w:type="spellStart"/>
      <w:r w:rsidRPr="00E426D3">
        <w:t>ein</w:t>
      </w:r>
      <w:proofErr w:type="spellEnd"/>
      <w:r w:rsidRPr="00E426D3">
        <w:t xml:space="preserve"> eigna metode for dette </w:t>
      </w:r>
      <w:proofErr w:type="spellStart"/>
      <w:r w:rsidRPr="00E426D3">
        <w:t>føremålet</w:t>
      </w:r>
      <w:proofErr w:type="spellEnd"/>
      <w:r w:rsidRPr="00E426D3">
        <w:t xml:space="preserve">. </w:t>
      </w:r>
      <w:proofErr w:type="spellStart"/>
      <w:r w:rsidRPr="00E426D3">
        <w:t>Utvalet</w:t>
      </w:r>
      <w:proofErr w:type="spellEnd"/>
      <w:r w:rsidRPr="00E426D3">
        <w:t xml:space="preserve"> kom likevel til at fritaksmetoden går lenger enn det som er </w:t>
      </w:r>
      <w:proofErr w:type="spellStart"/>
      <w:r w:rsidRPr="00E426D3">
        <w:t>naudsynt</w:t>
      </w:r>
      <w:proofErr w:type="spellEnd"/>
      <w:r w:rsidRPr="00E426D3">
        <w:t xml:space="preserve"> for </w:t>
      </w:r>
      <w:proofErr w:type="spellStart"/>
      <w:r w:rsidRPr="00E426D3">
        <w:t>såkalla</w:t>
      </w:r>
      <w:proofErr w:type="spellEnd"/>
      <w:r w:rsidRPr="00E426D3">
        <w:t xml:space="preserve"> forventningsbaserte </w:t>
      </w:r>
      <w:proofErr w:type="spellStart"/>
      <w:r w:rsidRPr="00E426D3">
        <w:t>gevinstar</w:t>
      </w:r>
      <w:proofErr w:type="spellEnd"/>
      <w:r w:rsidRPr="00E426D3">
        <w:t xml:space="preserve">. Slike </w:t>
      </w:r>
      <w:proofErr w:type="spellStart"/>
      <w:r w:rsidRPr="00E426D3">
        <w:t>gevinstar</w:t>
      </w:r>
      <w:proofErr w:type="spellEnd"/>
      <w:r w:rsidRPr="00E426D3">
        <w:t xml:space="preserve"> oppstår typisk ut </w:t>
      </w:r>
      <w:proofErr w:type="spellStart"/>
      <w:r w:rsidRPr="00E426D3">
        <w:t>frå</w:t>
      </w:r>
      <w:proofErr w:type="spellEnd"/>
      <w:r w:rsidRPr="00E426D3">
        <w:t xml:space="preserve"> ei forventning om framtidig </w:t>
      </w:r>
      <w:proofErr w:type="spellStart"/>
      <w:r w:rsidRPr="00E426D3">
        <w:t>inntening</w:t>
      </w:r>
      <w:proofErr w:type="spellEnd"/>
      <w:r w:rsidRPr="00E426D3">
        <w:t xml:space="preserve"> i </w:t>
      </w:r>
      <w:proofErr w:type="spellStart"/>
      <w:r w:rsidRPr="00E426D3">
        <w:t>underliggjande</w:t>
      </w:r>
      <w:proofErr w:type="spellEnd"/>
      <w:r w:rsidRPr="00E426D3">
        <w:t xml:space="preserve"> selskap. Som døme </w:t>
      </w:r>
      <w:r w:rsidRPr="00E426D3">
        <w:lastRenderedPageBreak/>
        <w:t xml:space="preserve">på slike </w:t>
      </w:r>
      <w:proofErr w:type="spellStart"/>
      <w:r w:rsidRPr="00E426D3">
        <w:t>gevinstar</w:t>
      </w:r>
      <w:proofErr w:type="spellEnd"/>
      <w:r w:rsidRPr="00E426D3">
        <w:t xml:space="preserve">, </w:t>
      </w:r>
      <w:proofErr w:type="spellStart"/>
      <w:r w:rsidRPr="00E426D3">
        <w:t>peikte</w:t>
      </w:r>
      <w:proofErr w:type="spellEnd"/>
      <w:r w:rsidRPr="00E426D3">
        <w:t xml:space="preserve"> </w:t>
      </w:r>
      <w:proofErr w:type="spellStart"/>
      <w:r w:rsidRPr="00E426D3">
        <w:t>utvalet</w:t>
      </w:r>
      <w:proofErr w:type="spellEnd"/>
      <w:r w:rsidRPr="00E426D3">
        <w:t xml:space="preserve"> på </w:t>
      </w:r>
      <w:proofErr w:type="spellStart"/>
      <w:r w:rsidRPr="00E426D3">
        <w:t>eit</w:t>
      </w:r>
      <w:proofErr w:type="spellEnd"/>
      <w:r w:rsidRPr="00E426D3">
        <w:t xml:space="preserve"> selskap som på </w:t>
      </w:r>
      <w:proofErr w:type="spellStart"/>
      <w:r w:rsidRPr="00E426D3">
        <w:t>eit</w:t>
      </w:r>
      <w:proofErr w:type="spellEnd"/>
      <w:r w:rsidRPr="00E426D3">
        <w:t xml:space="preserve"> </w:t>
      </w:r>
      <w:proofErr w:type="spellStart"/>
      <w:r w:rsidRPr="00E426D3">
        <w:t>tidleg</w:t>
      </w:r>
      <w:proofErr w:type="spellEnd"/>
      <w:r w:rsidRPr="00E426D3">
        <w:t xml:space="preserve"> tidspunkt investerer i </w:t>
      </w:r>
      <w:proofErr w:type="spellStart"/>
      <w:r w:rsidRPr="00E426D3">
        <w:t>aksjar</w:t>
      </w:r>
      <w:proofErr w:type="spellEnd"/>
      <w:r w:rsidRPr="00E426D3">
        <w:t xml:space="preserve"> i </w:t>
      </w:r>
      <w:proofErr w:type="spellStart"/>
      <w:r w:rsidRPr="00E426D3">
        <w:t>eit</w:t>
      </w:r>
      <w:proofErr w:type="spellEnd"/>
      <w:r w:rsidRPr="00E426D3">
        <w:t xml:space="preserve"> teknologiselskap. Ved </w:t>
      </w:r>
      <w:proofErr w:type="spellStart"/>
      <w:r w:rsidRPr="00E426D3">
        <w:t>seinare</w:t>
      </w:r>
      <w:proofErr w:type="spellEnd"/>
      <w:r w:rsidRPr="00E426D3">
        <w:t xml:space="preserve"> sal av </w:t>
      </w:r>
      <w:proofErr w:type="spellStart"/>
      <w:r w:rsidRPr="00E426D3">
        <w:t>aksjane</w:t>
      </w:r>
      <w:proofErr w:type="spellEnd"/>
      <w:r w:rsidRPr="00E426D3">
        <w:t xml:space="preserve"> i teknologiselskapet vert </w:t>
      </w:r>
      <w:proofErr w:type="spellStart"/>
      <w:r w:rsidRPr="00E426D3">
        <w:t>aksjane</w:t>
      </w:r>
      <w:proofErr w:type="spellEnd"/>
      <w:r w:rsidRPr="00E426D3">
        <w:t xml:space="preserve"> verdsett basert på forventninga om framtidige inntekter. Dersom </w:t>
      </w:r>
      <w:proofErr w:type="spellStart"/>
      <w:r w:rsidRPr="00E426D3">
        <w:t>innteningspotensialet</w:t>
      </w:r>
      <w:proofErr w:type="spellEnd"/>
      <w:r w:rsidRPr="00E426D3">
        <w:t xml:space="preserve"> til selskapet er stort, kan det oppstå </w:t>
      </w:r>
      <w:proofErr w:type="spellStart"/>
      <w:r w:rsidRPr="00E426D3">
        <w:t>ein</w:t>
      </w:r>
      <w:proofErr w:type="spellEnd"/>
      <w:r w:rsidRPr="00E426D3">
        <w:t xml:space="preserve"> </w:t>
      </w:r>
      <w:proofErr w:type="spellStart"/>
      <w:r w:rsidRPr="00E426D3">
        <w:t>betydeleg</w:t>
      </w:r>
      <w:proofErr w:type="spellEnd"/>
      <w:r w:rsidRPr="00E426D3">
        <w:t xml:space="preserve"> forventningsbasert gevinst på handa til selskapsaksjonæren. Denne verdistigninga har </w:t>
      </w:r>
      <w:proofErr w:type="spellStart"/>
      <w:r w:rsidRPr="00E426D3">
        <w:t>ikkje</w:t>
      </w:r>
      <w:proofErr w:type="spellEnd"/>
      <w:r w:rsidRPr="00E426D3">
        <w:t xml:space="preserve"> blitt skattlagt i selskapssektoren </w:t>
      </w:r>
      <w:proofErr w:type="spellStart"/>
      <w:r w:rsidRPr="00E426D3">
        <w:t>tidlegare</w:t>
      </w:r>
      <w:proofErr w:type="spellEnd"/>
      <w:r w:rsidRPr="00E426D3">
        <w:t xml:space="preserve">, fordi inntektene </w:t>
      </w:r>
      <w:proofErr w:type="spellStart"/>
      <w:r w:rsidRPr="00E426D3">
        <w:t>ikkje</w:t>
      </w:r>
      <w:proofErr w:type="spellEnd"/>
      <w:r w:rsidRPr="00E426D3">
        <w:t xml:space="preserve"> har materialisert seg </w:t>
      </w:r>
      <w:proofErr w:type="spellStart"/>
      <w:r w:rsidRPr="00E426D3">
        <w:t>enno</w:t>
      </w:r>
      <w:proofErr w:type="spellEnd"/>
      <w:r w:rsidRPr="00E426D3">
        <w:t>.</w:t>
      </w:r>
    </w:p>
    <w:p w14:paraId="6753BDF7" w14:textId="77777777" w:rsidR="00772748" w:rsidRPr="00E426D3" w:rsidRDefault="00772748" w:rsidP="00E426D3">
      <w:proofErr w:type="spellStart"/>
      <w:r w:rsidRPr="00E426D3">
        <w:t>Utvalet</w:t>
      </w:r>
      <w:proofErr w:type="spellEnd"/>
      <w:r w:rsidRPr="00E426D3">
        <w:t xml:space="preserve"> drøfta om ei </w:t>
      </w:r>
      <w:proofErr w:type="spellStart"/>
      <w:r w:rsidRPr="00E426D3">
        <w:t>mogleg</w:t>
      </w:r>
      <w:proofErr w:type="spellEnd"/>
      <w:r w:rsidRPr="00E426D3">
        <w:t xml:space="preserve"> løysing kunne </w:t>
      </w:r>
      <w:proofErr w:type="spellStart"/>
      <w:r w:rsidRPr="00E426D3">
        <w:t>vere</w:t>
      </w:r>
      <w:proofErr w:type="spellEnd"/>
      <w:r w:rsidRPr="00E426D3">
        <w:t xml:space="preserve"> å innføre </w:t>
      </w:r>
      <w:proofErr w:type="spellStart"/>
      <w:r w:rsidRPr="00E426D3">
        <w:t>eit</w:t>
      </w:r>
      <w:proofErr w:type="spellEnd"/>
      <w:r w:rsidRPr="00E426D3">
        <w:t xml:space="preserve"> delvis unntak </w:t>
      </w:r>
      <w:proofErr w:type="spellStart"/>
      <w:r w:rsidRPr="00E426D3">
        <w:t>frå</w:t>
      </w:r>
      <w:proofErr w:type="spellEnd"/>
      <w:r w:rsidRPr="00E426D3">
        <w:t xml:space="preserve"> fritaksmetoden for forventningsbaserte </w:t>
      </w:r>
      <w:proofErr w:type="spellStart"/>
      <w:r w:rsidRPr="00E426D3">
        <w:t>gevinstar</w:t>
      </w:r>
      <w:proofErr w:type="spellEnd"/>
      <w:r w:rsidRPr="00E426D3">
        <w:t xml:space="preserve">, men kom til at det </w:t>
      </w:r>
      <w:proofErr w:type="spellStart"/>
      <w:r w:rsidRPr="00E426D3">
        <w:t>vanskeleg</w:t>
      </w:r>
      <w:proofErr w:type="spellEnd"/>
      <w:r w:rsidRPr="00E426D3">
        <w:t xml:space="preserve"> kunne </w:t>
      </w:r>
      <w:proofErr w:type="spellStart"/>
      <w:r w:rsidRPr="00E426D3">
        <w:t>gjerast</w:t>
      </w:r>
      <w:proofErr w:type="spellEnd"/>
      <w:r w:rsidRPr="00E426D3">
        <w:t xml:space="preserve"> </w:t>
      </w:r>
      <w:proofErr w:type="spellStart"/>
      <w:r w:rsidRPr="00E426D3">
        <w:t>utan</w:t>
      </w:r>
      <w:proofErr w:type="spellEnd"/>
      <w:r w:rsidRPr="00E426D3">
        <w:t xml:space="preserve"> å risikere kjedeskattlegging av opptente selskapsinntekter. Det </w:t>
      </w:r>
      <w:proofErr w:type="spellStart"/>
      <w:r w:rsidRPr="00E426D3">
        <w:t>skuldast</w:t>
      </w:r>
      <w:proofErr w:type="spellEnd"/>
      <w:r w:rsidRPr="00E426D3">
        <w:t xml:space="preserve"> at det er </w:t>
      </w:r>
      <w:proofErr w:type="spellStart"/>
      <w:r w:rsidRPr="00E426D3">
        <w:t>vanskeleg</w:t>
      </w:r>
      <w:proofErr w:type="spellEnd"/>
      <w:r w:rsidRPr="00E426D3">
        <w:t xml:space="preserve"> å </w:t>
      </w:r>
      <w:proofErr w:type="spellStart"/>
      <w:r w:rsidRPr="00E426D3">
        <w:t>kartleggje</w:t>
      </w:r>
      <w:proofErr w:type="spellEnd"/>
      <w:r w:rsidRPr="00E426D3">
        <w:t xml:space="preserve"> opphavet til gevinsten.</w:t>
      </w:r>
    </w:p>
    <w:p w14:paraId="12ABA871" w14:textId="77777777" w:rsidR="00772748" w:rsidRPr="00E426D3" w:rsidRDefault="00772748" w:rsidP="00E426D3">
      <w:r w:rsidRPr="00E426D3">
        <w:t xml:space="preserve">Som </w:t>
      </w:r>
      <w:proofErr w:type="spellStart"/>
      <w:r w:rsidRPr="00E426D3">
        <w:t>eit</w:t>
      </w:r>
      <w:proofErr w:type="spellEnd"/>
      <w:r w:rsidRPr="00E426D3">
        <w:t xml:space="preserve"> </w:t>
      </w:r>
      <w:proofErr w:type="spellStart"/>
      <w:r w:rsidRPr="00E426D3">
        <w:t>avbøtande</w:t>
      </w:r>
      <w:proofErr w:type="spellEnd"/>
      <w:r w:rsidRPr="00E426D3">
        <w:t xml:space="preserve"> tiltak, foreslo </w:t>
      </w:r>
      <w:proofErr w:type="spellStart"/>
      <w:r w:rsidRPr="00E426D3">
        <w:t>utvalet</w:t>
      </w:r>
      <w:proofErr w:type="spellEnd"/>
      <w:r w:rsidRPr="00E426D3">
        <w:t xml:space="preserve"> å utvide </w:t>
      </w:r>
      <w:proofErr w:type="spellStart"/>
      <w:r w:rsidRPr="00E426D3">
        <w:t>treprosentregelen</w:t>
      </w:r>
      <w:proofErr w:type="spellEnd"/>
      <w:r w:rsidRPr="00E426D3">
        <w:t xml:space="preserve"> til igjen å omfatte </w:t>
      </w:r>
      <w:proofErr w:type="spellStart"/>
      <w:r w:rsidRPr="00E426D3">
        <w:t>gevinstar</w:t>
      </w:r>
      <w:proofErr w:type="spellEnd"/>
      <w:r w:rsidRPr="00E426D3">
        <w:t xml:space="preserve"> på </w:t>
      </w:r>
      <w:proofErr w:type="spellStart"/>
      <w:r w:rsidRPr="00E426D3">
        <w:t>aksjar</w:t>
      </w:r>
      <w:proofErr w:type="spellEnd"/>
      <w:r w:rsidRPr="00E426D3">
        <w:t xml:space="preserve"> mv. </w:t>
      </w:r>
      <w:proofErr w:type="spellStart"/>
      <w:r w:rsidRPr="00E426D3">
        <w:t>Utvalet</w:t>
      </w:r>
      <w:proofErr w:type="spellEnd"/>
      <w:r w:rsidRPr="00E426D3">
        <w:t xml:space="preserve"> framheva at det prinsipielt er gode </w:t>
      </w:r>
      <w:proofErr w:type="spellStart"/>
      <w:r w:rsidRPr="00E426D3">
        <w:t>grunnar</w:t>
      </w:r>
      <w:proofErr w:type="spellEnd"/>
      <w:r w:rsidRPr="00E426D3">
        <w:t xml:space="preserve"> for å </w:t>
      </w:r>
      <w:proofErr w:type="spellStart"/>
      <w:r w:rsidRPr="00E426D3">
        <w:t>skattleggje</w:t>
      </w:r>
      <w:proofErr w:type="spellEnd"/>
      <w:r w:rsidRPr="00E426D3">
        <w:t xml:space="preserve"> </w:t>
      </w:r>
      <w:proofErr w:type="spellStart"/>
      <w:r w:rsidRPr="00E426D3">
        <w:t>gevinstar</w:t>
      </w:r>
      <w:proofErr w:type="spellEnd"/>
      <w:r w:rsidRPr="00E426D3">
        <w:t xml:space="preserve"> og </w:t>
      </w:r>
      <w:proofErr w:type="spellStart"/>
      <w:r w:rsidRPr="00E426D3">
        <w:t>utbyteutdelingar</w:t>
      </w:r>
      <w:proofErr w:type="spellEnd"/>
      <w:r w:rsidRPr="00E426D3">
        <w:t xml:space="preserve"> mest </w:t>
      </w:r>
      <w:proofErr w:type="spellStart"/>
      <w:r w:rsidRPr="00E426D3">
        <w:t>mogleg</w:t>
      </w:r>
      <w:proofErr w:type="spellEnd"/>
      <w:r w:rsidRPr="00E426D3">
        <w:t xml:space="preserve"> likt, og at </w:t>
      </w:r>
      <w:proofErr w:type="spellStart"/>
      <w:r w:rsidRPr="00E426D3">
        <w:t>grunngjevinga</w:t>
      </w:r>
      <w:proofErr w:type="spellEnd"/>
      <w:r w:rsidRPr="00E426D3">
        <w:t xml:space="preserve"> for å avgrense </w:t>
      </w:r>
      <w:proofErr w:type="spellStart"/>
      <w:r w:rsidRPr="00E426D3">
        <w:t>treprosentregelen</w:t>
      </w:r>
      <w:proofErr w:type="spellEnd"/>
      <w:r w:rsidRPr="00E426D3">
        <w:t xml:space="preserve"> mot </w:t>
      </w:r>
      <w:proofErr w:type="spellStart"/>
      <w:r w:rsidRPr="00E426D3">
        <w:t>gevinstar</w:t>
      </w:r>
      <w:proofErr w:type="spellEnd"/>
      <w:r w:rsidRPr="00E426D3">
        <w:t xml:space="preserve"> </w:t>
      </w:r>
      <w:proofErr w:type="spellStart"/>
      <w:r w:rsidRPr="00E426D3">
        <w:t>ikkje</w:t>
      </w:r>
      <w:proofErr w:type="spellEnd"/>
      <w:r w:rsidRPr="00E426D3">
        <w:t xml:space="preserve"> er </w:t>
      </w:r>
      <w:proofErr w:type="spellStart"/>
      <w:r w:rsidRPr="00E426D3">
        <w:t>tungtvegande</w:t>
      </w:r>
      <w:proofErr w:type="spellEnd"/>
      <w:r w:rsidRPr="00E426D3">
        <w:t xml:space="preserve"> nok opp mot dette omsynet. </w:t>
      </w:r>
      <w:proofErr w:type="spellStart"/>
      <w:r w:rsidRPr="00E426D3">
        <w:t>Utvalet</w:t>
      </w:r>
      <w:proofErr w:type="spellEnd"/>
      <w:r w:rsidRPr="00E426D3">
        <w:t xml:space="preserve"> la </w:t>
      </w:r>
      <w:proofErr w:type="spellStart"/>
      <w:r w:rsidRPr="00E426D3">
        <w:t>vidare</w:t>
      </w:r>
      <w:proofErr w:type="spellEnd"/>
      <w:r w:rsidRPr="00E426D3">
        <w:t xml:space="preserve"> til grunn at </w:t>
      </w:r>
      <w:proofErr w:type="spellStart"/>
      <w:r w:rsidRPr="00E426D3">
        <w:t>selskapsaksjonærar</w:t>
      </w:r>
      <w:proofErr w:type="spellEnd"/>
      <w:r w:rsidRPr="00E426D3">
        <w:t xml:space="preserve"> normalt har dokumentasjon på skattemessige </w:t>
      </w:r>
      <w:proofErr w:type="spellStart"/>
      <w:r w:rsidRPr="00E426D3">
        <w:t>inngangsverdiar</w:t>
      </w:r>
      <w:proofErr w:type="spellEnd"/>
      <w:r w:rsidRPr="00E426D3">
        <w:t xml:space="preserve">. </w:t>
      </w:r>
      <w:proofErr w:type="spellStart"/>
      <w:r w:rsidRPr="00E426D3">
        <w:t>Utvalet</w:t>
      </w:r>
      <w:proofErr w:type="spellEnd"/>
      <w:r w:rsidRPr="00E426D3">
        <w:t xml:space="preserve"> </w:t>
      </w:r>
      <w:proofErr w:type="spellStart"/>
      <w:r w:rsidRPr="00E426D3">
        <w:t>peikte</w:t>
      </w:r>
      <w:proofErr w:type="spellEnd"/>
      <w:r w:rsidRPr="00E426D3">
        <w:t xml:space="preserve"> òg på at </w:t>
      </w:r>
      <w:proofErr w:type="spellStart"/>
      <w:r w:rsidRPr="00E426D3">
        <w:t>treprosentregelen</w:t>
      </w:r>
      <w:proofErr w:type="spellEnd"/>
      <w:r w:rsidRPr="00E426D3">
        <w:t xml:space="preserve"> </w:t>
      </w:r>
      <w:proofErr w:type="spellStart"/>
      <w:r w:rsidRPr="00E426D3">
        <w:t>ikkje</w:t>
      </w:r>
      <w:proofErr w:type="spellEnd"/>
      <w:r w:rsidRPr="00E426D3">
        <w:t xml:space="preserve"> lenger gjeld for selskap i same skattekonsern, og framheva at dette i </w:t>
      </w:r>
      <w:proofErr w:type="spellStart"/>
      <w:r w:rsidRPr="00E426D3">
        <w:t>nokon</w:t>
      </w:r>
      <w:proofErr w:type="spellEnd"/>
      <w:r w:rsidRPr="00E426D3">
        <w:t xml:space="preserve"> grad </w:t>
      </w:r>
      <w:proofErr w:type="spellStart"/>
      <w:r w:rsidRPr="00E426D3">
        <w:t>bidreg</w:t>
      </w:r>
      <w:proofErr w:type="spellEnd"/>
      <w:r w:rsidRPr="00E426D3">
        <w:t xml:space="preserve"> til at skattlegging av </w:t>
      </w:r>
      <w:proofErr w:type="spellStart"/>
      <w:r w:rsidRPr="00E426D3">
        <w:t>gevinstar</w:t>
      </w:r>
      <w:proofErr w:type="spellEnd"/>
      <w:r w:rsidRPr="00E426D3">
        <w:t xml:space="preserve"> </w:t>
      </w:r>
      <w:proofErr w:type="spellStart"/>
      <w:r w:rsidRPr="00E426D3">
        <w:t>ikkje</w:t>
      </w:r>
      <w:proofErr w:type="spellEnd"/>
      <w:r w:rsidRPr="00E426D3">
        <w:t xml:space="preserve"> vil hindre fornuftige </w:t>
      </w:r>
      <w:proofErr w:type="spellStart"/>
      <w:r w:rsidRPr="00E426D3">
        <w:t>omorganiseringar</w:t>
      </w:r>
      <w:proofErr w:type="spellEnd"/>
      <w:r w:rsidRPr="00E426D3">
        <w:t xml:space="preserve"> i konsern.</w:t>
      </w:r>
    </w:p>
    <w:p w14:paraId="5E69A641" w14:textId="77777777" w:rsidR="00772748" w:rsidRPr="00E426D3" w:rsidRDefault="00772748" w:rsidP="00E426D3">
      <w:proofErr w:type="spellStart"/>
      <w:r w:rsidRPr="00E426D3">
        <w:t>Utvalet</w:t>
      </w:r>
      <w:proofErr w:type="spellEnd"/>
      <w:r w:rsidRPr="00E426D3">
        <w:t xml:space="preserve"> foreslo òg å </w:t>
      </w:r>
      <w:proofErr w:type="spellStart"/>
      <w:r w:rsidRPr="00E426D3">
        <w:t>auke</w:t>
      </w:r>
      <w:proofErr w:type="spellEnd"/>
      <w:r w:rsidRPr="00E426D3">
        <w:t xml:space="preserve"> inntektsføringa i </w:t>
      </w:r>
      <w:proofErr w:type="spellStart"/>
      <w:r w:rsidRPr="00E426D3">
        <w:t>treprosentregelen</w:t>
      </w:r>
      <w:proofErr w:type="spellEnd"/>
      <w:r w:rsidRPr="00E426D3">
        <w:t xml:space="preserve"> </w:t>
      </w:r>
      <w:proofErr w:type="spellStart"/>
      <w:r w:rsidRPr="00E426D3">
        <w:t>frå</w:t>
      </w:r>
      <w:proofErr w:type="spellEnd"/>
      <w:r w:rsidRPr="00E426D3">
        <w:t xml:space="preserve"> tre pst. til fem pst. I utgreiinga er det vist til at enkelte EU-land (Frankrike, Tyskland, Italia og Spania) har nytta seg av høvet til å ha </w:t>
      </w:r>
      <w:proofErr w:type="spellStart"/>
      <w:r w:rsidRPr="00E426D3">
        <w:t>reglar</w:t>
      </w:r>
      <w:proofErr w:type="spellEnd"/>
      <w:r w:rsidRPr="00E426D3">
        <w:t xml:space="preserve"> om at inntil fem pst. av </w:t>
      </w:r>
      <w:proofErr w:type="spellStart"/>
      <w:r w:rsidRPr="00E426D3">
        <w:t>utbyte</w:t>
      </w:r>
      <w:proofErr w:type="spellEnd"/>
      <w:r w:rsidRPr="00E426D3">
        <w:t xml:space="preserve"> </w:t>
      </w:r>
      <w:proofErr w:type="spellStart"/>
      <w:r w:rsidRPr="00E426D3">
        <w:t>frå</w:t>
      </w:r>
      <w:proofErr w:type="spellEnd"/>
      <w:r w:rsidRPr="00E426D3">
        <w:t xml:space="preserve"> dotterselskap skal </w:t>
      </w:r>
      <w:proofErr w:type="spellStart"/>
      <w:r w:rsidRPr="00E426D3">
        <w:t>inntektsførast</w:t>
      </w:r>
      <w:proofErr w:type="spellEnd"/>
      <w:r w:rsidRPr="00E426D3">
        <w:t xml:space="preserve"> hjå morselskapet, jf. EUs mor-dotterselskapsdirektiv, og at alle </w:t>
      </w:r>
      <w:proofErr w:type="spellStart"/>
      <w:r w:rsidRPr="00E426D3">
        <w:t>desse</w:t>
      </w:r>
      <w:proofErr w:type="spellEnd"/>
      <w:r w:rsidRPr="00E426D3">
        <w:t xml:space="preserve"> landa har </w:t>
      </w:r>
      <w:proofErr w:type="spellStart"/>
      <w:r w:rsidRPr="00E426D3">
        <w:t>valt</w:t>
      </w:r>
      <w:proofErr w:type="spellEnd"/>
      <w:r w:rsidRPr="00E426D3">
        <w:t xml:space="preserve"> </w:t>
      </w:r>
      <w:proofErr w:type="spellStart"/>
      <w:r w:rsidRPr="00E426D3">
        <w:t>ein</w:t>
      </w:r>
      <w:proofErr w:type="spellEnd"/>
      <w:r w:rsidRPr="00E426D3">
        <w:t xml:space="preserve"> sats på fem pst.</w:t>
      </w:r>
    </w:p>
    <w:p w14:paraId="161BF617" w14:textId="77777777" w:rsidR="00772748" w:rsidRPr="00E426D3" w:rsidRDefault="00772748" w:rsidP="00E426D3">
      <w:proofErr w:type="spellStart"/>
      <w:r w:rsidRPr="00E426D3">
        <w:t>Utvalet</w:t>
      </w:r>
      <w:proofErr w:type="spellEnd"/>
      <w:r w:rsidRPr="00E426D3">
        <w:t xml:space="preserve"> anslo at </w:t>
      </w:r>
      <w:proofErr w:type="spellStart"/>
      <w:r w:rsidRPr="00E426D3">
        <w:t>dei</w:t>
      </w:r>
      <w:proofErr w:type="spellEnd"/>
      <w:r w:rsidRPr="00E426D3">
        <w:t xml:space="preserve"> to </w:t>
      </w:r>
      <w:proofErr w:type="spellStart"/>
      <w:r w:rsidRPr="00E426D3">
        <w:t>ovannemnde</w:t>
      </w:r>
      <w:proofErr w:type="spellEnd"/>
      <w:r w:rsidRPr="00E426D3">
        <w:t xml:space="preserve"> </w:t>
      </w:r>
      <w:proofErr w:type="spellStart"/>
      <w:r w:rsidRPr="00E426D3">
        <w:t>endringane</w:t>
      </w:r>
      <w:proofErr w:type="spellEnd"/>
      <w:r w:rsidRPr="00E426D3">
        <w:t xml:space="preserve"> samla ville </w:t>
      </w:r>
      <w:proofErr w:type="spellStart"/>
      <w:r w:rsidRPr="00E426D3">
        <w:t>auke</w:t>
      </w:r>
      <w:proofErr w:type="spellEnd"/>
      <w:r w:rsidRPr="00E426D3">
        <w:t xml:space="preserve"> provenyet med 380 </w:t>
      </w:r>
      <w:proofErr w:type="spellStart"/>
      <w:r w:rsidRPr="00E426D3">
        <w:t>millionar</w:t>
      </w:r>
      <w:proofErr w:type="spellEnd"/>
      <w:r w:rsidRPr="00E426D3">
        <w:t xml:space="preserve"> kroner i 2022.</w:t>
      </w:r>
    </w:p>
    <w:p w14:paraId="49BC881A" w14:textId="77777777" w:rsidR="00772748" w:rsidRPr="00E426D3" w:rsidRDefault="00772748" w:rsidP="00E426D3">
      <w:r w:rsidRPr="00E426D3">
        <w:t xml:space="preserve">I </w:t>
      </w:r>
      <w:proofErr w:type="spellStart"/>
      <w:r w:rsidRPr="00E426D3">
        <w:t>høyringa</w:t>
      </w:r>
      <w:proofErr w:type="spellEnd"/>
      <w:r w:rsidRPr="00E426D3">
        <w:t xml:space="preserve"> av </w:t>
      </w:r>
      <w:proofErr w:type="spellStart"/>
      <w:r w:rsidRPr="00E426D3">
        <w:t>Skatteutvalet</w:t>
      </w:r>
      <w:proofErr w:type="spellEnd"/>
      <w:r w:rsidRPr="00E426D3">
        <w:t xml:space="preserve"> si utgreiing hadde </w:t>
      </w:r>
      <w:proofErr w:type="spellStart"/>
      <w:r w:rsidRPr="00E426D3">
        <w:t>fleire</w:t>
      </w:r>
      <w:proofErr w:type="spellEnd"/>
      <w:r w:rsidRPr="00E426D3">
        <w:t xml:space="preserve"> av </w:t>
      </w:r>
      <w:proofErr w:type="spellStart"/>
      <w:r w:rsidRPr="00E426D3">
        <w:t>høyringsinstansane</w:t>
      </w:r>
      <w:proofErr w:type="spellEnd"/>
      <w:r w:rsidRPr="00E426D3">
        <w:t xml:space="preserve"> merknader til framlegget om </w:t>
      </w:r>
      <w:proofErr w:type="spellStart"/>
      <w:r w:rsidRPr="00E426D3">
        <w:t>endringar</w:t>
      </w:r>
      <w:proofErr w:type="spellEnd"/>
      <w:r w:rsidRPr="00E426D3">
        <w:t xml:space="preserve"> i </w:t>
      </w:r>
      <w:proofErr w:type="spellStart"/>
      <w:r w:rsidRPr="00E426D3">
        <w:t>treprosentregelen</w:t>
      </w:r>
      <w:proofErr w:type="spellEnd"/>
      <w:r w:rsidRPr="00E426D3">
        <w:t xml:space="preserve">. </w:t>
      </w:r>
      <w:r w:rsidRPr="00E426D3">
        <w:rPr>
          <w:rStyle w:val="kursiv"/>
        </w:rPr>
        <w:t>Den norske Revisorforening, Hovedorganisasjonen Virke, Mathilde Fasting og Steinar Juel (</w:t>
      </w:r>
      <w:proofErr w:type="spellStart"/>
      <w:r w:rsidRPr="00E426D3">
        <w:rPr>
          <w:rStyle w:val="kursiv"/>
        </w:rPr>
        <w:t>økonomar</w:t>
      </w:r>
      <w:proofErr w:type="spellEnd"/>
      <w:r w:rsidRPr="00E426D3">
        <w:rPr>
          <w:rStyle w:val="kursiv"/>
        </w:rPr>
        <w:t xml:space="preserve"> i </w:t>
      </w:r>
      <w:proofErr w:type="spellStart"/>
      <w:r w:rsidRPr="00E426D3">
        <w:rPr>
          <w:rStyle w:val="kursiv"/>
        </w:rPr>
        <w:t>Civita</w:t>
      </w:r>
      <w:proofErr w:type="spellEnd"/>
      <w:r w:rsidRPr="00E426D3">
        <w:rPr>
          <w:rStyle w:val="kursiv"/>
        </w:rPr>
        <w:t>)</w:t>
      </w:r>
      <w:r w:rsidRPr="00E426D3">
        <w:t xml:space="preserve"> og </w:t>
      </w:r>
      <w:r w:rsidRPr="00E426D3">
        <w:rPr>
          <w:rStyle w:val="kursiv"/>
        </w:rPr>
        <w:t>Norsk Reiseliv</w:t>
      </w:r>
      <w:r w:rsidRPr="00E426D3">
        <w:t xml:space="preserve"> støtta framlegget om </w:t>
      </w:r>
      <w:proofErr w:type="spellStart"/>
      <w:r w:rsidRPr="00E426D3">
        <w:t>endringar</w:t>
      </w:r>
      <w:proofErr w:type="spellEnd"/>
      <w:r w:rsidRPr="00E426D3">
        <w:t>.</w:t>
      </w:r>
    </w:p>
    <w:p w14:paraId="60BE2CAD" w14:textId="77777777" w:rsidR="00772748" w:rsidRPr="00E426D3" w:rsidRDefault="00772748" w:rsidP="00E426D3">
      <w:r w:rsidRPr="00E426D3">
        <w:t xml:space="preserve">Andre </w:t>
      </w:r>
      <w:proofErr w:type="spellStart"/>
      <w:r w:rsidRPr="00E426D3">
        <w:t>høyringsinstansar</w:t>
      </w:r>
      <w:proofErr w:type="spellEnd"/>
      <w:r w:rsidRPr="00E426D3">
        <w:t xml:space="preserve"> kritiserte framlegget til </w:t>
      </w:r>
      <w:proofErr w:type="spellStart"/>
      <w:r w:rsidRPr="00E426D3">
        <w:t>utvalet</w:t>
      </w:r>
      <w:proofErr w:type="spellEnd"/>
      <w:r w:rsidRPr="00E426D3">
        <w:t xml:space="preserve">, mellom anna </w:t>
      </w:r>
      <w:r w:rsidRPr="00E426D3">
        <w:rPr>
          <w:rStyle w:val="kursiv"/>
        </w:rPr>
        <w:t xml:space="preserve">Advokatfirmaet PWC, </w:t>
      </w:r>
      <w:proofErr w:type="spellStart"/>
      <w:r w:rsidRPr="00E426D3">
        <w:rPr>
          <w:rStyle w:val="kursiv"/>
        </w:rPr>
        <w:t>Deloitte</w:t>
      </w:r>
      <w:proofErr w:type="spellEnd"/>
      <w:r w:rsidRPr="00E426D3">
        <w:rPr>
          <w:rStyle w:val="kursiv"/>
        </w:rPr>
        <w:t>, IKT-Norge, Norges Rederiforbund, NHO, Regnskap Norge, Sjømatbedriftene, Skatteetaten, SMB Norge, Stiftelsen Det Norske Veritas, Storbedriftenes skatteforum</w:t>
      </w:r>
      <w:r w:rsidRPr="00E426D3">
        <w:t xml:space="preserve"> og </w:t>
      </w:r>
      <w:r w:rsidRPr="00E426D3">
        <w:rPr>
          <w:rStyle w:val="kursiv"/>
        </w:rPr>
        <w:t>Verdipapirforetakenes Forbund</w:t>
      </w:r>
      <w:r w:rsidRPr="00E426D3">
        <w:t>.</w:t>
      </w:r>
    </w:p>
    <w:p w14:paraId="7AC4E3E0" w14:textId="77777777" w:rsidR="00772748" w:rsidRPr="00E426D3" w:rsidRDefault="00772748" w:rsidP="00E426D3">
      <w:r w:rsidRPr="00E426D3">
        <w:t xml:space="preserve">Det vert gjort </w:t>
      </w:r>
      <w:proofErr w:type="spellStart"/>
      <w:r w:rsidRPr="00E426D3">
        <w:t>nærare</w:t>
      </w:r>
      <w:proofErr w:type="spellEnd"/>
      <w:r w:rsidRPr="00E426D3">
        <w:t xml:space="preserve"> greie for </w:t>
      </w:r>
      <w:proofErr w:type="spellStart"/>
      <w:r w:rsidRPr="00E426D3">
        <w:t>innvendingane</w:t>
      </w:r>
      <w:proofErr w:type="spellEnd"/>
      <w:r w:rsidRPr="00E426D3">
        <w:t xml:space="preserve"> og </w:t>
      </w:r>
      <w:proofErr w:type="spellStart"/>
      <w:r w:rsidRPr="00E426D3">
        <w:t>innspela</w:t>
      </w:r>
      <w:proofErr w:type="spellEnd"/>
      <w:r w:rsidRPr="00E426D3">
        <w:t xml:space="preserve"> </w:t>
      </w:r>
      <w:proofErr w:type="spellStart"/>
      <w:r w:rsidRPr="00E426D3">
        <w:t>frå</w:t>
      </w:r>
      <w:proofErr w:type="spellEnd"/>
      <w:r w:rsidRPr="00E426D3">
        <w:t xml:space="preserve"> </w:t>
      </w:r>
      <w:proofErr w:type="spellStart"/>
      <w:r w:rsidRPr="00E426D3">
        <w:t>høyringsinstansane</w:t>
      </w:r>
      <w:proofErr w:type="spellEnd"/>
      <w:r w:rsidRPr="00E426D3">
        <w:t xml:space="preserve"> under punkt 11.4.4.</w:t>
      </w:r>
    </w:p>
    <w:p w14:paraId="6E671251" w14:textId="77777777" w:rsidR="00772748" w:rsidRPr="00E426D3" w:rsidRDefault="00772748" w:rsidP="00E426D3">
      <w:pPr>
        <w:pStyle w:val="Overskrift3"/>
      </w:pPr>
      <w:proofErr w:type="spellStart"/>
      <w:r w:rsidRPr="00E426D3">
        <w:t>Vurderingar</w:t>
      </w:r>
      <w:proofErr w:type="spellEnd"/>
    </w:p>
    <w:p w14:paraId="033696B4" w14:textId="77777777" w:rsidR="00772748" w:rsidRPr="00E426D3" w:rsidRDefault="00772748" w:rsidP="00E426D3">
      <w:pPr>
        <w:pStyle w:val="avsnitt-tittel"/>
      </w:pPr>
      <w:r w:rsidRPr="00E426D3">
        <w:t xml:space="preserve">Inkludering av </w:t>
      </w:r>
      <w:proofErr w:type="spellStart"/>
      <w:r w:rsidRPr="00E426D3">
        <w:t>gevinstar</w:t>
      </w:r>
      <w:proofErr w:type="spellEnd"/>
    </w:p>
    <w:p w14:paraId="604032CF" w14:textId="77777777" w:rsidR="00772748" w:rsidRPr="00E426D3" w:rsidRDefault="00772748" w:rsidP="00E426D3">
      <w:r w:rsidRPr="00E426D3">
        <w:t xml:space="preserve">Dagens </w:t>
      </w:r>
      <w:proofErr w:type="spellStart"/>
      <w:r w:rsidRPr="00E426D3">
        <w:t>reglar</w:t>
      </w:r>
      <w:proofErr w:type="spellEnd"/>
      <w:r w:rsidRPr="00E426D3">
        <w:t xml:space="preserve"> </w:t>
      </w:r>
      <w:proofErr w:type="spellStart"/>
      <w:r w:rsidRPr="00E426D3">
        <w:t>inneber</w:t>
      </w:r>
      <w:proofErr w:type="spellEnd"/>
      <w:r w:rsidRPr="00E426D3">
        <w:t xml:space="preserve"> at </w:t>
      </w:r>
      <w:proofErr w:type="spellStart"/>
      <w:r w:rsidRPr="00E426D3">
        <w:t>gevinstar</w:t>
      </w:r>
      <w:proofErr w:type="spellEnd"/>
      <w:r w:rsidRPr="00E426D3">
        <w:t xml:space="preserve"> og </w:t>
      </w:r>
      <w:proofErr w:type="spellStart"/>
      <w:r w:rsidRPr="00E426D3">
        <w:t>utbyte</w:t>
      </w:r>
      <w:proofErr w:type="spellEnd"/>
      <w:r w:rsidRPr="00E426D3">
        <w:t xml:space="preserve"> vert behandla ulikt </w:t>
      </w:r>
      <w:proofErr w:type="spellStart"/>
      <w:r w:rsidRPr="00E426D3">
        <w:t>innanfor</w:t>
      </w:r>
      <w:proofErr w:type="spellEnd"/>
      <w:r w:rsidRPr="00E426D3">
        <w:t xml:space="preserve"> fritaksmetoden. Ulik behandling kan føre til at skattlegginga påverkar </w:t>
      </w:r>
      <w:proofErr w:type="spellStart"/>
      <w:r w:rsidRPr="00E426D3">
        <w:t>selskapsval</w:t>
      </w:r>
      <w:proofErr w:type="spellEnd"/>
      <w:r w:rsidRPr="00E426D3">
        <w:t xml:space="preserve"> og samstundes </w:t>
      </w:r>
      <w:proofErr w:type="spellStart"/>
      <w:r w:rsidRPr="00E426D3">
        <w:t>gje</w:t>
      </w:r>
      <w:proofErr w:type="spellEnd"/>
      <w:r w:rsidRPr="00E426D3">
        <w:t xml:space="preserve"> insentiv til </w:t>
      </w:r>
      <w:r w:rsidRPr="00E426D3">
        <w:lastRenderedPageBreak/>
        <w:t xml:space="preserve">skattemotivert </w:t>
      </w:r>
      <w:proofErr w:type="spellStart"/>
      <w:r w:rsidRPr="00E426D3">
        <w:t>åtferd</w:t>
      </w:r>
      <w:proofErr w:type="spellEnd"/>
      <w:r w:rsidRPr="00E426D3">
        <w:t xml:space="preserve">. Omsynet til nøytralitet </w:t>
      </w:r>
      <w:proofErr w:type="spellStart"/>
      <w:r w:rsidRPr="00E426D3">
        <w:t>tilseier</w:t>
      </w:r>
      <w:proofErr w:type="spellEnd"/>
      <w:r w:rsidRPr="00E426D3">
        <w:t xml:space="preserve"> </w:t>
      </w:r>
      <w:proofErr w:type="spellStart"/>
      <w:r w:rsidRPr="00E426D3">
        <w:t>difor</w:t>
      </w:r>
      <w:proofErr w:type="spellEnd"/>
      <w:r w:rsidRPr="00E426D3">
        <w:t xml:space="preserve"> at </w:t>
      </w:r>
      <w:proofErr w:type="spellStart"/>
      <w:r w:rsidRPr="00E426D3">
        <w:t>gevinstar</w:t>
      </w:r>
      <w:proofErr w:type="spellEnd"/>
      <w:r w:rsidRPr="00E426D3">
        <w:t xml:space="preserve"> vert behandla på same måte som </w:t>
      </w:r>
      <w:proofErr w:type="spellStart"/>
      <w:r w:rsidRPr="00E426D3">
        <w:t>utbyte</w:t>
      </w:r>
      <w:proofErr w:type="spellEnd"/>
      <w:r w:rsidRPr="00E426D3">
        <w:t xml:space="preserve"> </w:t>
      </w:r>
      <w:proofErr w:type="spellStart"/>
      <w:r w:rsidRPr="00E426D3">
        <w:t>innanfor</w:t>
      </w:r>
      <w:proofErr w:type="spellEnd"/>
      <w:r w:rsidRPr="00E426D3">
        <w:t xml:space="preserve"> skattesystemet. Det same </w:t>
      </w:r>
      <w:proofErr w:type="spellStart"/>
      <w:r w:rsidRPr="00E426D3">
        <w:t>gjer</w:t>
      </w:r>
      <w:proofErr w:type="spellEnd"/>
      <w:r w:rsidRPr="00E426D3">
        <w:t xml:space="preserve"> omsynet til </w:t>
      </w:r>
      <w:proofErr w:type="spellStart"/>
      <w:r w:rsidRPr="00E426D3">
        <w:t>samanheng</w:t>
      </w:r>
      <w:proofErr w:type="spellEnd"/>
      <w:r w:rsidRPr="00E426D3">
        <w:t xml:space="preserve"> i regelverket. Når (aktiveringspliktige) </w:t>
      </w:r>
      <w:proofErr w:type="spellStart"/>
      <w:r w:rsidRPr="00E426D3">
        <w:t>kostnadar</w:t>
      </w:r>
      <w:proofErr w:type="spellEnd"/>
      <w:r w:rsidRPr="00E426D3">
        <w:t xml:space="preserve"> knytt til aksjeervervet </w:t>
      </w:r>
      <w:proofErr w:type="spellStart"/>
      <w:r w:rsidRPr="00E426D3">
        <w:t>ikkje</w:t>
      </w:r>
      <w:proofErr w:type="spellEnd"/>
      <w:r w:rsidRPr="00E426D3">
        <w:t xml:space="preserve"> kjem til </w:t>
      </w:r>
      <w:proofErr w:type="spellStart"/>
      <w:r w:rsidRPr="00E426D3">
        <w:t>frådrag</w:t>
      </w:r>
      <w:proofErr w:type="spellEnd"/>
      <w:r w:rsidRPr="00E426D3">
        <w:t xml:space="preserve"> ved realisasjon av aksjen, bør heller </w:t>
      </w:r>
      <w:proofErr w:type="spellStart"/>
      <w:r w:rsidRPr="00E426D3">
        <w:t>ikkje</w:t>
      </w:r>
      <w:proofErr w:type="spellEnd"/>
      <w:r w:rsidRPr="00E426D3">
        <w:t xml:space="preserve"> </w:t>
      </w:r>
      <w:proofErr w:type="spellStart"/>
      <w:r w:rsidRPr="00E426D3">
        <w:t>kostnadar</w:t>
      </w:r>
      <w:proofErr w:type="spellEnd"/>
      <w:r w:rsidRPr="00E426D3">
        <w:t xml:space="preserve"> knytt til aksjeinntektene </w:t>
      </w:r>
      <w:proofErr w:type="spellStart"/>
      <w:r w:rsidRPr="00E426D3">
        <w:t>gje</w:t>
      </w:r>
      <w:proofErr w:type="spellEnd"/>
      <w:r w:rsidRPr="00E426D3">
        <w:t xml:space="preserve"> rett til </w:t>
      </w:r>
      <w:proofErr w:type="spellStart"/>
      <w:r w:rsidRPr="00E426D3">
        <w:t>laupande</w:t>
      </w:r>
      <w:proofErr w:type="spellEnd"/>
      <w:r w:rsidRPr="00E426D3">
        <w:t xml:space="preserve"> </w:t>
      </w:r>
      <w:proofErr w:type="spellStart"/>
      <w:r w:rsidRPr="00E426D3">
        <w:t>frådrag</w:t>
      </w:r>
      <w:proofErr w:type="spellEnd"/>
      <w:r w:rsidRPr="00E426D3">
        <w:t xml:space="preserve">. Departementet meiner </w:t>
      </w:r>
      <w:proofErr w:type="spellStart"/>
      <w:r w:rsidRPr="00E426D3">
        <w:t>difor</w:t>
      </w:r>
      <w:proofErr w:type="spellEnd"/>
      <w:r w:rsidRPr="00E426D3">
        <w:t xml:space="preserve"> at det prinsipielt er riktig å inkludere </w:t>
      </w:r>
      <w:proofErr w:type="spellStart"/>
      <w:r w:rsidRPr="00E426D3">
        <w:t>gevinstar</w:t>
      </w:r>
      <w:proofErr w:type="spellEnd"/>
      <w:r w:rsidRPr="00E426D3">
        <w:t xml:space="preserve"> i </w:t>
      </w:r>
      <w:proofErr w:type="spellStart"/>
      <w:r w:rsidRPr="00E426D3">
        <w:t>treprosentregelen</w:t>
      </w:r>
      <w:proofErr w:type="spellEnd"/>
      <w:r w:rsidRPr="00E426D3">
        <w:t>.</w:t>
      </w:r>
    </w:p>
    <w:p w14:paraId="19EA0A9E" w14:textId="77777777" w:rsidR="00772748" w:rsidRPr="00E426D3" w:rsidRDefault="00772748" w:rsidP="00E426D3">
      <w:r w:rsidRPr="00E426D3">
        <w:t xml:space="preserve">Når </w:t>
      </w:r>
      <w:proofErr w:type="spellStart"/>
      <w:r w:rsidRPr="00E426D3">
        <w:t>ein</w:t>
      </w:r>
      <w:proofErr w:type="spellEnd"/>
      <w:r w:rsidRPr="00E426D3">
        <w:t xml:space="preserve"> skal vurdere om </w:t>
      </w:r>
      <w:proofErr w:type="spellStart"/>
      <w:r w:rsidRPr="00E426D3">
        <w:t>gevinstar</w:t>
      </w:r>
      <w:proofErr w:type="spellEnd"/>
      <w:r w:rsidRPr="00E426D3">
        <w:t xml:space="preserve"> skal </w:t>
      </w:r>
      <w:proofErr w:type="spellStart"/>
      <w:r w:rsidRPr="00E426D3">
        <w:t>vere</w:t>
      </w:r>
      <w:proofErr w:type="spellEnd"/>
      <w:r w:rsidRPr="00E426D3">
        <w:t xml:space="preserve"> omfatta av regelen, bør det </w:t>
      </w:r>
      <w:proofErr w:type="spellStart"/>
      <w:r w:rsidRPr="00E426D3">
        <w:t>sjåast</w:t>
      </w:r>
      <w:proofErr w:type="spellEnd"/>
      <w:r w:rsidRPr="00E426D3">
        <w:t xml:space="preserve"> i samband med </w:t>
      </w:r>
      <w:proofErr w:type="spellStart"/>
      <w:r w:rsidRPr="00E426D3">
        <w:t>satsnivået</w:t>
      </w:r>
      <w:proofErr w:type="spellEnd"/>
      <w:r w:rsidRPr="00E426D3">
        <w:t xml:space="preserve"> for inntektsføringa. </w:t>
      </w:r>
      <w:proofErr w:type="spellStart"/>
      <w:r w:rsidRPr="00E426D3">
        <w:t>Vridingane</w:t>
      </w:r>
      <w:proofErr w:type="spellEnd"/>
      <w:r w:rsidRPr="00E426D3">
        <w:t xml:space="preserve"> som </w:t>
      </w:r>
      <w:proofErr w:type="spellStart"/>
      <w:r w:rsidRPr="00E426D3">
        <w:t>følgje</w:t>
      </w:r>
      <w:proofErr w:type="spellEnd"/>
      <w:r w:rsidRPr="00E426D3">
        <w:t xml:space="preserve"> av at </w:t>
      </w:r>
      <w:proofErr w:type="spellStart"/>
      <w:r w:rsidRPr="00E426D3">
        <w:t>gevinstar</w:t>
      </w:r>
      <w:proofErr w:type="spellEnd"/>
      <w:r w:rsidRPr="00E426D3">
        <w:t xml:space="preserve"> og </w:t>
      </w:r>
      <w:proofErr w:type="spellStart"/>
      <w:r w:rsidRPr="00E426D3">
        <w:t>utbyter</w:t>
      </w:r>
      <w:proofErr w:type="spellEnd"/>
      <w:r w:rsidRPr="00E426D3">
        <w:t xml:space="preserve"> vert behandla ulikt, </w:t>
      </w:r>
      <w:proofErr w:type="spellStart"/>
      <w:r w:rsidRPr="00E426D3">
        <w:t>aukar</w:t>
      </w:r>
      <w:proofErr w:type="spellEnd"/>
      <w:r w:rsidRPr="00E426D3">
        <w:t xml:space="preserve"> når </w:t>
      </w:r>
      <w:proofErr w:type="spellStart"/>
      <w:r w:rsidRPr="00E426D3">
        <w:t>satsnivået</w:t>
      </w:r>
      <w:proofErr w:type="spellEnd"/>
      <w:r w:rsidRPr="00E426D3">
        <w:t xml:space="preserve"> </w:t>
      </w:r>
      <w:proofErr w:type="spellStart"/>
      <w:r w:rsidRPr="00E426D3">
        <w:t>aukar</w:t>
      </w:r>
      <w:proofErr w:type="spellEnd"/>
      <w:r w:rsidRPr="00E426D3">
        <w:t xml:space="preserve">. Selskapsskattesatsen er redusert </w:t>
      </w:r>
      <w:proofErr w:type="spellStart"/>
      <w:r w:rsidRPr="00E426D3">
        <w:t>frå</w:t>
      </w:r>
      <w:proofErr w:type="spellEnd"/>
      <w:r w:rsidRPr="00E426D3">
        <w:t xml:space="preserve"> 28 til 22 pst. </w:t>
      </w:r>
      <w:proofErr w:type="spellStart"/>
      <w:r w:rsidRPr="00E426D3">
        <w:t>dei</w:t>
      </w:r>
      <w:proofErr w:type="spellEnd"/>
      <w:r w:rsidRPr="00E426D3">
        <w:t xml:space="preserve"> </w:t>
      </w:r>
      <w:proofErr w:type="spellStart"/>
      <w:r w:rsidRPr="00E426D3">
        <w:t>seinare</w:t>
      </w:r>
      <w:proofErr w:type="spellEnd"/>
      <w:r w:rsidRPr="00E426D3">
        <w:t xml:space="preserve"> år. Det reduserer </w:t>
      </w:r>
      <w:proofErr w:type="spellStart"/>
      <w:r w:rsidRPr="00E426D3">
        <w:t>vridingane</w:t>
      </w:r>
      <w:proofErr w:type="spellEnd"/>
      <w:r w:rsidRPr="00E426D3">
        <w:t xml:space="preserve">, </w:t>
      </w:r>
      <w:proofErr w:type="spellStart"/>
      <w:r w:rsidRPr="00E426D3">
        <w:t>medan</w:t>
      </w:r>
      <w:proofErr w:type="spellEnd"/>
      <w:r w:rsidRPr="00E426D3">
        <w:t xml:space="preserve"> </w:t>
      </w:r>
      <w:proofErr w:type="spellStart"/>
      <w:r w:rsidRPr="00E426D3">
        <w:t>ein</w:t>
      </w:r>
      <w:proofErr w:type="spellEnd"/>
      <w:r w:rsidRPr="00E426D3">
        <w:t xml:space="preserve"> eventuell </w:t>
      </w:r>
      <w:proofErr w:type="spellStart"/>
      <w:r w:rsidRPr="00E426D3">
        <w:t>auke</w:t>
      </w:r>
      <w:proofErr w:type="spellEnd"/>
      <w:r w:rsidRPr="00E426D3">
        <w:t xml:space="preserve"> av </w:t>
      </w:r>
      <w:proofErr w:type="spellStart"/>
      <w:r w:rsidRPr="00E426D3">
        <w:t>treprosentsatsen</w:t>
      </w:r>
      <w:proofErr w:type="spellEnd"/>
      <w:r w:rsidRPr="00E426D3">
        <w:t xml:space="preserve"> kunne tale for å inkludere </w:t>
      </w:r>
      <w:proofErr w:type="spellStart"/>
      <w:r w:rsidRPr="00E426D3">
        <w:t>gevinstar</w:t>
      </w:r>
      <w:proofErr w:type="spellEnd"/>
      <w:r w:rsidRPr="00E426D3">
        <w:t>.</w:t>
      </w:r>
    </w:p>
    <w:p w14:paraId="42A60A98" w14:textId="77777777" w:rsidR="00772748" w:rsidRPr="00E426D3" w:rsidRDefault="00772748" w:rsidP="00E426D3">
      <w:r w:rsidRPr="00E426D3">
        <w:t xml:space="preserve">På den andre sida </w:t>
      </w:r>
      <w:proofErr w:type="spellStart"/>
      <w:r w:rsidRPr="00E426D3">
        <w:t>finst</w:t>
      </w:r>
      <w:proofErr w:type="spellEnd"/>
      <w:r w:rsidRPr="00E426D3">
        <w:t xml:space="preserve"> det òg omsyn som taler mot å inkludere </w:t>
      </w:r>
      <w:proofErr w:type="spellStart"/>
      <w:r w:rsidRPr="00E426D3">
        <w:t>gevinstar</w:t>
      </w:r>
      <w:proofErr w:type="spellEnd"/>
      <w:r w:rsidRPr="00E426D3">
        <w:t xml:space="preserve">. Som det går fram over, vart </w:t>
      </w:r>
      <w:proofErr w:type="spellStart"/>
      <w:r w:rsidRPr="00E426D3">
        <w:t>gevinstar</w:t>
      </w:r>
      <w:proofErr w:type="spellEnd"/>
      <w:r w:rsidRPr="00E426D3">
        <w:t xml:space="preserve"> </w:t>
      </w:r>
      <w:proofErr w:type="spellStart"/>
      <w:r w:rsidRPr="00E426D3">
        <w:t>unnateke</w:t>
      </w:r>
      <w:proofErr w:type="spellEnd"/>
      <w:r w:rsidRPr="00E426D3">
        <w:t xml:space="preserve"> </w:t>
      </w:r>
      <w:proofErr w:type="spellStart"/>
      <w:r w:rsidRPr="00E426D3">
        <w:t>frå</w:t>
      </w:r>
      <w:proofErr w:type="spellEnd"/>
      <w:r w:rsidRPr="00E426D3">
        <w:t xml:space="preserve"> regelen i 2012, mellom anna under tilvising til administrative </w:t>
      </w:r>
      <w:proofErr w:type="spellStart"/>
      <w:r w:rsidRPr="00E426D3">
        <w:t>forenklingar</w:t>
      </w:r>
      <w:proofErr w:type="spellEnd"/>
      <w:r w:rsidRPr="00E426D3">
        <w:t xml:space="preserve">, </w:t>
      </w:r>
      <w:proofErr w:type="spellStart"/>
      <w:r w:rsidRPr="00E426D3">
        <w:t>manglande</w:t>
      </w:r>
      <w:proofErr w:type="spellEnd"/>
      <w:r w:rsidRPr="00E426D3">
        <w:t xml:space="preserve"> </w:t>
      </w:r>
      <w:proofErr w:type="spellStart"/>
      <w:r w:rsidRPr="00E426D3">
        <w:t>treffsikkerheit</w:t>
      </w:r>
      <w:proofErr w:type="spellEnd"/>
      <w:r w:rsidRPr="00E426D3">
        <w:t xml:space="preserve"> og omsynet til konserninterne </w:t>
      </w:r>
      <w:proofErr w:type="spellStart"/>
      <w:r w:rsidRPr="00E426D3">
        <w:t>omorganiseringar</w:t>
      </w:r>
      <w:proofErr w:type="spellEnd"/>
      <w:r w:rsidRPr="00E426D3">
        <w:t>.</w:t>
      </w:r>
    </w:p>
    <w:p w14:paraId="76F12FB9" w14:textId="77777777" w:rsidR="00772748" w:rsidRPr="00E426D3" w:rsidRDefault="00772748" w:rsidP="00E426D3">
      <w:proofErr w:type="spellStart"/>
      <w:r w:rsidRPr="00E426D3">
        <w:t>Fleire</w:t>
      </w:r>
      <w:proofErr w:type="spellEnd"/>
      <w:r w:rsidRPr="00E426D3">
        <w:t xml:space="preserve"> av </w:t>
      </w:r>
      <w:proofErr w:type="spellStart"/>
      <w:r w:rsidRPr="00E426D3">
        <w:t>høyringsinstansane</w:t>
      </w:r>
      <w:proofErr w:type="spellEnd"/>
      <w:r w:rsidRPr="00E426D3">
        <w:t xml:space="preserve"> til </w:t>
      </w:r>
      <w:proofErr w:type="spellStart"/>
      <w:r w:rsidRPr="00E426D3">
        <w:t>Skatteutvalet</w:t>
      </w:r>
      <w:proofErr w:type="spellEnd"/>
      <w:r w:rsidRPr="00E426D3">
        <w:t xml:space="preserve"> si utgreiing </w:t>
      </w:r>
      <w:proofErr w:type="spellStart"/>
      <w:r w:rsidRPr="00E426D3">
        <w:t>peikte</w:t>
      </w:r>
      <w:proofErr w:type="spellEnd"/>
      <w:r w:rsidRPr="00E426D3">
        <w:t xml:space="preserve"> på at </w:t>
      </w:r>
      <w:proofErr w:type="spellStart"/>
      <w:r w:rsidRPr="00E426D3">
        <w:t>grunngjevinga</w:t>
      </w:r>
      <w:proofErr w:type="spellEnd"/>
      <w:r w:rsidRPr="00E426D3">
        <w:t xml:space="preserve"> som Finansdepartementet gav i 2012, i stor grad framleis </w:t>
      </w:r>
      <w:proofErr w:type="spellStart"/>
      <w:r w:rsidRPr="00E426D3">
        <w:t>gjer</w:t>
      </w:r>
      <w:proofErr w:type="spellEnd"/>
      <w:r w:rsidRPr="00E426D3">
        <w:t xml:space="preserve"> seg </w:t>
      </w:r>
      <w:proofErr w:type="spellStart"/>
      <w:r w:rsidRPr="00E426D3">
        <w:t>gjeldande</w:t>
      </w:r>
      <w:proofErr w:type="spellEnd"/>
      <w:r w:rsidRPr="00E426D3">
        <w:t xml:space="preserve">. Til dømes </w:t>
      </w:r>
      <w:proofErr w:type="spellStart"/>
      <w:r w:rsidRPr="00E426D3">
        <w:t>peikte</w:t>
      </w:r>
      <w:proofErr w:type="spellEnd"/>
      <w:r w:rsidRPr="00E426D3">
        <w:t xml:space="preserve"> </w:t>
      </w:r>
      <w:r w:rsidRPr="00E426D3">
        <w:rPr>
          <w:rStyle w:val="kursiv"/>
        </w:rPr>
        <w:t>Advokatfirmaet PWC</w:t>
      </w:r>
      <w:r w:rsidRPr="00E426D3">
        <w:t xml:space="preserve"> på at inkludering av </w:t>
      </w:r>
      <w:proofErr w:type="spellStart"/>
      <w:r w:rsidRPr="00E426D3">
        <w:t>gevinstar</w:t>
      </w:r>
      <w:proofErr w:type="spellEnd"/>
      <w:r w:rsidRPr="00E426D3">
        <w:t xml:space="preserve"> vil medføre ei stor </w:t>
      </w:r>
      <w:proofErr w:type="spellStart"/>
      <w:r w:rsidRPr="00E426D3">
        <w:t>rapporteringsbyrde</w:t>
      </w:r>
      <w:proofErr w:type="spellEnd"/>
      <w:r w:rsidRPr="00E426D3">
        <w:t xml:space="preserve"> knytt til å </w:t>
      </w:r>
      <w:proofErr w:type="spellStart"/>
      <w:r w:rsidRPr="00E426D3">
        <w:t>kartleggje</w:t>
      </w:r>
      <w:proofErr w:type="spellEnd"/>
      <w:r w:rsidRPr="00E426D3">
        <w:t xml:space="preserve"> historiske skattemessige </w:t>
      </w:r>
      <w:proofErr w:type="spellStart"/>
      <w:r w:rsidRPr="00E426D3">
        <w:t>inngangsverdiar</w:t>
      </w:r>
      <w:proofErr w:type="spellEnd"/>
      <w:r w:rsidRPr="00E426D3">
        <w:t xml:space="preserve">. </w:t>
      </w:r>
      <w:r w:rsidRPr="00E426D3">
        <w:rPr>
          <w:rStyle w:val="kursiv"/>
        </w:rPr>
        <w:t>NHO</w:t>
      </w:r>
      <w:r w:rsidRPr="00E426D3">
        <w:t xml:space="preserve"> uttrykte at inkludering av </w:t>
      </w:r>
      <w:proofErr w:type="spellStart"/>
      <w:r w:rsidRPr="00E426D3">
        <w:t>gevinstar</w:t>
      </w:r>
      <w:proofErr w:type="spellEnd"/>
      <w:r w:rsidRPr="00E426D3">
        <w:t xml:space="preserve"> vil </w:t>
      </w:r>
      <w:proofErr w:type="spellStart"/>
      <w:r w:rsidRPr="00E426D3">
        <w:t>vere</w:t>
      </w:r>
      <w:proofErr w:type="spellEnd"/>
      <w:r w:rsidRPr="00E426D3">
        <w:t xml:space="preserve"> </w:t>
      </w:r>
      <w:proofErr w:type="spellStart"/>
      <w:r w:rsidRPr="00E426D3">
        <w:t>meir</w:t>
      </w:r>
      <w:proofErr w:type="spellEnd"/>
      <w:r w:rsidRPr="00E426D3">
        <w:t xml:space="preserve"> komplisert </w:t>
      </w:r>
      <w:proofErr w:type="spellStart"/>
      <w:r w:rsidRPr="00E426D3">
        <w:t>no</w:t>
      </w:r>
      <w:proofErr w:type="spellEnd"/>
      <w:r w:rsidRPr="00E426D3">
        <w:t xml:space="preserve">, fordi </w:t>
      </w:r>
      <w:proofErr w:type="spellStart"/>
      <w:r w:rsidRPr="00E426D3">
        <w:t>ein</w:t>
      </w:r>
      <w:proofErr w:type="spellEnd"/>
      <w:r w:rsidRPr="00E426D3">
        <w:t xml:space="preserve"> </w:t>
      </w:r>
      <w:proofErr w:type="spellStart"/>
      <w:r w:rsidRPr="00E426D3">
        <w:t>sidan</w:t>
      </w:r>
      <w:proofErr w:type="spellEnd"/>
      <w:r w:rsidRPr="00E426D3">
        <w:t xml:space="preserve"> 2012 </w:t>
      </w:r>
      <w:proofErr w:type="spellStart"/>
      <w:r w:rsidRPr="00E426D3">
        <w:t>ikkje</w:t>
      </w:r>
      <w:proofErr w:type="spellEnd"/>
      <w:r w:rsidRPr="00E426D3">
        <w:t xml:space="preserve"> har hatt behov for å </w:t>
      </w:r>
      <w:proofErr w:type="spellStart"/>
      <w:r w:rsidRPr="00E426D3">
        <w:t>halde</w:t>
      </w:r>
      <w:proofErr w:type="spellEnd"/>
      <w:r w:rsidRPr="00E426D3">
        <w:t xml:space="preserve"> oversikt for å kunne </w:t>
      </w:r>
      <w:proofErr w:type="spellStart"/>
      <w:r w:rsidRPr="00E426D3">
        <w:t>gjere</w:t>
      </w:r>
      <w:proofErr w:type="spellEnd"/>
      <w:r w:rsidRPr="00E426D3">
        <w:t xml:space="preserve"> korrekte framtidige gevinst- og </w:t>
      </w:r>
      <w:proofErr w:type="spellStart"/>
      <w:r w:rsidRPr="00E426D3">
        <w:t>tapsberekningar</w:t>
      </w:r>
      <w:proofErr w:type="spellEnd"/>
      <w:r w:rsidRPr="00E426D3">
        <w:t xml:space="preserve">. </w:t>
      </w:r>
      <w:r w:rsidRPr="00E426D3">
        <w:rPr>
          <w:rStyle w:val="kursiv"/>
        </w:rPr>
        <w:t>Norges Rederiforbund</w:t>
      </w:r>
      <w:r w:rsidRPr="00E426D3">
        <w:t xml:space="preserve"> synte til at det </w:t>
      </w:r>
      <w:proofErr w:type="spellStart"/>
      <w:r w:rsidRPr="00E426D3">
        <w:t>ikkje</w:t>
      </w:r>
      <w:proofErr w:type="spellEnd"/>
      <w:r w:rsidRPr="00E426D3">
        <w:t xml:space="preserve"> er lagt fram ny dokumentasjon som </w:t>
      </w:r>
      <w:proofErr w:type="spellStart"/>
      <w:r w:rsidRPr="00E426D3">
        <w:t>tilseier</w:t>
      </w:r>
      <w:proofErr w:type="spellEnd"/>
      <w:r w:rsidRPr="00E426D3">
        <w:t xml:space="preserve"> ei endra vurdering, og at det </w:t>
      </w:r>
      <w:proofErr w:type="spellStart"/>
      <w:r w:rsidRPr="00E426D3">
        <w:t>ikkje</w:t>
      </w:r>
      <w:proofErr w:type="spellEnd"/>
      <w:r w:rsidRPr="00E426D3">
        <w:t xml:space="preserve"> </w:t>
      </w:r>
      <w:proofErr w:type="spellStart"/>
      <w:r w:rsidRPr="00E426D3">
        <w:t>utan</w:t>
      </w:r>
      <w:proofErr w:type="spellEnd"/>
      <w:r w:rsidRPr="00E426D3">
        <w:t xml:space="preserve"> unntak bør </w:t>
      </w:r>
      <w:proofErr w:type="spellStart"/>
      <w:r w:rsidRPr="00E426D3">
        <w:t>leggjast</w:t>
      </w:r>
      <w:proofErr w:type="spellEnd"/>
      <w:r w:rsidRPr="00E426D3">
        <w:t xml:space="preserve"> til grunn at </w:t>
      </w:r>
      <w:proofErr w:type="spellStart"/>
      <w:r w:rsidRPr="00E426D3">
        <w:t>skattereglane</w:t>
      </w:r>
      <w:proofErr w:type="spellEnd"/>
      <w:r w:rsidRPr="00E426D3">
        <w:t xml:space="preserve"> bør </w:t>
      </w:r>
      <w:proofErr w:type="spellStart"/>
      <w:r w:rsidRPr="00E426D3">
        <w:t>vere</w:t>
      </w:r>
      <w:proofErr w:type="spellEnd"/>
      <w:r w:rsidRPr="00E426D3">
        <w:t xml:space="preserve"> </w:t>
      </w:r>
      <w:proofErr w:type="spellStart"/>
      <w:r w:rsidRPr="00E426D3">
        <w:t>dei</w:t>
      </w:r>
      <w:proofErr w:type="spellEnd"/>
      <w:r w:rsidRPr="00E426D3">
        <w:t xml:space="preserve"> same for </w:t>
      </w:r>
      <w:proofErr w:type="spellStart"/>
      <w:r w:rsidRPr="00E426D3">
        <w:t>gevinstar</w:t>
      </w:r>
      <w:proofErr w:type="spellEnd"/>
      <w:r w:rsidRPr="00E426D3">
        <w:t xml:space="preserve"> og </w:t>
      </w:r>
      <w:proofErr w:type="spellStart"/>
      <w:r w:rsidRPr="00E426D3">
        <w:t>utbyte</w:t>
      </w:r>
      <w:proofErr w:type="spellEnd"/>
      <w:r w:rsidRPr="00E426D3">
        <w:t xml:space="preserve">. </w:t>
      </w:r>
      <w:r w:rsidRPr="00E426D3">
        <w:rPr>
          <w:rStyle w:val="kursiv"/>
        </w:rPr>
        <w:t>Regnskap Norge</w:t>
      </w:r>
      <w:r w:rsidRPr="00E426D3">
        <w:t xml:space="preserve"> og </w:t>
      </w:r>
      <w:r w:rsidRPr="00E426D3">
        <w:rPr>
          <w:rStyle w:val="kursiv"/>
        </w:rPr>
        <w:t>SMB Norge</w:t>
      </w:r>
      <w:r w:rsidRPr="00E426D3">
        <w:t xml:space="preserve"> framheva at inkludering av </w:t>
      </w:r>
      <w:proofErr w:type="spellStart"/>
      <w:r w:rsidRPr="00E426D3">
        <w:t>gevinstar</w:t>
      </w:r>
      <w:proofErr w:type="spellEnd"/>
      <w:r w:rsidRPr="00E426D3">
        <w:t xml:space="preserve"> vil gå imot forenklingsomsyn.</w:t>
      </w:r>
    </w:p>
    <w:p w14:paraId="1DC0C97D" w14:textId="77777777" w:rsidR="00772748" w:rsidRPr="00E426D3" w:rsidRDefault="00772748" w:rsidP="00E426D3">
      <w:pPr>
        <w:rPr>
          <w:rStyle w:val="kursiv"/>
        </w:rPr>
      </w:pPr>
      <w:r w:rsidRPr="00E426D3">
        <w:rPr>
          <w:rStyle w:val="kursiv"/>
        </w:rPr>
        <w:t>Skatteetaten</w:t>
      </w:r>
      <w:r w:rsidRPr="00E426D3">
        <w:t xml:space="preserve"> uttrykte òg at inkludering av </w:t>
      </w:r>
      <w:proofErr w:type="spellStart"/>
      <w:r w:rsidRPr="00E426D3">
        <w:t>gevinstar</w:t>
      </w:r>
      <w:proofErr w:type="spellEnd"/>
      <w:r w:rsidRPr="00E426D3">
        <w:t xml:space="preserve"> vil </w:t>
      </w:r>
      <w:proofErr w:type="spellStart"/>
      <w:r w:rsidRPr="00E426D3">
        <w:t>auke</w:t>
      </w:r>
      <w:proofErr w:type="spellEnd"/>
      <w:r w:rsidRPr="00E426D3">
        <w:t xml:space="preserve"> </w:t>
      </w:r>
      <w:proofErr w:type="spellStart"/>
      <w:r w:rsidRPr="00E426D3">
        <w:t>dei</w:t>
      </w:r>
      <w:proofErr w:type="spellEnd"/>
      <w:r w:rsidRPr="00E426D3">
        <w:t xml:space="preserve"> administrative byrdene både for </w:t>
      </w:r>
      <w:proofErr w:type="spellStart"/>
      <w:r w:rsidRPr="00E426D3">
        <w:t>dei</w:t>
      </w:r>
      <w:proofErr w:type="spellEnd"/>
      <w:r w:rsidRPr="00E426D3">
        <w:t xml:space="preserve"> skattepliktige og for etaten. Skatteetaten har i etterkant av </w:t>
      </w:r>
      <w:proofErr w:type="spellStart"/>
      <w:r w:rsidRPr="00E426D3">
        <w:t>høyringa</w:t>
      </w:r>
      <w:proofErr w:type="spellEnd"/>
      <w:r w:rsidRPr="00E426D3">
        <w:t xml:space="preserve"> utdjupa dette overfor departementet, og har mellom anna opplyst at kvaliteten på </w:t>
      </w:r>
      <w:proofErr w:type="spellStart"/>
      <w:r w:rsidRPr="00E426D3">
        <w:t>inngangsverdiane</w:t>
      </w:r>
      <w:proofErr w:type="spellEnd"/>
      <w:r w:rsidRPr="00E426D3">
        <w:t xml:space="preserve"> som er registrert i Aksjonærregisteret er usikker. Etaten har </w:t>
      </w:r>
      <w:proofErr w:type="spellStart"/>
      <w:r w:rsidRPr="00E426D3">
        <w:t>vidare</w:t>
      </w:r>
      <w:proofErr w:type="spellEnd"/>
      <w:r w:rsidRPr="00E426D3">
        <w:t xml:space="preserve"> uttrykt at </w:t>
      </w:r>
      <w:proofErr w:type="spellStart"/>
      <w:r w:rsidRPr="00E426D3">
        <w:t>selskapsaksjonærar</w:t>
      </w:r>
      <w:proofErr w:type="spellEnd"/>
      <w:r w:rsidRPr="00E426D3">
        <w:t xml:space="preserve"> i utgangspunktet må </w:t>
      </w:r>
      <w:proofErr w:type="spellStart"/>
      <w:r w:rsidRPr="00E426D3">
        <w:t>ventast</w:t>
      </w:r>
      <w:proofErr w:type="spellEnd"/>
      <w:r w:rsidRPr="00E426D3">
        <w:t xml:space="preserve"> å ha oversikt over inngangsverdien på </w:t>
      </w:r>
      <w:proofErr w:type="spellStart"/>
      <w:r w:rsidRPr="00E426D3">
        <w:t>aksjepostane</w:t>
      </w:r>
      <w:proofErr w:type="spellEnd"/>
      <w:r w:rsidRPr="00E426D3">
        <w:t xml:space="preserve"> sine, men at </w:t>
      </w:r>
      <w:proofErr w:type="spellStart"/>
      <w:r w:rsidRPr="00E426D3">
        <w:t>nokre</w:t>
      </w:r>
      <w:proofErr w:type="spellEnd"/>
      <w:r w:rsidRPr="00E426D3">
        <w:t xml:space="preserve"> vil ha behov for å nytte eksterne </w:t>
      </w:r>
      <w:proofErr w:type="spellStart"/>
      <w:r w:rsidRPr="00E426D3">
        <w:t>tenester</w:t>
      </w:r>
      <w:proofErr w:type="spellEnd"/>
      <w:r w:rsidRPr="00E426D3">
        <w:t xml:space="preserve">. </w:t>
      </w:r>
      <w:proofErr w:type="spellStart"/>
      <w:r w:rsidRPr="00E426D3">
        <w:t>Aksjegevinstane</w:t>
      </w:r>
      <w:proofErr w:type="spellEnd"/>
      <w:r w:rsidRPr="00E426D3">
        <w:t xml:space="preserve"> til selskapet etter skatt kan i </w:t>
      </w:r>
      <w:proofErr w:type="spellStart"/>
      <w:r w:rsidRPr="00E426D3">
        <w:t>nokre</w:t>
      </w:r>
      <w:proofErr w:type="spellEnd"/>
      <w:r w:rsidRPr="00E426D3">
        <w:t xml:space="preserve"> tilfelle dermed bli </w:t>
      </w:r>
      <w:proofErr w:type="spellStart"/>
      <w:r w:rsidRPr="00E426D3">
        <w:t>lågare</w:t>
      </w:r>
      <w:proofErr w:type="spellEnd"/>
      <w:r w:rsidRPr="00E426D3">
        <w:t xml:space="preserve"> enn kostnaden med å </w:t>
      </w:r>
      <w:proofErr w:type="spellStart"/>
      <w:r w:rsidRPr="00E426D3">
        <w:t>berekne</w:t>
      </w:r>
      <w:proofErr w:type="spellEnd"/>
      <w:r w:rsidRPr="00E426D3">
        <w:t xml:space="preserve"> gevinsten. Departementet antar </w:t>
      </w:r>
      <w:proofErr w:type="spellStart"/>
      <w:r w:rsidRPr="00E426D3">
        <w:t>dessutan</w:t>
      </w:r>
      <w:proofErr w:type="spellEnd"/>
      <w:r w:rsidRPr="00E426D3">
        <w:t xml:space="preserve"> at </w:t>
      </w:r>
      <w:proofErr w:type="spellStart"/>
      <w:r w:rsidRPr="00E426D3">
        <w:t>ein</w:t>
      </w:r>
      <w:proofErr w:type="spellEnd"/>
      <w:r w:rsidRPr="00E426D3">
        <w:t xml:space="preserve"> del </w:t>
      </w:r>
      <w:proofErr w:type="spellStart"/>
      <w:r w:rsidRPr="00E426D3">
        <w:t>selskapsaksjonærar</w:t>
      </w:r>
      <w:proofErr w:type="spellEnd"/>
      <w:r w:rsidRPr="00E426D3">
        <w:t xml:space="preserve"> kan ha </w:t>
      </w:r>
      <w:proofErr w:type="spellStart"/>
      <w:r w:rsidRPr="00E426D3">
        <w:t>vanskar</w:t>
      </w:r>
      <w:proofErr w:type="spellEnd"/>
      <w:r w:rsidRPr="00E426D3">
        <w:t xml:space="preserve"> med å skaffe oversikt over skattemessige </w:t>
      </w:r>
      <w:proofErr w:type="spellStart"/>
      <w:r w:rsidRPr="00E426D3">
        <w:t>inngangsverdiar</w:t>
      </w:r>
      <w:proofErr w:type="spellEnd"/>
      <w:r w:rsidRPr="00E426D3">
        <w:t xml:space="preserve">. Det vil typisk gjelde for </w:t>
      </w:r>
      <w:proofErr w:type="spellStart"/>
      <w:r w:rsidRPr="00E426D3">
        <w:t>aksjar</w:t>
      </w:r>
      <w:proofErr w:type="spellEnd"/>
      <w:r w:rsidRPr="00E426D3">
        <w:t xml:space="preserve"> skaffa langt tilbake i tid, og </w:t>
      </w:r>
      <w:proofErr w:type="spellStart"/>
      <w:r w:rsidRPr="00E426D3">
        <w:t>aksjar</w:t>
      </w:r>
      <w:proofErr w:type="spellEnd"/>
      <w:r w:rsidRPr="00E426D3">
        <w:t xml:space="preserve"> som er arva eller overført ved </w:t>
      </w:r>
      <w:proofErr w:type="spellStart"/>
      <w:r w:rsidRPr="00E426D3">
        <w:t>gåve</w:t>
      </w:r>
      <w:proofErr w:type="spellEnd"/>
      <w:r w:rsidRPr="00E426D3">
        <w:t xml:space="preserve"> med kontinuitet.</w:t>
      </w:r>
    </w:p>
    <w:p w14:paraId="07FE8EDD" w14:textId="77777777" w:rsidR="00772748" w:rsidRPr="00E426D3" w:rsidRDefault="00772748" w:rsidP="00E426D3">
      <w:proofErr w:type="spellStart"/>
      <w:r w:rsidRPr="00E426D3">
        <w:t>Fleire</w:t>
      </w:r>
      <w:proofErr w:type="spellEnd"/>
      <w:r w:rsidRPr="00E426D3">
        <w:t xml:space="preserve"> av </w:t>
      </w:r>
      <w:proofErr w:type="spellStart"/>
      <w:r w:rsidRPr="00E426D3">
        <w:t>høyringsinstansane</w:t>
      </w:r>
      <w:proofErr w:type="spellEnd"/>
      <w:r w:rsidRPr="00E426D3">
        <w:t xml:space="preserve"> </w:t>
      </w:r>
      <w:proofErr w:type="spellStart"/>
      <w:r w:rsidRPr="00E426D3">
        <w:t>peikte</w:t>
      </w:r>
      <w:proofErr w:type="spellEnd"/>
      <w:r w:rsidRPr="00E426D3">
        <w:t xml:space="preserve"> på at framlegget om å inkludere </w:t>
      </w:r>
      <w:proofErr w:type="spellStart"/>
      <w:r w:rsidRPr="00E426D3">
        <w:t>gevinstar</w:t>
      </w:r>
      <w:proofErr w:type="spellEnd"/>
      <w:r w:rsidRPr="00E426D3">
        <w:t xml:space="preserve"> kan </w:t>
      </w:r>
      <w:proofErr w:type="spellStart"/>
      <w:r w:rsidRPr="00E426D3">
        <w:t>gje</w:t>
      </w:r>
      <w:proofErr w:type="spellEnd"/>
      <w:r w:rsidRPr="00E426D3">
        <w:t xml:space="preserve"> selskap i </w:t>
      </w:r>
      <w:proofErr w:type="spellStart"/>
      <w:r w:rsidRPr="00E426D3">
        <w:t>Noreg</w:t>
      </w:r>
      <w:proofErr w:type="spellEnd"/>
      <w:r w:rsidRPr="00E426D3">
        <w:t xml:space="preserve"> ei konkurranseulempe. </w:t>
      </w:r>
      <w:proofErr w:type="spellStart"/>
      <w:r w:rsidRPr="00E426D3">
        <w:rPr>
          <w:rStyle w:val="kursiv"/>
        </w:rPr>
        <w:t>Deloitte</w:t>
      </w:r>
      <w:proofErr w:type="spellEnd"/>
      <w:r w:rsidRPr="00E426D3">
        <w:t xml:space="preserve"> </w:t>
      </w:r>
      <w:proofErr w:type="spellStart"/>
      <w:r w:rsidRPr="00E426D3">
        <w:t>peikte</w:t>
      </w:r>
      <w:proofErr w:type="spellEnd"/>
      <w:r w:rsidRPr="00E426D3">
        <w:t xml:space="preserve"> på at svært få land skattlegg </w:t>
      </w:r>
      <w:proofErr w:type="spellStart"/>
      <w:r w:rsidRPr="00E426D3">
        <w:t>aksjegevinstar</w:t>
      </w:r>
      <w:proofErr w:type="spellEnd"/>
      <w:r w:rsidRPr="00E426D3">
        <w:t xml:space="preserve"> under fritaksmetoden. </w:t>
      </w:r>
      <w:r w:rsidRPr="00E426D3">
        <w:rPr>
          <w:rStyle w:val="kursiv"/>
        </w:rPr>
        <w:t>IKT-Norge</w:t>
      </w:r>
      <w:r w:rsidRPr="00E426D3">
        <w:t xml:space="preserve"> meinte at framlegget kan medføre at </w:t>
      </w:r>
      <w:proofErr w:type="spellStart"/>
      <w:r w:rsidRPr="00E426D3">
        <w:t>investeringar</w:t>
      </w:r>
      <w:proofErr w:type="spellEnd"/>
      <w:r w:rsidRPr="00E426D3">
        <w:t xml:space="preserve"> og kapitalinnhenting i teknologiselskap vert </w:t>
      </w:r>
      <w:proofErr w:type="spellStart"/>
      <w:r w:rsidRPr="00E426D3">
        <w:t>vanskelegare</w:t>
      </w:r>
      <w:proofErr w:type="spellEnd"/>
      <w:r w:rsidRPr="00E426D3">
        <w:t xml:space="preserve">. </w:t>
      </w:r>
      <w:r w:rsidRPr="00E426D3">
        <w:rPr>
          <w:rStyle w:val="kursiv"/>
        </w:rPr>
        <w:t>Storbedriftenes skatteforum</w:t>
      </w:r>
      <w:r w:rsidRPr="00E426D3">
        <w:t xml:space="preserve"> meinte at framlegget vil </w:t>
      </w:r>
      <w:proofErr w:type="spellStart"/>
      <w:r w:rsidRPr="00E426D3">
        <w:t>gjere</w:t>
      </w:r>
      <w:proofErr w:type="spellEnd"/>
      <w:r w:rsidRPr="00E426D3">
        <w:t xml:space="preserve"> </w:t>
      </w:r>
      <w:proofErr w:type="spellStart"/>
      <w:r w:rsidRPr="00E426D3">
        <w:t>Noreg</w:t>
      </w:r>
      <w:proofErr w:type="spellEnd"/>
      <w:r w:rsidRPr="00E426D3">
        <w:t xml:space="preserve"> mindre attraktivt for </w:t>
      </w:r>
      <w:proofErr w:type="spellStart"/>
      <w:r w:rsidRPr="00E426D3">
        <w:t>investeringar</w:t>
      </w:r>
      <w:proofErr w:type="spellEnd"/>
      <w:r w:rsidRPr="00E426D3">
        <w:t xml:space="preserve">, og </w:t>
      </w:r>
      <w:proofErr w:type="spellStart"/>
      <w:r w:rsidRPr="00E426D3">
        <w:t>peikte</w:t>
      </w:r>
      <w:proofErr w:type="spellEnd"/>
      <w:r w:rsidRPr="00E426D3">
        <w:t xml:space="preserve"> på at nabolanda våre </w:t>
      </w:r>
      <w:proofErr w:type="spellStart"/>
      <w:r w:rsidRPr="00E426D3">
        <w:t>ikkje</w:t>
      </w:r>
      <w:proofErr w:type="spellEnd"/>
      <w:r w:rsidRPr="00E426D3">
        <w:t xml:space="preserve"> har </w:t>
      </w:r>
      <w:proofErr w:type="spellStart"/>
      <w:r w:rsidRPr="00E426D3">
        <w:t>ein</w:t>
      </w:r>
      <w:proofErr w:type="spellEnd"/>
      <w:r w:rsidRPr="00E426D3">
        <w:t xml:space="preserve"> slik sjablongregel. </w:t>
      </w:r>
      <w:proofErr w:type="spellStart"/>
      <w:r w:rsidRPr="00E426D3">
        <w:rPr>
          <w:rStyle w:val="kursiv"/>
        </w:rPr>
        <w:t>Deloitte</w:t>
      </w:r>
      <w:proofErr w:type="spellEnd"/>
      <w:r w:rsidRPr="00E426D3">
        <w:t xml:space="preserve"> </w:t>
      </w:r>
      <w:proofErr w:type="spellStart"/>
      <w:r w:rsidRPr="00E426D3">
        <w:t>peikte</w:t>
      </w:r>
      <w:proofErr w:type="spellEnd"/>
      <w:r w:rsidRPr="00E426D3">
        <w:t xml:space="preserve"> òg på at framlegget kan føre til at det for </w:t>
      </w:r>
      <w:proofErr w:type="spellStart"/>
      <w:r w:rsidRPr="00E426D3">
        <w:t>nokre</w:t>
      </w:r>
      <w:proofErr w:type="spellEnd"/>
      <w:r w:rsidRPr="00E426D3">
        <w:t xml:space="preserve"> vert aktuelt å investere via selskap </w:t>
      </w:r>
      <w:proofErr w:type="spellStart"/>
      <w:r w:rsidRPr="00E426D3">
        <w:t>heimehøyrande</w:t>
      </w:r>
      <w:proofErr w:type="spellEnd"/>
      <w:r w:rsidRPr="00E426D3">
        <w:t xml:space="preserve"> i andre land, kor </w:t>
      </w:r>
      <w:proofErr w:type="spellStart"/>
      <w:r w:rsidRPr="00E426D3">
        <w:t>Noreg</w:t>
      </w:r>
      <w:proofErr w:type="spellEnd"/>
      <w:r w:rsidRPr="00E426D3">
        <w:t xml:space="preserve"> </w:t>
      </w:r>
      <w:proofErr w:type="spellStart"/>
      <w:r w:rsidRPr="00E426D3">
        <w:t>ikkje</w:t>
      </w:r>
      <w:proofErr w:type="spellEnd"/>
      <w:r w:rsidRPr="00E426D3">
        <w:t xml:space="preserve"> har heimel for å </w:t>
      </w:r>
      <w:proofErr w:type="spellStart"/>
      <w:r w:rsidRPr="00E426D3">
        <w:t>skattleggje</w:t>
      </w:r>
      <w:proofErr w:type="spellEnd"/>
      <w:r w:rsidRPr="00E426D3">
        <w:t xml:space="preserve"> </w:t>
      </w:r>
      <w:proofErr w:type="spellStart"/>
      <w:r w:rsidRPr="00E426D3">
        <w:t>gevinstar</w:t>
      </w:r>
      <w:proofErr w:type="spellEnd"/>
      <w:r w:rsidRPr="00E426D3">
        <w:t xml:space="preserve">. Båe </w:t>
      </w:r>
      <w:proofErr w:type="spellStart"/>
      <w:r w:rsidRPr="00E426D3">
        <w:t>desse</w:t>
      </w:r>
      <w:proofErr w:type="spellEnd"/>
      <w:r w:rsidRPr="00E426D3">
        <w:t xml:space="preserve"> </w:t>
      </w:r>
      <w:proofErr w:type="spellStart"/>
      <w:r w:rsidRPr="00E426D3">
        <w:t>moglege</w:t>
      </w:r>
      <w:proofErr w:type="spellEnd"/>
      <w:r w:rsidRPr="00E426D3">
        <w:t xml:space="preserve"> </w:t>
      </w:r>
      <w:proofErr w:type="spellStart"/>
      <w:r w:rsidRPr="00E426D3">
        <w:t>konsekvensane</w:t>
      </w:r>
      <w:proofErr w:type="spellEnd"/>
      <w:r w:rsidRPr="00E426D3">
        <w:t xml:space="preserve"> kan </w:t>
      </w:r>
      <w:proofErr w:type="spellStart"/>
      <w:r w:rsidRPr="00E426D3">
        <w:t>vere</w:t>
      </w:r>
      <w:proofErr w:type="spellEnd"/>
      <w:r w:rsidRPr="00E426D3">
        <w:t xml:space="preserve"> uheldige, men det er uklart i kva grad </w:t>
      </w:r>
      <w:proofErr w:type="spellStart"/>
      <w:r w:rsidRPr="00E426D3">
        <w:t>dei</w:t>
      </w:r>
      <w:proofErr w:type="spellEnd"/>
      <w:r w:rsidRPr="00E426D3">
        <w:t xml:space="preserve"> vil </w:t>
      </w:r>
      <w:proofErr w:type="spellStart"/>
      <w:r w:rsidRPr="00E426D3">
        <w:t>gjere</w:t>
      </w:r>
      <w:proofErr w:type="spellEnd"/>
      <w:r w:rsidRPr="00E426D3">
        <w:t xml:space="preserve"> seg </w:t>
      </w:r>
      <w:proofErr w:type="spellStart"/>
      <w:r w:rsidRPr="00E426D3">
        <w:t>gjeldande</w:t>
      </w:r>
      <w:proofErr w:type="spellEnd"/>
      <w:r w:rsidRPr="00E426D3">
        <w:t>.</w:t>
      </w:r>
    </w:p>
    <w:p w14:paraId="4BBB6E94" w14:textId="77777777" w:rsidR="00772748" w:rsidRPr="00E426D3" w:rsidRDefault="00772748" w:rsidP="00E426D3">
      <w:r w:rsidRPr="00E426D3">
        <w:lastRenderedPageBreak/>
        <w:t xml:space="preserve">I </w:t>
      </w:r>
      <w:proofErr w:type="spellStart"/>
      <w:r w:rsidRPr="00E426D3">
        <w:t>høyringsrunden</w:t>
      </w:r>
      <w:proofErr w:type="spellEnd"/>
      <w:r w:rsidRPr="00E426D3">
        <w:t xml:space="preserve"> </w:t>
      </w:r>
      <w:proofErr w:type="spellStart"/>
      <w:r w:rsidRPr="00E426D3">
        <w:t>vart</w:t>
      </w:r>
      <w:proofErr w:type="spellEnd"/>
      <w:r w:rsidRPr="00E426D3">
        <w:t xml:space="preserve"> det </w:t>
      </w:r>
      <w:proofErr w:type="spellStart"/>
      <w:r w:rsidRPr="00E426D3">
        <w:t>frå</w:t>
      </w:r>
      <w:proofErr w:type="spellEnd"/>
      <w:r w:rsidRPr="00E426D3">
        <w:t xml:space="preserve"> </w:t>
      </w:r>
      <w:proofErr w:type="spellStart"/>
      <w:r w:rsidRPr="00E426D3">
        <w:t>fleire</w:t>
      </w:r>
      <w:proofErr w:type="spellEnd"/>
      <w:r w:rsidRPr="00E426D3">
        <w:t xml:space="preserve"> hald </w:t>
      </w:r>
      <w:proofErr w:type="spellStart"/>
      <w:r w:rsidRPr="00E426D3">
        <w:t>peikt</w:t>
      </w:r>
      <w:proofErr w:type="spellEnd"/>
      <w:r w:rsidRPr="00E426D3">
        <w:t xml:space="preserve"> på at sjablongmessig inntektsføring av </w:t>
      </w:r>
      <w:proofErr w:type="spellStart"/>
      <w:r w:rsidRPr="00E426D3">
        <w:t>gevinstar</w:t>
      </w:r>
      <w:proofErr w:type="spellEnd"/>
      <w:r w:rsidRPr="00E426D3">
        <w:t xml:space="preserve"> kan medføre ei vriding </w:t>
      </w:r>
      <w:proofErr w:type="spellStart"/>
      <w:r w:rsidRPr="00E426D3">
        <w:t>frå</w:t>
      </w:r>
      <w:proofErr w:type="spellEnd"/>
      <w:r w:rsidRPr="00E426D3">
        <w:t xml:space="preserve"> </w:t>
      </w:r>
      <w:proofErr w:type="spellStart"/>
      <w:r w:rsidRPr="00E426D3">
        <w:t>aksjesal</w:t>
      </w:r>
      <w:proofErr w:type="spellEnd"/>
      <w:r w:rsidRPr="00E426D3">
        <w:t xml:space="preserve"> til </w:t>
      </w:r>
      <w:proofErr w:type="spellStart"/>
      <w:r w:rsidRPr="00E426D3">
        <w:t>fusjonar</w:t>
      </w:r>
      <w:proofErr w:type="spellEnd"/>
      <w:r w:rsidRPr="00E426D3">
        <w:t>/</w:t>
      </w:r>
      <w:proofErr w:type="spellStart"/>
      <w:r w:rsidRPr="00E426D3">
        <w:t>fisjonar</w:t>
      </w:r>
      <w:proofErr w:type="spellEnd"/>
      <w:r w:rsidRPr="00E426D3">
        <w:t xml:space="preserve"> eller andre </w:t>
      </w:r>
      <w:proofErr w:type="spellStart"/>
      <w:r w:rsidRPr="00E426D3">
        <w:t>fordyrande</w:t>
      </w:r>
      <w:proofErr w:type="spellEnd"/>
      <w:r w:rsidRPr="00E426D3">
        <w:t xml:space="preserve"> og </w:t>
      </w:r>
      <w:proofErr w:type="spellStart"/>
      <w:r w:rsidRPr="00E426D3">
        <w:t>kompliserande</w:t>
      </w:r>
      <w:proofErr w:type="spellEnd"/>
      <w:r w:rsidRPr="00E426D3">
        <w:t xml:space="preserve"> </w:t>
      </w:r>
      <w:proofErr w:type="spellStart"/>
      <w:r w:rsidRPr="00E426D3">
        <w:t>framgangsmåtar</w:t>
      </w:r>
      <w:proofErr w:type="spellEnd"/>
      <w:r w:rsidRPr="00E426D3">
        <w:t xml:space="preserve"> ved til dømes </w:t>
      </w:r>
      <w:proofErr w:type="spellStart"/>
      <w:r w:rsidRPr="00E426D3">
        <w:t>omorganiseringar</w:t>
      </w:r>
      <w:proofErr w:type="spellEnd"/>
      <w:r w:rsidRPr="00E426D3">
        <w:t xml:space="preserve">. Departementet </w:t>
      </w:r>
      <w:proofErr w:type="spellStart"/>
      <w:r w:rsidRPr="00E426D3">
        <w:t>legg</w:t>
      </w:r>
      <w:proofErr w:type="spellEnd"/>
      <w:r w:rsidRPr="00E426D3">
        <w:t xml:space="preserve"> til grunn at enkelte </w:t>
      </w:r>
      <w:proofErr w:type="spellStart"/>
      <w:r w:rsidRPr="00E426D3">
        <w:t>skatteytarar</w:t>
      </w:r>
      <w:proofErr w:type="spellEnd"/>
      <w:r w:rsidRPr="00E426D3">
        <w:t xml:space="preserve"> vil bruke </w:t>
      </w:r>
      <w:proofErr w:type="spellStart"/>
      <w:r w:rsidRPr="00E426D3">
        <w:t>ressursar</w:t>
      </w:r>
      <w:proofErr w:type="spellEnd"/>
      <w:r w:rsidRPr="00E426D3">
        <w:t xml:space="preserve"> på å </w:t>
      </w:r>
      <w:proofErr w:type="spellStart"/>
      <w:r w:rsidRPr="00E426D3">
        <w:t>skatteoptimalisere</w:t>
      </w:r>
      <w:proofErr w:type="spellEnd"/>
      <w:r w:rsidRPr="00E426D3">
        <w:t xml:space="preserve"> selskapsstruktur og transaksjonsmønster. Det er likevel </w:t>
      </w:r>
      <w:proofErr w:type="spellStart"/>
      <w:r w:rsidRPr="00E426D3">
        <w:t>noko</w:t>
      </w:r>
      <w:proofErr w:type="spellEnd"/>
      <w:r w:rsidRPr="00E426D3">
        <w:t xml:space="preserve"> avgrensa kva selskap kan oppnå av innsparing ved til dømes å utfisjonere </w:t>
      </w:r>
      <w:proofErr w:type="spellStart"/>
      <w:r w:rsidRPr="00E426D3">
        <w:t>eigendelar</w:t>
      </w:r>
      <w:proofErr w:type="spellEnd"/>
      <w:r w:rsidRPr="00E426D3">
        <w:t xml:space="preserve"> framfor å selje </w:t>
      </w:r>
      <w:proofErr w:type="spellStart"/>
      <w:r w:rsidRPr="00E426D3">
        <w:t>aksjane</w:t>
      </w:r>
      <w:proofErr w:type="spellEnd"/>
      <w:r w:rsidRPr="00E426D3">
        <w:t xml:space="preserve">. Det </w:t>
      </w:r>
      <w:proofErr w:type="spellStart"/>
      <w:r w:rsidRPr="00E426D3">
        <w:t>skuldast</w:t>
      </w:r>
      <w:proofErr w:type="spellEnd"/>
      <w:r w:rsidRPr="00E426D3">
        <w:t xml:space="preserve"> at den effektive skattesatsen med dagens </w:t>
      </w:r>
      <w:proofErr w:type="spellStart"/>
      <w:r w:rsidRPr="00E426D3">
        <w:t>treprosentregel</w:t>
      </w:r>
      <w:proofErr w:type="spellEnd"/>
      <w:r w:rsidRPr="00E426D3">
        <w:t xml:space="preserve"> </w:t>
      </w:r>
      <w:proofErr w:type="spellStart"/>
      <w:r w:rsidRPr="00E426D3">
        <w:t>berre</w:t>
      </w:r>
      <w:proofErr w:type="spellEnd"/>
      <w:r w:rsidRPr="00E426D3">
        <w:t xml:space="preserve"> er 0,66 pst., og at det òg kan </w:t>
      </w:r>
      <w:proofErr w:type="spellStart"/>
      <w:r w:rsidRPr="00E426D3">
        <w:t>vere</w:t>
      </w:r>
      <w:proofErr w:type="spellEnd"/>
      <w:r w:rsidRPr="00E426D3">
        <w:t xml:space="preserve"> </w:t>
      </w:r>
      <w:proofErr w:type="spellStart"/>
      <w:r w:rsidRPr="00E426D3">
        <w:t>kostnadskrevjande</w:t>
      </w:r>
      <w:proofErr w:type="spellEnd"/>
      <w:r w:rsidRPr="00E426D3">
        <w:t xml:space="preserve"> å gjennomføre </w:t>
      </w:r>
      <w:proofErr w:type="spellStart"/>
      <w:r w:rsidRPr="00E426D3">
        <w:t>ein</w:t>
      </w:r>
      <w:proofErr w:type="spellEnd"/>
      <w:r w:rsidRPr="00E426D3">
        <w:t xml:space="preserve"> fisjon.</w:t>
      </w:r>
    </w:p>
    <w:p w14:paraId="708E09BE" w14:textId="77777777" w:rsidR="00772748" w:rsidRPr="00E426D3" w:rsidRDefault="00772748" w:rsidP="00E426D3">
      <w:proofErr w:type="spellStart"/>
      <w:r w:rsidRPr="00E426D3">
        <w:t>Skatteutvalet</w:t>
      </w:r>
      <w:proofErr w:type="spellEnd"/>
      <w:r w:rsidRPr="00E426D3">
        <w:t xml:space="preserve"> synte til at det </w:t>
      </w:r>
      <w:proofErr w:type="spellStart"/>
      <w:r w:rsidRPr="00E426D3">
        <w:t>såkalla</w:t>
      </w:r>
      <w:proofErr w:type="spellEnd"/>
      <w:r w:rsidRPr="00E426D3">
        <w:t xml:space="preserve"> konsernunntaket i </w:t>
      </w:r>
      <w:proofErr w:type="spellStart"/>
      <w:r w:rsidRPr="00E426D3">
        <w:t>treprosentregelen</w:t>
      </w:r>
      <w:proofErr w:type="spellEnd"/>
      <w:r w:rsidRPr="00E426D3">
        <w:t xml:space="preserve"> i </w:t>
      </w:r>
      <w:proofErr w:type="spellStart"/>
      <w:r w:rsidRPr="00E426D3">
        <w:t>nokon</w:t>
      </w:r>
      <w:proofErr w:type="spellEnd"/>
      <w:r w:rsidRPr="00E426D3">
        <w:t xml:space="preserve"> grad </w:t>
      </w:r>
      <w:proofErr w:type="spellStart"/>
      <w:r w:rsidRPr="00E426D3">
        <w:t>bidreg</w:t>
      </w:r>
      <w:proofErr w:type="spellEnd"/>
      <w:r w:rsidRPr="00E426D3">
        <w:t xml:space="preserve"> til å avhjelpe </w:t>
      </w:r>
      <w:proofErr w:type="spellStart"/>
      <w:r w:rsidRPr="00E426D3">
        <w:t>utfordringane</w:t>
      </w:r>
      <w:proofErr w:type="spellEnd"/>
      <w:r w:rsidRPr="00E426D3">
        <w:t xml:space="preserve"> knytt til </w:t>
      </w:r>
      <w:proofErr w:type="spellStart"/>
      <w:r w:rsidRPr="00E426D3">
        <w:t>omorganiseringar</w:t>
      </w:r>
      <w:proofErr w:type="spellEnd"/>
      <w:r w:rsidRPr="00E426D3">
        <w:t xml:space="preserve"> i konsern. Som </w:t>
      </w:r>
      <w:proofErr w:type="spellStart"/>
      <w:r w:rsidRPr="00E426D3">
        <w:t>peikt</w:t>
      </w:r>
      <w:proofErr w:type="spellEnd"/>
      <w:r w:rsidRPr="00E426D3">
        <w:t xml:space="preserve"> på av </w:t>
      </w:r>
      <w:r w:rsidRPr="00E426D3">
        <w:rPr>
          <w:rStyle w:val="kursiv"/>
        </w:rPr>
        <w:t>Stiftelsen Det Norske Veritas</w:t>
      </w:r>
      <w:r w:rsidRPr="00E426D3">
        <w:t xml:space="preserve"> i </w:t>
      </w:r>
      <w:proofErr w:type="spellStart"/>
      <w:r w:rsidRPr="00E426D3">
        <w:t>høyringa</w:t>
      </w:r>
      <w:proofErr w:type="spellEnd"/>
      <w:r w:rsidRPr="00E426D3">
        <w:t xml:space="preserve">, gjeld dette likevel </w:t>
      </w:r>
      <w:proofErr w:type="spellStart"/>
      <w:r w:rsidRPr="00E426D3">
        <w:t>ikkje</w:t>
      </w:r>
      <w:proofErr w:type="spellEnd"/>
      <w:r w:rsidRPr="00E426D3">
        <w:t xml:space="preserve"> for til dømes </w:t>
      </w:r>
      <w:proofErr w:type="spellStart"/>
      <w:r w:rsidRPr="00E426D3">
        <w:t>næringsdrivande</w:t>
      </w:r>
      <w:proofErr w:type="spellEnd"/>
      <w:r w:rsidRPr="00E426D3">
        <w:t xml:space="preserve"> </w:t>
      </w:r>
      <w:proofErr w:type="spellStart"/>
      <w:r w:rsidRPr="00E426D3">
        <w:t>stiftingar</w:t>
      </w:r>
      <w:proofErr w:type="spellEnd"/>
      <w:r w:rsidRPr="00E426D3">
        <w:t xml:space="preserve">, som </w:t>
      </w:r>
      <w:proofErr w:type="spellStart"/>
      <w:r w:rsidRPr="00E426D3">
        <w:t>ikkje</w:t>
      </w:r>
      <w:proofErr w:type="spellEnd"/>
      <w:r w:rsidRPr="00E426D3">
        <w:t xml:space="preserve"> er omfatta av konsernunntaket. Inkludering av </w:t>
      </w:r>
      <w:proofErr w:type="spellStart"/>
      <w:r w:rsidRPr="00E426D3">
        <w:t>gevinstar</w:t>
      </w:r>
      <w:proofErr w:type="spellEnd"/>
      <w:r w:rsidRPr="00E426D3">
        <w:t xml:space="preserve"> kan </w:t>
      </w:r>
      <w:proofErr w:type="spellStart"/>
      <w:r w:rsidRPr="00E426D3">
        <w:t>dessutan</w:t>
      </w:r>
      <w:proofErr w:type="spellEnd"/>
      <w:r w:rsidRPr="00E426D3">
        <w:t xml:space="preserve"> </w:t>
      </w:r>
      <w:proofErr w:type="spellStart"/>
      <w:r w:rsidRPr="00E426D3">
        <w:t>gje</w:t>
      </w:r>
      <w:proofErr w:type="spellEnd"/>
      <w:r w:rsidRPr="00E426D3">
        <w:t xml:space="preserve"> (</w:t>
      </w:r>
      <w:proofErr w:type="spellStart"/>
      <w:r w:rsidRPr="00E426D3">
        <w:t>ytterlegare</w:t>
      </w:r>
      <w:proofErr w:type="spellEnd"/>
      <w:r w:rsidRPr="00E426D3">
        <w:t xml:space="preserve">) insentiv til å </w:t>
      </w:r>
      <w:proofErr w:type="spellStart"/>
      <w:r w:rsidRPr="00E426D3">
        <w:t>kome</w:t>
      </w:r>
      <w:proofErr w:type="spellEnd"/>
      <w:r w:rsidRPr="00E426D3">
        <w:t xml:space="preserve"> </w:t>
      </w:r>
      <w:proofErr w:type="spellStart"/>
      <w:r w:rsidRPr="00E426D3">
        <w:t>innanfor</w:t>
      </w:r>
      <w:proofErr w:type="spellEnd"/>
      <w:r w:rsidRPr="00E426D3">
        <w:t xml:space="preserve"> unntaket for skattekonsern. For at aksjeselskap mv. skal </w:t>
      </w:r>
      <w:proofErr w:type="spellStart"/>
      <w:r w:rsidRPr="00E426D3">
        <w:t>utgjere</w:t>
      </w:r>
      <w:proofErr w:type="spellEnd"/>
      <w:r w:rsidRPr="00E426D3">
        <w:t xml:space="preserve"> </w:t>
      </w:r>
      <w:proofErr w:type="spellStart"/>
      <w:r w:rsidRPr="00E426D3">
        <w:t>eit</w:t>
      </w:r>
      <w:proofErr w:type="spellEnd"/>
      <w:r w:rsidRPr="00E426D3">
        <w:t xml:space="preserve"> skattekonsern, må visse vilkår </w:t>
      </w:r>
      <w:proofErr w:type="spellStart"/>
      <w:r w:rsidRPr="00E426D3">
        <w:t>vere</w:t>
      </w:r>
      <w:proofErr w:type="spellEnd"/>
      <w:r w:rsidRPr="00E426D3">
        <w:t xml:space="preserve"> oppfylt. </w:t>
      </w:r>
      <w:proofErr w:type="spellStart"/>
      <w:r w:rsidRPr="00E426D3">
        <w:t>Eit</w:t>
      </w:r>
      <w:proofErr w:type="spellEnd"/>
      <w:r w:rsidRPr="00E426D3">
        <w:t xml:space="preserve"> selskap må mellom anna eige </w:t>
      </w:r>
      <w:proofErr w:type="spellStart"/>
      <w:r w:rsidRPr="00E426D3">
        <w:t>meir</w:t>
      </w:r>
      <w:proofErr w:type="spellEnd"/>
      <w:r w:rsidRPr="00E426D3">
        <w:t xml:space="preserve"> enn 90 pst. av </w:t>
      </w:r>
      <w:proofErr w:type="spellStart"/>
      <w:r w:rsidRPr="00E426D3">
        <w:t>aksjane</w:t>
      </w:r>
      <w:proofErr w:type="spellEnd"/>
      <w:r w:rsidRPr="00E426D3">
        <w:t xml:space="preserve"> og ha stemmerett for </w:t>
      </w:r>
      <w:proofErr w:type="spellStart"/>
      <w:r w:rsidRPr="00E426D3">
        <w:t>meir</w:t>
      </w:r>
      <w:proofErr w:type="spellEnd"/>
      <w:r w:rsidRPr="00E426D3">
        <w:t xml:space="preserve"> enn 90 pst. av </w:t>
      </w:r>
      <w:proofErr w:type="spellStart"/>
      <w:r w:rsidRPr="00E426D3">
        <w:t>aksjane</w:t>
      </w:r>
      <w:proofErr w:type="spellEnd"/>
      <w:r w:rsidRPr="00E426D3">
        <w:t xml:space="preserve"> i minst </w:t>
      </w:r>
      <w:proofErr w:type="spellStart"/>
      <w:r w:rsidRPr="00E426D3">
        <w:t>eitt</w:t>
      </w:r>
      <w:proofErr w:type="spellEnd"/>
      <w:r w:rsidRPr="00E426D3">
        <w:t xml:space="preserve"> anna selskap. Om </w:t>
      </w:r>
      <w:proofErr w:type="spellStart"/>
      <w:r w:rsidRPr="00E426D3">
        <w:t>gevinstar</w:t>
      </w:r>
      <w:proofErr w:type="spellEnd"/>
      <w:r w:rsidRPr="00E426D3">
        <w:t xml:space="preserve"> vert inkludert i </w:t>
      </w:r>
      <w:proofErr w:type="spellStart"/>
      <w:r w:rsidRPr="00E426D3">
        <w:t>treprosentregelen</w:t>
      </w:r>
      <w:proofErr w:type="spellEnd"/>
      <w:r w:rsidRPr="00E426D3">
        <w:t xml:space="preserve">, vil det kunne føre til at </w:t>
      </w:r>
      <w:proofErr w:type="spellStart"/>
      <w:r w:rsidRPr="00E426D3">
        <w:t>fleire</w:t>
      </w:r>
      <w:proofErr w:type="spellEnd"/>
      <w:r w:rsidRPr="00E426D3">
        <w:t xml:space="preserve"> vel å organisere seg slik at </w:t>
      </w:r>
      <w:proofErr w:type="spellStart"/>
      <w:r w:rsidRPr="00E426D3">
        <w:t>dei</w:t>
      </w:r>
      <w:proofErr w:type="spellEnd"/>
      <w:r w:rsidRPr="00E426D3">
        <w:t xml:space="preserve"> oppfyller dette </w:t>
      </w:r>
      <w:proofErr w:type="spellStart"/>
      <w:r w:rsidRPr="00E426D3">
        <w:t>eigar</w:t>
      </w:r>
      <w:proofErr w:type="spellEnd"/>
      <w:r w:rsidRPr="00E426D3">
        <w:t xml:space="preserve">- og stemmekravet. Det treng </w:t>
      </w:r>
      <w:proofErr w:type="spellStart"/>
      <w:r w:rsidRPr="00E426D3">
        <w:t>ikkje</w:t>
      </w:r>
      <w:proofErr w:type="spellEnd"/>
      <w:r w:rsidRPr="00E426D3">
        <w:t xml:space="preserve"> </w:t>
      </w:r>
      <w:proofErr w:type="spellStart"/>
      <w:r w:rsidRPr="00E426D3">
        <w:t>vere</w:t>
      </w:r>
      <w:proofErr w:type="spellEnd"/>
      <w:r w:rsidRPr="00E426D3">
        <w:t xml:space="preserve"> forretningsmessig og samfunnsøkonomisk </w:t>
      </w:r>
      <w:proofErr w:type="spellStart"/>
      <w:r w:rsidRPr="00E426D3">
        <w:t>føremålstenleg</w:t>
      </w:r>
      <w:proofErr w:type="spellEnd"/>
      <w:r w:rsidRPr="00E426D3">
        <w:t>.</w:t>
      </w:r>
    </w:p>
    <w:p w14:paraId="1418A008" w14:textId="77777777" w:rsidR="00772748" w:rsidRPr="00E426D3" w:rsidRDefault="00772748" w:rsidP="00E426D3">
      <w:r w:rsidRPr="00E426D3">
        <w:t xml:space="preserve">På bakgrunn av det </w:t>
      </w:r>
      <w:proofErr w:type="spellStart"/>
      <w:r w:rsidRPr="00E426D3">
        <w:t>ovannemnde</w:t>
      </w:r>
      <w:proofErr w:type="spellEnd"/>
      <w:r w:rsidRPr="00E426D3">
        <w:t xml:space="preserve"> legg departementet til grunn at inkludering av </w:t>
      </w:r>
      <w:proofErr w:type="spellStart"/>
      <w:r w:rsidRPr="00E426D3">
        <w:t>gevinstar</w:t>
      </w:r>
      <w:proofErr w:type="spellEnd"/>
      <w:r w:rsidRPr="00E426D3">
        <w:t xml:space="preserve"> i </w:t>
      </w:r>
      <w:proofErr w:type="spellStart"/>
      <w:r w:rsidRPr="00E426D3">
        <w:t>treprosentregelen</w:t>
      </w:r>
      <w:proofErr w:type="spellEnd"/>
      <w:r w:rsidRPr="00E426D3">
        <w:t xml:space="preserve"> vil </w:t>
      </w:r>
      <w:proofErr w:type="spellStart"/>
      <w:r w:rsidRPr="00E426D3">
        <w:t>gje</w:t>
      </w:r>
      <w:proofErr w:type="spellEnd"/>
      <w:r w:rsidRPr="00E426D3">
        <w:t xml:space="preserve"> </w:t>
      </w:r>
      <w:proofErr w:type="spellStart"/>
      <w:r w:rsidRPr="00E426D3">
        <w:t>auka</w:t>
      </w:r>
      <w:proofErr w:type="spellEnd"/>
      <w:r w:rsidRPr="00E426D3">
        <w:t xml:space="preserve"> administrative </w:t>
      </w:r>
      <w:proofErr w:type="spellStart"/>
      <w:r w:rsidRPr="00E426D3">
        <w:t>utfordringar</w:t>
      </w:r>
      <w:proofErr w:type="spellEnd"/>
      <w:r w:rsidRPr="00E426D3">
        <w:t xml:space="preserve"> og </w:t>
      </w:r>
      <w:proofErr w:type="spellStart"/>
      <w:r w:rsidRPr="00E426D3">
        <w:t>kostnadar</w:t>
      </w:r>
      <w:proofErr w:type="spellEnd"/>
      <w:r w:rsidRPr="00E426D3">
        <w:t xml:space="preserve"> både for </w:t>
      </w:r>
      <w:proofErr w:type="spellStart"/>
      <w:r w:rsidRPr="00E426D3">
        <w:t>ein</w:t>
      </w:r>
      <w:proofErr w:type="spellEnd"/>
      <w:r w:rsidRPr="00E426D3">
        <w:t xml:space="preserve"> del skattepliktige og for Skatteetaten. Omsynet til </w:t>
      </w:r>
      <w:proofErr w:type="spellStart"/>
      <w:r w:rsidRPr="00E426D3">
        <w:t>eit</w:t>
      </w:r>
      <w:proofErr w:type="spellEnd"/>
      <w:r w:rsidRPr="00E426D3">
        <w:t xml:space="preserve"> enkelt og praktiserbart regelverk taler </w:t>
      </w:r>
      <w:proofErr w:type="spellStart"/>
      <w:r w:rsidRPr="00E426D3">
        <w:t>difor</w:t>
      </w:r>
      <w:proofErr w:type="spellEnd"/>
      <w:r w:rsidRPr="00E426D3">
        <w:t xml:space="preserve"> mot å inkludere </w:t>
      </w:r>
      <w:proofErr w:type="spellStart"/>
      <w:r w:rsidRPr="00E426D3">
        <w:t>gevinstar</w:t>
      </w:r>
      <w:proofErr w:type="spellEnd"/>
      <w:r w:rsidRPr="00E426D3">
        <w:t xml:space="preserve">. Omsynet til å </w:t>
      </w:r>
      <w:proofErr w:type="spellStart"/>
      <w:r w:rsidRPr="00E426D3">
        <w:t>leggje</w:t>
      </w:r>
      <w:proofErr w:type="spellEnd"/>
      <w:r w:rsidRPr="00E426D3">
        <w:t xml:space="preserve"> til rette for </w:t>
      </w:r>
      <w:proofErr w:type="spellStart"/>
      <w:r w:rsidRPr="00E426D3">
        <w:t>føremålstenlege</w:t>
      </w:r>
      <w:proofErr w:type="spellEnd"/>
      <w:r w:rsidRPr="00E426D3">
        <w:t xml:space="preserve"> </w:t>
      </w:r>
      <w:proofErr w:type="spellStart"/>
      <w:r w:rsidRPr="00E426D3">
        <w:t>selskapsstrukturar</w:t>
      </w:r>
      <w:proofErr w:type="spellEnd"/>
      <w:r w:rsidRPr="00E426D3">
        <w:t xml:space="preserve"> og </w:t>
      </w:r>
      <w:proofErr w:type="spellStart"/>
      <w:r w:rsidRPr="00E426D3">
        <w:t>eigarsamansetjingar</w:t>
      </w:r>
      <w:proofErr w:type="spellEnd"/>
      <w:r w:rsidRPr="00E426D3">
        <w:t xml:space="preserve"> taler òg mot å inkludere </w:t>
      </w:r>
      <w:proofErr w:type="spellStart"/>
      <w:r w:rsidRPr="00E426D3">
        <w:t>gevinstar</w:t>
      </w:r>
      <w:proofErr w:type="spellEnd"/>
      <w:r w:rsidRPr="00E426D3">
        <w:t xml:space="preserve">. Departementet syner </w:t>
      </w:r>
      <w:proofErr w:type="spellStart"/>
      <w:r w:rsidRPr="00E426D3">
        <w:t>vidare</w:t>
      </w:r>
      <w:proofErr w:type="spellEnd"/>
      <w:r w:rsidRPr="00E426D3">
        <w:t xml:space="preserve"> til at </w:t>
      </w:r>
      <w:proofErr w:type="spellStart"/>
      <w:r w:rsidRPr="00E426D3">
        <w:t>treprosentregelen</w:t>
      </w:r>
      <w:proofErr w:type="spellEnd"/>
      <w:r w:rsidRPr="00E426D3">
        <w:t xml:space="preserve"> er </w:t>
      </w:r>
      <w:proofErr w:type="spellStart"/>
      <w:r w:rsidRPr="00E426D3">
        <w:t>ein</w:t>
      </w:r>
      <w:proofErr w:type="spellEnd"/>
      <w:r w:rsidRPr="00E426D3">
        <w:t xml:space="preserve"> sjablongregel, som aldri vil treffe heilt. Då </w:t>
      </w:r>
      <w:proofErr w:type="spellStart"/>
      <w:r w:rsidRPr="00E426D3">
        <w:t>gevinstar</w:t>
      </w:r>
      <w:proofErr w:type="spellEnd"/>
      <w:r w:rsidRPr="00E426D3">
        <w:t xml:space="preserve"> vart unntatt </w:t>
      </w:r>
      <w:proofErr w:type="spellStart"/>
      <w:r w:rsidRPr="00E426D3">
        <w:t>frå</w:t>
      </w:r>
      <w:proofErr w:type="spellEnd"/>
      <w:r w:rsidRPr="00E426D3">
        <w:t xml:space="preserve"> </w:t>
      </w:r>
      <w:proofErr w:type="spellStart"/>
      <w:r w:rsidRPr="00E426D3">
        <w:t>treprosentregelen</w:t>
      </w:r>
      <w:proofErr w:type="spellEnd"/>
      <w:r w:rsidRPr="00E426D3">
        <w:t xml:space="preserve"> i 2012, la departementet vekt på at sjablongregelen </w:t>
      </w:r>
      <w:proofErr w:type="spellStart"/>
      <w:r w:rsidRPr="00E426D3">
        <w:t>særleg</w:t>
      </w:r>
      <w:proofErr w:type="spellEnd"/>
      <w:r w:rsidRPr="00E426D3">
        <w:t xml:space="preserve"> kunne </w:t>
      </w:r>
      <w:proofErr w:type="spellStart"/>
      <w:r w:rsidRPr="00E426D3">
        <w:t>vere</w:t>
      </w:r>
      <w:proofErr w:type="spellEnd"/>
      <w:r w:rsidRPr="00E426D3">
        <w:t xml:space="preserve"> lite treffsikker ved realisasjon av </w:t>
      </w:r>
      <w:proofErr w:type="spellStart"/>
      <w:r w:rsidRPr="00E426D3">
        <w:t>aksjepostar</w:t>
      </w:r>
      <w:proofErr w:type="spellEnd"/>
      <w:r w:rsidRPr="00E426D3">
        <w:t xml:space="preserve"> med store, latente </w:t>
      </w:r>
      <w:proofErr w:type="spellStart"/>
      <w:r w:rsidRPr="00E426D3">
        <w:t>gevinstar</w:t>
      </w:r>
      <w:proofErr w:type="spellEnd"/>
      <w:r w:rsidRPr="00E426D3">
        <w:t xml:space="preserve">. Departementet meiner at dette framleis </w:t>
      </w:r>
      <w:proofErr w:type="spellStart"/>
      <w:r w:rsidRPr="00E426D3">
        <w:t>gjer</w:t>
      </w:r>
      <w:proofErr w:type="spellEnd"/>
      <w:r w:rsidRPr="00E426D3">
        <w:t xml:space="preserve"> seg </w:t>
      </w:r>
      <w:proofErr w:type="spellStart"/>
      <w:r w:rsidRPr="00E426D3">
        <w:t>gjeldande</w:t>
      </w:r>
      <w:proofErr w:type="spellEnd"/>
      <w:r w:rsidRPr="00E426D3">
        <w:t xml:space="preserve">, og at det er uheldig om skattebelastninga vert </w:t>
      </w:r>
      <w:proofErr w:type="spellStart"/>
      <w:r w:rsidRPr="00E426D3">
        <w:t>dårleg</w:t>
      </w:r>
      <w:proofErr w:type="spellEnd"/>
      <w:r w:rsidRPr="00E426D3">
        <w:t xml:space="preserve"> avpassa i høve til </w:t>
      </w:r>
      <w:proofErr w:type="spellStart"/>
      <w:r w:rsidRPr="00E426D3">
        <w:t>kostnadane</w:t>
      </w:r>
      <w:proofErr w:type="spellEnd"/>
      <w:r w:rsidRPr="00E426D3">
        <w:t xml:space="preserve"> som aksjonæren faktisk har </w:t>
      </w:r>
      <w:proofErr w:type="spellStart"/>
      <w:r w:rsidRPr="00E426D3">
        <w:t>frådragsført</w:t>
      </w:r>
      <w:proofErr w:type="spellEnd"/>
      <w:r w:rsidRPr="00E426D3">
        <w:t>.</w:t>
      </w:r>
    </w:p>
    <w:p w14:paraId="0FC01CDD" w14:textId="77777777" w:rsidR="00772748" w:rsidRPr="00E426D3" w:rsidRDefault="00772748" w:rsidP="00E426D3">
      <w:r w:rsidRPr="00E426D3">
        <w:t xml:space="preserve">Etter ei samla vurdering tilrår departementet </w:t>
      </w:r>
      <w:proofErr w:type="spellStart"/>
      <w:r w:rsidRPr="00E426D3">
        <w:t>difor</w:t>
      </w:r>
      <w:proofErr w:type="spellEnd"/>
      <w:r w:rsidRPr="00E426D3">
        <w:t xml:space="preserve"> </w:t>
      </w:r>
      <w:proofErr w:type="spellStart"/>
      <w:r w:rsidRPr="00E426D3">
        <w:t>ikkje</w:t>
      </w:r>
      <w:proofErr w:type="spellEnd"/>
      <w:r w:rsidRPr="00E426D3">
        <w:t xml:space="preserve"> å utvide </w:t>
      </w:r>
      <w:proofErr w:type="spellStart"/>
      <w:r w:rsidRPr="00E426D3">
        <w:t>treprosentregelen</w:t>
      </w:r>
      <w:proofErr w:type="spellEnd"/>
      <w:r w:rsidRPr="00E426D3">
        <w:t xml:space="preserve"> til òg å gjelde </w:t>
      </w:r>
      <w:proofErr w:type="spellStart"/>
      <w:r w:rsidRPr="00E426D3">
        <w:t>gevinstar</w:t>
      </w:r>
      <w:proofErr w:type="spellEnd"/>
      <w:r w:rsidRPr="00E426D3">
        <w:t>.</w:t>
      </w:r>
    </w:p>
    <w:p w14:paraId="58200879" w14:textId="77777777" w:rsidR="00772748" w:rsidRPr="00E426D3" w:rsidRDefault="00772748" w:rsidP="00E426D3">
      <w:pPr>
        <w:pStyle w:val="avsnitt-tittel"/>
      </w:pPr>
      <w:proofErr w:type="spellStart"/>
      <w:r w:rsidRPr="00E426D3">
        <w:t>Auke</w:t>
      </w:r>
      <w:proofErr w:type="spellEnd"/>
      <w:r w:rsidRPr="00E426D3">
        <w:t xml:space="preserve"> av sats</w:t>
      </w:r>
    </w:p>
    <w:p w14:paraId="5FF20104" w14:textId="77777777" w:rsidR="00772748" w:rsidRPr="00E426D3" w:rsidRDefault="00772748" w:rsidP="00E426D3">
      <w:r w:rsidRPr="00E426D3">
        <w:t xml:space="preserve">I </w:t>
      </w:r>
      <w:proofErr w:type="spellStart"/>
      <w:proofErr w:type="gramStart"/>
      <w:r w:rsidRPr="00E426D3">
        <w:t>si</w:t>
      </w:r>
      <w:proofErr w:type="spellEnd"/>
      <w:r w:rsidRPr="00E426D3">
        <w:t xml:space="preserve"> grunngjeving</w:t>
      </w:r>
      <w:proofErr w:type="gramEnd"/>
      <w:r w:rsidRPr="00E426D3">
        <w:t xml:space="preserve"> for framlegget om å </w:t>
      </w:r>
      <w:proofErr w:type="spellStart"/>
      <w:r w:rsidRPr="00E426D3">
        <w:t>auke</w:t>
      </w:r>
      <w:proofErr w:type="spellEnd"/>
      <w:r w:rsidRPr="00E426D3">
        <w:t xml:space="preserve"> satsen </w:t>
      </w:r>
      <w:proofErr w:type="spellStart"/>
      <w:r w:rsidRPr="00E426D3">
        <w:t>frå</w:t>
      </w:r>
      <w:proofErr w:type="spellEnd"/>
      <w:r w:rsidRPr="00E426D3">
        <w:t xml:space="preserve"> tre til fem pst., </w:t>
      </w:r>
      <w:proofErr w:type="spellStart"/>
      <w:r w:rsidRPr="00E426D3">
        <w:t>peikte</w:t>
      </w:r>
      <w:proofErr w:type="spellEnd"/>
      <w:r w:rsidRPr="00E426D3">
        <w:t xml:space="preserve"> </w:t>
      </w:r>
      <w:proofErr w:type="spellStart"/>
      <w:r w:rsidRPr="00E426D3">
        <w:t>Skatteutvalet</w:t>
      </w:r>
      <w:proofErr w:type="spellEnd"/>
      <w:r w:rsidRPr="00E426D3">
        <w:t xml:space="preserve"> på at enkelte andre land har ei inntektsføring på fem pst. </w:t>
      </w:r>
      <w:proofErr w:type="spellStart"/>
      <w:r w:rsidRPr="00E426D3">
        <w:t>Fleire</w:t>
      </w:r>
      <w:proofErr w:type="spellEnd"/>
      <w:r w:rsidRPr="00E426D3">
        <w:t xml:space="preserve"> av </w:t>
      </w:r>
      <w:proofErr w:type="spellStart"/>
      <w:r w:rsidRPr="00E426D3">
        <w:t>høyringsinstansane</w:t>
      </w:r>
      <w:proofErr w:type="spellEnd"/>
      <w:r w:rsidRPr="00E426D3">
        <w:t xml:space="preserve"> hadde merknader til dette.</w:t>
      </w:r>
    </w:p>
    <w:p w14:paraId="621DE858" w14:textId="77777777" w:rsidR="00772748" w:rsidRPr="00E426D3" w:rsidRDefault="00772748" w:rsidP="00E426D3">
      <w:pPr>
        <w:rPr>
          <w:rStyle w:val="kursiv"/>
        </w:rPr>
      </w:pPr>
      <w:proofErr w:type="spellStart"/>
      <w:r w:rsidRPr="00E426D3">
        <w:rPr>
          <w:rStyle w:val="kursiv"/>
        </w:rPr>
        <w:t>Deloitte</w:t>
      </w:r>
      <w:proofErr w:type="spellEnd"/>
      <w:r w:rsidRPr="00E426D3">
        <w:t xml:space="preserve"> meinte at framlegget er lite </w:t>
      </w:r>
      <w:proofErr w:type="spellStart"/>
      <w:r w:rsidRPr="00E426D3">
        <w:t>overtydande</w:t>
      </w:r>
      <w:proofErr w:type="spellEnd"/>
      <w:r w:rsidRPr="00E426D3">
        <w:t xml:space="preserve"> grunngitt. Dei synte til at </w:t>
      </w:r>
      <w:proofErr w:type="spellStart"/>
      <w:r w:rsidRPr="00E426D3">
        <w:t>dei</w:t>
      </w:r>
      <w:proofErr w:type="spellEnd"/>
      <w:r w:rsidRPr="00E426D3">
        <w:t xml:space="preserve"> fleste land vi normalt </w:t>
      </w:r>
      <w:proofErr w:type="spellStart"/>
      <w:r w:rsidRPr="00E426D3">
        <w:t>samanliknar</w:t>
      </w:r>
      <w:proofErr w:type="spellEnd"/>
      <w:r w:rsidRPr="00E426D3">
        <w:t xml:space="preserve"> oss med, </w:t>
      </w:r>
      <w:proofErr w:type="spellStart"/>
      <w:r w:rsidRPr="00E426D3">
        <w:t>anten</w:t>
      </w:r>
      <w:proofErr w:type="spellEnd"/>
      <w:r w:rsidRPr="00E426D3">
        <w:t xml:space="preserve"> </w:t>
      </w:r>
      <w:proofErr w:type="spellStart"/>
      <w:r w:rsidRPr="00E426D3">
        <w:t>ikkje</w:t>
      </w:r>
      <w:proofErr w:type="spellEnd"/>
      <w:r w:rsidRPr="00E426D3">
        <w:t xml:space="preserve"> har skattlegging av </w:t>
      </w:r>
      <w:proofErr w:type="spellStart"/>
      <w:r w:rsidRPr="00E426D3">
        <w:t>utbyte</w:t>
      </w:r>
      <w:proofErr w:type="spellEnd"/>
      <w:r w:rsidRPr="00E426D3">
        <w:t xml:space="preserve"> i selskapssektoren eller har </w:t>
      </w:r>
      <w:proofErr w:type="spellStart"/>
      <w:r w:rsidRPr="00E426D3">
        <w:t>ein</w:t>
      </w:r>
      <w:proofErr w:type="spellEnd"/>
      <w:r w:rsidRPr="00E426D3">
        <w:t xml:space="preserve"> </w:t>
      </w:r>
      <w:proofErr w:type="spellStart"/>
      <w:r w:rsidRPr="00E426D3">
        <w:t>lågare</w:t>
      </w:r>
      <w:proofErr w:type="spellEnd"/>
      <w:r w:rsidRPr="00E426D3">
        <w:t xml:space="preserve"> sats. </w:t>
      </w:r>
      <w:r w:rsidRPr="00E426D3">
        <w:rPr>
          <w:rStyle w:val="kursiv"/>
        </w:rPr>
        <w:t>Sjømatbedriftene</w:t>
      </w:r>
      <w:r w:rsidRPr="00E426D3">
        <w:t xml:space="preserve"> meinte at </w:t>
      </w:r>
      <w:proofErr w:type="spellStart"/>
      <w:r w:rsidRPr="00E426D3">
        <w:t>utvalet</w:t>
      </w:r>
      <w:proofErr w:type="spellEnd"/>
      <w:r w:rsidRPr="00E426D3">
        <w:t xml:space="preserve"> </w:t>
      </w:r>
      <w:proofErr w:type="spellStart"/>
      <w:r w:rsidRPr="00E426D3">
        <w:t>ikkje</w:t>
      </w:r>
      <w:proofErr w:type="spellEnd"/>
      <w:r w:rsidRPr="00E426D3">
        <w:t xml:space="preserve"> grunngir godt å </w:t>
      </w:r>
      <w:proofErr w:type="spellStart"/>
      <w:r w:rsidRPr="00E426D3">
        <w:t>auke</w:t>
      </w:r>
      <w:proofErr w:type="spellEnd"/>
      <w:r w:rsidRPr="00E426D3">
        <w:t xml:space="preserve"> satsen. </w:t>
      </w:r>
      <w:r w:rsidRPr="00E426D3">
        <w:rPr>
          <w:rStyle w:val="kursiv"/>
        </w:rPr>
        <w:t>Norges Rederiforbund</w:t>
      </w:r>
      <w:r w:rsidRPr="00E426D3">
        <w:t xml:space="preserve"> synte til forarbeida til </w:t>
      </w:r>
      <w:proofErr w:type="spellStart"/>
      <w:r w:rsidRPr="00E426D3">
        <w:t>treprosentregelen</w:t>
      </w:r>
      <w:proofErr w:type="spellEnd"/>
      <w:r w:rsidRPr="00E426D3">
        <w:t xml:space="preserve">, der regelen er skildra som </w:t>
      </w:r>
      <w:proofErr w:type="spellStart"/>
      <w:r w:rsidRPr="00E426D3">
        <w:t>ein</w:t>
      </w:r>
      <w:proofErr w:type="spellEnd"/>
      <w:r w:rsidRPr="00E426D3">
        <w:t xml:space="preserve"> «grov sjablong» og at den er lite treffsikker i enkelttilfelle. Det vart </w:t>
      </w:r>
      <w:proofErr w:type="spellStart"/>
      <w:r w:rsidRPr="00E426D3">
        <w:t>vidare</w:t>
      </w:r>
      <w:proofErr w:type="spellEnd"/>
      <w:r w:rsidRPr="00E426D3">
        <w:t xml:space="preserve"> </w:t>
      </w:r>
      <w:proofErr w:type="spellStart"/>
      <w:r w:rsidRPr="00E426D3">
        <w:t>peikt</w:t>
      </w:r>
      <w:proofErr w:type="spellEnd"/>
      <w:r w:rsidRPr="00E426D3">
        <w:t xml:space="preserve"> på at det </w:t>
      </w:r>
      <w:proofErr w:type="spellStart"/>
      <w:r w:rsidRPr="00E426D3">
        <w:t>ikkje</w:t>
      </w:r>
      <w:proofErr w:type="spellEnd"/>
      <w:r w:rsidRPr="00E426D3">
        <w:t xml:space="preserve"> er lagt fram ny dokumentasjon som </w:t>
      </w:r>
      <w:proofErr w:type="spellStart"/>
      <w:r w:rsidRPr="00E426D3">
        <w:t>tilseier</w:t>
      </w:r>
      <w:proofErr w:type="spellEnd"/>
      <w:r w:rsidRPr="00E426D3">
        <w:t xml:space="preserve"> ei endra vurdering, og at dette taler for at satsen </w:t>
      </w:r>
      <w:proofErr w:type="spellStart"/>
      <w:r w:rsidRPr="00E426D3">
        <w:t>ikkje</w:t>
      </w:r>
      <w:proofErr w:type="spellEnd"/>
      <w:r w:rsidRPr="00E426D3">
        <w:t xml:space="preserve"> bør </w:t>
      </w:r>
      <w:proofErr w:type="spellStart"/>
      <w:r w:rsidRPr="00E426D3">
        <w:t>vere</w:t>
      </w:r>
      <w:proofErr w:type="spellEnd"/>
      <w:r w:rsidRPr="00E426D3">
        <w:t xml:space="preserve"> for </w:t>
      </w:r>
      <w:proofErr w:type="spellStart"/>
      <w:r w:rsidRPr="00E426D3">
        <w:t>høg</w:t>
      </w:r>
      <w:proofErr w:type="spellEnd"/>
      <w:r w:rsidRPr="00E426D3">
        <w:t xml:space="preserve">. </w:t>
      </w:r>
      <w:r w:rsidRPr="00E426D3">
        <w:rPr>
          <w:rStyle w:val="kursiv"/>
        </w:rPr>
        <w:t>Storbedriftenes skatteforum</w:t>
      </w:r>
      <w:r w:rsidRPr="00E426D3">
        <w:t xml:space="preserve"> bad departementet vurdere om det er </w:t>
      </w:r>
      <w:proofErr w:type="spellStart"/>
      <w:r w:rsidRPr="00E426D3">
        <w:t>meir</w:t>
      </w:r>
      <w:proofErr w:type="spellEnd"/>
      <w:r w:rsidRPr="00E426D3">
        <w:t xml:space="preserve"> </w:t>
      </w:r>
      <w:proofErr w:type="spellStart"/>
      <w:r w:rsidRPr="00E426D3">
        <w:lastRenderedPageBreak/>
        <w:t>naturleg</w:t>
      </w:r>
      <w:proofErr w:type="spellEnd"/>
      <w:r w:rsidRPr="00E426D3">
        <w:t xml:space="preserve"> å </w:t>
      </w:r>
      <w:proofErr w:type="spellStart"/>
      <w:r w:rsidRPr="00E426D3">
        <w:t>samanlikne</w:t>
      </w:r>
      <w:proofErr w:type="spellEnd"/>
      <w:r w:rsidRPr="00E426D3">
        <w:t xml:space="preserve"> </w:t>
      </w:r>
      <w:proofErr w:type="spellStart"/>
      <w:r w:rsidRPr="00E426D3">
        <w:t>Noreg</w:t>
      </w:r>
      <w:proofErr w:type="spellEnd"/>
      <w:r w:rsidRPr="00E426D3">
        <w:t xml:space="preserve"> med våre naboland, som </w:t>
      </w:r>
      <w:proofErr w:type="spellStart"/>
      <w:r w:rsidRPr="00E426D3">
        <w:t>ikkje</w:t>
      </w:r>
      <w:proofErr w:type="spellEnd"/>
      <w:r w:rsidRPr="00E426D3">
        <w:t xml:space="preserve"> har </w:t>
      </w:r>
      <w:proofErr w:type="spellStart"/>
      <w:r w:rsidRPr="00E426D3">
        <w:t>ein</w:t>
      </w:r>
      <w:proofErr w:type="spellEnd"/>
      <w:r w:rsidRPr="00E426D3">
        <w:t xml:space="preserve"> slik sjablongregel, og om ei </w:t>
      </w:r>
      <w:proofErr w:type="spellStart"/>
      <w:r w:rsidRPr="00E426D3">
        <w:t>auke</w:t>
      </w:r>
      <w:proofErr w:type="spellEnd"/>
      <w:r w:rsidRPr="00E426D3">
        <w:t xml:space="preserve"> til fem pst. vil medføre ei konkurranseulempe.</w:t>
      </w:r>
    </w:p>
    <w:p w14:paraId="30675568" w14:textId="77777777" w:rsidR="00772748" w:rsidRPr="00E426D3" w:rsidRDefault="00772748" w:rsidP="00E426D3">
      <w:r w:rsidRPr="00E426D3">
        <w:t xml:space="preserve">Departementet kan </w:t>
      </w:r>
      <w:proofErr w:type="spellStart"/>
      <w:r w:rsidRPr="00E426D3">
        <w:t>ikkje</w:t>
      </w:r>
      <w:proofErr w:type="spellEnd"/>
      <w:r w:rsidRPr="00E426D3">
        <w:t xml:space="preserve"> sjå at </w:t>
      </w:r>
      <w:proofErr w:type="spellStart"/>
      <w:r w:rsidRPr="00E426D3">
        <w:t>utvalet</w:t>
      </w:r>
      <w:proofErr w:type="spellEnd"/>
      <w:r w:rsidRPr="00E426D3">
        <w:t xml:space="preserve"> har gode argument for at satsen bør </w:t>
      </w:r>
      <w:proofErr w:type="spellStart"/>
      <w:r w:rsidRPr="00E426D3">
        <w:t>aukast</w:t>
      </w:r>
      <w:proofErr w:type="spellEnd"/>
      <w:r w:rsidRPr="00E426D3">
        <w:t xml:space="preserve">, sett bort </w:t>
      </w:r>
      <w:proofErr w:type="spellStart"/>
      <w:r w:rsidRPr="00E426D3">
        <w:t>frå</w:t>
      </w:r>
      <w:proofErr w:type="spellEnd"/>
      <w:r w:rsidRPr="00E426D3">
        <w:t xml:space="preserve"> at enkelte andre land har </w:t>
      </w:r>
      <w:proofErr w:type="spellStart"/>
      <w:r w:rsidRPr="00E426D3">
        <w:t>ein</w:t>
      </w:r>
      <w:proofErr w:type="spellEnd"/>
      <w:r w:rsidRPr="00E426D3">
        <w:t xml:space="preserve"> sats på fem pst. Som </w:t>
      </w:r>
      <w:proofErr w:type="spellStart"/>
      <w:r w:rsidRPr="00E426D3">
        <w:t>fleire</w:t>
      </w:r>
      <w:proofErr w:type="spellEnd"/>
      <w:r w:rsidRPr="00E426D3">
        <w:t xml:space="preserve"> av </w:t>
      </w:r>
      <w:proofErr w:type="spellStart"/>
      <w:r w:rsidRPr="00E426D3">
        <w:t>høyringsinstansane</w:t>
      </w:r>
      <w:proofErr w:type="spellEnd"/>
      <w:r w:rsidRPr="00E426D3">
        <w:t xml:space="preserve"> til </w:t>
      </w:r>
      <w:proofErr w:type="spellStart"/>
      <w:r w:rsidRPr="00E426D3">
        <w:t>Skatteutvalet</w:t>
      </w:r>
      <w:proofErr w:type="spellEnd"/>
      <w:r w:rsidRPr="00E426D3">
        <w:t xml:space="preserve"> </w:t>
      </w:r>
      <w:proofErr w:type="spellStart"/>
      <w:r w:rsidRPr="00E426D3">
        <w:t>peikte</w:t>
      </w:r>
      <w:proofErr w:type="spellEnd"/>
      <w:r w:rsidRPr="00E426D3">
        <w:t xml:space="preserve"> på, har </w:t>
      </w:r>
      <w:proofErr w:type="spellStart"/>
      <w:r w:rsidRPr="00E426D3">
        <w:t>dei</w:t>
      </w:r>
      <w:proofErr w:type="spellEnd"/>
      <w:r w:rsidRPr="00E426D3">
        <w:t xml:space="preserve"> fleste land vi til </w:t>
      </w:r>
      <w:proofErr w:type="spellStart"/>
      <w:r w:rsidRPr="00E426D3">
        <w:t>vanleg</w:t>
      </w:r>
      <w:proofErr w:type="spellEnd"/>
      <w:r w:rsidRPr="00E426D3">
        <w:t xml:space="preserve"> </w:t>
      </w:r>
      <w:proofErr w:type="spellStart"/>
      <w:r w:rsidRPr="00E426D3">
        <w:t>samanliknar</w:t>
      </w:r>
      <w:proofErr w:type="spellEnd"/>
      <w:r w:rsidRPr="00E426D3">
        <w:t xml:space="preserve"> oss med, </w:t>
      </w:r>
      <w:proofErr w:type="spellStart"/>
      <w:r w:rsidRPr="00E426D3">
        <w:t>ikkje</w:t>
      </w:r>
      <w:proofErr w:type="spellEnd"/>
      <w:r w:rsidRPr="00E426D3">
        <w:t xml:space="preserve"> </w:t>
      </w:r>
      <w:proofErr w:type="spellStart"/>
      <w:r w:rsidRPr="00E426D3">
        <w:t>ein</w:t>
      </w:r>
      <w:proofErr w:type="spellEnd"/>
      <w:r w:rsidRPr="00E426D3">
        <w:t xml:space="preserve"> slik sjablongregel. Departementet meiner at ei eventuell endring i </w:t>
      </w:r>
      <w:proofErr w:type="spellStart"/>
      <w:r w:rsidRPr="00E426D3">
        <w:t>treprosentregelen</w:t>
      </w:r>
      <w:proofErr w:type="spellEnd"/>
      <w:r w:rsidRPr="00E426D3">
        <w:t xml:space="preserve"> bør </w:t>
      </w:r>
      <w:proofErr w:type="spellStart"/>
      <w:r w:rsidRPr="00E426D3">
        <w:t>grunngjevast</w:t>
      </w:r>
      <w:proofErr w:type="spellEnd"/>
      <w:r w:rsidRPr="00E426D3">
        <w:t xml:space="preserve"> med at </w:t>
      </w:r>
      <w:proofErr w:type="spellStart"/>
      <w:r w:rsidRPr="00E426D3">
        <w:t>eit</w:t>
      </w:r>
      <w:proofErr w:type="spellEnd"/>
      <w:r w:rsidRPr="00E426D3">
        <w:t xml:space="preserve"> anna nivå på satsen betre vil svare til storleiken på selskapa sine </w:t>
      </w:r>
      <w:proofErr w:type="spellStart"/>
      <w:r w:rsidRPr="00E426D3">
        <w:t>frådragsførte</w:t>
      </w:r>
      <w:proofErr w:type="spellEnd"/>
      <w:r w:rsidRPr="00E426D3">
        <w:t xml:space="preserve"> </w:t>
      </w:r>
      <w:proofErr w:type="spellStart"/>
      <w:r w:rsidRPr="00E426D3">
        <w:t>forvaltningskostnadar</w:t>
      </w:r>
      <w:proofErr w:type="spellEnd"/>
      <w:r w:rsidRPr="00E426D3">
        <w:t>.</w:t>
      </w:r>
    </w:p>
    <w:p w14:paraId="07443DAB" w14:textId="77777777" w:rsidR="00772748" w:rsidRPr="00E426D3" w:rsidRDefault="00772748" w:rsidP="00E426D3">
      <w:proofErr w:type="spellStart"/>
      <w:r w:rsidRPr="00E426D3">
        <w:t>Treprosentregelen</w:t>
      </w:r>
      <w:proofErr w:type="spellEnd"/>
      <w:r w:rsidRPr="00E426D3">
        <w:t xml:space="preserve"> er </w:t>
      </w:r>
      <w:proofErr w:type="spellStart"/>
      <w:r w:rsidRPr="00E426D3">
        <w:t>ein</w:t>
      </w:r>
      <w:proofErr w:type="spellEnd"/>
      <w:r w:rsidRPr="00E426D3">
        <w:t xml:space="preserve"> sjablongregel der det </w:t>
      </w:r>
      <w:proofErr w:type="spellStart"/>
      <w:r w:rsidRPr="00E426D3">
        <w:t>ikkje</w:t>
      </w:r>
      <w:proofErr w:type="spellEnd"/>
      <w:r w:rsidRPr="00E426D3">
        <w:t xml:space="preserve"> er </w:t>
      </w:r>
      <w:proofErr w:type="spellStart"/>
      <w:r w:rsidRPr="00E426D3">
        <w:t>nokon</w:t>
      </w:r>
      <w:proofErr w:type="spellEnd"/>
      <w:r w:rsidRPr="00E426D3">
        <w:t xml:space="preserve"> direkte </w:t>
      </w:r>
      <w:proofErr w:type="spellStart"/>
      <w:r w:rsidRPr="00E426D3">
        <w:t>samanheng</w:t>
      </w:r>
      <w:proofErr w:type="spellEnd"/>
      <w:r w:rsidRPr="00E426D3">
        <w:t xml:space="preserve"> mellom beløpet som vert inntektsført, og </w:t>
      </w:r>
      <w:proofErr w:type="spellStart"/>
      <w:r w:rsidRPr="00E426D3">
        <w:t>dei</w:t>
      </w:r>
      <w:proofErr w:type="spellEnd"/>
      <w:r w:rsidRPr="00E426D3">
        <w:t xml:space="preserve"> </w:t>
      </w:r>
      <w:proofErr w:type="spellStart"/>
      <w:r w:rsidRPr="00E426D3">
        <w:t>forvaltningskostnadane</w:t>
      </w:r>
      <w:proofErr w:type="spellEnd"/>
      <w:r w:rsidRPr="00E426D3">
        <w:t xml:space="preserve"> som den enkelte aksjonær har hatt. Bakgrunnen for </w:t>
      </w:r>
      <w:proofErr w:type="spellStart"/>
      <w:r w:rsidRPr="00E426D3">
        <w:t>treprosentregelen</w:t>
      </w:r>
      <w:proofErr w:type="spellEnd"/>
      <w:r w:rsidRPr="00E426D3">
        <w:t xml:space="preserve"> er at det er </w:t>
      </w:r>
      <w:proofErr w:type="spellStart"/>
      <w:r w:rsidRPr="00E426D3">
        <w:t>vanskeleg</w:t>
      </w:r>
      <w:proofErr w:type="spellEnd"/>
      <w:r w:rsidRPr="00E426D3">
        <w:t xml:space="preserve"> å </w:t>
      </w:r>
      <w:proofErr w:type="spellStart"/>
      <w:r w:rsidRPr="00E426D3">
        <w:t>skilje</w:t>
      </w:r>
      <w:proofErr w:type="spellEnd"/>
      <w:r w:rsidRPr="00E426D3">
        <w:t xml:space="preserve"> </w:t>
      </w:r>
      <w:proofErr w:type="spellStart"/>
      <w:r w:rsidRPr="00E426D3">
        <w:t>forvaltningskostnadar</w:t>
      </w:r>
      <w:proofErr w:type="spellEnd"/>
      <w:r w:rsidRPr="00E426D3">
        <w:t xml:space="preserve"> knytt til skattefrie inntekter </w:t>
      </w:r>
      <w:proofErr w:type="spellStart"/>
      <w:r w:rsidRPr="00E426D3">
        <w:t>frå</w:t>
      </w:r>
      <w:proofErr w:type="spellEnd"/>
      <w:r w:rsidRPr="00E426D3">
        <w:t xml:space="preserve"> </w:t>
      </w:r>
      <w:proofErr w:type="spellStart"/>
      <w:r w:rsidRPr="00E426D3">
        <w:t>kostnadar</w:t>
      </w:r>
      <w:proofErr w:type="spellEnd"/>
      <w:r w:rsidRPr="00E426D3">
        <w:t xml:space="preserve"> i den «ordinære» </w:t>
      </w:r>
      <w:proofErr w:type="spellStart"/>
      <w:r w:rsidRPr="00E426D3">
        <w:t>verksemda</w:t>
      </w:r>
      <w:proofErr w:type="spellEnd"/>
      <w:r w:rsidRPr="00E426D3">
        <w:t>.</w:t>
      </w:r>
    </w:p>
    <w:p w14:paraId="5FFE7627" w14:textId="77777777" w:rsidR="00772748" w:rsidRPr="00E426D3" w:rsidRDefault="00772748" w:rsidP="00E426D3">
      <w:r w:rsidRPr="00E426D3">
        <w:t xml:space="preserve">For å </w:t>
      </w:r>
      <w:proofErr w:type="spellStart"/>
      <w:r w:rsidRPr="00E426D3">
        <w:t>undersøkje</w:t>
      </w:r>
      <w:proofErr w:type="spellEnd"/>
      <w:r w:rsidRPr="00E426D3">
        <w:t xml:space="preserve"> kor treffsikker </w:t>
      </w:r>
      <w:proofErr w:type="spellStart"/>
      <w:r w:rsidRPr="00E426D3">
        <w:t>treprosentregelen</w:t>
      </w:r>
      <w:proofErr w:type="spellEnd"/>
      <w:r w:rsidRPr="00E426D3">
        <w:t xml:space="preserve"> er, har departementet gjennomført </w:t>
      </w:r>
      <w:proofErr w:type="spellStart"/>
      <w:r w:rsidRPr="00E426D3">
        <w:t>ein</w:t>
      </w:r>
      <w:proofErr w:type="spellEnd"/>
      <w:r w:rsidRPr="00E426D3">
        <w:t xml:space="preserve"> dataanalyse som </w:t>
      </w:r>
      <w:proofErr w:type="spellStart"/>
      <w:r w:rsidRPr="00E426D3">
        <w:t>samanliknar</w:t>
      </w:r>
      <w:proofErr w:type="spellEnd"/>
      <w:r w:rsidRPr="00E426D3">
        <w:t xml:space="preserve"> anslåtte </w:t>
      </w:r>
      <w:proofErr w:type="spellStart"/>
      <w:r w:rsidRPr="00E426D3">
        <w:t>forvaltningskostnadar</w:t>
      </w:r>
      <w:proofErr w:type="spellEnd"/>
      <w:r w:rsidRPr="00E426D3">
        <w:t xml:space="preserve"> med </w:t>
      </w:r>
      <w:proofErr w:type="spellStart"/>
      <w:r w:rsidRPr="00E426D3">
        <w:t>mottekne</w:t>
      </w:r>
      <w:proofErr w:type="spellEnd"/>
      <w:r w:rsidRPr="00E426D3">
        <w:t xml:space="preserve"> </w:t>
      </w:r>
      <w:proofErr w:type="spellStart"/>
      <w:r w:rsidRPr="00E426D3">
        <w:t>utbyter</w:t>
      </w:r>
      <w:proofErr w:type="spellEnd"/>
      <w:r w:rsidRPr="00E426D3">
        <w:t xml:space="preserve"> etter </w:t>
      </w:r>
      <w:proofErr w:type="spellStart"/>
      <w:r w:rsidRPr="00E426D3">
        <w:t>treprosentregelen</w:t>
      </w:r>
      <w:proofErr w:type="spellEnd"/>
      <w:r w:rsidRPr="00E426D3">
        <w:t xml:space="preserve">. For å </w:t>
      </w:r>
      <w:proofErr w:type="spellStart"/>
      <w:r w:rsidRPr="00E426D3">
        <w:t>gjennomføra</w:t>
      </w:r>
      <w:proofErr w:type="spellEnd"/>
      <w:r w:rsidRPr="00E426D3">
        <w:t xml:space="preserve"> ei slik </w:t>
      </w:r>
      <w:proofErr w:type="spellStart"/>
      <w:r w:rsidRPr="00E426D3">
        <w:t>samanlikning</w:t>
      </w:r>
      <w:proofErr w:type="spellEnd"/>
      <w:r w:rsidRPr="00E426D3">
        <w:t xml:space="preserve">, er analysen avgrensa til selskap som har </w:t>
      </w:r>
      <w:proofErr w:type="spellStart"/>
      <w:r w:rsidRPr="00E426D3">
        <w:t>kostnadar</w:t>
      </w:r>
      <w:proofErr w:type="spellEnd"/>
      <w:r w:rsidRPr="00E426D3">
        <w:t xml:space="preserve"> som i all </w:t>
      </w:r>
      <w:proofErr w:type="spellStart"/>
      <w:r w:rsidRPr="00E426D3">
        <w:t>hovudsak</w:t>
      </w:r>
      <w:proofErr w:type="spellEnd"/>
      <w:r w:rsidRPr="00E426D3">
        <w:t xml:space="preserve"> er knytt til forvaltning av </w:t>
      </w:r>
      <w:proofErr w:type="spellStart"/>
      <w:r w:rsidRPr="00E426D3">
        <w:t>aksjar</w:t>
      </w:r>
      <w:proofErr w:type="spellEnd"/>
      <w:r w:rsidRPr="00E426D3">
        <w:t xml:space="preserve">, typisk holdingselskap og </w:t>
      </w:r>
      <w:proofErr w:type="spellStart"/>
      <w:r w:rsidRPr="00E426D3">
        <w:t>nokre</w:t>
      </w:r>
      <w:proofErr w:type="spellEnd"/>
      <w:r w:rsidRPr="00E426D3">
        <w:t xml:space="preserve"> verdipapirfond. Analysen tar utgangspunkt i data </w:t>
      </w:r>
      <w:proofErr w:type="spellStart"/>
      <w:r w:rsidRPr="00E426D3">
        <w:t>frå</w:t>
      </w:r>
      <w:proofErr w:type="spellEnd"/>
      <w:r w:rsidRPr="00E426D3">
        <w:t xml:space="preserve"> </w:t>
      </w:r>
      <w:proofErr w:type="spellStart"/>
      <w:r w:rsidRPr="00E426D3">
        <w:t>næringsoppgåve</w:t>
      </w:r>
      <w:proofErr w:type="spellEnd"/>
      <w:r w:rsidRPr="00E426D3">
        <w:t xml:space="preserve"> 2 (RF-1167) for åra 2020, 2021 og 2022.</w:t>
      </w:r>
    </w:p>
    <w:p w14:paraId="40079660" w14:textId="77777777" w:rsidR="00772748" w:rsidRPr="00E426D3" w:rsidRDefault="00772748" w:rsidP="00E426D3">
      <w:r w:rsidRPr="00E426D3">
        <w:t xml:space="preserve">Figur 11.2 viser korleis den </w:t>
      </w:r>
      <w:proofErr w:type="spellStart"/>
      <w:r w:rsidRPr="00E426D3">
        <w:t>noverande</w:t>
      </w:r>
      <w:proofErr w:type="spellEnd"/>
      <w:r w:rsidRPr="00E426D3">
        <w:t xml:space="preserve"> regelen treff for selskapa som er inkludert i analysen. Om </w:t>
      </w:r>
      <w:proofErr w:type="spellStart"/>
      <w:r w:rsidRPr="00E426D3">
        <w:t>treprosentregelen</w:t>
      </w:r>
      <w:proofErr w:type="spellEnd"/>
      <w:r w:rsidRPr="00E426D3">
        <w:t xml:space="preserve"> hadde </w:t>
      </w:r>
      <w:proofErr w:type="spellStart"/>
      <w:r w:rsidRPr="00E426D3">
        <w:t>vore</w:t>
      </w:r>
      <w:proofErr w:type="spellEnd"/>
      <w:r w:rsidRPr="00E426D3">
        <w:t xml:space="preserve"> </w:t>
      </w:r>
      <w:proofErr w:type="spellStart"/>
      <w:r w:rsidRPr="00E426D3">
        <w:t>ein</w:t>
      </w:r>
      <w:proofErr w:type="spellEnd"/>
      <w:r w:rsidRPr="00E426D3">
        <w:t xml:space="preserve"> presis regel for alle selskap, hadde figuren vist </w:t>
      </w:r>
      <w:proofErr w:type="spellStart"/>
      <w:r w:rsidRPr="00E426D3">
        <w:t>éi</w:t>
      </w:r>
      <w:proofErr w:type="spellEnd"/>
      <w:r w:rsidRPr="00E426D3">
        <w:t xml:space="preserve"> søyle som la seg på null i figuren, og </w:t>
      </w:r>
      <w:proofErr w:type="spellStart"/>
      <w:r w:rsidRPr="00E426D3">
        <w:t>ikkje</w:t>
      </w:r>
      <w:proofErr w:type="spellEnd"/>
      <w:r w:rsidRPr="00E426D3">
        <w:t xml:space="preserve"> ei spreiing slik som figuren viser.</w:t>
      </w:r>
    </w:p>
    <w:p w14:paraId="7E20C367" w14:textId="2AF57E37" w:rsidR="00772748" w:rsidRPr="00E426D3" w:rsidRDefault="00E426D3" w:rsidP="00E426D3">
      <w:r w:rsidRPr="00E426D3">
        <w:rPr>
          <w:noProof/>
        </w:rPr>
        <w:lastRenderedPageBreak/>
        <w:drawing>
          <wp:inline distT="0" distB="0" distL="0" distR="0" wp14:anchorId="348AFA5E" wp14:editId="57EC9AA5">
            <wp:extent cx="6082030" cy="5518150"/>
            <wp:effectExtent l="0" t="0" r="0" b="0"/>
            <wp:docPr id="2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030" cy="5518150"/>
                    </a:xfrm>
                    <a:prstGeom prst="rect">
                      <a:avLst/>
                    </a:prstGeom>
                    <a:noFill/>
                    <a:ln>
                      <a:noFill/>
                    </a:ln>
                  </pic:spPr>
                </pic:pic>
              </a:graphicData>
            </a:graphic>
          </wp:inline>
        </w:drawing>
      </w:r>
    </w:p>
    <w:p w14:paraId="49F54126" w14:textId="77777777" w:rsidR="00772748" w:rsidRPr="00E426D3" w:rsidRDefault="00772748" w:rsidP="00E426D3">
      <w:pPr>
        <w:pStyle w:val="figur-tittel"/>
      </w:pPr>
      <w:r w:rsidRPr="00E426D3">
        <w:t xml:space="preserve">Skilnaden («avviket») mellom inntekter etter </w:t>
      </w:r>
      <w:proofErr w:type="spellStart"/>
      <w:r w:rsidRPr="00E426D3">
        <w:t>treprosentregelen</w:t>
      </w:r>
      <w:proofErr w:type="spellEnd"/>
      <w:r w:rsidRPr="00E426D3">
        <w:t xml:space="preserve"> og anslåtte </w:t>
      </w:r>
      <w:proofErr w:type="spellStart"/>
      <w:r w:rsidRPr="00E426D3">
        <w:t>forvaltningskostnadar</w:t>
      </w:r>
      <w:proofErr w:type="spellEnd"/>
      <w:r w:rsidRPr="00E426D3">
        <w:t xml:space="preserve"> for selskapa i utvalet.</w:t>
      </w:r>
      <w:r w:rsidRPr="00E426D3">
        <w:rPr>
          <w:rStyle w:val="skrift-hevet"/>
        </w:rPr>
        <w:t>1 </w:t>
      </w:r>
      <w:r w:rsidRPr="00E426D3">
        <w:t>2022. Kroner.</w:t>
      </w:r>
    </w:p>
    <w:p w14:paraId="60D13D06" w14:textId="77777777" w:rsidR="00772748" w:rsidRPr="00E426D3" w:rsidRDefault="00772748" w:rsidP="00E426D3">
      <w:pPr>
        <w:pStyle w:val="figur-noter"/>
        <w:rPr>
          <w:rStyle w:val="skrift-hevet"/>
        </w:rPr>
      </w:pPr>
      <w:r w:rsidRPr="00E426D3">
        <w:rPr>
          <w:rStyle w:val="skrift-hevet"/>
        </w:rPr>
        <w:t>1</w:t>
      </w:r>
      <w:r w:rsidRPr="00E426D3">
        <w:tab/>
        <w:t xml:space="preserve">X-aksen viser storleiken på avvika. Figuren inkluderer </w:t>
      </w:r>
      <w:proofErr w:type="spellStart"/>
      <w:r w:rsidRPr="00E426D3">
        <w:t>ikkje</w:t>
      </w:r>
      <w:proofErr w:type="spellEnd"/>
      <w:r w:rsidRPr="00E426D3">
        <w:t xml:space="preserve"> selskap med avvik </w:t>
      </w:r>
      <w:proofErr w:type="spellStart"/>
      <w:r w:rsidRPr="00E426D3">
        <w:t>lågare</w:t>
      </w:r>
      <w:proofErr w:type="spellEnd"/>
      <w:r w:rsidRPr="00E426D3">
        <w:t xml:space="preserve"> enn femte prosentil (-506 362 kroner) og avvik </w:t>
      </w:r>
      <w:proofErr w:type="spellStart"/>
      <w:r w:rsidRPr="00E426D3">
        <w:t>høgare</w:t>
      </w:r>
      <w:proofErr w:type="spellEnd"/>
      <w:r w:rsidRPr="00E426D3">
        <w:t xml:space="preserve"> enn 95. prosentil (189 148 kroner). Y-aksen viser </w:t>
      </w:r>
      <w:proofErr w:type="spellStart"/>
      <w:r w:rsidRPr="00E426D3">
        <w:t>antal</w:t>
      </w:r>
      <w:proofErr w:type="spellEnd"/>
      <w:r w:rsidRPr="00E426D3">
        <w:t xml:space="preserve"> selskap </w:t>
      </w:r>
      <w:proofErr w:type="spellStart"/>
      <w:r w:rsidRPr="00E426D3">
        <w:t>innanfor</w:t>
      </w:r>
      <w:proofErr w:type="spellEnd"/>
      <w:r w:rsidRPr="00E426D3">
        <w:t xml:space="preserve"> </w:t>
      </w:r>
      <w:proofErr w:type="spellStart"/>
      <w:r w:rsidRPr="00E426D3">
        <w:t>eit</w:t>
      </w:r>
      <w:proofErr w:type="spellEnd"/>
      <w:r w:rsidRPr="00E426D3">
        <w:t xml:space="preserve"> visst intervall med avvik.</w:t>
      </w:r>
    </w:p>
    <w:p w14:paraId="561EF070" w14:textId="77777777" w:rsidR="00772748" w:rsidRPr="00E426D3" w:rsidRDefault="00772748" w:rsidP="00E426D3">
      <w:pPr>
        <w:pStyle w:val="Kilde"/>
      </w:pPr>
      <w:r w:rsidRPr="00E426D3">
        <w:t>Kjelder: Finansdepartementet og Skatteetaten</w:t>
      </w:r>
    </w:p>
    <w:p w14:paraId="7BFAC9AF" w14:textId="77777777" w:rsidR="00772748" w:rsidRPr="00E426D3" w:rsidRDefault="00772748" w:rsidP="00E426D3">
      <w:r w:rsidRPr="00E426D3">
        <w:t xml:space="preserve">Skilnaden mellom </w:t>
      </w:r>
      <w:proofErr w:type="spellStart"/>
      <w:r w:rsidRPr="00E426D3">
        <w:t>forvaltningskostnadane</w:t>
      </w:r>
      <w:proofErr w:type="spellEnd"/>
      <w:r w:rsidRPr="00E426D3">
        <w:t xml:space="preserve"> og inntektene etter </w:t>
      </w:r>
      <w:proofErr w:type="spellStart"/>
      <w:r w:rsidRPr="00E426D3">
        <w:t>treprosentregelen</w:t>
      </w:r>
      <w:proofErr w:type="spellEnd"/>
      <w:r w:rsidRPr="00E426D3">
        <w:t xml:space="preserve"> påverkar selskapa sine insentiv til å investere i andre selskap. Til dømes vil </w:t>
      </w:r>
      <w:proofErr w:type="spellStart"/>
      <w:r w:rsidRPr="00E426D3">
        <w:t>eit</w:t>
      </w:r>
      <w:proofErr w:type="spellEnd"/>
      <w:r w:rsidRPr="00E426D3">
        <w:t xml:space="preserve"> selskap som </w:t>
      </w:r>
      <w:proofErr w:type="spellStart"/>
      <w:r w:rsidRPr="00E426D3">
        <w:t>ikkje</w:t>
      </w:r>
      <w:proofErr w:type="spellEnd"/>
      <w:r w:rsidRPr="00E426D3">
        <w:t xml:space="preserve"> mottek fullt </w:t>
      </w:r>
      <w:proofErr w:type="spellStart"/>
      <w:r w:rsidRPr="00E426D3">
        <w:t>frådrag</w:t>
      </w:r>
      <w:proofErr w:type="spellEnd"/>
      <w:r w:rsidRPr="00E426D3">
        <w:t xml:space="preserve"> for </w:t>
      </w:r>
      <w:proofErr w:type="spellStart"/>
      <w:r w:rsidRPr="00E426D3">
        <w:t>forvaltningskostnadane</w:t>
      </w:r>
      <w:proofErr w:type="spellEnd"/>
      <w:r w:rsidRPr="00E426D3">
        <w:t xml:space="preserve">, få </w:t>
      </w:r>
      <w:proofErr w:type="spellStart"/>
      <w:r w:rsidRPr="00E426D3">
        <w:t>eit</w:t>
      </w:r>
      <w:proofErr w:type="spellEnd"/>
      <w:r w:rsidRPr="00E426D3">
        <w:t xml:space="preserve"> redusert insentiv til å investere i andre selskap. Denne vridinga vert større, jo større skilnaden mellom </w:t>
      </w:r>
      <w:proofErr w:type="spellStart"/>
      <w:r w:rsidRPr="00E426D3">
        <w:t>kostnadane</w:t>
      </w:r>
      <w:proofErr w:type="spellEnd"/>
      <w:r w:rsidRPr="00E426D3">
        <w:t xml:space="preserve"> og inntektene er. Nivået på satsen bør </w:t>
      </w:r>
      <w:proofErr w:type="spellStart"/>
      <w:r w:rsidRPr="00E426D3">
        <w:t>setjast</w:t>
      </w:r>
      <w:proofErr w:type="spellEnd"/>
      <w:r w:rsidRPr="00E426D3">
        <w:t xml:space="preserve"> slik at avvika vert minst </w:t>
      </w:r>
      <w:proofErr w:type="spellStart"/>
      <w:r w:rsidRPr="00E426D3">
        <w:t>mogleg</w:t>
      </w:r>
      <w:proofErr w:type="spellEnd"/>
      <w:r w:rsidRPr="00E426D3">
        <w:t>.</w:t>
      </w:r>
    </w:p>
    <w:p w14:paraId="5F1825F9" w14:textId="77777777" w:rsidR="00772748" w:rsidRPr="00E426D3" w:rsidRDefault="00772748" w:rsidP="00E426D3">
      <w:r w:rsidRPr="00E426D3">
        <w:t xml:space="preserve">Dataanalysen har avdekt at det er stor spreiing i </w:t>
      </w:r>
      <w:proofErr w:type="spellStart"/>
      <w:r w:rsidRPr="00E426D3">
        <w:t>forvaltningskostnadane</w:t>
      </w:r>
      <w:proofErr w:type="spellEnd"/>
      <w:r w:rsidRPr="00E426D3">
        <w:t xml:space="preserve"> til selskapa, og at </w:t>
      </w:r>
      <w:proofErr w:type="spellStart"/>
      <w:r w:rsidRPr="00E426D3">
        <w:t>desse</w:t>
      </w:r>
      <w:proofErr w:type="spellEnd"/>
      <w:r w:rsidRPr="00E426D3">
        <w:t xml:space="preserve"> har liten </w:t>
      </w:r>
      <w:proofErr w:type="spellStart"/>
      <w:r w:rsidRPr="00E426D3">
        <w:t>samanheng</w:t>
      </w:r>
      <w:proofErr w:type="spellEnd"/>
      <w:r w:rsidRPr="00E426D3">
        <w:t xml:space="preserve"> med </w:t>
      </w:r>
      <w:proofErr w:type="spellStart"/>
      <w:r w:rsidRPr="00E426D3">
        <w:t>utbyta</w:t>
      </w:r>
      <w:proofErr w:type="spellEnd"/>
      <w:r w:rsidRPr="00E426D3">
        <w:t xml:space="preserve"> som selskapa mottek. Dei </w:t>
      </w:r>
      <w:proofErr w:type="spellStart"/>
      <w:r w:rsidRPr="00E426D3">
        <w:t>raude</w:t>
      </w:r>
      <w:proofErr w:type="spellEnd"/>
      <w:r w:rsidRPr="00E426D3">
        <w:t xml:space="preserve"> </w:t>
      </w:r>
      <w:proofErr w:type="spellStart"/>
      <w:r w:rsidRPr="00E426D3">
        <w:t>prikkane</w:t>
      </w:r>
      <w:proofErr w:type="spellEnd"/>
      <w:r w:rsidRPr="00E426D3">
        <w:t xml:space="preserve"> i figur 11.3 illustrerer </w:t>
      </w:r>
      <w:proofErr w:type="spellStart"/>
      <w:r w:rsidRPr="00E426D3">
        <w:t>samanhengen</w:t>
      </w:r>
      <w:proofErr w:type="spellEnd"/>
      <w:r w:rsidRPr="00E426D3">
        <w:t xml:space="preserve"> mellom </w:t>
      </w:r>
      <w:proofErr w:type="spellStart"/>
      <w:r w:rsidRPr="00E426D3">
        <w:t>dei</w:t>
      </w:r>
      <w:proofErr w:type="spellEnd"/>
      <w:r w:rsidRPr="00E426D3">
        <w:t xml:space="preserve"> anslåtte </w:t>
      </w:r>
      <w:proofErr w:type="spellStart"/>
      <w:r w:rsidRPr="00E426D3">
        <w:t>forvaltningskostnadane</w:t>
      </w:r>
      <w:proofErr w:type="spellEnd"/>
      <w:r w:rsidRPr="00E426D3">
        <w:t xml:space="preserve"> og inntektene etter </w:t>
      </w:r>
      <w:proofErr w:type="spellStart"/>
      <w:r w:rsidRPr="00E426D3">
        <w:t>treprosentregelen</w:t>
      </w:r>
      <w:proofErr w:type="spellEnd"/>
      <w:r w:rsidRPr="00E426D3">
        <w:t xml:space="preserve"> for selskap der både inntektene og </w:t>
      </w:r>
      <w:proofErr w:type="spellStart"/>
      <w:r w:rsidRPr="00E426D3">
        <w:t>forvaltningskostnadane</w:t>
      </w:r>
      <w:proofErr w:type="spellEnd"/>
      <w:r w:rsidRPr="00E426D3">
        <w:t xml:space="preserve"> er </w:t>
      </w:r>
      <w:proofErr w:type="spellStart"/>
      <w:r w:rsidRPr="00E426D3">
        <w:t>lågare</w:t>
      </w:r>
      <w:proofErr w:type="spellEnd"/>
      <w:r w:rsidRPr="00E426D3">
        <w:t xml:space="preserve"> enn 400 000 kroner. </w:t>
      </w:r>
      <w:r w:rsidRPr="00E426D3">
        <w:lastRenderedPageBreak/>
        <w:t xml:space="preserve">Om </w:t>
      </w:r>
      <w:proofErr w:type="spellStart"/>
      <w:r w:rsidRPr="00E426D3">
        <w:t>treprosentregelen</w:t>
      </w:r>
      <w:proofErr w:type="spellEnd"/>
      <w:r w:rsidRPr="00E426D3">
        <w:t xml:space="preserve"> hadde </w:t>
      </w:r>
      <w:proofErr w:type="spellStart"/>
      <w:r w:rsidRPr="00E426D3">
        <w:t>vore</w:t>
      </w:r>
      <w:proofErr w:type="spellEnd"/>
      <w:r w:rsidRPr="00E426D3">
        <w:t xml:space="preserve"> </w:t>
      </w:r>
      <w:proofErr w:type="spellStart"/>
      <w:r w:rsidRPr="00E426D3">
        <w:t>ein</w:t>
      </w:r>
      <w:proofErr w:type="spellEnd"/>
      <w:r w:rsidRPr="00E426D3">
        <w:t xml:space="preserve"> god sjablong på selskapa sine </w:t>
      </w:r>
      <w:proofErr w:type="spellStart"/>
      <w:r w:rsidRPr="00E426D3">
        <w:t>forvaltningskostnadar</w:t>
      </w:r>
      <w:proofErr w:type="spellEnd"/>
      <w:r w:rsidRPr="00E426D3">
        <w:t xml:space="preserve">, hadde </w:t>
      </w:r>
      <w:proofErr w:type="spellStart"/>
      <w:r w:rsidRPr="00E426D3">
        <w:t>dei</w:t>
      </w:r>
      <w:proofErr w:type="spellEnd"/>
      <w:r w:rsidRPr="00E426D3">
        <w:t xml:space="preserve"> </w:t>
      </w:r>
      <w:proofErr w:type="spellStart"/>
      <w:r w:rsidRPr="00E426D3">
        <w:t>raude</w:t>
      </w:r>
      <w:proofErr w:type="spellEnd"/>
      <w:r w:rsidRPr="00E426D3">
        <w:t xml:space="preserve"> </w:t>
      </w:r>
      <w:proofErr w:type="spellStart"/>
      <w:r w:rsidRPr="00E426D3">
        <w:t>prikkane</w:t>
      </w:r>
      <w:proofErr w:type="spellEnd"/>
      <w:r w:rsidRPr="00E426D3">
        <w:t xml:space="preserve"> </w:t>
      </w:r>
      <w:proofErr w:type="spellStart"/>
      <w:r w:rsidRPr="00E426D3">
        <w:t>fylgd</w:t>
      </w:r>
      <w:proofErr w:type="spellEnd"/>
      <w:r w:rsidRPr="00E426D3">
        <w:t xml:space="preserve"> den blå linja.</w:t>
      </w:r>
    </w:p>
    <w:p w14:paraId="3C75B4C6" w14:textId="77777777" w:rsidR="00772748" w:rsidRPr="00E426D3" w:rsidRDefault="00772748" w:rsidP="00E426D3">
      <w:r w:rsidRPr="00E426D3">
        <w:t xml:space="preserve">Analysen viser at </w:t>
      </w:r>
      <w:proofErr w:type="spellStart"/>
      <w:r w:rsidRPr="00E426D3">
        <w:t>ein</w:t>
      </w:r>
      <w:proofErr w:type="spellEnd"/>
      <w:r w:rsidRPr="00E426D3">
        <w:t xml:space="preserve"> sats ned mot </w:t>
      </w:r>
      <w:proofErr w:type="spellStart"/>
      <w:r w:rsidRPr="00E426D3">
        <w:t>ein</w:t>
      </w:r>
      <w:proofErr w:type="spellEnd"/>
      <w:r w:rsidRPr="00E426D3">
        <w:t xml:space="preserve"> pst. i sum gjev det minste avviket mellom selskapa sine </w:t>
      </w:r>
      <w:proofErr w:type="spellStart"/>
      <w:r w:rsidRPr="00E426D3">
        <w:t>forvaltningskostnadar</w:t>
      </w:r>
      <w:proofErr w:type="spellEnd"/>
      <w:r w:rsidRPr="00E426D3">
        <w:t xml:space="preserve"> og inntektsføring etter regelen, og er mest treffsikker for flest </w:t>
      </w:r>
      <w:proofErr w:type="spellStart"/>
      <w:r w:rsidRPr="00E426D3">
        <w:t>mogleg</w:t>
      </w:r>
      <w:proofErr w:type="spellEnd"/>
      <w:r w:rsidRPr="00E426D3">
        <w:t xml:space="preserve"> selskap.</w:t>
      </w:r>
    </w:p>
    <w:p w14:paraId="0AA4D850" w14:textId="442EA6A4" w:rsidR="00772748" w:rsidRPr="00E426D3" w:rsidRDefault="00E426D3" w:rsidP="00E426D3">
      <w:r w:rsidRPr="00E426D3">
        <w:rPr>
          <w:noProof/>
        </w:rPr>
        <w:drawing>
          <wp:inline distT="0" distB="0" distL="0" distR="0" wp14:anchorId="3B1E7549" wp14:editId="4199CBDD">
            <wp:extent cx="6082030" cy="6613525"/>
            <wp:effectExtent l="0" t="0" r="0" b="0"/>
            <wp:docPr id="2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030" cy="6613525"/>
                    </a:xfrm>
                    <a:prstGeom prst="rect">
                      <a:avLst/>
                    </a:prstGeom>
                    <a:noFill/>
                    <a:ln>
                      <a:noFill/>
                    </a:ln>
                  </pic:spPr>
                </pic:pic>
              </a:graphicData>
            </a:graphic>
          </wp:inline>
        </w:drawing>
      </w:r>
    </w:p>
    <w:p w14:paraId="710B3A5E" w14:textId="77777777" w:rsidR="00772748" w:rsidRPr="00E426D3" w:rsidRDefault="00772748" w:rsidP="00E426D3">
      <w:pPr>
        <w:pStyle w:val="figur-tittel"/>
      </w:pPr>
      <w:r w:rsidRPr="00E426D3">
        <w:t xml:space="preserve">Samanheng mellom inntektene etter </w:t>
      </w:r>
      <w:proofErr w:type="spellStart"/>
      <w:r w:rsidRPr="00E426D3">
        <w:t>treprosentregelen</w:t>
      </w:r>
      <w:proofErr w:type="spellEnd"/>
      <w:r w:rsidRPr="00E426D3">
        <w:t xml:space="preserve"> og </w:t>
      </w:r>
      <w:proofErr w:type="spellStart"/>
      <w:r w:rsidRPr="00E426D3">
        <w:t>forvaltningskostnadar</w:t>
      </w:r>
      <w:proofErr w:type="spellEnd"/>
      <w:r w:rsidRPr="00E426D3">
        <w:t xml:space="preserve"> for selskapa i </w:t>
      </w:r>
      <w:proofErr w:type="spellStart"/>
      <w:r w:rsidRPr="00E426D3">
        <w:t>utvalet</w:t>
      </w:r>
      <w:proofErr w:type="spellEnd"/>
      <w:r w:rsidRPr="00E426D3">
        <w:t xml:space="preserve">. </w:t>
      </w:r>
      <w:proofErr w:type="spellStart"/>
      <w:r w:rsidRPr="00E426D3">
        <w:t>Forvaltningskostnadar</w:t>
      </w:r>
      <w:proofErr w:type="spellEnd"/>
      <w:r w:rsidRPr="00E426D3">
        <w:t xml:space="preserve"> og inntekter etter </w:t>
      </w:r>
      <w:proofErr w:type="spellStart"/>
      <w:r w:rsidRPr="00E426D3">
        <w:t>treprosentregelen</w:t>
      </w:r>
      <w:proofErr w:type="spellEnd"/>
      <w:r w:rsidRPr="00E426D3">
        <w:t xml:space="preserve"> mindre enn 400 000 kroner.</w:t>
      </w:r>
      <w:r w:rsidRPr="00E426D3">
        <w:rPr>
          <w:rStyle w:val="skrift-hevet"/>
        </w:rPr>
        <w:t>1</w:t>
      </w:r>
      <w:r w:rsidRPr="00E426D3">
        <w:t xml:space="preserve"> 2022. Kroner.</w:t>
      </w:r>
    </w:p>
    <w:p w14:paraId="56CB2906" w14:textId="77777777" w:rsidR="00772748" w:rsidRPr="00E426D3" w:rsidRDefault="00772748" w:rsidP="00E426D3">
      <w:pPr>
        <w:pStyle w:val="figur-noter"/>
      </w:pPr>
      <w:r w:rsidRPr="00E426D3">
        <w:rPr>
          <w:rStyle w:val="skrift-hevet"/>
        </w:rPr>
        <w:t>1</w:t>
      </w:r>
      <w:r w:rsidRPr="00E426D3">
        <w:tab/>
        <w:t xml:space="preserve">X-aksen viser inntektene etter </w:t>
      </w:r>
      <w:proofErr w:type="spellStart"/>
      <w:r w:rsidRPr="00E426D3">
        <w:t>treprosentregelen</w:t>
      </w:r>
      <w:proofErr w:type="spellEnd"/>
      <w:r w:rsidRPr="00E426D3">
        <w:t xml:space="preserve"> og y-aksen viser antatte </w:t>
      </w:r>
      <w:proofErr w:type="spellStart"/>
      <w:r w:rsidRPr="00E426D3">
        <w:t>forvaltningskostnadar</w:t>
      </w:r>
      <w:proofErr w:type="spellEnd"/>
      <w:r w:rsidRPr="00E426D3">
        <w:t>.</w:t>
      </w:r>
    </w:p>
    <w:p w14:paraId="4AF1B534" w14:textId="77777777" w:rsidR="00772748" w:rsidRPr="00E426D3" w:rsidRDefault="00772748" w:rsidP="00E426D3">
      <w:pPr>
        <w:pStyle w:val="Kilde"/>
      </w:pPr>
      <w:r w:rsidRPr="00E426D3">
        <w:lastRenderedPageBreak/>
        <w:t>Kjelder: Finansdepartementet og Skatteetaten</w:t>
      </w:r>
    </w:p>
    <w:p w14:paraId="35C1668E" w14:textId="77777777" w:rsidR="00772748" w:rsidRPr="00E426D3" w:rsidRDefault="00772748" w:rsidP="00E426D3">
      <w:pPr>
        <w:pStyle w:val="avsnitt-tittel"/>
      </w:pPr>
      <w:r w:rsidRPr="00E426D3">
        <w:t>Oppsummering</w:t>
      </w:r>
    </w:p>
    <w:p w14:paraId="5788272F" w14:textId="77777777" w:rsidR="00772748" w:rsidRPr="00E426D3" w:rsidRDefault="00772748" w:rsidP="00E426D3">
      <w:r w:rsidRPr="00E426D3">
        <w:t xml:space="preserve">Etter ei samla vurdering meiner regjeringa at </w:t>
      </w:r>
      <w:proofErr w:type="spellStart"/>
      <w:r w:rsidRPr="00E426D3">
        <w:t>dei</w:t>
      </w:r>
      <w:proofErr w:type="spellEnd"/>
      <w:r w:rsidRPr="00E426D3">
        <w:t xml:space="preserve"> administrative </w:t>
      </w:r>
      <w:proofErr w:type="spellStart"/>
      <w:r w:rsidRPr="00E426D3">
        <w:t>konsekvensane</w:t>
      </w:r>
      <w:proofErr w:type="spellEnd"/>
      <w:r w:rsidRPr="00E426D3">
        <w:t xml:space="preserve"> av å inkludere </w:t>
      </w:r>
      <w:proofErr w:type="spellStart"/>
      <w:r w:rsidRPr="00E426D3">
        <w:t>gevinstar</w:t>
      </w:r>
      <w:proofErr w:type="spellEnd"/>
      <w:r w:rsidRPr="00E426D3">
        <w:t xml:space="preserve"> i regelen vil </w:t>
      </w:r>
      <w:proofErr w:type="spellStart"/>
      <w:r w:rsidRPr="00E426D3">
        <w:t>vere</w:t>
      </w:r>
      <w:proofErr w:type="spellEnd"/>
      <w:r w:rsidRPr="00E426D3">
        <w:t xml:space="preserve"> uforholdsmessig store.</w:t>
      </w:r>
    </w:p>
    <w:p w14:paraId="1D54087F" w14:textId="77777777" w:rsidR="00772748" w:rsidRPr="00E426D3" w:rsidRDefault="00772748" w:rsidP="00E426D3">
      <w:r w:rsidRPr="00E426D3">
        <w:t xml:space="preserve">Regjeringa meiner </w:t>
      </w:r>
      <w:proofErr w:type="spellStart"/>
      <w:r w:rsidRPr="00E426D3">
        <w:t>vidare</w:t>
      </w:r>
      <w:proofErr w:type="spellEnd"/>
      <w:r w:rsidRPr="00E426D3">
        <w:t xml:space="preserve"> at den store spreiinga i </w:t>
      </w:r>
      <w:proofErr w:type="spellStart"/>
      <w:r w:rsidRPr="00E426D3">
        <w:t>forvaltningskostnadane</w:t>
      </w:r>
      <w:proofErr w:type="spellEnd"/>
      <w:r w:rsidRPr="00E426D3">
        <w:t xml:space="preserve"> til selskapa </w:t>
      </w:r>
      <w:proofErr w:type="spellStart"/>
      <w:r w:rsidRPr="00E426D3">
        <w:t>gjer</w:t>
      </w:r>
      <w:proofErr w:type="spellEnd"/>
      <w:r w:rsidRPr="00E426D3">
        <w:t xml:space="preserve"> det </w:t>
      </w:r>
      <w:proofErr w:type="spellStart"/>
      <w:r w:rsidRPr="00E426D3">
        <w:t>krevjande</w:t>
      </w:r>
      <w:proofErr w:type="spellEnd"/>
      <w:r w:rsidRPr="00E426D3">
        <w:t xml:space="preserve"> å </w:t>
      </w:r>
      <w:proofErr w:type="spellStart"/>
      <w:r w:rsidRPr="00E426D3">
        <w:t>fastsetje</w:t>
      </w:r>
      <w:proofErr w:type="spellEnd"/>
      <w:r w:rsidRPr="00E426D3">
        <w:t xml:space="preserve"> </w:t>
      </w:r>
      <w:proofErr w:type="spellStart"/>
      <w:r w:rsidRPr="00E426D3">
        <w:t>ein</w:t>
      </w:r>
      <w:proofErr w:type="spellEnd"/>
      <w:r w:rsidRPr="00E426D3">
        <w:t xml:space="preserve"> </w:t>
      </w:r>
      <w:proofErr w:type="spellStart"/>
      <w:r w:rsidRPr="00E426D3">
        <w:t>passande</w:t>
      </w:r>
      <w:proofErr w:type="spellEnd"/>
      <w:r w:rsidRPr="00E426D3">
        <w:t xml:space="preserve"> sjablongsats. Funna i dataanalysen taler mot å </w:t>
      </w:r>
      <w:proofErr w:type="spellStart"/>
      <w:r w:rsidRPr="00E426D3">
        <w:t>auke</w:t>
      </w:r>
      <w:proofErr w:type="spellEnd"/>
      <w:r w:rsidRPr="00E426D3">
        <w:t xml:space="preserve"> satsen. Analysen tyder derimot på at </w:t>
      </w:r>
      <w:proofErr w:type="spellStart"/>
      <w:r w:rsidRPr="00E426D3">
        <w:t>ein</w:t>
      </w:r>
      <w:proofErr w:type="spellEnd"/>
      <w:r w:rsidRPr="00E426D3">
        <w:t xml:space="preserve"> satsreduksjon kunne gjort regelen </w:t>
      </w:r>
      <w:proofErr w:type="spellStart"/>
      <w:r w:rsidRPr="00E426D3">
        <w:t>noko</w:t>
      </w:r>
      <w:proofErr w:type="spellEnd"/>
      <w:r w:rsidRPr="00E426D3">
        <w:t xml:space="preserve"> </w:t>
      </w:r>
      <w:proofErr w:type="spellStart"/>
      <w:r w:rsidRPr="00E426D3">
        <w:t>meir</w:t>
      </w:r>
      <w:proofErr w:type="spellEnd"/>
      <w:r w:rsidRPr="00E426D3">
        <w:t xml:space="preserve"> treffsikker for </w:t>
      </w:r>
      <w:proofErr w:type="spellStart"/>
      <w:r w:rsidRPr="00E426D3">
        <w:t>fleire</w:t>
      </w:r>
      <w:proofErr w:type="spellEnd"/>
      <w:r w:rsidRPr="00E426D3">
        <w:t xml:space="preserve"> selskap. Samstundes </w:t>
      </w:r>
      <w:proofErr w:type="spellStart"/>
      <w:r w:rsidRPr="00E426D3">
        <w:t>finst</w:t>
      </w:r>
      <w:proofErr w:type="spellEnd"/>
      <w:r w:rsidRPr="00E426D3">
        <w:t xml:space="preserve"> det </w:t>
      </w:r>
      <w:proofErr w:type="spellStart"/>
      <w:r w:rsidRPr="00E426D3">
        <w:t>nokre</w:t>
      </w:r>
      <w:proofErr w:type="spellEnd"/>
      <w:r w:rsidRPr="00E426D3">
        <w:t xml:space="preserve"> selskap som fører svært store </w:t>
      </w:r>
      <w:proofErr w:type="spellStart"/>
      <w:r w:rsidRPr="00E426D3">
        <w:t>forvaltningskostnadar</w:t>
      </w:r>
      <w:proofErr w:type="spellEnd"/>
      <w:r w:rsidRPr="00E426D3">
        <w:t xml:space="preserve"> til </w:t>
      </w:r>
      <w:proofErr w:type="spellStart"/>
      <w:r w:rsidRPr="00E426D3">
        <w:t>frådrag</w:t>
      </w:r>
      <w:proofErr w:type="spellEnd"/>
      <w:r w:rsidRPr="00E426D3">
        <w:t xml:space="preserve">, </w:t>
      </w:r>
      <w:proofErr w:type="spellStart"/>
      <w:r w:rsidRPr="00E426D3">
        <w:t>samanlikna</w:t>
      </w:r>
      <w:proofErr w:type="spellEnd"/>
      <w:r w:rsidRPr="00E426D3">
        <w:t xml:space="preserve"> med </w:t>
      </w:r>
      <w:proofErr w:type="spellStart"/>
      <w:r w:rsidRPr="00E426D3">
        <w:t>mottekne</w:t>
      </w:r>
      <w:proofErr w:type="spellEnd"/>
      <w:r w:rsidRPr="00E426D3">
        <w:t xml:space="preserve"> </w:t>
      </w:r>
      <w:proofErr w:type="spellStart"/>
      <w:r w:rsidRPr="00E426D3">
        <w:t>utbyter</w:t>
      </w:r>
      <w:proofErr w:type="spellEnd"/>
      <w:r w:rsidRPr="00E426D3">
        <w:t xml:space="preserve"> etter </w:t>
      </w:r>
      <w:proofErr w:type="spellStart"/>
      <w:r w:rsidRPr="00E426D3">
        <w:t>treprosentregelen</w:t>
      </w:r>
      <w:proofErr w:type="spellEnd"/>
      <w:r w:rsidRPr="00E426D3">
        <w:t>.</w:t>
      </w:r>
    </w:p>
    <w:p w14:paraId="3BD6C27C" w14:textId="77777777" w:rsidR="00772748" w:rsidRPr="00E426D3" w:rsidRDefault="00772748" w:rsidP="00E426D3">
      <w:r w:rsidRPr="00E426D3">
        <w:t xml:space="preserve">Regjeringa </w:t>
      </w:r>
      <w:proofErr w:type="spellStart"/>
      <w:r w:rsidRPr="00E426D3">
        <w:t>gjer</w:t>
      </w:r>
      <w:proofErr w:type="spellEnd"/>
      <w:r w:rsidRPr="00E426D3">
        <w:t xml:space="preserve"> ingen framlegg til </w:t>
      </w:r>
      <w:proofErr w:type="spellStart"/>
      <w:r w:rsidRPr="00E426D3">
        <w:t>endringar</w:t>
      </w:r>
      <w:proofErr w:type="spellEnd"/>
      <w:r w:rsidRPr="00E426D3">
        <w:t xml:space="preserve"> i </w:t>
      </w:r>
      <w:proofErr w:type="spellStart"/>
      <w:r w:rsidRPr="00E426D3">
        <w:t>treprosentregelen</w:t>
      </w:r>
      <w:proofErr w:type="spellEnd"/>
      <w:r w:rsidRPr="00E426D3">
        <w:t xml:space="preserve"> i samband med det reviderte budsjettet. Oppmodingsvedtaket vert </w:t>
      </w:r>
      <w:proofErr w:type="spellStart"/>
      <w:r w:rsidRPr="00E426D3">
        <w:t>rekna</w:t>
      </w:r>
      <w:proofErr w:type="spellEnd"/>
      <w:r w:rsidRPr="00E426D3">
        <w:t xml:space="preserve"> som </w:t>
      </w:r>
      <w:proofErr w:type="spellStart"/>
      <w:r w:rsidRPr="00E426D3">
        <w:t>fylgd</w:t>
      </w:r>
      <w:proofErr w:type="spellEnd"/>
      <w:r w:rsidRPr="00E426D3">
        <w:t xml:space="preserve"> opp gjennom utgreiinga </w:t>
      </w:r>
      <w:proofErr w:type="spellStart"/>
      <w:r w:rsidRPr="00E426D3">
        <w:t>ovanfor</w:t>
      </w:r>
      <w:proofErr w:type="spellEnd"/>
      <w:r w:rsidRPr="00E426D3">
        <w:t>.</w:t>
      </w:r>
    </w:p>
    <w:p w14:paraId="38EFDA6D" w14:textId="77777777" w:rsidR="00772748" w:rsidRPr="00E426D3" w:rsidRDefault="00772748" w:rsidP="00E426D3">
      <w:pPr>
        <w:pStyle w:val="Overskrift2"/>
      </w:pPr>
      <w:r w:rsidRPr="00E426D3">
        <w:t>Oppmodingsvedtak – NOKUS-</w:t>
      </w:r>
      <w:proofErr w:type="spellStart"/>
      <w:r w:rsidRPr="00E426D3">
        <w:t>reglane</w:t>
      </w:r>
      <w:proofErr w:type="spellEnd"/>
    </w:p>
    <w:p w14:paraId="649B5718" w14:textId="77777777" w:rsidR="00772748" w:rsidRPr="00E426D3" w:rsidRDefault="00772748" w:rsidP="00E426D3">
      <w:r w:rsidRPr="00E426D3">
        <w:t xml:space="preserve">Stortinget fatta </w:t>
      </w:r>
      <w:proofErr w:type="spellStart"/>
      <w:r w:rsidRPr="00E426D3">
        <w:t>følgjande</w:t>
      </w:r>
      <w:proofErr w:type="spellEnd"/>
      <w:r w:rsidRPr="00E426D3">
        <w:t xml:space="preserve"> oppmodingsvedtak i samband med </w:t>
      </w:r>
      <w:proofErr w:type="spellStart"/>
      <w:r w:rsidRPr="00E426D3">
        <w:t>behandlinga</w:t>
      </w:r>
      <w:proofErr w:type="spellEnd"/>
      <w:r w:rsidRPr="00E426D3">
        <w:t xml:space="preserve"> av statsbudsjettet for 2022, sjå </w:t>
      </w:r>
      <w:proofErr w:type="spellStart"/>
      <w:r w:rsidRPr="00E426D3">
        <w:t>Innst</w:t>
      </w:r>
      <w:proofErr w:type="spellEnd"/>
      <w:r w:rsidRPr="00E426D3">
        <w:t>. 2 S (2021–2022) (vedtak 35, punkt 31):</w:t>
      </w:r>
    </w:p>
    <w:p w14:paraId="36692935" w14:textId="77777777" w:rsidR="00772748" w:rsidRPr="00E426D3" w:rsidRDefault="00772748" w:rsidP="00E426D3">
      <w:pPr>
        <w:pStyle w:val="blokksit"/>
      </w:pPr>
      <w:r w:rsidRPr="00E426D3">
        <w:t>«Stortinget ber regjeringen om i løpet av 2022 å gjennomføre en grundig evaluering av dagens skatteordning for NOKUS-selskap, herunder også vurdere hvordan denne ordningen samvirker med kildeskatt.»</w:t>
      </w:r>
    </w:p>
    <w:p w14:paraId="7B5EA8E6" w14:textId="77777777" w:rsidR="00772748" w:rsidRPr="00E426D3" w:rsidRDefault="00772748" w:rsidP="00E426D3">
      <w:r w:rsidRPr="00E426D3">
        <w:t>NOKUS-</w:t>
      </w:r>
      <w:proofErr w:type="spellStart"/>
      <w:r w:rsidRPr="00E426D3">
        <w:t>reglane</w:t>
      </w:r>
      <w:proofErr w:type="spellEnd"/>
      <w:r w:rsidRPr="00E426D3">
        <w:t xml:space="preserve"> er fastsett i skatteloven §§ 10-60 til 10-68. Dei </w:t>
      </w:r>
      <w:proofErr w:type="spellStart"/>
      <w:r w:rsidRPr="00E426D3">
        <w:t>inneber</w:t>
      </w:r>
      <w:proofErr w:type="spellEnd"/>
      <w:r w:rsidRPr="00E426D3">
        <w:t xml:space="preserve"> at norske </w:t>
      </w:r>
      <w:proofErr w:type="spellStart"/>
      <w:r w:rsidRPr="00E426D3">
        <w:t>eigarar</w:t>
      </w:r>
      <w:proofErr w:type="spellEnd"/>
      <w:r w:rsidRPr="00E426D3">
        <w:t xml:space="preserve"> vert </w:t>
      </w:r>
      <w:proofErr w:type="spellStart"/>
      <w:r w:rsidRPr="00E426D3">
        <w:t>skattlagd</w:t>
      </w:r>
      <w:proofErr w:type="spellEnd"/>
      <w:r w:rsidRPr="00E426D3">
        <w:t xml:space="preserve"> </w:t>
      </w:r>
      <w:proofErr w:type="spellStart"/>
      <w:r w:rsidRPr="00E426D3">
        <w:t>laupande</w:t>
      </w:r>
      <w:proofErr w:type="spellEnd"/>
      <w:r w:rsidRPr="00E426D3">
        <w:t xml:space="preserve"> for sine </w:t>
      </w:r>
      <w:proofErr w:type="spellStart"/>
      <w:r w:rsidRPr="00E426D3">
        <w:t>andelar</w:t>
      </w:r>
      <w:proofErr w:type="spellEnd"/>
      <w:r w:rsidRPr="00E426D3">
        <w:t xml:space="preserve"> av </w:t>
      </w:r>
      <w:proofErr w:type="spellStart"/>
      <w:r w:rsidRPr="00E426D3">
        <w:t>overskot</w:t>
      </w:r>
      <w:proofErr w:type="spellEnd"/>
      <w:r w:rsidRPr="00E426D3">
        <w:t xml:space="preserve"> i selskap mv. som er under norsk kontroll og som er </w:t>
      </w:r>
      <w:proofErr w:type="spellStart"/>
      <w:r w:rsidRPr="00E426D3">
        <w:t>heimehøyrande</w:t>
      </w:r>
      <w:proofErr w:type="spellEnd"/>
      <w:r w:rsidRPr="00E426D3">
        <w:t xml:space="preserve"> i </w:t>
      </w:r>
      <w:proofErr w:type="spellStart"/>
      <w:r w:rsidRPr="00E426D3">
        <w:t>lågskattland</w:t>
      </w:r>
      <w:proofErr w:type="spellEnd"/>
      <w:r w:rsidRPr="00E426D3">
        <w:t xml:space="preserve">, uavhengig av om </w:t>
      </w:r>
      <w:proofErr w:type="spellStart"/>
      <w:r w:rsidRPr="00E426D3">
        <w:t>overskotet</w:t>
      </w:r>
      <w:proofErr w:type="spellEnd"/>
      <w:r w:rsidRPr="00E426D3">
        <w:t xml:space="preserve"> vert delt ut. </w:t>
      </w:r>
      <w:proofErr w:type="spellStart"/>
      <w:r w:rsidRPr="00E426D3">
        <w:t>Reglane</w:t>
      </w:r>
      <w:proofErr w:type="spellEnd"/>
      <w:r w:rsidRPr="00E426D3">
        <w:t xml:space="preserve"> skal sikre investeringsnøytralitet og </w:t>
      </w:r>
      <w:proofErr w:type="spellStart"/>
      <w:r w:rsidRPr="00E426D3">
        <w:t>motverke</w:t>
      </w:r>
      <w:proofErr w:type="spellEnd"/>
      <w:r w:rsidRPr="00E426D3">
        <w:t xml:space="preserve"> skattemotiverte </w:t>
      </w:r>
      <w:proofErr w:type="spellStart"/>
      <w:r w:rsidRPr="00E426D3">
        <w:t>etableringar</w:t>
      </w:r>
      <w:proofErr w:type="spellEnd"/>
      <w:r w:rsidRPr="00E426D3">
        <w:t>.</w:t>
      </w:r>
    </w:p>
    <w:p w14:paraId="798266CD" w14:textId="77777777" w:rsidR="00772748" w:rsidRPr="00E426D3" w:rsidRDefault="00772748" w:rsidP="00E426D3">
      <w:r w:rsidRPr="00E426D3">
        <w:t xml:space="preserve">Den delen av oppmodingsvedtaket som </w:t>
      </w:r>
      <w:proofErr w:type="spellStart"/>
      <w:r w:rsidRPr="00E426D3">
        <w:t>gjeld</w:t>
      </w:r>
      <w:proofErr w:type="spellEnd"/>
      <w:r w:rsidRPr="00E426D3">
        <w:t xml:space="preserve"> kjeldeskatt, vart løyst </w:t>
      </w:r>
      <w:proofErr w:type="spellStart"/>
      <w:r w:rsidRPr="00E426D3">
        <w:t>allereie</w:t>
      </w:r>
      <w:proofErr w:type="spellEnd"/>
      <w:r w:rsidRPr="00E426D3">
        <w:t xml:space="preserve"> i 2021. For den delen vart oppmodingsvedtaket </w:t>
      </w:r>
      <w:proofErr w:type="spellStart"/>
      <w:r w:rsidRPr="00E426D3">
        <w:t>endeleg</w:t>
      </w:r>
      <w:proofErr w:type="spellEnd"/>
      <w:r w:rsidRPr="00E426D3">
        <w:t xml:space="preserve"> </w:t>
      </w:r>
      <w:proofErr w:type="spellStart"/>
      <w:r w:rsidRPr="00E426D3">
        <w:t>følgt</w:t>
      </w:r>
      <w:proofErr w:type="spellEnd"/>
      <w:r w:rsidRPr="00E426D3">
        <w:t xml:space="preserve"> opp ved </w:t>
      </w:r>
      <w:proofErr w:type="gramStart"/>
      <w:r w:rsidRPr="00E426D3">
        <w:t>ei omtale</w:t>
      </w:r>
      <w:proofErr w:type="gramEnd"/>
      <w:r w:rsidRPr="00E426D3">
        <w:t xml:space="preserve"> i Prop. 1 LS (2022–2023) </w:t>
      </w:r>
      <w:r w:rsidRPr="00E426D3">
        <w:rPr>
          <w:rStyle w:val="kursiv"/>
        </w:rPr>
        <w:t>Skatter, avgifter og toll 2023</w:t>
      </w:r>
      <w:r w:rsidRPr="00E426D3">
        <w:t xml:space="preserve">. Samstundes uttalte departementet at det </w:t>
      </w:r>
      <w:proofErr w:type="spellStart"/>
      <w:r w:rsidRPr="00E426D3">
        <w:t>ikkje</w:t>
      </w:r>
      <w:proofErr w:type="spellEnd"/>
      <w:r w:rsidRPr="00E426D3">
        <w:t xml:space="preserve"> var </w:t>
      </w:r>
      <w:proofErr w:type="spellStart"/>
      <w:r w:rsidRPr="00E426D3">
        <w:t>mogleg</w:t>
      </w:r>
      <w:proofErr w:type="spellEnd"/>
      <w:r w:rsidRPr="00E426D3">
        <w:t xml:space="preserve"> å gjennomføre ei grundig evaluering av NOKUS-</w:t>
      </w:r>
      <w:proofErr w:type="spellStart"/>
      <w:r w:rsidRPr="00E426D3">
        <w:t>reglane</w:t>
      </w:r>
      <w:proofErr w:type="spellEnd"/>
      <w:r w:rsidRPr="00E426D3">
        <w:t xml:space="preserve"> i 2022. Det vart vist til at heilskapen </w:t>
      </w:r>
      <w:proofErr w:type="spellStart"/>
      <w:r w:rsidRPr="00E426D3">
        <w:t>manglar</w:t>
      </w:r>
      <w:proofErr w:type="spellEnd"/>
      <w:r w:rsidRPr="00E426D3">
        <w:t xml:space="preserve"> i påvente av den internasjonale utviklinga på området, og </w:t>
      </w:r>
      <w:proofErr w:type="spellStart"/>
      <w:r w:rsidRPr="00E426D3">
        <w:t>særleg</w:t>
      </w:r>
      <w:proofErr w:type="spellEnd"/>
      <w:r w:rsidRPr="00E426D3">
        <w:t xml:space="preserve"> ferdigstillinga av arbeidet med ei </w:t>
      </w:r>
      <w:proofErr w:type="spellStart"/>
      <w:r w:rsidRPr="00E426D3">
        <w:t>topilarløysing</w:t>
      </w:r>
      <w:proofErr w:type="spellEnd"/>
      <w:r w:rsidRPr="00E426D3">
        <w:t xml:space="preserve"> for </w:t>
      </w:r>
      <w:proofErr w:type="spellStart"/>
      <w:r w:rsidRPr="00E426D3">
        <w:t>skattleggjing</w:t>
      </w:r>
      <w:proofErr w:type="spellEnd"/>
      <w:r w:rsidRPr="00E426D3">
        <w:t xml:space="preserve"> av store </w:t>
      </w:r>
      <w:proofErr w:type="spellStart"/>
      <w:r w:rsidRPr="00E426D3">
        <w:t>fleirnasjonale</w:t>
      </w:r>
      <w:proofErr w:type="spellEnd"/>
      <w:r w:rsidRPr="00E426D3">
        <w:t xml:space="preserve"> konsern i </w:t>
      </w:r>
      <w:proofErr w:type="spellStart"/>
      <w:r w:rsidRPr="00E426D3">
        <w:t>Noreg</w:t>
      </w:r>
      <w:proofErr w:type="spellEnd"/>
      <w:r w:rsidRPr="00E426D3">
        <w:t xml:space="preserve">. Departementet ville </w:t>
      </w:r>
      <w:proofErr w:type="spellStart"/>
      <w:r w:rsidRPr="00E426D3">
        <w:t>difor</w:t>
      </w:r>
      <w:proofErr w:type="spellEnd"/>
      <w:r w:rsidRPr="00E426D3">
        <w:t xml:space="preserve"> </w:t>
      </w:r>
      <w:proofErr w:type="spellStart"/>
      <w:r w:rsidRPr="00E426D3">
        <w:t>kome</w:t>
      </w:r>
      <w:proofErr w:type="spellEnd"/>
      <w:r w:rsidRPr="00E426D3">
        <w:t xml:space="preserve"> attende med ei vurdering av NOKUS-</w:t>
      </w:r>
      <w:proofErr w:type="spellStart"/>
      <w:r w:rsidRPr="00E426D3">
        <w:t>reglane</w:t>
      </w:r>
      <w:proofErr w:type="spellEnd"/>
      <w:r w:rsidRPr="00E426D3">
        <w:t xml:space="preserve"> når </w:t>
      </w:r>
      <w:proofErr w:type="spellStart"/>
      <w:r w:rsidRPr="00E426D3">
        <w:t>topilarløysinga</w:t>
      </w:r>
      <w:proofErr w:type="spellEnd"/>
      <w:r w:rsidRPr="00E426D3">
        <w:t xml:space="preserve"> er innført i norsk rett. Dette vart </w:t>
      </w:r>
      <w:proofErr w:type="spellStart"/>
      <w:r w:rsidRPr="00E426D3">
        <w:t>teke</w:t>
      </w:r>
      <w:proofErr w:type="spellEnd"/>
      <w:r w:rsidRPr="00E426D3">
        <w:t xml:space="preserve"> opp att i Meld. St. 4 (2024–2025) </w:t>
      </w:r>
      <w:r w:rsidRPr="00E426D3">
        <w:rPr>
          <w:rStyle w:val="kursiv"/>
        </w:rPr>
        <w:t>Anmodnings- og utredningsvedtak i stortingssesjonen 2023–2024</w:t>
      </w:r>
      <w:r w:rsidRPr="00E426D3">
        <w:t>.</w:t>
      </w:r>
    </w:p>
    <w:p w14:paraId="1AAED25E" w14:textId="77777777" w:rsidR="00772748" w:rsidRPr="00E426D3" w:rsidRDefault="00772748" w:rsidP="00E426D3">
      <w:proofErr w:type="spellStart"/>
      <w:r w:rsidRPr="00E426D3">
        <w:t>Topilarløysinga</w:t>
      </w:r>
      <w:proofErr w:type="spellEnd"/>
      <w:r w:rsidRPr="00E426D3">
        <w:t xml:space="preserve"> er ei internasjonal semje om </w:t>
      </w:r>
      <w:proofErr w:type="spellStart"/>
      <w:r w:rsidRPr="00E426D3">
        <w:t>endringar</w:t>
      </w:r>
      <w:proofErr w:type="spellEnd"/>
      <w:r w:rsidRPr="00E426D3">
        <w:t xml:space="preserve"> i rammeverket for </w:t>
      </w:r>
      <w:proofErr w:type="spellStart"/>
      <w:r w:rsidRPr="00E426D3">
        <w:t>skattleggjing</w:t>
      </w:r>
      <w:proofErr w:type="spellEnd"/>
      <w:r w:rsidRPr="00E426D3">
        <w:t xml:space="preserve"> av store </w:t>
      </w:r>
      <w:proofErr w:type="spellStart"/>
      <w:r w:rsidRPr="00E426D3">
        <w:t>fleirnasjonale</w:t>
      </w:r>
      <w:proofErr w:type="spellEnd"/>
      <w:r w:rsidRPr="00E426D3">
        <w:t xml:space="preserve"> konsern. Tiltaka skal </w:t>
      </w:r>
      <w:proofErr w:type="spellStart"/>
      <w:r w:rsidRPr="00E426D3">
        <w:t>motverke</w:t>
      </w:r>
      <w:proofErr w:type="spellEnd"/>
      <w:r w:rsidRPr="00E426D3">
        <w:t xml:space="preserve"> at </w:t>
      </w:r>
      <w:proofErr w:type="spellStart"/>
      <w:r w:rsidRPr="00E426D3">
        <w:t>overskot</w:t>
      </w:r>
      <w:proofErr w:type="spellEnd"/>
      <w:r w:rsidRPr="00E426D3">
        <w:t xml:space="preserve"> vert flytta og skattegrunnlaget uthola. Løysinga består av to </w:t>
      </w:r>
      <w:proofErr w:type="spellStart"/>
      <w:r w:rsidRPr="00E426D3">
        <w:t>hovuddelar</w:t>
      </w:r>
      <w:proofErr w:type="spellEnd"/>
      <w:r w:rsidRPr="00E426D3">
        <w:t xml:space="preserve">, pilar 1 og 2. Pilar 2 er innført i norsk rett gjennom suppleringsskatteloven. </w:t>
      </w:r>
      <w:proofErr w:type="spellStart"/>
      <w:r w:rsidRPr="00E426D3">
        <w:t>Forhandlingane</w:t>
      </w:r>
      <w:proofErr w:type="spellEnd"/>
      <w:r w:rsidRPr="00E426D3">
        <w:t xml:space="preserve"> om pilar 1 pågår </w:t>
      </w:r>
      <w:proofErr w:type="spellStart"/>
      <w:r w:rsidRPr="00E426D3">
        <w:t>framleis</w:t>
      </w:r>
      <w:proofErr w:type="spellEnd"/>
      <w:r w:rsidRPr="00E426D3">
        <w:t xml:space="preserve">. Departementet kan </w:t>
      </w:r>
      <w:proofErr w:type="spellStart"/>
      <w:r w:rsidRPr="00E426D3">
        <w:t>ikkje</w:t>
      </w:r>
      <w:proofErr w:type="spellEnd"/>
      <w:r w:rsidRPr="00E426D3">
        <w:t xml:space="preserve"> tidfeste når det eventuelt kan </w:t>
      </w:r>
      <w:proofErr w:type="spellStart"/>
      <w:r w:rsidRPr="00E426D3">
        <w:t>ventast</w:t>
      </w:r>
      <w:proofErr w:type="spellEnd"/>
      <w:r w:rsidRPr="00E426D3">
        <w:t xml:space="preserve"> at konvensjonen i pilar 1 kan </w:t>
      </w:r>
      <w:proofErr w:type="spellStart"/>
      <w:r w:rsidRPr="00E426D3">
        <w:t>verte</w:t>
      </w:r>
      <w:proofErr w:type="spellEnd"/>
      <w:r w:rsidRPr="00E426D3">
        <w:t xml:space="preserve"> </w:t>
      </w:r>
      <w:proofErr w:type="spellStart"/>
      <w:r w:rsidRPr="00E426D3">
        <w:t>underteikna</w:t>
      </w:r>
      <w:proofErr w:type="spellEnd"/>
      <w:r w:rsidRPr="00E426D3">
        <w:t xml:space="preserve">, tre i kraft eller få verknad. Det pågår òg framleis arbeid med </w:t>
      </w:r>
      <w:proofErr w:type="spellStart"/>
      <w:r w:rsidRPr="00E426D3">
        <w:t>detaljane</w:t>
      </w:r>
      <w:proofErr w:type="spellEnd"/>
      <w:r w:rsidRPr="00E426D3">
        <w:t xml:space="preserve"> i pilar 2, som vil føre til </w:t>
      </w:r>
      <w:proofErr w:type="spellStart"/>
      <w:r w:rsidRPr="00E426D3">
        <w:t>endringar</w:t>
      </w:r>
      <w:proofErr w:type="spellEnd"/>
      <w:r w:rsidRPr="00E426D3">
        <w:t xml:space="preserve"> i </w:t>
      </w:r>
      <w:proofErr w:type="spellStart"/>
      <w:r w:rsidRPr="00E426D3">
        <w:t>reglane</w:t>
      </w:r>
      <w:proofErr w:type="spellEnd"/>
      <w:r w:rsidRPr="00E426D3">
        <w:t xml:space="preserve"> i tida framover. Departementet meiner </w:t>
      </w:r>
      <w:proofErr w:type="spellStart"/>
      <w:r w:rsidRPr="00E426D3">
        <w:t>difor</w:t>
      </w:r>
      <w:proofErr w:type="spellEnd"/>
      <w:r w:rsidRPr="00E426D3">
        <w:t xml:space="preserve"> at det heller </w:t>
      </w:r>
      <w:proofErr w:type="spellStart"/>
      <w:r w:rsidRPr="00E426D3">
        <w:t>ikkje</w:t>
      </w:r>
      <w:proofErr w:type="spellEnd"/>
      <w:r w:rsidRPr="00E426D3">
        <w:t xml:space="preserve"> i år er </w:t>
      </w:r>
      <w:proofErr w:type="spellStart"/>
      <w:r w:rsidRPr="00E426D3">
        <w:t>føremålstenleg</w:t>
      </w:r>
      <w:proofErr w:type="spellEnd"/>
      <w:r w:rsidRPr="00E426D3">
        <w:t xml:space="preserve"> å </w:t>
      </w:r>
      <w:r w:rsidRPr="00E426D3">
        <w:lastRenderedPageBreak/>
        <w:t>gjennomføre ei grundig evaluering av NOKUS-</w:t>
      </w:r>
      <w:proofErr w:type="spellStart"/>
      <w:r w:rsidRPr="00E426D3">
        <w:t>reglane</w:t>
      </w:r>
      <w:proofErr w:type="spellEnd"/>
      <w:r w:rsidRPr="00E426D3">
        <w:t xml:space="preserve">. Departementet har i staden vurdert om det er </w:t>
      </w:r>
      <w:proofErr w:type="spellStart"/>
      <w:r w:rsidRPr="00E426D3">
        <w:t>mogleg</w:t>
      </w:r>
      <w:proofErr w:type="spellEnd"/>
      <w:r w:rsidRPr="00E426D3">
        <w:t xml:space="preserve"> å </w:t>
      </w:r>
      <w:proofErr w:type="spellStart"/>
      <w:r w:rsidRPr="00E426D3">
        <w:t>gjere</w:t>
      </w:r>
      <w:proofErr w:type="spellEnd"/>
      <w:r w:rsidRPr="00E426D3">
        <w:t xml:space="preserve"> mindre </w:t>
      </w:r>
      <w:proofErr w:type="spellStart"/>
      <w:r w:rsidRPr="00E426D3">
        <w:t>endringar</w:t>
      </w:r>
      <w:proofErr w:type="spellEnd"/>
      <w:r w:rsidRPr="00E426D3">
        <w:t xml:space="preserve"> i NOKUS-</w:t>
      </w:r>
      <w:proofErr w:type="spellStart"/>
      <w:r w:rsidRPr="00E426D3">
        <w:t>reglane</w:t>
      </w:r>
      <w:proofErr w:type="spellEnd"/>
      <w:r w:rsidRPr="00E426D3">
        <w:t xml:space="preserve"> på </w:t>
      </w:r>
      <w:proofErr w:type="spellStart"/>
      <w:r w:rsidRPr="00E426D3">
        <w:t>noko</w:t>
      </w:r>
      <w:proofErr w:type="spellEnd"/>
      <w:r w:rsidRPr="00E426D3">
        <w:t xml:space="preserve"> </w:t>
      </w:r>
      <w:proofErr w:type="spellStart"/>
      <w:r w:rsidRPr="00E426D3">
        <w:t>kortare</w:t>
      </w:r>
      <w:proofErr w:type="spellEnd"/>
      <w:r w:rsidRPr="00E426D3">
        <w:t xml:space="preserve"> sikt.</w:t>
      </w:r>
    </w:p>
    <w:p w14:paraId="3FC9186C" w14:textId="77777777" w:rsidR="00772748" w:rsidRPr="00E426D3" w:rsidRDefault="00772748" w:rsidP="00E426D3">
      <w:r w:rsidRPr="00E426D3">
        <w:t xml:space="preserve">Departementet vil </w:t>
      </w:r>
      <w:proofErr w:type="spellStart"/>
      <w:r w:rsidRPr="00E426D3">
        <w:t>særleg</w:t>
      </w:r>
      <w:proofErr w:type="spellEnd"/>
      <w:r w:rsidRPr="00E426D3">
        <w:t xml:space="preserve"> </w:t>
      </w:r>
      <w:proofErr w:type="spellStart"/>
      <w:r w:rsidRPr="00E426D3">
        <w:t>trekkje</w:t>
      </w:r>
      <w:proofErr w:type="spellEnd"/>
      <w:r w:rsidRPr="00E426D3">
        <w:t xml:space="preserve"> fram to konkrete høve som det vil sjå </w:t>
      </w:r>
      <w:proofErr w:type="spellStart"/>
      <w:r w:rsidRPr="00E426D3">
        <w:t>nærmare</w:t>
      </w:r>
      <w:proofErr w:type="spellEnd"/>
      <w:r w:rsidRPr="00E426D3">
        <w:t xml:space="preserve"> på. Det fyrste gjeld høvet mellom NOKUS-</w:t>
      </w:r>
      <w:proofErr w:type="spellStart"/>
      <w:r w:rsidRPr="00E426D3">
        <w:t>reglane</w:t>
      </w:r>
      <w:proofErr w:type="spellEnd"/>
      <w:r w:rsidRPr="00E426D3">
        <w:t xml:space="preserve"> og </w:t>
      </w:r>
      <w:proofErr w:type="spellStart"/>
      <w:r w:rsidRPr="00E426D3">
        <w:t>reglane</w:t>
      </w:r>
      <w:proofErr w:type="spellEnd"/>
      <w:r w:rsidRPr="00E426D3">
        <w:t xml:space="preserve"> om suppleringsskatt. </w:t>
      </w:r>
      <w:proofErr w:type="spellStart"/>
      <w:r w:rsidRPr="00E426D3">
        <w:t>Sistnemnde</w:t>
      </w:r>
      <w:proofErr w:type="spellEnd"/>
      <w:r w:rsidRPr="00E426D3">
        <w:t xml:space="preserve"> gjeld for konsern med ei samla inntekt på over 750 </w:t>
      </w:r>
      <w:proofErr w:type="spellStart"/>
      <w:r w:rsidRPr="00E426D3">
        <w:t>millionar</w:t>
      </w:r>
      <w:proofErr w:type="spellEnd"/>
      <w:r w:rsidRPr="00E426D3">
        <w:t xml:space="preserve"> euro, og skal sikre at konsernet </w:t>
      </w:r>
      <w:proofErr w:type="spellStart"/>
      <w:r w:rsidRPr="00E426D3">
        <w:t>betalar</w:t>
      </w:r>
      <w:proofErr w:type="spellEnd"/>
      <w:r w:rsidRPr="00E426D3">
        <w:t xml:space="preserve"> minst 15 pst. skatt av </w:t>
      </w:r>
      <w:proofErr w:type="spellStart"/>
      <w:r w:rsidRPr="00E426D3">
        <w:t>verksemda</w:t>
      </w:r>
      <w:proofErr w:type="spellEnd"/>
      <w:r w:rsidRPr="00E426D3">
        <w:t xml:space="preserve"> si, </w:t>
      </w:r>
      <w:proofErr w:type="spellStart"/>
      <w:r w:rsidRPr="00E426D3">
        <w:t>utan</w:t>
      </w:r>
      <w:proofErr w:type="spellEnd"/>
      <w:r w:rsidRPr="00E426D3">
        <w:t xml:space="preserve"> omsyn til </w:t>
      </w:r>
      <w:proofErr w:type="gramStart"/>
      <w:r w:rsidRPr="00E426D3">
        <w:t>kvar ho</w:t>
      </w:r>
      <w:proofErr w:type="gramEnd"/>
      <w:r w:rsidRPr="00E426D3">
        <w:t xml:space="preserve"> vert drive. Båe regelsetta er kompliserte og </w:t>
      </w:r>
      <w:proofErr w:type="spellStart"/>
      <w:r w:rsidRPr="00E426D3">
        <w:t>inneber</w:t>
      </w:r>
      <w:proofErr w:type="spellEnd"/>
      <w:r w:rsidRPr="00E426D3">
        <w:t xml:space="preserve"> </w:t>
      </w:r>
      <w:proofErr w:type="spellStart"/>
      <w:r w:rsidRPr="00E426D3">
        <w:t>forpliktingar</w:t>
      </w:r>
      <w:proofErr w:type="spellEnd"/>
      <w:r w:rsidRPr="00E426D3">
        <w:t xml:space="preserve"> til å rapportere. I NOKUS-</w:t>
      </w:r>
      <w:proofErr w:type="spellStart"/>
      <w:r w:rsidRPr="00E426D3">
        <w:t>samanheng</w:t>
      </w:r>
      <w:proofErr w:type="spellEnd"/>
      <w:r w:rsidRPr="00E426D3">
        <w:t xml:space="preserve"> skal </w:t>
      </w:r>
      <w:proofErr w:type="spellStart"/>
      <w:r w:rsidRPr="00E426D3">
        <w:t>eit</w:t>
      </w:r>
      <w:proofErr w:type="spellEnd"/>
      <w:r w:rsidRPr="00E426D3">
        <w:t xml:space="preserve"> land </w:t>
      </w:r>
      <w:proofErr w:type="spellStart"/>
      <w:r w:rsidRPr="00E426D3">
        <w:t>reknast</w:t>
      </w:r>
      <w:proofErr w:type="spellEnd"/>
      <w:r w:rsidRPr="00E426D3">
        <w:t xml:space="preserve"> som </w:t>
      </w:r>
      <w:proofErr w:type="spellStart"/>
      <w:r w:rsidRPr="00E426D3">
        <w:t>eit</w:t>
      </w:r>
      <w:proofErr w:type="spellEnd"/>
      <w:r w:rsidRPr="00E426D3">
        <w:t xml:space="preserve"> </w:t>
      </w:r>
      <w:proofErr w:type="spellStart"/>
      <w:r w:rsidRPr="00E426D3">
        <w:t>lågskattland</w:t>
      </w:r>
      <w:proofErr w:type="spellEnd"/>
      <w:r w:rsidRPr="00E426D3">
        <w:t xml:space="preserve"> dersom den </w:t>
      </w:r>
      <w:proofErr w:type="spellStart"/>
      <w:r w:rsidRPr="00E426D3">
        <w:t>alminnelege</w:t>
      </w:r>
      <w:proofErr w:type="spellEnd"/>
      <w:r w:rsidRPr="00E426D3">
        <w:t xml:space="preserve"> inntektsskatten på selskapet sitt samla </w:t>
      </w:r>
      <w:proofErr w:type="spellStart"/>
      <w:r w:rsidRPr="00E426D3">
        <w:t>overskot</w:t>
      </w:r>
      <w:proofErr w:type="spellEnd"/>
      <w:r w:rsidRPr="00E426D3">
        <w:t xml:space="preserve"> er mindre enn to </w:t>
      </w:r>
      <w:proofErr w:type="spellStart"/>
      <w:r w:rsidRPr="00E426D3">
        <w:t>tredelar</w:t>
      </w:r>
      <w:proofErr w:type="spellEnd"/>
      <w:r w:rsidRPr="00E426D3">
        <w:t xml:space="preserve"> av den skatten selskapet ville ha vorte ilagt dersom det hadde </w:t>
      </w:r>
      <w:proofErr w:type="spellStart"/>
      <w:r w:rsidRPr="00E426D3">
        <w:t>vore</w:t>
      </w:r>
      <w:proofErr w:type="spellEnd"/>
      <w:r w:rsidRPr="00E426D3">
        <w:t xml:space="preserve"> </w:t>
      </w:r>
      <w:proofErr w:type="spellStart"/>
      <w:r w:rsidRPr="00E426D3">
        <w:t>heimehøyrande</w:t>
      </w:r>
      <w:proofErr w:type="spellEnd"/>
      <w:r w:rsidRPr="00E426D3">
        <w:t xml:space="preserve"> i </w:t>
      </w:r>
      <w:proofErr w:type="spellStart"/>
      <w:r w:rsidRPr="00E426D3">
        <w:t>Noreg</w:t>
      </w:r>
      <w:proofErr w:type="spellEnd"/>
      <w:r w:rsidRPr="00E426D3">
        <w:t xml:space="preserve">. I </w:t>
      </w:r>
      <w:proofErr w:type="spellStart"/>
      <w:r w:rsidRPr="00E426D3">
        <w:t>Noreg</w:t>
      </w:r>
      <w:proofErr w:type="spellEnd"/>
      <w:r w:rsidRPr="00E426D3">
        <w:t xml:space="preserve"> er skattesatsen for selskap 22 pst., slik at to </w:t>
      </w:r>
      <w:proofErr w:type="spellStart"/>
      <w:r w:rsidRPr="00E426D3">
        <w:t>tredelar</w:t>
      </w:r>
      <w:proofErr w:type="spellEnd"/>
      <w:r w:rsidRPr="00E426D3">
        <w:t xml:space="preserve"> </w:t>
      </w:r>
      <w:proofErr w:type="spellStart"/>
      <w:r w:rsidRPr="00E426D3">
        <w:t>tilsvarar</w:t>
      </w:r>
      <w:proofErr w:type="spellEnd"/>
      <w:r w:rsidRPr="00E426D3">
        <w:t xml:space="preserve"> 14,67 pst. Dei to regelsetta har dermed </w:t>
      </w:r>
      <w:proofErr w:type="spellStart"/>
      <w:r w:rsidRPr="00E426D3">
        <w:t>liknande</w:t>
      </w:r>
      <w:proofErr w:type="spellEnd"/>
      <w:r w:rsidRPr="00E426D3">
        <w:t xml:space="preserve"> </w:t>
      </w:r>
      <w:proofErr w:type="spellStart"/>
      <w:r w:rsidRPr="00E426D3">
        <w:t>tersklar</w:t>
      </w:r>
      <w:proofErr w:type="spellEnd"/>
      <w:r w:rsidRPr="00E426D3">
        <w:t xml:space="preserve">, og </w:t>
      </w:r>
      <w:proofErr w:type="spellStart"/>
      <w:r w:rsidRPr="00E426D3">
        <w:t>føremåla</w:t>
      </w:r>
      <w:proofErr w:type="spellEnd"/>
      <w:r w:rsidRPr="00E426D3">
        <w:t xml:space="preserve"> </w:t>
      </w:r>
      <w:proofErr w:type="spellStart"/>
      <w:r w:rsidRPr="00E426D3">
        <w:t>overlappar</w:t>
      </w:r>
      <w:proofErr w:type="spellEnd"/>
      <w:r w:rsidRPr="00E426D3">
        <w:t xml:space="preserve"> </w:t>
      </w:r>
      <w:proofErr w:type="spellStart"/>
      <w:r w:rsidRPr="00E426D3">
        <w:t>noko</w:t>
      </w:r>
      <w:proofErr w:type="spellEnd"/>
      <w:r w:rsidRPr="00E426D3">
        <w:t xml:space="preserve">. Departementet vil sjå </w:t>
      </w:r>
      <w:proofErr w:type="spellStart"/>
      <w:r w:rsidRPr="00E426D3">
        <w:t>nærmare</w:t>
      </w:r>
      <w:proofErr w:type="spellEnd"/>
      <w:r w:rsidRPr="00E426D3">
        <w:t xml:space="preserve"> på om det bør </w:t>
      </w:r>
      <w:proofErr w:type="spellStart"/>
      <w:r w:rsidRPr="00E426D3">
        <w:t>innførast</w:t>
      </w:r>
      <w:proofErr w:type="spellEnd"/>
      <w:r w:rsidRPr="00E426D3">
        <w:t xml:space="preserve"> </w:t>
      </w:r>
      <w:proofErr w:type="spellStart"/>
      <w:r w:rsidRPr="00E426D3">
        <w:t>forenklingar</w:t>
      </w:r>
      <w:proofErr w:type="spellEnd"/>
      <w:r w:rsidRPr="00E426D3">
        <w:t xml:space="preserve"> eller andre </w:t>
      </w:r>
      <w:proofErr w:type="spellStart"/>
      <w:r w:rsidRPr="00E426D3">
        <w:t>endringar</w:t>
      </w:r>
      <w:proofErr w:type="spellEnd"/>
      <w:r w:rsidRPr="00E426D3">
        <w:t xml:space="preserve"> i NOKUS-</w:t>
      </w:r>
      <w:proofErr w:type="spellStart"/>
      <w:r w:rsidRPr="00E426D3">
        <w:t>reglane</w:t>
      </w:r>
      <w:proofErr w:type="spellEnd"/>
      <w:r w:rsidRPr="00E426D3">
        <w:t xml:space="preserve"> for selskap som er omfatta av båe regelsetta. Dette vil </w:t>
      </w:r>
      <w:proofErr w:type="spellStart"/>
      <w:r w:rsidRPr="00E426D3">
        <w:t>vere</w:t>
      </w:r>
      <w:proofErr w:type="spellEnd"/>
      <w:r w:rsidRPr="00E426D3">
        <w:t xml:space="preserve"> i samsvar med </w:t>
      </w:r>
      <w:proofErr w:type="spellStart"/>
      <w:r w:rsidRPr="00E426D3">
        <w:t>merknadar</w:t>
      </w:r>
      <w:proofErr w:type="spellEnd"/>
      <w:r w:rsidRPr="00E426D3">
        <w:t xml:space="preserve"> </w:t>
      </w:r>
      <w:proofErr w:type="spellStart"/>
      <w:r w:rsidRPr="00E426D3">
        <w:t>frå</w:t>
      </w:r>
      <w:proofErr w:type="spellEnd"/>
      <w:r w:rsidRPr="00E426D3">
        <w:t xml:space="preserve"> </w:t>
      </w:r>
      <w:proofErr w:type="spellStart"/>
      <w:r w:rsidRPr="00E426D3">
        <w:t>høyringa</w:t>
      </w:r>
      <w:proofErr w:type="spellEnd"/>
      <w:r w:rsidRPr="00E426D3">
        <w:t xml:space="preserve"> til suppleringsskatteloven. Det er òg i tråd med utviklinga i EU, som </w:t>
      </w:r>
      <w:proofErr w:type="spellStart"/>
      <w:r w:rsidRPr="00E426D3">
        <w:t>no</w:t>
      </w:r>
      <w:proofErr w:type="spellEnd"/>
      <w:r w:rsidRPr="00E426D3">
        <w:t xml:space="preserve"> har som mål å forenkle skatteregelverket, mellom anna ved å endre </w:t>
      </w:r>
      <w:proofErr w:type="spellStart"/>
      <w:r w:rsidRPr="00E426D3">
        <w:t>overlappande</w:t>
      </w:r>
      <w:proofErr w:type="spellEnd"/>
      <w:r w:rsidRPr="00E426D3">
        <w:t xml:space="preserve"> </w:t>
      </w:r>
      <w:proofErr w:type="spellStart"/>
      <w:r w:rsidRPr="00E426D3">
        <w:t>skattereglar</w:t>
      </w:r>
      <w:proofErr w:type="spellEnd"/>
      <w:r w:rsidRPr="00E426D3">
        <w:t>.</w:t>
      </w:r>
    </w:p>
    <w:p w14:paraId="20BAAA86" w14:textId="77777777" w:rsidR="00772748" w:rsidRPr="00E426D3" w:rsidRDefault="00772748" w:rsidP="00E426D3">
      <w:r w:rsidRPr="00E426D3">
        <w:t xml:space="preserve">Det andre høvet departementet vil sjå </w:t>
      </w:r>
      <w:proofErr w:type="spellStart"/>
      <w:r w:rsidRPr="00E426D3">
        <w:t>nærmare</w:t>
      </w:r>
      <w:proofErr w:type="spellEnd"/>
      <w:r w:rsidRPr="00E426D3">
        <w:t xml:space="preserve"> på, er unntaket </w:t>
      </w:r>
      <w:proofErr w:type="spellStart"/>
      <w:r w:rsidRPr="00E426D3">
        <w:t>frå</w:t>
      </w:r>
      <w:proofErr w:type="spellEnd"/>
      <w:r w:rsidRPr="00E426D3">
        <w:t xml:space="preserve"> NOKUS-</w:t>
      </w:r>
      <w:proofErr w:type="spellStart"/>
      <w:r w:rsidRPr="00E426D3">
        <w:t>reglane</w:t>
      </w:r>
      <w:proofErr w:type="spellEnd"/>
      <w:r w:rsidRPr="00E426D3">
        <w:t xml:space="preserve"> for selskap som er </w:t>
      </w:r>
      <w:proofErr w:type="spellStart"/>
      <w:r w:rsidRPr="00E426D3">
        <w:t>heimehøyrande</w:t>
      </w:r>
      <w:proofErr w:type="spellEnd"/>
      <w:r w:rsidRPr="00E426D3">
        <w:t xml:space="preserve"> i land som </w:t>
      </w:r>
      <w:proofErr w:type="spellStart"/>
      <w:r w:rsidRPr="00E426D3">
        <w:t>Noreg</w:t>
      </w:r>
      <w:proofErr w:type="spellEnd"/>
      <w:r w:rsidRPr="00E426D3">
        <w:t xml:space="preserve"> har inngått skatteavtale med, jf. skatteloven § 10-64 bokstav a. Unntaket </w:t>
      </w:r>
      <w:proofErr w:type="spellStart"/>
      <w:r w:rsidRPr="00E426D3">
        <w:t>gjeld</w:t>
      </w:r>
      <w:proofErr w:type="spellEnd"/>
      <w:r w:rsidRPr="00E426D3">
        <w:t xml:space="preserve"> aktive </w:t>
      </w:r>
      <w:proofErr w:type="spellStart"/>
      <w:r w:rsidRPr="00E426D3">
        <w:t>investeringar</w:t>
      </w:r>
      <w:proofErr w:type="spellEnd"/>
      <w:r w:rsidRPr="00E426D3">
        <w:t xml:space="preserve">, og er formulert slik at </w:t>
      </w:r>
      <w:proofErr w:type="spellStart"/>
      <w:r w:rsidRPr="00E426D3">
        <w:t>skattleggjing</w:t>
      </w:r>
      <w:proofErr w:type="spellEnd"/>
      <w:r w:rsidRPr="00E426D3">
        <w:t xml:space="preserve"> etter NOKUS-</w:t>
      </w:r>
      <w:proofErr w:type="spellStart"/>
      <w:r w:rsidRPr="00E426D3">
        <w:t>reglane</w:t>
      </w:r>
      <w:proofErr w:type="spellEnd"/>
      <w:r w:rsidRPr="00E426D3">
        <w:t xml:space="preserve"> </w:t>
      </w:r>
      <w:proofErr w:type="spellStart"/>
      <w:r w:rsidRPr="00E426D3">
        <w:t>ikkje</w:t>
      </w:r>
      <w:proofErr w:type="spellEnd"/>
      <w:r w:rsidRPr="00E426D3">
        <w:t xml:space="preserve"> skal skje når inntektene til selskapet </w:t>
      </w:r>
      <w:proofErr w:type="spellStart"/>
      <w:r w:rsidRPr="00E426D3">
        <w:t>ikkje</w:t>
      </w:r>
      <w:proofErr w:type="spellEnd"/>
      <w:r w:rsidRPr="00E426D3">
        <w:t xml:space="preserve"> </w:t>
      </w:r>
      <w:proofErr w:type="spellStart"/>
      <w:r w:rsidRPr="00E426D3">
        <w:t>hovudsakeleg</w:t>
      </w:r>
      <w:proofErr w:type="spellEnd"/>
      <w:r w:rsidRPr="00E426D3">
        <w:t xml:space="preserve"> er av passiv karakter. Som inntekt av passiv karakter vert </w:t>
      </w:r>
      <w:proofErr w:type="spellStart"/>
      <w:r w:rsidRPr="00E426D3">
        <w:t>rekna</w:t>
      </w:r>
      <w:proofErr w:type="spellEnd"/>
      <w:r w:rsidRPr="00E426D3">
        <w:t xml:space="preserve"> til dømes renter, </w:t>
      </w:r>
      <w:proofErr w:type="spellStart"/>
      <w:r w:rsidRPr="00E426D3">
        <w:t>utbyte</w:t>
      </w:r>
      <w:proofErr w:type="spellEnd"/>
      <w:r w:rsidRPr="00E426D3">
        <w:t xml:space="preserve"> og royalty. På dette punktet </w:t>
      </w:r>
      <w:proofErr w:type="spellStart"/>
      <w:r w:rsidRPr="00E426D3">
        <w:t>finst</w:t>
      </w:r>
      <w:proofErr w:type="spellEnd"/>
      <w:r w:rsidRPr="00E426D3">
        <w:t xml:space="preserve"> det omsyn som kan tale for ei oppmjuking, </w:t>
      </w:r>
      <w:proofErr w:type="spellStart"/>
      <w:r w:rsidRPr="00E426D3">
        <w:t>medan</w:t>
      </w:r>
      <w:proofErr w:type="spellEnd"/>
      <w:r w:rsidRPr="00E426D3">
        <w:t xml:space="preserve"> det òg </w:t>
      </w:r>
      <w:proofErr w:type="spellStart"/>
      <w:r w:rsidRPr="00E426D3">
        <w:t>finst</w:t>
      </w:r>
      <w:proofErr w:type="spellEnd"/>
      <w:r w:rsidRPr="00E426D3">
        <w:t xml:space="preserve"> omsyn som talar for at unntaket vert snevra inn. Det har </w:t>
      </w:r>
      <w:proofErr w:type="spellStart"/>
      <w:r w:rsidRPr="00E426D3">
        <w:t>vore</w:t>
      </w:r>
      <w:proofErr w:type="spellEnd"/>
      <w:r w:rsidRPr="00E426D3">
        <w:t xml:space="preserve"> ei utvikling på området </w:t>
      </w:r>
      <w:proofErr w:type="spellStart"/>
      <w:r w:rsidRPr="00E426D3">
        <w:t>sidan</w:t>
      </w:r>
      <w:proofErr w:type="spellEnd"/>
      <w:r w:rsidRPr="00E426D3">
        <w:t xml:space="preserve"> reglene vart innførte. Departementet vil vurdere om det er grunnlag for å </w:t>
      </w:r>
      <w:proofErr w:type="spellStart"/>
      <w:r w:rsidRPr="00E426D3">
        <w:t>gjere</w:t>
      </w:r>
      <w:proofErr w:type="spellEnd"/>
      <w:r w:rsidRPr="00E426D3">
        <w:t xml:space="preserve"> </w:t>
      </w:r>
      <w:proofErr w:type="spellStart"/>
      <w:r w:rsidRPr="00E426D3">
        <w:t>endringar</w:t>
      </w:r>
      <w:proofErr w:type="spellEnd"/>
      <w:r w:rsidRPr="00E426D3">
        <w:t>.</w:t>
      </w:r>
    </w:p>
    <w:p w14:paraId="342C8E81" w14:textId="77777777" w:rsidR="00772748" w:rsidRPr="00E426D3" w:rsidRDefault="00772748" w:rsidP="00E426D3">
      <w:pPr>
        <w:pStyle w:val="Overskrift1"/>
      </w:pPr>
      <w:proofErr w:type="spellStart"/>
      <w:r w:rsidRPr="00E426D3">
        <w:t>Opprettingar</w:t>
      </w:r>
      <w:proofErr w:type="spellEnd"/>
      <w:r w:rsidRPr="00E426D3">
        <w:t xml:space="preserve"> og </w:t>
      </w:r>
      <w:proofErr w:type="spellStart"/>
      <w:r w:rsidRPr="00E426D3">
        <w:t>presiseringar</w:t>
      </w:r>
      <w:proofErr w:type="spellEnd"/>
      <w:r w:rsidRPr="00E426D3">
        <w:t xml:space="preserve"> m.m.</w:t>
      </w:r>
    </w:p>
    <w:p w14:paraId="2C63AAB4" w14:textId="77777777" w:rsidR="00772748" w:rsidRPr="00E426D3" w:rsidRDefault="00772748" w:rsidP="00E426D3">
      <w:pPr>
        <w:pStyle w:val="Overskrift2"/>
      </w:pPr>
      <w:r w:rsidRPr="00E426D3">
        <w:t>Skatteforvaltningsloven § 7-10 fyrste ledd bokstav h</w:t>
      </w:r>
    </w:p>
    <w:p w14:paraId="06988BF1" w14:textId="77777777" w:rsidR="00772748" w:rsidRPr="00E426D3" w:rsidRDefault="00772748" w:rsidP="00E426D3">
      <w:r w:rsidRPr="00E426D3">
        <w:t xml:space="preserve">Skatteforvaltningsloven § 7-10 </w:t>
      </w:r>
      <w:proofErr w:type="spellStart"/>
      <w:r w:rsidRPr="00E426D3">
        <w:t>inneheld</w:t>
      </w:r>
      <w:proofErr w:type="spellEnd"/>
      <w:r w:rsidRPr="00E426D3">
        <w:t xml:space="preserve"> føresegner om opplysningsplikter for </w:t>
      </w:r>
      <w:proofErr w:type="spellStart"/>
      <w:r w:rsidRPr="00E426D3">
        <w:t>tredjepartar</w:t>
      </w:r>
      <w:proofErr w:type="spellEnd"/>
      <w:r w:rsidRPr="00E426D3">
        <w:t xml:space="preserve">. Etter fyrste ledd bokstav h skal oppstartselskap </w:t>
      </w:r>
      <w:proofErr w:type="spellStart"/>
      <w:r w:rsidRPr="00E426D3">
        <w:t>gje</w:t>
      </w:r>
      <w:proofErr w:type="spellEnd"/>
      <w:r w:rsidRPr="00E426D3">
        <w:t xml:space="preserve"> </w:t>
      </w:r>
      <w:proofErr w:type="spellStart"/>
      <w:r w:rsidRPr="00E426D3">
        <w:t>opplysningar</w:t>
      </w:r>
      <w:proofErr w:type="spellEnd"/>
      <w:r w:rsidRPr="00E426D3">
        <w:t xml:space="preserve"> om tildelte og innløyste </w:t>
      </w:r>
      <w:proofErr w:type="spellStart"/>
      <w:r w:rsidRPr="00E426D3">
        <w:t>opsjonar</w:t>
      </w:r>
      <w:proofErr w:type="spellEnd"/>
      <w:r w:rsidRPr="00E426D3">
        <w:t xml:space="preserve"> til </w:t>
      </w:r>
      <w:proofErr w:type="gramStart"/>
      <w:r w:rsidRPr="00E426D3">
        <w:t>tilsette</w:t>
      </w:r>
      <w:proofErr w:type="gramEnd"/>
      <w:r w:rsidRPr="00E426D3">
        <w:t xml:space="preserve"> etter ordninga i «skatteloven § 5-14 fjerde ledd».</w:t>
      </w:r>
    </w:p>
    <w:p w14:paraId="253D5A25" w14:textId="77777777" w:rsidR="00772748" w:rsidRPr="00E426D3" w:rsidRDefault="00772748" w:rsidP="00E426D3">
      <w:proofErr w:type="spellStart"/>
      <w:r w:rsidRPr="00E426D3">
        <w:t>Gjeldande</w:t>
      </w:r>
      <w:proofErr w:type="spellEnd"/>
      <w:r w:rsidRPr="00E426D3">
        <w:t xml:space="preserve"> føresegn </w:t>
      </w:r>
      <w:proofErr w:type="spellStart"/>
      <w:r w:rsidRPr="00E426D3">
        <w:t>vart</w:t>
      </w:r>
      <w:proofErr w:type="spellEnd"/>
      <w:r w:rsidRPr="00E426D3">
        <w:t xml:space="preserve"> foreslått i Prop. 1 LS (2020–2021) </w:t>
      </w:r>
      <w:r w:rsidRPr="00E426D3">
        <w:rPr>
          <w:rStyle w:val="kursiv"/>
        </w:rPr>
        <w:t>Skatter, avgifter og toll 2021</w:t>
      </w:r>
      <w:r w:rsidRPr="00E426D3">
        <w:t xml:space="preserve">, med utgangspunkt i den </w:t>
      </w:r>
      <w:proofErr w:type="spellStart"/>
      <w:r w:rsidRPr="00E426D3">
        <w:t>dåverande</w:t>
      </w:r>
      <w:proofErr w:type="spellEnd"/>
      <w:r w:rsidRPr="00E426D3">
        <w:t xml:space="preserve"> særordninga for skattlegging av </w:t>
      </w:r>
      <w:proofErr w:type="spellStart"/>
      <w:r w:rsidRPr="00E426D3">
        <w:t>tilsetteopsjonar</w:t>
      </w:r>
      <w:proofErr w:type="spellEnd"/>
      <w:r w:rsidRPr="00E426D3">
        <w:t xml:space="preserve"> i små oppstartsselskap. Føresegna </w:t>
      </w:r>
      <w:proofErr w:type="gramStart"/>
      <w:r w:rsidRPr="00E426D3">
        <w:t>trådde</w:t>
      </w:r>
      <w:proofErr w:type="gramEnd"/>
      <w:r w:rsidRPr="00E426D3">
        <w:t xml:space="preserve"> i kraft 1. januar 2021.</w:t>
      </w:r>
    </w:p>
    <w:p w14:paraId="3DB7FCC2" w14:textId="77777777" w:rsidR="00772748" w:rsidRPr="00E426D3" w:rsidRDefault="00772748" w:rsidP="00E426D3">
      <w:r w:rsidRPr="00E426D3">
        <w:t xml:space="preserve">Ved handsaminga av statsbudsjettet for 2022 vedtok Stortinget to </w:t>
      </w:r>
      <w:proofErr w:type="spellStart"/>
      <w:r w:rsidRPr="00E426D3">
        <w:t>endringar</w:t>
      </w:r>
      <w:proofErr w:type="spellEnd"/>
      <w:r w:rsidRPr="00E426D3">
        <w:t xml:space="preserve"> i skatteloven som har betydning for rapporteringsføresegna i skatteforvaltningsloven. Det vart likevel </w:t>
      </w:r>
      <w:proofErr w:type="spellStart"/>
      <w:r w:rsidRPr="00E426D3">
        <w:t>ikkje</w:t>
      </w:r>
      <w:proofErr w:type="spellEnd"/>
      <w:r w:rsidRPr="00E426D3">
        <w:t xml:space="preserve"> </w:t>
      </w:r>
      <w:proofErr w:type="spellStart"/>
      <w:r w:rsidRPr="00E426D3">
        <w:t>fremja</w:t>
      </w:r>
      <w:proofErr w:type="spellEnd"/>
      <w:r w:rsidRPr="00E426D3">
        <w:t xml:space="preserve"> framlegg til </w:t>
      </w:r>
      <w:proofErr w:type="spellStart"/>
      <w:r w:rsidRPr="00E426D3">
        <w:t>justeringar</w:t>
      </w:r>
      <w:proofErr w:type="spellEnd"/>
      <w:r w:rsidRPr="00E426D3">
        <w:t xml:space="preserve"> i rapporteringsføresegna i skatteforvaltningsloven.</w:t>
      </w:r>
    </w:p>
    <w:p w14:paraId="5668649C" w14:textId="77777777" w:rsidR="00772748" w:rsidRPr="00E426D3" w:rsidRDefault="00772748" w:rsidP="00E426D3">
      <w:r w:rsidRPr="00E426D3">
        <w:t xml:space="preserve">Den </w:t>
      </w:r>
      <w:proofErr w:type="spellStart"/>
      <w:r w:rsidRPr="00E426D3">
        <w:t>eine</w:t>
      </w:r>
      <w:proofErr w:type="spellEnd"/>
      <w:r w:rsidRPr="00E426D3">
        <w:t xml:space="preserve"> endringa var at ordninga med skattefritak for fordel ved tilsettes kjøp av </w:t>
      </w:r>
      <w:proofErr w:type="spellStart"/>
      <w:r w:rsidRPr="00E426D3">
        <w:t>aksjar</w:t>
      </w:r>
      <w:proofErr w:type="spellEnd"/>
      <w:r w:rsidRPr="00E426D3">
        <w:t xml:space="preserve"> mv. til underkurs vart avvikla. Denne ordninga var heimla i skatteloven § 5-14 fyrste og andre ledd, som vart oppheva.</w:t>
      </w:r>
    </w:p>
    <w:p w14:paraId="7DE88F1B" w14:textId="77777777" w:rsidR="00772748" w:rsidRPr="00E426D3" w:rsidRDefault="00772748" w:rsidP="00E426D3">
      <w:r w:rsidRPr="00E426D3">
        <w:t xml:space="preserve">Den andre endringa var at opsjonsskatteordninga vart utvida til selskap i </w:t>
      </w:r>
      <w:proofErr w:type="spellStart"/>
      <w:r w:rsidRPr="00E426D3">
        <w:t>ein</w:t>
      </w:r>
      <w:proofErr w:type="spellEnd"/>
      <w:r w:rsidRPr="00E426D3">
        <w:t xml:space="preserve"> vekstfase.</w:t>
      </w:r>
    </w:p>
    <w:p w14:paraId="5DC7083A" w14:textId="77777777" w:rsidR="00772748" w:rsidRPr="00E426D3" w:rsidRDefault="00772748" w:rsidP="00E426D3">
      <w:r w:rsidRPr="00E426D3">
        <w:lastRenderedPageBreak/>
        <w:t xml:space="preserve">Departementet foreslår på denne bakgrunnen å rette opp føresegna i skatteforvaltningsloven § 7-10 fyrste ledd bokstav h, slik at verkeområdet for ordninga det skal </w:t>
      </w:r>
      <w:proofErr w:type="spellStart"/>
      <w:r w:rsidRPr="00E426D3">
        <w:t>rapporterast</w:t>
      </w:r>
      <w:proofErr w:type="spellEnd"/>
      <w:r w:rsidRPr="00E426D3">
        <w:t xml:space="preserve"> om, kjem fram. I tillegg vert tilvisinga til skatteloven retta opp. Departementet foreslår at endringa tek til å gjelde straks.</w:t>
      </w:r>
    </w:p>
    <w:p w14:paraId="37937801" w14:textId="77777777" w:rsidR="00772748" w:rsidRPr="00E426D3" w:rsidRDefault="00772748" w:rsidP="00E426D3">
      <w:pPr>
        <w:pStyle w:val="Overskrift2"/>
      </w:pPr>
      <w:r w:rsidRPr="00E426D3">
        <w:t>Skatteloven § 19-6 fyrste ledd bokstav i</w:t>
      </w:r>
    </w:p>
    <w:p w14:paraId="2F6F9D86" w14:textId="77777777" w:rsidR="00772748" w:rsidRPr="00E426D3" w:rsidRDefault="00772748" w:rsidP="00E426D3">
      <w:r w:rsidRPr="00E426D3">
        <w:t xml:space="preserve">Skatteloven § 19-6 </w:t>
      </w:r>
      <w:proofErr w:type="spellStart"/>
      <w:r w:rsidRPr="00E426D3">
        <w:t>inneheld</w:t>
      </w:r>
      <w:proofErr w:type="spellEnd"/>
      <w:r w:rsidRPr="00E426D3">
        <w:t xml:space="preserve"> </w:t>
      </w:r>
      <w:proofErr w:type="spellStart"/>
      <w:r w:rsidRPr="00E426D3">
        <w:t>reglar</w:t>
      </w:r>
      <w:proofErr w:type="spellEnd"/>
      <w:r w:rsidRPr="00E426D3">
        <w:t xml:space="preserve"> om </w:t>
      </w:r>
      <w:proofErr w:type="spellStart"/>
      <w:r w:rsidRPr="00E426D3">
        <w:t>frådrag</w:t>
      </w:r>
      <w:proofErr w:type="spellEnd"/>
      <w:r w:rsidRPr="00E426D3">
        <w:t xml:space="preserve"> i grunnrenteinntekta for </w:t>
      </w:r>
      <w:proofErr w:type="spellStart"/>
      <w:r w:rsidRPr="00E426D3">
        <w:t>havbruksverksemd</w:t>
      </w:r>
      <w:proofErr w:type="spellEnd"/>
      <w:r w:rsidRPr="00E426D3">
        <w:t xml:space="preserve">. Fyrste ledd bokstav i gjeld </w:t>
      </w:r>
      <w:proofErr w:type="spellStart"/>
      <w:r w:rsidRPr="00E426D3">
        <w:t>frådrag</w:t>
      </w:r>
      <w:proofErr w:type="spellEnd"/>
      <w:r w:rsidRPr="00E426D3">
        <w:t xml:space="preserve"> for vederlag for kjøp av løyve og kapasitet i åra 2018 og 2020. I anna punktum er det </w:t>
      </w:r>
      <w:proofErr w:type="spellStart"/>
      <w:r w:rsidRPr="00E426D3">
        <w:t>ein</w:t>
      </w:r>
      <w:proofErr w:type="spellEnd"/>
      <w:r w:rsidRPr="00E426D3">
        <w:t xml:space="preserve"> ortografisk feil, slik at lovteksten lyder «</w:t>
      </w:r>
      <w:proofErr w:type="spellStart"/>
      <w:r w:rsidRPr="00E426D3">
        <w:t>fradaget</w:t>
      </w:r>
      <w:proofErr w:type="spellEnd"/>
      <w:r w:rsidRPr="00E426D3">
        <w:t xml:space="preserve">» og </w:t>
      </w:r>
      <w:proofErr w:type="spellStart"/>
      <w:r w:rsidRPr="00E426D3">
        <w:t>ikkje</w:t>
      </w:r>
      <w:proofErr w:type="spellEnd"/>
      <w:r w:rsidRPr="00E426D3">
        <w:t xml:space="preserve"> «fradraget». Departementet foreslår å rette ordlyden til «fradraget». Departementet syner til framlegg om endring i skatteloven § 19-6 fyrste ledd bokstav i anna punktum. Departementet foreslår at endringa tek til å gjelde straks.</w:t>
      </w:r>
    </w:p>
    <w:p w14:paraId="67FAEB61" w14:textId="77777777" w:rsidR="00772748" w:rsidRPr="00E426D3" w:rsidRDefault="00772748" w:rsidP="00E426D3">
      <w:pPr>
        <w:pStyle w:val="Overskrift2"/>
      </w:pPr>
      <w:r w:rsidRPr="00E426D3">
        <w:t>Skatteloven § 5-43 fyrste ledd bokstav j</w:t>
      </w:r>
    </w:p>
    <w:p w14:paraId="2024CFF1" w14:textId="77777777" w:rsidR="00772748" w:rsidRPr="00E426D3" w:rsidRDefault="00772748" w:rsidP="00E426D3">
      <w:r w:rsidRPr="00E426D3">
        <w:t xml:space="preserve">Folketrygdlova § 3-24 om ektefelletillegg er oppheva </w:t>
      </w:r>
      <w:proofErr w:type="spellStart"/>
      <w:r w:rsidRPr="00E426D3">
        <w:t>frå</w:t>
      </w:r>
      <w:proofErr w:type="spellEnd"/>
      <w:r w:rsidRPr="00E426D3">
        <w:t xml:space="preserve"> og med 1. januar 2025, jf. Prop. 5 L (2024 –2025) </w:t>
      </w:r>
      <w:proofErr w:type="spellStart"/>
      <w:r w:rsidRPr="00E426D3">
        <w:rPr>
          <w:rStyle w:val="kursiv"/>
        </w:rPr>
        <w:t>Endringar</w:t>
      </w:r>
      <w:proofErr w:type="spellEnd"/>
      <w:r w:rsidRPr="00E426D3">
        <w:rPr>
          <w:rStyle w:val="kursiv"/>
        </w:rPr>
        <w:t xml:space="preserve"> i folketrygdlova og enkelte andre lover (oppfølging av forslag i statsbudsjettet 2025 m.m.)</w:t>
      </w:r>
      <w:r w:rsidRPr="00E426D3">
        <w:t xml:space="preserve">. I skatteloven § 5-43 fyrste ledd bokstav j går det fram at ektefelletillegg etter folketrygdlova § 3-24, som vert utbetalt til </w:t>
      </w:r>
      <w:proofErr w:type="spellStart"/>
      <w:r w:rsidRPr="00E426D3">
        <w:t>mottakarar</w:t>
      </w:r>
      <w:proofErr w:type="spellEnd"/>
      <w:r w:rsidRPr="00E426D3">
        <w:t xml:space="preserve"> av alderspensjon, og </w:t>
      </w:r>
      <w:proofErr w:type="spellStart"/>
      <w:r w:rsidRPr="00E426D3">
        <w:t>tilsvarande</w:t>
      </w:r>
      <w:proofErr w:type="spellEnd"/>
      <w:r w:rsidRPr="00E426D3">
        <w:t xml:space="preserve"> ektefelletillegg som vert utbetalt til </w:t>
      </w:r>
      <w:proofErr w:type="spellStart"/>
      <w:r w:rsidRPr="00E426D3">
        <w:t>mottakar</w:t>
      </w:r>
      <w:proofErr w:type="spellEnd"/>
      <w:r w:rsidRPr="00E426D3">
        <w:t xml:space="preserve"> av avtalefesta pensjon, er skattefritt i tilfelle der </w:t>
      </w:r>
      <w:proofErr w:type="spellStart"/>
      <w:r w:rsidRPr="00E426D3">
        <w:t>dei</w:t>
      </w:r>
      <w:proofErr w:type="spellEnd"/>
      <w:r w:rsidRPr="00E426D3">
        <w:t xml:space="preserve"> var </w:t>
      </w:r>
      <w:proofErr w:type="spellStart"/>
      <w:r w:rsidRPr="00E426D3">
        <w:t>mottakarar</w:t>
      </w:r>
      <w:proofErr w:type="spellEnd"/>
      <w:r w:rsidRPr="00E426D3">
        <w:t xml:space="preserve"> av ektefelletillegg 31. desember 2010.</w:t>
      </w:r>
    </w:p>
    <w:p w14:paraId="3F4A1303" w14:textId="77777777" w:rsidR="00772748" w:rsidRPr="00E426D3" w:rsidRDefault="00772748" w:rsidP="00E426D3">
      <w:r w:rsidRPr="00E426D3">
        <w:t xml:space="preserve">Departementet foreslår </w:t>
      </w:r>
      <w:proofErr w:type="spellStart"/>
      <w:r w:rsidRPr="00E426D3">
        <w:t>difor</w:t>
      </w:r>
      <w:proofErr w:type="spellEnd"/>
      <w:r w:rsidRPr="00E426D3">
        <w:t xml:space="preserve"> at føresegna i skatteloven § 5-43 fyrste ledd bokstav j, som syner til folketrygdlova § 3-24, òg vert oppheva. Departementet foreslår at endringa tek til å gjelde straks.</w:t>
      </w:r>
    </w:p>
    <w:p w14:paraId="17C8385A" w14:textId="77777777" w:rsidR="00772748" w:rsidRPr="00E426D3" w:rsidRDefault="00772748" w:rsidP="00E426D3">
      <w:pPr>
        <w:pStyle w:val="a-tilraar-dep"/>
      </w:pPr>
      <w:r w:rsidRPr="00E426D3">
        <w:t>Finansdepartementet</w:t>
      </w:r>
    </w:p>
    <w:p w14:paraId="77269B80" w14:textId="77777777" w:rsidR="00772748" w:rsidRPr="00E426D3" w:rsidRDefault="00772748" w:rsidP="00E426D3">
      <w:pPr>
        <w:pStyle w:val="a-tilraar-tit"/>
      </w:pPr>
      <w:r w:rsidRPr="00E426D3">
        <w:t>tilrår:</w:t>
      </w:r>
    </w:p>
    <w:p w14:paraId="1F28704B" w14:textId="77777777" w:rsidR="00772748" w:rsidRPr="00E426D3" w:rsidRDefault="00772748" w:rsidP="00E426D3">
      <w:r w:rsidRPr="00E426D3">
        <w:t xml:space="preserve">At </w:t>
      </w:r>
      <w:proofErr w:type="spellStart"/>
      <w:r w:rsidRPr="00E426D3">
        <w:t>Dykkar</w:t>
      </w:r>
      <w:proofErr w:type="spellEnd"/>
      <w:r w:rsidRPr="00E426D3">
        <w:t xml:space="preserve"> Majestet godkjenner og skriv under </w:t>
      </w:r>
      <w:proofErr w:type="spellStart"/>
      <w:r w:rsidRPr="00E426D3">
        <w:t>eit</w:t>
      </w:r>
      <w:proofErr w:type="spellEnd"/>
      <w:r w:rsidRPr="00E426D3">
        <w:t xml:space="preserve"> framlagt forslag til proposisjon til Stortinget om</w:t>
      </w:r>
    </w:p>
    <w:p w14:paraId="6D68AB36" w14:textId="77777777" w:rsidR="00772748" w:rsidRPr="00E426D3" w:rsidRDefault="00772748" w:rsidP="00E426D3">
      <w:pPr>
        <w:pStyle w:val="Liste"/>
      </w:pPr>
      <w:r w:rsidRPr="00E426D3">
        <w:t xml:space="preserve">lov om </w:t>
      </w:r>
      <w:proofErr w:type="spellStart"/>
      <w:r w:rsidRPr="00E426D3">
        <w:t>endringar</w:t>
      </w:r>
      <w:proofErr w:type="spellEnd"/>
      <w:r w:rsidRPr="00E426D3">
        <w:t xml:space="preserve"> i skatteloven</w:t>
      </w:r>
    </w:p>
    <w:p w14:paraId="637D18C5" w14:textId="77777777" w:rsidR="00772748" w:rsidRPr="00E426D3" w:rsidRDefault="00772748" w:rsidP="00E426D3">
      <w:pPr>
        <w:pStyle w:val="Liste"/>
      </w:pPr>
      <w:r w:rsidRPr="00E426D3">
        <w:t xml:space="preserve">lov om </w:t>
      </w:r>
      <w:proofErr w:type="spellStart"/>
      <w:r w:rsidRPr="00E426D3">
        <w:t>endringar</w:t>
      </w:r>
      <w:proofErr w:type="spellEnd"/>
      <w:r w:rsidRPr="00E426D3">
        <w:t xml:space="preserve"> i skatteforvaltningsloven</w:t>
      </w:r>
    </w:p>
    <w:p w14:paraId="512C3BF8" w14:textId="77777777" w:rsidR="00772748" w:rsidRPr="00E426D3" w:rsidRDefault="00772748" w:rsidP="00E426D3">
      <w:pPr>
        <w:pStyle w:val="Liste"/>
      </w:pPr>
      <w:r w:rsidRPr="00E426D3">
        <w:t xml:space="preserve">lov om </w:t>
      </w:r>
      <w:proofErr w:type="spellStart"/>
      <w:r w:rsidRPr="00E426D3">
        <w:t>endringar</w:t>
      </w:r>
      <w:proofErr w:type="spellEnd"/>
      <w:r w:rsidRPr="00E426D3">
        <w:t xml:space="preserve"> i </w:t>
      </w:r>
      <w:proofErr w:type="spellStart"/>
      <w:r w:rsidRPr="00E426D3">
        <w:t>eigedomsskattelova</w:t>
      </w:r>
      <w:proofErr w:type="spellEnd"/>
    </w:p>
    <w:p w14:paraId="29058358" w14:textId="77777777" w:rsidR="00772748" w:rsidRPr="00E426D3" w:rsidRDefault="00772748" w:rsidP="00E426D3">
      <w:pPr>
        <w:pStyle w:val="Liste"/>
      </w:pPr>
      <w:r w:rsidRPr="00E426D3">
        <w:t>lov om endring i folketrygdloven</w:t>
      </w:r>
    </w:p>
    <w:p w14:paraId="538C902C" w14:textId="77777777" w:rsidR="00772748" w:rsidRPr="00E426D3" w:rsidRDefault="00772748" w:rsidP="00E426D3">
      <w:pPr>
        <w:pStyle w:val="Liste"/>
      </w:pPr>
      <w:r w:rsidRPr="00E426D3">
        <w:t>lov om endring i helseforetaksloven</w:t>
      </w:r>
    </w:p>
    <w:p w14:paraId="5283D395" w14:textId="77777777" w:rsidR="00772748" w:rsidRPr="00E426D3" w:rsidRDefault="00772748" w:rsidP="00E426D3">
      <w:r w:rsidRPr="00E426D3">
        <w:t>og</w:t>
      </w:r>
    </w:p>
    <w:p w14:paraId="2658CEAD" w14:textId="77777777" w:rsidR="00772748" w:rsidRPr="00E426D3" w:rsidRDefault="00772748" w:rsidP="00E426D3">
      <w:pPr>
        <w:pStyle w:val="Liste"/>
      </w:pPr>
      <w:r w:rsidRPr="00E426D3">
        <w:t xml:space="preserve">vedtak om </w:t>
      </w:r>
      <w:proofErr w:type="spellStart"/>
      <w:r w:rsidRPr="00E426D3">
        <w:t>endringar</w:t>
      </w:r>
      <w:proofErr w:type="spellEnd"/>
      <w:r w:rsidRPr="00E426D3">
        <w:t xml:space="preserve"> i stortingsvedtak om avgift på elektrisk kraft.</w:t>
      </w:r>
    </w:p>
    <w:p w14:paraId="37FD8AA1" w14:textId="77777777" w:rsidR="00772748" w:rsidRPr="00E426D3" w:rsidRDefault="00772748" w:rsidP="00E426D3">
      <w:pPr>
        <w:pStyle w:val="a-konge-tekst"/>
        <w:rPr>
          <w:rStyle w:val="halvfet0"/>
        </w:rPr>
      </w:pPr>
      <w:r w:rsidRPr="00E426D3">
        <w:rPr>
          <w:rStyle w:val="halvfet0"/>
        </w:rPr>
        <w:lastRenderedPageBreak/>
        <w:t xml:space="preserve">Vi HARALD, </w:t>
      </w:r>
      <w:r w:rsidRPr="00E426D3">
        <w:t>Noregs Konge,</w:t>
      </w:r>
    </w:p>
    <w:p w14:paraId="14BC1CC8" w14:textId="77777777" w:rsidR="00772748" w:rsidRPr="00E426D3" w:rsidRDefault="00772748" w:rsidP="00E426D3">
      <w:pPr>
        <w:pStyle w:val="a-konge-tit"/>
      </w:pPr>
      <w:r w:rsidRPr="00E426D3">
        <w:t>stadfester:</w:t>
      </w:r>
    </w:p>
    <w:p w14:paraId="0FA8D36A" w14:textId="77777777" w:rsidR="00772748" w:rsidRPr="00E426D3" w:rsidRDefault="00772748" w:rsidP="00E426D3">
      <w:r w:rsidRPr="00E426D3">
        <w:t xml:space="preserve">Stortinget blir bedt om å </w:t>
      </w:r>
      <w:proofErr w:type="spellStart"/>
      <w:r w:rsidRPr="00E426D3">
        <w:t>gjere</w:t>
      </w:r>
      <w:proofErr w:type="spellEnd"/>
      <w:r w:rsidRPr="00E426D3">
        <w:t xml:space="preserve"> vedtak til</w:t>
      </w:r>
    </w:p>
    <w:p w14:paraId="5AC34A2B" w14:textId="77777777" w:rsidR="00772748" w:rsidRPr="00E426D3" w:rsidRDefault="00772748" w:rsidP="00E426D3">
      <w:pPr>
        <w:pStyle w:val="Liste"/>
      </w:pPr>
      <w:r w:rsidRPr="00E426D3">
        <w:t xml:space="preserve">lov om </w:t>
      </w:r>
      <w:proofErr w:type="spellStart"/>
      <w:r w:rsidRPr="00E426D3">
        <w:t>endringar</w:t>
      </w:r>
      <w:proofErr w:type="spellEnd"/>
      <w:r w:rsidRPr="00E426D3">
        <w:t xml:space="preserve"> i skatteloven</w:t>
      </w:r>
    </w:p>
    <w:p w14:paraId="11014A76" w14:textId="77777777" w:rsidR="00772748" w:rsidRPr="00E426D3" w:rsidRDefault="00772748" w:rsidP="00E426D3">
      <w:pPr>
        <w:pStyle w:val="Liste"/>
      </w:pPr>
      <w:r w:rsidRPr="00E426D3">
        <w:t xml:space="preserve">lov om </w:t>
      </w:r>
      <w:proofErr w:type="spellStart"/>
      <w:r w:rsidRPr="00E426D3">
        <w:t>endringar</w:t>
      </w:r>
      <w:proofErr w:type="spellEnd"/>
      <w:r w:rsidRPr="00E426D3">
        <w:t xml:space="preserve"> i skatteforvaltningsloven</w:t>
      </w:r>
    </w:p>
    <w:p w14:paraId="7992477D" w14:textId="77777777" w:rsidR="00772748" w:rsidRPr="00E426D3" w:rsidRDefault="00772748" w:rsidP="00E426D3">
      <w:pPr>
        <w:pStyle w:val="Liste"/>
      </w:pPr>
      <w:r w:rsidRPr="00E426D3">
        <w:t xml:space="preserve">lov om </w:t>
      </w:r>
      <w:proofErr w:type="spellStart"/>
      <w:r w:rsidRPr="00E426D3">
        <w:t>endringar</w:t>
      </w:r>
      <w:proofErr w:type="spellEnd"/>
      <w:r w:rsidRPr="00E426D3">
        <w:t xml:space="preserve"> i </w:t>
      </w:r>
      <w:proofErr w:type="spellStart"/>
      <w:r w:rsidRPr="00E426D3">
        <w:t>eigedomsskattelova</w:t>
      </w:r>
      <w:proofErr w:type="spellEnd"/>
    </w:p>
    <w:p w14:paraId="7BCD7035" w14:textId="77777777" w:rsidR="00772748" w:rsidRPr="00E426D3" w:rsidRDefault="00772748" w:rsidP="00E426D3">
      <w:pPr>
        <w:pStyle w:val="Liste"/>
      </w:pPr>
      <w:r w:rsidRPr="00E426D3">
        <w:t>lov om endring i folketrygdloven</w:t>
      </w:r>
    </w:p>
    <w:p w14:paraId="13568D61" w14:textId="77777777" w:rsidR="00772748" w:rsidRPr="00E426D3" w:rsidRDefault="00772748" w:rsidP="00E426D3">
      <w:pPr>
        <w:pStyle w:val="Liste"/>
      </w:pPr>
      <w:r w:rsidRPr="00E426D3">
        <w:t>lov om endring i helseforetaksloven</w:t>
      </w:r>
    </w:p>
    <w:p w14:paraId="7A7A79E8" w14:textId="77777777" w:rsidR="00772748" w:rsidRPr="00E426D3" w:rsidRDefault="00772748" w:rsidP="00E426D3">
      <w:r w:rsidRPr="00E426D3">
        <w:t>og</w:t>
      </w:r>
    </w:p>
    <w:p w14:paraId="47A3B7E9" w14:textId="77777777" w:rsidR="00772748" w:rsidRPr="00E426D3" w:rsidRDefault="00772748" w:rsidP="00E426D3">
      <w:pPr>
        <w:pStyle w:val="Liste"/>
      </w:pPr>
      <w:r w:rsidRPr="00E426D3">
        <w:t xml:space="preserve">vedtak om </w:t>
      </w:r>
      <w:proofErr w:type="spellStart"/>
      <w:r w:rsidRPr="00E426D3">
        <w:t>endringar</w:t>
      </w:r>
      <w:proofErr w:type="spellEnd"/>
      <w:r w:rsidRPr="00E426D3">
        <w:t xml:space="preserve"> i stortingsvedtak om avgift på elektrisk kraft</w:t>
      </w:r>
    </w:p>
    <w:p w14:paraId="6ED33E95" w14:textId="77777777" w:rsidR="00772748" w:rsidRPr="00E426D3" w:rsidRDefault="00772748" w:rsidP="00E426D3">
      <w:r w:rsidRPr="00E426D3">
        <w:t xml:space="preserve">i samsvar med </w:t>
      </w:r>
      <w:proofErr w:type="spellStart"/>
      <w:r w:rsidRPr="00E426D3">
        <w:t>eit</w:t>
      </w:r>
      <w:proofErr w:type="spellEnd"/>
      <w:r w:rsidRPr="00E426D3">
        <w:t xml:space="preserve"> vedlagt forslag.</w:t>
      </w:r>
    </w:p>
    <w:p w14:paraId="3914CB45" w14:textId="77777777" w:rsidR="00772748" w:rsidRPr="00E426D3" w:rsidRDefault="00772748" w:rsidP="00E426D3"/>
    <w:p w14:paraId="6DC6FAB1" w14:textId="77777777" w:rsidR="00772748" w:rsidRPr="00E426D3" w:rsidRDefault="00772748" w:rsidP="00E426D3">
      <w:pPr>
        <w:pStyle w:val="a-vedtak-tit"/>
      </w:pPr>
      <w:r w:rsidRPr="00E426D3">
        <w:t>A – Forslag til lovvedtak</w:t>
      </w:r>
    </w:p>
    <w:p w14:paraId="058C5656" w14:textId="77777777" w:rsidR="00772748" w:rsidRPr="00E426D3" w:rsidRDefault="00772748" w:rsidP="00E426D3">
      <w:pPr>
        <w:pStyle w:val="a-vedtak-tit"/>
      </w:pPr>
      <w:r w:rsidRPr="00E426D3">
        <w:t xml:space="preserve">Forslag </w:t>
      </w:r>
      <w:r w:rsidRPr="00E426D3">
        <w:br/>
        <w:t xml:space="preserve">til lov om </w:t>
      </w:r>
      <w:proofErr w:type="spellStart"/>
      <w:r w:rsidRPr="00E426D3">
        <w:t>endringar</w:t>
      </w:r>
      <w:proofErr w:type="spellEnd"/>
      <w:r w:rsidRPr="00E426D3">
        <w:t xml:space="preserve"> i skatteloven</w:t>
      </w:r>
    </w:p>
    <w:p w14:paraId="73D8C26F" w14:textId="77777777" w:rsidR="00772748" w:rsidRPr="00E426D3" w:rsidRDefault="00772748" w:rsidP="00E426D3">
      <w:pPr>
        <w:pStyle w:val="a-vedtak-del"/>
      </w:pPr>
      <w:r w:rsidRPr="00E426D3">
        <w:t>I</w:t>
      </w:r>
    </w:p>
    <w:p w14:paraId="5DA80812" w14:textId="77777777" w:rsidR="00772748" w:rsidRPr="00E426D3" w:rsidRDefault="00772748" w:rsidP="00E426D3">
      <w:pPr>
        <w:pStyle w:val="l-tit-endr-lov"/>
      </w:pPr>
      <w:r w:rsidRPr="00E426D3">
        <w:t>I lov 26. mars 1999 nr. 14 om skatt av formue og inntekt vert det gjort følgjande endringar:</w:t>
      </w:r>
    </w:p>
    <w:p w14:paraId="124A7C2C" w14:textId="77777777" w:rsidR="00772748" w:rsidRPr="00E426D3" w:rsidRDefault="00772748" w:rsidP="00E426D3">
      <w:pPr>
        <w:pStyle w:val="l-tit-endr-ledd"/>
      </w:pPr>
      <w:r w:rsidRPr="00E426D3">
        <w:t>§ 5-43 fyrste ledd bokstav j vert oppheva.</w:t>
      </w:r>
    </w:p>
    <w:p w14:paraId="4E8A7176" w14:textId="77777777" w:rsidR="00772748" w:rsidRPr="00E426D3" w:rsidRDefault="00772748" w:rsidP="00E426D3">
      <w:pPr>
        <w:pStyle w:val="l-tit-endr-punktum"/>
      </w:pPr>
      <w:r w:rsidRPr="00E426D3">
        <w:t>§ 19-6 fyrste ledd bokstav i annet punktum skal lyde:</w:t>
      </w:r>
    </w:p>
    <w:p w14:paraId="302F8EAA" w14:textId="77777777" w:rsidR="00772748" w:rsidRPr="00E426D3" w:rsidRDefault="00772748" w:rsidP="00E426D3">
      <w:pPr>
        <w:pStyle w:val="l-punktum"/>
      </w:pPr>
      <w:r w:rsidRPr="00E426D3">
        <w:t xml:space="preserve">Fradraget tilkommer den som innehar tillatelse som nevnt i første punktum for det inntektsår </w:t>
      </w:r>
      <w:r w:rsidRPr="00E426D3">
        <w:rPr>
          <w:rStyle w:val="l-endring"/>
        </w:rPr>
        <w:t xml:space="preserve">fradraget </w:t>
      </w:r>
      <w:r w:rsidRPr="00E426D3">
        <w:t>kan kreves.</w:t>
      </w:r>
    </w:p>
    <w:p w14:paraId="2B80DE95" w14:textId="77777777" w:rsidR="00772748" w:rsidRPr="00E426D3" w:rsidRDefault="00772748" w:rsidP="00E426D3">
      <w:pPr>
        <w:pStyle w:val="a-vedtak-del"/>
      </w:pPr>
      <w:r w:rsidRPr="00E426D3">
        <w:t>II</w:t>
      </w:r>
    </w:p>
    <w:p w14:paraId="09E7D745" w14:textId="77777777" w:rsidR="00772748" w:rsidRPr="00E426D3" w:rsidRDefault="00772748" w:rsidP="00E426D3">
      <w:pPr>
        <w:pStyle w:val="l-tit-endr-lov"/>
      </w:pPr>
      <w:r w:rsidRPr="00E426D3">
        <w:t>I lov 26. mars 1999 nr. 14 om skatt av formue og inntekt vert det gjort følgjande endringar:</w:t>
      </w:r>
    </w:p>
    <w:p w14:paraId="1E3A1D14" w14:textId="77777777" w:rsidR="00772748" w:rsidRPr="00E426D3" w:rsidRDefault="00772748" w:rsidP="00E426D3">
      <w:pPr>
        <w:pStyle w:val="l-tit-endr-ledd"/>
      </w:pPr>
      <w:r w:rsidRPr="00E426D3">
        <w:t>§ 5-42 bokstav a skal lyde:</w:t>
      </w:r>
    </w:p>
    <w:p w14:paraId="367A45C8" w14:textId="77777777" w:rsidR="00772748" w:rsidRPr="00E426D3" w:rsidRDefault="00772748" w:rsidP="00E426D3">
      <w:pPr>
        <w:pStyle w:val="friliste"/>
      </w:pPr>
      <w:r w:rsidRPr="00E426D3">
        <w:t>a.</w:t>
      </w:r>
      <w:r w:rsidRPr="00E426D3">
        <w:tab/>
        <w:t xml:space="preserve">stønad, omsorgspenger og annen utbetaling fra omsorgs- og trygdeinnretning, herunder arbeidsavklaringspenger etter folketrygdloven kapittel 11, uføretrygd etter folketrygdloven kapittel 12, </w:t>
      </w:r>
      <w:r w:rsidRPr="00E426D3">
        <w:rPr>
          <w:rStyle w:val="kursiv"/>
        </w:rPr>
        <w:t xml:space="preserve">ungdomsprogramytelse, </w:t>
      </w:r>
      <w:r w:rsidRPr="00E426D3">
        <w:t>uføreytelser fra andre ordninger, overgangsstønad etter folketrygdloven § 15-5 og kapittel 17 A og omstillingsstønad etter folketrygdloven kapittel 17.</w:t>
      </w:r>
    </w:p>
    <w:p w14:paraId="0BD3E85E" w14:textId="77777777" w:rsidR="00772748" w:rsidRPr="00E426D3" w:rsidRDefault="00772748" w:rsidP="00E426D3">
      <w:pPr>
        <w:pStyle w:val="l-tit-endr-ledd"/>
      </w:pPr>
      <w:r w:rsidRPr="00E426D3">
        <w:t>§ 6-32 fyrste ledd bokstav a andre punktum skal lyde:</w:t>
      </w:r>
    </w:p>
    <w:p w14:paraId="5B862867" w14:textId="77777777" w:rsidR="00772748" w:rsidRPr="00E426D3" w:rsidRDefault="00772748" w:rsidP="00E426D3">
      <w:pPr>
        <w:pStyle w:val="l-punktum"/>
      </w:pPr>
      <w:r w:rsidRPr="00E426D3">
        <w:t xml:space="preserve">Tilsvarende gjelder for minstefradrag i arbeidsavklaringspenger, </w:t>
      </w:r>
      <w:r w:rsidRPr="00E426D3">
        <w:rPr>
          <w:rStyle w:val="l-endring"/>
        </w:rPr>
        <w:t xml:space="preserve">ungdomsprogramytelse, </w:t>
      </w:r>
      <w:r w:rsidRPr="00E426D3">
        <w:t xml:space="preserve">uføretrygd etter folketrygdloven kapittel 12 og uføreytelser fra andre ordninger samt minstefradrag i overgangsstønad etter folketrygdloven § 15-5, omstillingsstønad etter folketrygdloven kapittel </w:t>
      </w:r>
      <w:r w:rsidRPr="00E426D3">
        <w:lastRenderedPageBreak/>
        <w:t>17, kvalifiseringsstønad etter sosialtjenesteloven og introduksjonsstønad etter integreringsloven kapittel 5.</w:t>
      </w:r>
    </w:p>
    <w:p w14:paraId="44C8D17B" w14:textId="77777777" w:rsidR="00772748" w:rsidRPr="00E426D3" w:rsidRDefault="00772748" w:rsidP="00E426D3">
      <w:pPr>
        <w:pStyle w:val="l-tit-endr-ledd"/>
      </w:pPr>
      <w:r w:rsidRPr="00E426D3">
        <w:t>§ 8-1 tredje ledd siste punktum skal lyde:</w:t>
      </w:r>
    </w:p>
    <w:p w14:paraId="67194242" w14:textId="77777777" w:rsidR="00772748" w:rsidRPr="00E426D3" w:rsidRDefault="00772748" w:rsidP="00E426D3">
      <w:pPr>
        <w:pStyle w:val="l-punktum"/>
      </w:pPr>
      <w:r w:rsidRPr="00E426D3">
        <w:t>Overstiger fradragsberettigede kostnader til planering 10.000 kroner, skal fradraget fordeles etter § </w:t>
      </w:r>
      <w:r w:rsidRPr="00E426D3">
        <w:rPr>
          <w:rStyle w:val="l-endring"/>
        </w:rPr>
        <w:t>14-84</w:t>
      </w:r>
      <w:r w:rsidRPr="00E426D3">
        <w:t>.</w:t>
      </w:r>
    </w:p>
    <w:p w14:paraId="4F0FD15E" w14:textId="77777777" w:rsidR="00772748" w:rsidRPr="00E426D3" w:rsidRDefault="00772748" w:rsidP="00E426D3">
      <w:pPr>
        <w:pStyle w:val="l-tit-endr-ledd"/>
      </w:pPr>
      <w:r w:rsidRPr="00E426D3">
        <w:t>§ 8-3 annet ledd fyrste punktum skal lyde:</w:t>
      </w:r>
    </w:p>
    <w:p w14:paraId="2CDFD280" w14:textId="77777777" w:rsidR="00772748" w:rsidRPr="00E426D3" w:rsidRDefault="00772748" w:rsidP="00E426D3">
      <w:pPr>
        <w:pStyle w:val="l-punktum"/>
      </w:pPr>
      <w:r w:rsidRPr="00E426D3">
        <w:t xml:space="preserve">Avsetningsbeløpet kan for det enkelte år sammen med andre fradragsberettigede fondsavsetninger utgjøre høyst 80 prosent av det beløp inntekten av reindrift eventuelt ved gjennomsnittsfastsetting etter </w:t>
      </w:r>
      <w:r w:rsidRPr="00E426D3">
        <w:rPr>
          <w:rStyle w:val="l-endring"/>
        </w:rPr>
        <w:t>§ 14-83</w:t>
      </w:r>
      <w:r w:rsidRPr="00E426D3">
        <w:t xml:space="preserve"> fastsettes til.</w:t>
      </w:r>
    </w:p>
    <w:p w14:paraId="219B39B1" w14:textId="77777777" w:rsidR="00772748" w:rsidRPr="00E426D3" w:rsidRDefault="00772748" w:rsidP="00E426D3">
      <w:pPr>
        <w:pStyle w:val="l-tit-endr-ledd"/>
      </w:pPr>
      <w:r w:rsidRPr="00E426D3">
        <w:t>§ 8-3 femte ledd fyrste punktum skal lyde:</w:t>
      </w:r>
    </w:p>
    <w:p w14:paraId="5B00EFD3" w14:textId="77777777" w:rsidR="00772748" w:rsidRPr="00E426D3" w:rsidRDefault="00772748" w:rsidP="00E426D3">
      <w:pPr>
        <w:pStyle w:val="l-punktum"/>
      </w:pPr>
      <w:r w:rsidRPr="00E426D3">
        <w:t>Beløp som det er gitt fradrag for etter bestemmelsene foran, skal legges til skattyterens inntekt – eventuelt ved gjennomsnittsfastsetting etter § </w:t>
      </w:r>
      <w:r w:rsidRPr="00E426D3">
        <w:rPr>
          <w:rStyle w:val="l-endring"/>
        </w:rPr>
        <w:t>14-83</w:t>
      </w:r>
      <w:r w:rsidRPr="00E426D3">
        <w:t xml:space="preserve"> – for det året eller de årene midlene på bankkontoen heves.</w:t>
      </w:r>
    </w:p>
    <w:p w14:paraId="4DFD5827" w14:textId="77777777" w:rsidR="00772748" w:rsidRPr="00E426D3" w:rsidRDefault="00772748" w:rsidP="00E426D3">
      <w:pPr>
        <w:pStyle w:val="l-tit-endr-ledd"/>
      </w:pPr>
      <w:r w:rsidRPr="00E426D3">
        <w:t>§ 12-2 fyrste ledd bokstav c skal lyde:</w:t>
      </w:r>
    </w:p>
    <w:p w14:paraId="0B2BBC98" w14:textId="77777777" w:rsidR="00772748" w:rsidRPr="00E426D3" w:rsidRDefault="00772748" w:rsidP="00E426D3">
      <w:pPr>
        <w:pStyle w:val="friliste"/>
      </w:pPr>
      <w:r w:rsidRPr="00E426D3">
        <w:t>c.</w:t>
      </w:r>
      <w:r w:rsidRPr="00E426D3">
        <w:tab/>
        <w:t>arbeidsavklaringspenger etter folketrygdloven kapittel 11</w:t>
      </w:r>
      <w:r w:rsidRPr="00E426D3">
        <w:rPr>
          <w:rStyle w:val="kursiv"/>
        </w:rPr>
        <w:t>, ungdomsprogramytelse</w:t>
      </w:r>
      <w:r w:rsidRPr="00E426D3">
        <w:t xml:space="preserve"> og overgangsstønad etter folketrygdloven § 15-5 og kapittel 17 A.</w:t>
      </w:r>
    </w:p>
    <w:p w14:paraId="27EEC054" w14:textId="77777777" w:rsidR="00772748" w:rsidRPr="00E426D3" w:rsidRDefault="00772748" w:rsidP="00E426D3">
      <w:pPr>
        <w:pStyle w:val="l-tit-endr-paragraf"/>
      </w:pPr>
      <w:r w:rsidRPr="00E426D3">
        <w:t>§ 14-82 skal lyde:</w:t>
      </w:r>
    </w:p>
    <w:p w14:paraId="0D551755" w14:textId="77777777" w:rsidR="00772748" w:rsidRPr="00E426D3" w:rsidRDefault="00772748" w:rsidP="00E426D3">
      <w:pPr>
        <w:pStyle w:val="l-paragraf"/>
        <w:rPr>
          <w:rStyle w:val="regular"/>
        </w:rPr>
      </w:pPr>
      <w:r w:rsidRPr="00E426D3">
        <w:rPr>
          <w:rStyle w:val="regular"/>
        </w:rPr>
        <w:t xml:space="preserve">§ 14-82 </w:t>
      </w:r>
      <w:r w:rsidRPr="00E426D3">
        <w:t>Utjevning av jordbruksinntekt i enkeltpersonforetak</w:t>
      </w:r>
    </w:p>
    <w:p w14:paraId="146CCFEE" w14:textId="77777777" w:rsidR="00772748" w:rsidRPr="00E426D3" w:rsidRDefault="00772748" w:rsidP="00E426D3">
      <w:pPr>
        <w:pStyle w:val="l-ledd"/>
        <w:rPr>
          <w:rStyle w:val="l-endring"/>
        </w:rPr>
      </w:pPr>
      <w:r w:rsidRPr="00E426D3">
        <w:rPr>
          <w:rStyle w:val="l-endring"/>
        </w:rPr>
        <w:t>(1)</w:t>
      </w:r>
      <w:r w:rsidRPr="00E426D3">
        <w:t> </w:t>
      </w:r>
      <w:r w:rsidRPr="00E426D3">
        <w:rPr>
          <w:rStyle w:val="l-endring"/>
        </w:rPr>
        <w:t>Årets overskudd fra jord- og hagebruksvirksomhet som ikke er inntektsført direkte i inntektsåret, føres på jordbrukskonto. Inntekt fra jord- og hagebruksvirksomhet etter denne paragraf skal forstås tilsvarende som inntekt som kan danne grunnlag for jordbruksfradrag, jf. § 8-1 femte ledd. Årets underskudd fra jord- og hagebruksvirksomhet føres på jordbrukskonto. Positiv saldo inntektsføres med minst 85 prosent. Negativ saldo fradragsføres med inntil 85 prosent. Negativ saldo på jordbrukskonto kan føres mot årets overskudd fra jordbruksvirksomhet. Bestemmelsene om gevinst- og tapskonto, jf. § 14-45, gjelder tilsvarende så langt de passer for jordbrukskonto.</w:t>
      </w:r>
    </w:p>
    <w:p w14:paraId="2D718BD8" w14:textId="77777777" w:rsidR="00772748" w:rsidRPr="00E426D3" w:rsidRDefault="00772748" w:rsidP="00E426D3">
      <w:pPr>
        <w:pStyle w:val="l-ledd"/>
        <w:rPr>
          <w:rStyle w:val="l-endring"/>
        </w:rPr>
      </w:pPr>
      <w:r w:rsidRPr="00E426D3">
        <w:rPr>
          <w:rStyle w:val="l-endring"/>
        </w:rPr>
        <w:t>(2) Inntekter fra utnyttelse av jakt- og fiskerettigheter, uttak av jord, sand, stein, utleie av bygninger og driftsmidler, utføring av tjenester for andre med slike mv. jf. Finansdepartementets forskrift til skatteloven § 8-1-11 bokstav a nr. 3, 4 og 6, og bokstav b, omfattes ikke av jordbrukskonto.</w:t>
      </w:r>
    </w:p>
    <w:p w14:paraId="780EA1A7" w14:textId="77777777" w:rsidR="00772748" w:rsidRPr="00E426D3" w:rsidRDefault="00772748" w:rsidP="00E426D3">
      <w:pPr>
        <w:pStyle w:val="l-ledd"/>
        <w:rPr>
          <w:rStyle w:val="l-endring"/>
        </w:rPr>
      </w:pPr>
      <w:r w:rsidRPr="00E426D3">
        <w:rPr>
          <w:rStyle w:val="l-endring"/>
        </w:rPr>
        <w:t>(3) Føring på jordbrukskonto foretas før fradrag for gjeldsrenter.</w:t>
      </w:r>
    </w:p>
    <w:p w14:paraId="645C68BF" w14:textId="77777777" w:rsidR="00772748" w:rsidRPr="00E426D3" w:rsidRDefault="00772748" w:rsidP="00E426D3">
      <w:pPr>
        <w:pStyle w:val="l-ledd"/>
      </w:pPr>
      <w:r w:rsidRPr="00E426D3">
        <w:rPr>
          <w:rStyle w:val="l-endring"/>
        </w:rPr>
        <w:t>(4) Departementet kan gi forskrift til utfylling og gjennomføring av denne paragraf.</w:t>
      </w:r>
    </w:p>
    <w:p w14:paraId="482B4293" w14:textId="77777777" w:rsidR="00772748" w:rsidRPr="00E426D3" w:rsidRDefault="00772748" w:rsidP="00E426D3">
      <w:pPr>
        <w:pStyle w:val="l-tit-endr-paragraf"/>
      </w:pPr>
      <w:r w:rsidRPr="00E426D3">
        <w:lastRenderedPageBreak/>
        <w:t>Noverande §§ 14-82 og 14-83 vert § 14-83 og ny § 14-84.</w:t>
      </w:r>
    </w:p>
    <w:p w14:paraId="3EA5DD6A" w14:textId="77777777" w:rsidR="00772748" w:rsidRPr="00E426D3" w:rsidRDefault="00772748" w:rsidP="00E426D3">
      <w:pPr>
        <w:pStyle w:val="a-vedtak-del"/>
      </w:pPr>
      <w:r w:rsidRPr="00E426D3">
        <w:t>III</w:t>
      </w:r>
    </w:p>
    <w:p w14:paraId="7C2C0771" w14:textId="77777777" w:rsidR="00772748" w:rsidRPr="00E426D3" w:rsidRDefault="00772748" w:rsidP="00E426D3">
      <w:pPr>
        <w:pStyle w:val="l-tit-endr-lov"/>
      </w:pPr>
      <w:r w:rsidRPr="00E426D3">
        <w:t>I lov 26. mars 1999 nr. 14 om skatt av formue og inntekt vert det gjort følgjande endring:</w:t>
      </w:r>
    </w:p>
    <w:p w14:paraId="40267562" w14:textId="77777777" w:rsidR="00772748" w:rsidRPr="00E426D3" w:rsidRDefault="00772748" w:rsidP="00E426D3">
      <w:pPr>
        <w:pStyle w:val="l-tit-endr-ledd"/>
      </w:pPr>
      <w:r w:rsidRPr="00E426D3">
        <w:t>§ 2-30 fyrste ledd bokstav g nr. 2 vert oppheva. § 2-30 fyrste ledd bokstav g noverande nr. 3 til 6 vert nr. 2 til 5.</w:t>
      </w:r>
    </w:p>
    <w:p w14:paraId="1E7209D8" w14:textId="77777777" w:rsidR="00772748" w:rsidRPr="00E426D3" w:rsidRDefault="00772748" w:rsidP="00E426D3">
      <w:pPr>
        <w:pStyle w:val="a-vedtak-del"/>
      </w:pPr>
      <w:r w:rsidRPr="00E426D3">
        <w:t>IV</w:t>
      </w:r>
    </w:p>
    <w:p w14:paraId="17F063C3" w14:textId="77777777" w:rsidR="00772748" w:rsidRPr="00E426D3" w:rsidRDefault="00772748" w:rsidP="00E426D3">
      <w:pPr>
        <w:pStyle w:val="l-tit-endr-ledd"/>
      </w:pPr>
      <w:r w:rsidRPr="00E426D3">
        <w:t>Endringane under I tek til å gjelde straks.</w:t>
      </w:r>
    </w:p>
    <w:p w14:paraId="7C2FDD78" w14:textId="77777777" w:rsidR="00772748" w:rsidRPr="00E426D3" w:rsidRDefault="00772748" w:rsidP="00E426D3">
      <w:pPr>
        <w:pStyle w:val="l-tit-endr-ledd"/>
      </w:pPr>
      <w:r w:rsidRPr="00E426D3">
        <w:t>Endringane under II tek til å gjelde straks med verknad frå og med inntektsåret 2025.</w:t>
      </w:r>
    </w:p>
    <w:p w14:paraId="5350362F" w14:textId="77777777" w:rsidR="00772748" w:rsidRPr="00E426D3" w:rsidRDefault="00772748" w:rsidP="00E426D3">
      <w:pPr>
        <w:pStyle w:val="l-tit-endr-ledd"/>
      </w:pPr>
      <w:r w:rsidRPr="00E426D3">
        <w:t>Endringa under III tek til å gjelde straks med verknad frå 1. juli 2025.</w:t>
      </w:r>
    </w:p>
    <w:p w14:paraId="473B9100" w14:textId="77777777" w:rsidR="00772748" w:rsidRPr="00E426D3" w:rsidRDefault="00772748" w:rsidP="00E426D3"/>
    <w:p w14:paraId="5336845E" w14:textId="77777777" w:rsidR="00772748" w:rsidRPr="00E426D3" w:rsidRDefault="00772748" w:rsidP="00E426D3">
      <w:pPr>
        <w:pStyle w:val="a-vedtak-tit"/>
      </w:pPr>
      <w:r w:rsidRPr="00E426D3">
        <w:t>Forslag</w:t>
      </w:r>
    </w:p>
    <w:p w14:paraId="6D80DC0B" w14:textId="77777777" w:rsidR="00772748" w:rsidRPr="00E426D3" w:rsidRDefault="00772748" w:rsidP="00E426D3">
      <w:pPr>
        <w:pStyle w:val="a-vedtak-tit"/>
      </w:pPr>
      <w:r w:rsidRPr="00E426D3">
        <w:t xml:space="preserve">til lov om </w:t>
      </w:r>
      <w:proofErr w:type="spellStart"/>
      <w:r w:rsidRPr="00E426D3">
        <w:t>endringar</w:t>
      </w:r>
      <w:proofErr w:type="spellEnd"/>
      <w:r w:rsidRPr="00E426D3">
        <w:t xml:space="preserve"> i skatteforvaltningsloven</w:t>
      </w:r>
    </w:p>
    <w:p w14:paraId="0386804B" w14:textId="77777777" w:rsidR="00772748" w:rsidRPr="00E426D3" w:rsidRDefault="00772748" w:rsidP="00E426D3">
      <w:pPr>
        <w:pStyle w:val="a-vedtak-del"/>
      </w:pPr>
      <w:r w:rsidRPr="00E426D3">
        <w:t>I</w:t>
      </w:r>
    </w:p>
    <w:p w14:paraId="59F47F1B" w14:textId="77777777" w:rsidR="00772748" w:rsidRPr="00E426D3" w:rsidRDefault="00772748" w:rsidP="00E426D3">
      <w:pPr>
        <w:pStyle w:val="l-tit-endr-lov"/>
      </w:pPr>
      <w:r w:rsidRPr="00E426D3">
        <w:t>I lov 27. mai 2016 nr. 14 om skatteforvaltning vert det gjort følgjande endring:</w:t>
      </w:r>
    </w:p>
    <w:p w14:paraId="13BD220D" w14:textId="77777777" w:rsidR="00772748" w:rsidRPr="00E426D3" w:rsidRDefault="00772748" w:rsidP="00E426D3">
      <w:pPr>
        <w:pStyle w:val="l-tit-endr-ledd"/>
      </w:pPr>
      <w:r w:rsidRPr="00E426D3">
        <w:t>§ 7-10 fyrste ledd bokstav h skal lyde:</w:t>
      </w:r>
    </w:p>
    <w:p w14:paraId="59D00E22" w14:textId="77777777" w:rsidR="00772748" w:rsidRPr="00E426D3" w:rsidRDefault="00772748" w:rsidP="00E426D3">
      <w:pPr>
        <w:pStyle w:val="friliste"/>
      </w:pPr>
      <w:r w:rsidRPr="00E426D3">
        <w:t>h.</w:t>
      </w:r>
      <w:r w:rsidRPr="00E426D3">
        <w:tab/>
      </w:r>
      <w:r w:rsidRPr="00E426D3">
        <w:rPr>
          <w:rStyle w:val="kursiv"/>
        </w:rPr>
        <w:t>selskap i oppstarts- og vekstfasen</w:t>
      </w:r>
      <w:r w:rsidRPr="00E426D3">
        <w:t xml:space="preserve"> om tildelte og innløste opsjoner til ansatte etter ordningen i skatteloven § 5-14 </w:t>
      </w:r>
      <w:r w:rsidRPr="00E426D3">
        <w:rPr>
          <w:rStyle w:val="kursiv"/>
        </w:rPr>
        <w:t>andre ledd</w:t>
      </w:r>
    </w:p>
    <w:p w14:paraId="1DBB1E26" w14:textId="77777777" w:rsidR="00772748" w:rsidRPr="00E426D3" w:rsidRDefault="00772748" w:rsidP="00E426D3">
      <w:pPr>
        <w:pStyle w:val="a-vedtak-del"/>
      </w:pPr>
      <w:r w:rsidRPr="00E426D3">
        <w:t>II</w:t>
      </w:r>
    </w:p>
    <w:p w14:paraId="2E804B95" w14:textId="77777777" w:rsidR="00772748" w:rsidRPr="00E426D3" w:rsidRDefault="00772748" w:rsidP="00E426D3">
      <w:pPr>
        <w:pStyle w:val="l-tit-endr-lov"/>
      </w:pPr>
      <w:r w:rsidRPr="00E426D3">
        <w:t>I lov 27. mai 2016 nr. 14 om skatteforvaltning vert det gjort følgjande endringar:</w:t>
      </w:r>
    </w:p>
    <w:p w14:paraId="0AE05A50" w14:textId="77777777" w:rsidR="00772748" w:rsidRPr="00E426D3" w:rsidRDefault="00772748" w:rsidP="00E426D3">
      <w:pPr>
        <w:pStyle w:val="l-tit-endr-ledd"/>
      </w:pPr>
      <w:r w:rsidRPr="00E426D3">
        <w:t>§ 15-1 nytt tredje ledd skal lyde:</w:t>
      </w:r>
    </w:p>
    <w:p w14:paraId="5BF577F7" w14:textId="77777777" w:rsidR="00772748" w:rsidRPr="00E426D3" w:rsidRDefault="00772748" w:rsidP="00E426D3">
      <w:pPr>
        <w:pStyle w:val="l-ledd"/>
      </w:pPr>
      <w:r w:rsidRPr="00E426D3">
        <w:rPr>
          <w:rStyle w:val="l-endring"/>
        </w:rPr>
        <w:t>(3)</w:t>
      </w:r>
      <w:r w:rsidRPr="00E426D3">
        <w:t> </w:t>
      </w:r>
      <w:r w:rsidRPr="00E426D3">
        <w:rPr>
          <w:rStyle w:val="l-endring"/>
        </w:rPr>
        <w:t>Skattemyndighetene skal varsle kommunen dersom den skattepliktige går til søksmål om vedtak som har betydning for utskrivingen av eiendomsskatt på kraftanlegg.</w:t>
      </w:r>
    </w:p>
    <w:p w14:paraId="730834D1" w14:textId="77777777" w:rsidR="00772748" w:rsidRPr="00E426D3" w:rsidRDefault="00772748" w:rsidP="00E426D3">
      <w:pPr>
        <w:pStyle w:val="l-tit-endr-ledd"/>
      </w:pPr>
      <w:r w:rsidRPr="00E426D3">
        <w:t>§ 15-2 tredje ledd andre punktum skal lyde:</w:t>
      </w:r>
    </w:p>
    <w:p w14:paraId="1CDF19F5" w14:textId="77777777" w:rsidR="00772748" w:rsidRPr="00E426D3" w:rsidRDefault="00772748" w:rsidP="00E426D3">
      <w:pPr>
        <w:pStyle w:val="l-punktum"/>
      </w:pPr>
      <w:r w:rsidRPr="00E426D3">
        <w:t xml:space="preserve">Kommunestyret kan også få prøvd den skattepliktiges fastsetting av skattegrunnlaget for </w:t>
      </w:r>
      <w:r w:rsidRPr="00E426D3">
        <w:rPr>
          <w:rStyle w:val="l-endring"/>
        </w:rPr>
        <w:t>kraftanlegg,</w:t>
      </w:r>
      <w:r w:rsidRPr="00E426D3">
        <w:t xml:space="preserve"> som har betydning for utskrivingen av eiendomsskatt.</w:t>
      </w:r>
    </w:p>
    <w:p w14:paraId="35F3925D" w14:textId="77777777" w:rsidR="00772748" w:rsidRPr="00E426D3" w:rsidRDefault="00772748" w:rsidP="00E426D3">
      <w:pPr>
        <w:pStyle w:val="l-tit-endr-ledd"/>
      </w:pPr>
      <w:r w:rsidRPr="00E426D3">
        <w:t>§ 15-4 fyrste ledd andre punktum skal lyde:</w:t>
      </w:r>
    </w:p>
    <w:p w14:paraId="5C42C2C4" w14:textId="77777777" w:rsidR="00772748" w:rsidRPr="00E426D3" w:rsidRDefault="00772748" w:rsidP="00E426D3">
      <w:pPr>
        <w:pStyle w:val="l-punktum"/>
      </w:pPr>
      <w:r w:rsidRPr="00E426D3">
        <w:rPr>
          <w:rStyle w:val="l-endring"/>
        </w:rPr>
        <w:t>Søksmål som nevnt i § 15-2 tredje ledd må reises innen seks måneder etter at melding om fastsetting av skattegrunnlaget for kraftanlegg som har betydning for utskrivingen av eiendomsskatt, ble sendt kommunen.</w:t>
      </w:r>
    </w:p>
    <w:p w14:paraId="0836AFE6" w14:textId="77777777" w:rsidR="00772748" w:rsidRPr="00E426D3" w:rsidRDefault="00772748" w:rsidP="00E426D3">
      <w:pPr>
        <w:pStyle w:val="l-tit-endr-ledd"/>
      </w:pPr>
      <w:r w:rsidRPr="00E426D3">
        <w:lastRenderedPageBreak/>
        <w:t>Noverande § 15-4 fyrste ledd andre punktum vert nytt tredje punktum.</w:t>
      </w:r>
    </w:p>
    <w:p w14:paraId="3506C41A" w14:textId="77777777" w:rsidR="00772748" w:rsidRPr="00E426D3" w:rsidRDefault="00772748" w:rsidP="00E426D3">
      <w:pPr>
        <w:pStyle w:val="a-vedtak-del"/>
      </w:pPr>
      <w:r w:rsidRPr="00E426D3">
        <w:t>III</w:t>
      </w:r>
    </w:p>
    <w:p w14:paraId="5F9DE01A" w14:textId="77777777" w:rsidR="00772748" w:rsidRPr="00E426D3" w:rsidRDefault="00772748" w:rsidP="00E426D3">
      <w:r w:rsidRPr="00E426D3">
        <w:t>Endringa under I tek til å gjelde straks.</w:t>
      </w:r>
    </w:p>
    <w:p w14:paraId="46AB2A4C" w14:textId="77777777" w:rsidR="00772748" w:rsidRPr="00E426D3" w:rsidRDefault="00772748" w:rsidP="00E426D3">
      <w:proofErr w:type="spellStart"/>
      <w:r w:rsidRPr="00E426D3">
        <w:t>Endringane</w:t>
      </w:r>
      <w:proofErr w:type="spellEnd"/>
      <w:r w:rsidRPr="00E426D3">
        <w:t xml:space="preserve"> under II tek til å gjelde straks med verknad </w:t>
      </w:r>
      <w:proofErr w:type="spellStart"/>
      <w:r w:rsidRPr="00E426D3">
        <w:t>frå</w:t>
      </w:r>
      <w:proofErr w:type="spellEnd"/>
      <w:r w:rsidRPr="00E426D3">
        <w:t xml:space="preserve"> og med skatteåret 2026.</w:t>
      </w:r>
    </w:p>
    <w:p w14:paraId="2F82922F" w14:textId="77777777" w:rsidR="00772748" w:rsidRPr="00E426D3" w:rsidRDefault="00772748" w:rsidP="00E426D3"/>
    <w:p w14:paraId="3F2ED01E" w14:textId="77777777" w:rsidR="00772748" w:rsidRPr="00E426D3" w:rsidRDefault="00772748" w:rsidP="00E426D3">
      <w:pPr>
        <w:pStyle w:val="a-vedtak-tit"/>
      </w:pPr>
      <w:r w:rsidRPr="00E426D3">
        <w:t>Forslag</w:t>
      </w:r>
    </w:p>
    <w:p w14:paraId="01F2EDD6" w14:textId="77777777" w:rsidR="00772748" w:rsidRPr="00E426D3" w:rsidRDefault="00772748" w:rsidP="00E426D3">
      <w:pPr>
        <w:pStyle w:val="a-vedtak-tit"/>
      </w:pPr>
      <w:r w:rsidRPr="00E426D3">
        <w:t xml:space="preserve">til lov om </w:t>
      </w:r>
      <w:proofErr w:type="spellStart"/>
      <w:r w:rsidRPr="00E426D3">
        <w:t>endringar</w:t>
      </w:r>
      <w:proofErr w:type="spellEnd"/>
      <w:r w:rsidRPr="00E426D3">
        <w:t xml:space="preserve"> i </w:t>
      </w:r>
      <w:proofErr w:type="spellStart"/>
      <w:r w:rsidRPr="00E426D3">
        <w:t>eigedomsskattelova</w:t>
      </w:r>
      <w:proofErr w:type="spellEnd"/>
    </w:p>
    <w:p w14:paraId="5F9AE389" w14:textId="77777777" w:rsidR="00772748" w:rsidRPr="00E426D3" w:rsidRDefault="00772748" w:rsidP="00E426D3">
      <w:pPr>
        <w:pStyle w:val="a-vedtak-del"/>
      </w:pPr>
      <w:r w:rsidRPr="00E426D3">
        <w:t>I</w:t>
      </w:r>
    </w:p>
    <w:p w14:paraId="5417F2D6" w14:textId="77777777" w:rsidR="00772748" w:rsidRPr="00E426D3" w:rsidRDefault="00772748" w:rsidP="00E426D3">
      <w:pPr>
        <w:pStyle w:val="l-tit-endr-lov"/>
      </w:pPr>
      <w:r w:rsidRPr="00E426D3">
        <w:t>I lov 6. juni 1975 nr. 29 om eigedomsskatt til kommunane vert det gjort følgjande endringar:</w:t>
      </w:r>
    </w:p>
    <w:p w14:paraId="35CBD415" w14:textId="77777777" w:rsidR="00772748" w:rsidRPr="00E426D3" w:rsidRDefault="00772748" w:rsidP="00E426D3">
      <w:pPr>
        <w:pStyle w:val="l-tit-endr-paragraf"/>
      </w:pPr>
      <w:r w:rsidRPr="00E426D3">
        <w:t>§ 8 A-2 skal lyde:</w:t>
      </w:r>
    </w:p>
    <w:p w14:paraId="67940963" w14:textId="77777777" w:rsidR="00772748" w:rsidRPr="00E426D3" w:rsidRDefault="00772748" w:rsidP="00E426D3">
      <w:pPr>
        <w:pStyle w:val="l-ledd"/>
      </w:pPr>
      <w:r w:rsidRPr="00E426D3">
        <w:t>(1) </w:t>
      </w:r>
      <w:proofErr w:type="spellStart"/>
      <w:r w:rsidRPr="00E426D3">
        <w:t>Verdet</w:t>
      </w:r>
      <w:proofErr w:type="spellEnd"/>
      <w:r w:rsidRPr="00E426D3">
        <w:t xml:space="preserve"> av </w:t>
      </w:r>
      <w:proofErr w:type="spellStart"/>
      <w:r w:rsidRPr="00E426D3">
        <w:t>eigedomen</w:t>
      </w:r>
      <w:proofErr w:type="spellEnd"/>
      <w:r w:rsidRPr="00E426D3">
        <w:t xml:space="preserve"> skal </w:t>
      </w:r>
      <w:proofErr w:type="spellStart"/>
      <w:r w:rsidRPr="00E426D3">
        <w:t>setjast</w:t>
      </w:r>
      <w:proofErr w:type="spellEnd"/>
      <w:r w:rsidRPr="00E426D3">
        <w:t xml:space="preserve"> til det beløp </w:t>
      </w:r>
      <w:proofErr w:type="spellStart"/>
      <w:r w:rsidRPr="00E426D3">
        <w:t>ein</w:t>
      </w:r>
      <w:proofErr w:type="spellEnd"/>
      <w:r w:rsidRPr="00E426D3">
        <w:t xml:space="preserve"> må gå ut </w:t>
      </w:r>
      <w:proofErr w:type="spellStart"/>
      <w:r w:rsidRPr="00E426D3">
        <w:t>frå</w:t>
      </w:r>
      <w:proofErr w:type="spellEnd"/>
      <w:r w:rsidRPr="00E426D3">
        <w:t xml:space="preserve"> at </w:t>
      </w:r>
      <w:proofErr w:type="spellStart"/>
      <w:r w:rsidRPr="00E426D3">
        <w:t>eigedomen</w:t>
      </w:r>
      <w:proofErr w:type="spellEnd"/>
      <w:r w:rsidRPr="00E426D3">
        <w:t xml:space="preserve"> etter si innretning, </w:t>
      </w:r>
      <w:proofErr w:type="spellStart"/>
      <w:r w:rsidRPr="00E426D3">
        <w:t>brukseigenskap</w:t>
      </w:r>
      <w:proofErr w:type="spellEnd"/>
      <w:r w:rsidRPr="00E426D3">
        <w:t xml:space="preserve"> og lokalisering kan bli avhenda for under </w:t>
      </w:r>
      <w:proofErr w:type="spellStart"/>
      <w:r w:rsidRPr="00E426D3">
        <w:t>vanlege</w:t>
      </w:r>
      <w:proofErr w:type="spellEnd"/>
      <w:r w:rsidRPr="00E426D3">
        <w:t xml:space="preserve"> salstilhøve ved </w:t>
      </w:r>
      <w:proofErr w:type="gramStart"/>
      <w:r w:rsidRPr="00E426D3">
        <w:t>fritt sal</w:t>
      </w:r>
      <w:proofErr w:type="gramEnd"/>
      <w:r w:rsidRPr="00E426D3">
        <w:t xml:space="preserve">. Skattegrunnlaget for </w:t>
      </w:r>
      <w:proofErr w:type="spellStart"/>
      <w:r w:rsidRPr="00E426D3">
        <w:t>bustader</w:t>
      </w:r>
      <w:proofErr w:type="spellEnd"/>
      <w:r w:rsidRPr="00E426D3">
        <w:t xml:space="preserve"> og </w:t>
      </w:r>
      <w:proofErr w:type="spellStart"/>
      <w:r w:rsidRPr="00E426D3">
        <w:t>fritidsbustader</w:t>
      </w:r>
      <w:proofErr w:type="spellEnd"/>
      <w:r w:rsidRPr="00E426D3">
        <w:t xml:space="preserve"> vert sett til </w:t>
      </w:r>
      <w:proofErr w:type="spellStart"/>
      <w:r w:rsidRPr="00E426D3">
        <w:t>verdet</w:t>
      </w:r>
      <w:proofErr w:type="spellEnd"/>
      <w:r w:rsidRPr="00E426D3">
        <w:t xml:space="preserve"> multiplisert med 0,7.</w:t>
      </w:r>
    </w:p>
    <w:p w14:paraId="3538FA0D" w14:textId="77777777" w:rsidR="00772748" w:rsidRPr="00E426D3" w:rsidRDefault="00772748" w:rsidP="00E426D3">
      <w:pPr>
        <w:pStyle w:val="l-ledd"/>
      </w:pPr>
      <w:r w:rsidRPr="00E426D3">
        <w:t>(2) </w:t>
      </w:r>
      <w:proofErr w:type="spellStart"/>
      <w:r w:rsidRPr="00E426D3">
        <w:rPr>
          <w:rStyle w:val="l-endring"/>
        </w:rPr>
        <w:t>Verdet</w:t>
      </w:r>
      <w:proofErr w:type="spellEnd"/>
      <w:r w:rsidRPr="00E426D3">
        <w:rPr>
          <w:rStyle w:val="l-endring"/>
        </w:rPr>
        <w:t xml:space="preserve"> av </w:t>
      </w:r>
      <w:proofErr w:type="spellStart"/>
      <w:r w:rsidRPr="00E426D3">
        <w:rPr>
          <w:rStyle w:val="l-endring"/>
        </w:rPr>
        <w:t>næringseigedom</w:t>
      </w:r>
      <w:proofErr w:type="spellEnd"/>
      <w:r w:rsidRPr="00E426D3">
        <w:rPr>
          <w:rStyle w:val="l-endring"/>
        </w:rPr>
        <w:t xml:space="preserve"> skal </w:t>
      </w:r>
      <w:proofErr w:type="spellStart"/>
      <w:r w:rsidRPr="00E426D3">
        <w:rPr>
          <w:rStyle w:val="l-endring"/>
        </w:rPr>
        <w:t>setjast</w:t>
      </w:r>
      <w:proofErr w:type="spellEnd"/>
      <w:r w:rsidRPr="00E426D3">
        <w:rPr>
          <w:rStyle w:val="l-endring"/>
        </w:rPr>
        <w:t xml:space="preserve"> til teknisk verd når det </w:t>
      </w:r>
      <w:proofErr w:type="spellStart"/>
      <w:r w:rsidRPr="00E426D3">
        <w:rPr>
          <w:rStyle w:val="l-endring"/>
        </w:rPr>
        <w:t>ikkje</w:t>
      </w:r>
      <w:proofErr w:type="spellEnd"/>
      <w:r w:rsidRPr="00E426D3">
        <w:rPr>
          <w:rStyle w:val="l-endring"/>
        </w:rPr>
        <w:t xml:space="preserve"> er </w:t>
      </w:r>
      <w:proofErr w:type="spellStart"/>
      <w:r w:rsidRPr="00E426D3">
        <w:rPr>
          <w:rStyle w:val="l-endring"/>
        </w:rPr>
        <w:t>mogleg</w:t>
      </w:r>
      <w:proofErr w:type="spellEnd"/>
      <w:r w:rsidRPr="00E426D3">
        <w:rPr>
          <w:rStyle w:val="l-endring"/>
        </w:rPr>
        <w:t xml:space="preserve"> å </w:t>
      </w:r>
      <w:proofErr w:type="spellStart"/>
      <w:r w:rsidRPr="00E426D3">
        <w:rPr>
          <w:rStyle w:val="l-endring"/>
        </w:rPr>
        <w:t>fastsetje</w:t>
      </w:r>
      <w:proofErr w:type="spellEnd"/>
      <w:r w:rsidRPr="00E426D3">
        <w:rPr>
          <w:rStyle w:val="l-endring"/>
        </w:rPr>
        <w:t xml:space="preserve"> </w:t>
      </w:r>
      <w:proofErr w:type="spellStart"/>
      <w:r w:rsidRPr="00E426D3">
        <w:rPr>
          <w:rStyle w:val="l-endring"/>
        </w:rPr>
        <w:t>verdet</w:t>
      </w:r>
      <w:proofErr w:type="spellEnd"/>
      <w:r w:rsidRPr="00E426D3">
        <w:rPr>
          <w:rStyle w:val="l-endring"/>
        </w:rPr>
        <w:t xml:space="preserve"> etter regelen i første ledd første punktum.</w:t>
      </w:r>
    </w:p>
    <w:p w14:paraId="65DD8B74" w14:textId="77777777" w:rsidR="00772748" w:rsidRPr="00E426D3" w:rsidRDefault="00772748" w:rsidP="00E426D3">
      <w:pPr>
        <w:pStyle w:val="l-ledd"/>
        <w:rPr>
          <w:rStyle w:val="l-endring"/>
        </w:rPr>
      </w:pPr>
      <w:r w:rsidRPr="00E426D3">
        <w:rPr>
          <w:rStyle w:val="l-endring"/>
        </w:rPr>
        <w:t>(3) </w:t>
      </w:r>
      <w:proofErr w:type="spellStart"/>
      <w:r w:rsidRPr="00E426D3">
        <w:rPr>
          <w:rStyle w:val="l-endring"/>
        </w:rPr>
        <w:t>Verdet</w:t>
      </w:r>
      <w:proofErr w:type="spellEnd"/>
      <w:r w:rsidRPr="00E426D3">
        <w:rPr>
          <w:rStyle w:val="l-endring"/>
        </w:rPr>
        <w:t xml:space="preserve"> av vindkraftverk, kraftnettet og anlegg omfatta av </w:t>
      </w:r>
      <w:proofErr w:type="spellStart"/>
      <w:r w:rsidRPr="00E426D3">
        <w:rPr>
          <w:rStyle w:val="l-endring"/>
        </w:rPr>
        <w:t>særskattereglane</w:t>
      </w:r>
      <w:proofErr w:type="spellEnd"/>
      <w:r w:rsidRPr="00E426D3">
        <w:rPr>
          <w:rStyle w:val="l-endring"/>
        </w:rPr>
        <w:t xml:space="preserve"> for petroleum skal </w:t>
      </w:r>
      <w:proofErr w:type="spellStart"/>
      <w:r w:rsidRPr="00E426D3">
        <w:rPr>
          <w:rStyle w:val="l-endring"/>
        </w:rPr>
        <w:t>setjast</w:t>
      </w:r>
      <w:proofErr w:type="spellEnd"/>
      <w:r w:rsidRPr="00E426D3">
        <w:rPr>
          <w:rStyle w:val="l-endring"/>
        </w:rPr>
        <w:t xml:space="preserve"> til teknisk verd, eller </w:t>
      </w:r>
      <w:proofErr w:type="spellStart"/>
      <w:r w:rsidRPr="00E426D3">
        <w:rPr>
          <w:rStyle w:val="l-endring"/>
        </w:rPr>
        <w:t>avkastningsverd</w:t>
      </w:r>
      <w:proofErr w:type="spellEnd"/>
      <w:r w:rsidRPr="00E426D3">
        <w:rPr>
          <w:rStyle w:val="l-endring"/>
        </w:rPr>
        <w:t xml:space="preserve"> når det gjev best uttrykk for </w:t>
      </w:r>
      <w:proofErr w:type="spellStart"/>
      <w:r w:rsidRPr="00E426D3">
        <w:rPr>
          <w:rStyle w:val="l-endring"/>
        </w:rPr>
        <w:t>verdet</w:t>
      </w:r>
      <w:proofErr w:type="spellEnd"/>
      <w:r w:rsidRPr="00E426D3">
        <w:rPr>
          <w:rStyle w:val="l-endring"/>
        </w:rPr>
        <w:t>.</w:t>
      </w:r>
    </w:p>
    <w:p w14:paraId="7F3BCCF5" w14:textId="77777777" w:rsidR="00772748" w:rsidRPr="00E426D3" w:rsidRDefault="00772748" w:rsidP="00E426D3">
      <w:pPr>
        <w:pStyle w:val="l-ledd"/>
        <w:rPr>
          <w:rStyle w:val="l-endring"/>
        </w:rPr>
      </w:pPr>
      <w:r w:rsidRPr="00E426D3">
        <w:rPr>
          <w:rStyle w:val="l-endring"/>
        </w:rPr>
        <w:t xml:space="preserve">(4) Kommunestyret kan vedta at det skal </w:t>
      </w:r>
      <w:proofErr w:type="spellStart"/>
      <w:r w:rsidRPr="00E426D3">
        <w:rPr>
          <w:rStyle w:val="l-endring"/>
        </w:rPr>
        <w:t>gjerast</w:t>
      </w:r>
      <w:proofErr w:type="spellEnd"/>
      <w:r w:rsidRPr="00E426D3">
        <w:rPr>
          <w:rStyle w:val="l-endring"/>
        </w:rPr>
        <w:t xml:space="preserve"> </w:t>
      </w:r>
      <w:proofErr w:type="spellStart"/>
      <w:r w:rsidRPr="00E426D3">
        <w:rPr>
          <w:rStyle w:val="l-endring"/>
        </w:rPr>
        <w:t>frådrag</w:t>
      </w:r>
      <w:proofErr w:type="spellEnd"/>
      <w:r w:rsidRPr="00E426D3">
        <w:rPr>
          <w:rStyle w:val="l-endring"/>
        </w:rPr>
        <w:t xml:space="preserve"> i </w:t>
      </w:r>
      <w:proofErr w:type="spellStart"/>
      <w:r w:rsidRPr="00E426D3">
        <w:rPr>
          <w:rStyle w:val="l-endring"/>
        </w:rPr>
        <w:t>takstane</w:t>
      </w:r>
      <w:proofErr w:type="spellEnd"/>
      <w:r w:rsidRPr="00E426D3">
        <w:rPr>
          <w:rStyle w:val="l-endring"/>
        </w:rPr>
        <w:t xml:space="preserve"> for </w:t>
      </w:r>
      <w:proofErr w:type="spellStart"/>
      <w:r w:rsidRPr="00E426D3">
        <w:rPr>
          <w:rStyle w:val="l-endring"/>
        </w:rPr>
        <w:t>ein</w:t>
      </w:r>
      <w:proofErr w:type="spellEnd"/>
      <w:r w:rsidRPr="00E426D3">
        <w:rPr>
          <w:rStyle w:val="l-endring"/>
        </w:rPr>
        <w:t xml:space="preserve"> lokal reduksjonsfaktor, med likt prosentvis </w:t>
      </w:r>
      <w:proofErr w:type="spellStart"/>
      <w:r w:rsidRPr="00E426D3">
        <w:rPr>
          <w:rStyle w:val="l-endring"/>
        </w:rPr>
        <w:t>frådrag</w:t>
      </w:r>
      <w:proofErr w:type="spellEnd"/>
      <w:r w:rsidRPr="00E426D3">
        <w:rPr>
          <w:rStyle w:val="l-endring"/>
        </w:rPr>
        <w:t xml:space="preserve"> for alle </w:t>
      </w:r>
      <w:proofErr w:type="spellStart"/>
      <w:r w:rsidRPr="00E426D3">
        <w:rPr>
          <w:rStyle w:val="l-endring"/>
        </w:rPr>
        <w:t>typar</w:t>
      </w:r>
      <w:proofErr w:type="spellEnd"/>
      <w:r w:rsidRPr="00E426D3">
        <w:rPr>
          <w:rStyle w:val="l-endring"/>
        </w:rPr>
        <w:t xml:space="preserve"> </w:t>
      </w:r>
      <w:proofErr w:type="spellStart"/>
      <w:r w:rsidRPr="00E426D3">
        <w:rPr>
          <w:rStyle w:val="l-endring"/>
        </w:rPr>
        <w:t>eigedom</w:t>
      </w:r>
      <w:proofErr w:type="spellEnd"/>
      <w:r w:rsidRPr="00E426D3">
        <w:rPr>
          <w:rStyle w:val="l-endring"/>
        </w:rPr>
        <w:t xml:space="preserve">. </w:t>
      </w:r>
      <w:proofErr w:type="spellStart"/>
      <w:r w:rsidRPr="00E426D3">
        <w:rPr>
          <w:rStyle w:val="l-endring"/>
        </w:rPr>
        <w:t>Frådraget</w:t>
      </w:r>
      <w:proofErr w:type="spellEnd"/>
      <w:r w:rsidRPr="00E426D3">
        <w:rPr>
          <w:rStyle w:val="l-endring"/>
        </w:rPr>
        <w:t xml:space="preserve"> vert vedtatt i samband med allmenn taksering og ligg fast i heile takstperioden. For </w:t>
      </w:r>
      <w:proofErr w:type="spellStart"/>
      <w:r w:rsidRPr="00E426D3">
        <w:rPr>
          <w:rStyle w:val="l-endring"/>
        </w:rPr>
        <w:t>bustader</w:t>
      </w:r>
      <w:proofErr w:type="spellEnd"/>
      <w:r w:rsidRPr="00E426D3">
        <w:rPr>
          <w:rStyle w:val="l-endring"/>
        </w:rPr>
        <w:t xml:space="preserve"> og </w:t>
      </w:r>
      <w:proofErr w:type="spellStart"/>
      <w:r w:rsidRPr="00E426D3">
        <w:rPr>
          <w:rStyle w:val="l-endring"/>
        </w:rPr>
        <w:t>fritidsbustader</w:t>
      </w:r>
      <w:proofErr w:type="spellEnd"/>
      <w:r w:rsidRPr="00E426D3">
        <w:rPr>
          <w:rStyle w:val="l-endring"/>
        </w:rPr>
        <w:t xml:space="preserve"> skal </w:t>
      </w:r>
      <w:proofErr w:type="spellStart"/>
      <w:r w:rsidRPr="00E426D3">
        <w:rPr>
          <w:rStyle w:val="l-endring"/>
        </w:rPr>
        <w:t>ein</w:t>
      </w:r>
      <w:proofErr w:type="spellEnd"/>
      <w:r w:rsidRPr="00E426D3">
        <w:rPr>
          <w:rStyle w:val="l-endring"/>
        </w:rPr>
        <w:t xml:space="preserve"> </w:t>
      </w:r>
      <w:proofErr w:type="spellStart"/>
      <w:r w:rsidRPr="00E426D3">
        <w:rPr>
          <w:rStyle w:val="l-endring"/>
        </w:rPr>
        <w:t>berre</w:t>
      </w:r>
      <w:proofErr w:type="spellEnd"/>
      <w:r w:rsidRPr="00E426D3">
        <w:rPr>
          <w:rStyle w:val="l-endring"/>
        </w:rPr>
        <w:t xml:space="preserve"> nytte lokal reduksjonsfaktor når denne er </w:t>
      </w:r>
      <w:proofErr w:type="spellStart"/>
      <w:r w:rsidRPr="00E426D3">
        <w:rPr>
          <w:rStyle w:val="l-endring"/>
        </w:rPr>
        <w:t>høgare</w:t>
      </w:r>
      <w:proofErr w:type="spellEnd"/>
      <w:r w:rsidRPr="00E426D3">
        <w:rPr>
          <w:rStyle w:val="l-endring"/>
        </w:rPr>
        <w:t xml:space="preserve"> enn </w:t>
      </w:r>
      <w:proofErr w:type="spellStart"/>
      <w:r w:rsidRPr="00E426D3">
        <w:rPr>
          <w:rStyle w:val="l-endring"/>
        </w:rPr>
        <w:t>frådraget</w:t>
      </w:r>
      <w:proofErr w:type="spellEnd"/>
      <w:r w:rsidRPr="00E426D3">
        <w:rPr>
          <w:rStyle w:val="l-endring"/>
        </w:rPr>
        <w:t xml:space="preserve"> i første ledd, og </w:t>
      </w:r>
      <w:proofErr w:type="spellStart"/>
      <w:r w:rsidRPr="00E426D3">
        <w:rPr>
          <w:rStyle w:val="l-endring"/>
        </w:rPr>
        <w:t>ikkje</w:t>
      </w:r>
      <w:proofErr w:type="spellEnd"/>
      <w:r w:rsidRPr="00E426D3">
        <w:rPr>
          <w:rStyle w:val="l-endring"/>
        </w:rPr>
        <w:t xml:space="preserve"> i tillegg til dette.</w:t>
      </w:r>
    </w:p>
    <w:p w14:paraId="3432E1D1" w14:textId="77777777" w:rsidR="00772748" w:rsidRPr="00E426D3" w:rsidRDefault="00772748" w:rsidP="00E426D3">
      <w:pPr>
        <w:pStyle w:val="l-tit-endr-ledd"/>
      </w:pPr>
      <w:r w:rsidRPr="00E426D3">
        <w:t>§ 8 C-1 tredje ledd skal lyde:</w:t>
      </w:r>
    </w:p>
    <w:p w14:paraId="1F0DF0DC" w14:textId="77777777" w:rsidR="00772748" w:rsidRPr="00E426D3" w:rsidRDefault="00772748" w:rsidP="00E426D3">
      <w:pPr>
        <w:pStyle w:val="l-ledd"/>
      </w:pPr>
      <w:r w:rsidRPr="00E426D3">
        <w:t>(3) </w:t>
      </w:r>
      <w:proofErr w:type="spellStart"/>
      <w:r w:rsidRPr="00E426D3">
        <w:rPr>
          <w:rStyle w:val="l-endring"/>
        </w:rPr>
        <w:t>Nyttar</w:t>
      </w:r>
      <w:proofErr w:type="spellEnd"/>
      <w:r w:rsidRPr="00E426D3">
        <w:rPr>
          <w:rStyle w:val="l-endring"/>
        </w:rPr>
        <w:t xml:space="preserve"> kommunen lokal reduksjonsfaktor, gjeld same regelen som i § 8 A-2 fjerde ledd.</w:t>
      </w:r>
    </w:p>
    <w:p w14:paraId="74DDEAE8" w14:textId="77777777" w:rsidR="00772748" w:rsidRPr="00E426D3" w:rsidRDefault="00772748" w:rsidP="00E426D3">
      <w:pPr>
        <w:pStyle w:val="a-vedtak-del"/>
      </w:pPr>
      <w:r w:rsidRPr="00E426D3">
        <w:t>II</w:t>
      </w:r>
    </w:p>
    <w:p w14:paraId="0089AEF6" w14:textId="77777777" w:rsidR="00772748" w:rsidRPr="00E426D3" w:rsidRDefault="00772748" w:rsidP="00E426D3">
      <w:proofErr w:type="spellStart"/>
      <w:r w:rsidRPr="00E426D3">
        <w:t>Endringane</w:t>
      </w:r>
      <w:proofErr w:type="spellEnd"/>
      <w:r w:rsidRPr="00E426D3">
        <w:t xml:space="preserve"> under I tek til å gjelde straks med verknad </w:t>
      </w:r>
      <w:proofErr w:type="spellStart"/>
      <w:r w:rsidRPr="00E426D3">
        <w:t>frå</w:t>
      </w:r>
      <w:proofErr w:type="spellEnd"/>
      <w:r w:rsidRPr="00E426D3">
        <w:t xml:space="preserve"> og med skatteåret 2026.</w:t>
      </w:r>
    </w:p>
    <w:p w14:paraId="3D09BD67" w14:textId="77777777" w:rsidR="00772748" w:rsidRPr="00E426D3" w:rsidRDefault="00772748" w:rsidP="00E426D3"/>
    <w:p w14:paraId="39B3EE70" w14:textId="77777777" w:rsidR="00772748" w:rsidRPr="00E426D3" w:rsidRDefault="00772748" w:rsidP="00E426D3">
      <w:pPr>
        <w:pStyle w:val="a-vedtak-tit"/>
      </w:pPr>
      <w:r w:rsidRPr="00E426D3">
        <w:lastRenderedPageBreak/>
        <w:t>Forslag</w:t>
      </w:r>
    </w:p>
    <w:p w14:paraId="46CF11B5" w14:textId="77777777" w:rsidR="00772748" w:rsidRPr="00E426D3" w:rsidRDefault="00772748" w:rsidP="00E426D3">
      <w:pPr>
        <w:pStyle w:val="a-vedtak-tit"/>
      </w:pPr>
      <w:r w:rsidRPr="00E426D3">
        <w:t>til lov om endring i folketrygdloven</w:t>
      </w:r>
    </w:p>
    <w:p w14:paraId="10E7307D" w14:textId="77777777" w:rsidR="00772748" w:rsidRPr="00E426D3" w:rsidRDefault="00772748" w:rsidP="00E426D3">
      <w:pPr>
        <w:pStyle w:val="a-vedtak-del"/>
      </w:pPr>
      <w:r w:rsidRPr="00E426D3">
        <w:t>I</w:t>
      </w:r>
    </w:p>
    <w:p w14:paraId="103BD5D3" w14:textId="77777777" w:rsidR="00772748" w:rsidRPr="00E426D3" w:rsidRDefault="00772748" w:rsidP="00E426D3">
      <w:pPr>
        <w:pStyle w:val="l-tit-endr-lov"/>
      </w:pPr>
      <w:r w:rsidRPr="00E426D3">
        <w:t>I lov 28. februar 1997 nr. 19 om folketrygd vert det gjort følgjande endring:</w:t>
      </w:r>
    </w:p>
    <w:p w14:paraId="6286ABC9" w14:textId="77777777" w:rsidR="00772748" w:rsidRPr="00E426D3" w:rsidRDefault="00772748" w:rsidP="00E426D3">
      <w:pPr>
        <w:pStyle w:val="l-tit-endr-paragraf"/>
      </w:pPr>
      <w:r w:rsidRPr="00E426D3">
        <w:t>§ 23-3 andre ledd nr. 2 bokstav b skal lyde:</w:t>
      </w:r>
    </w:p>
    <w:p w14:paraId="63791755" w14:textId="77777777" w:rsidR="00772748" w:rsidRPr="00E426D3" w:rsidRDefault="00772748" w:rsidP="00E426D3">
      <w:pPr>
        <w:pStyle w:val="friliste"/>
      </w:pPr>
      <w:r w:rsidRPr="00E426D3">
        <w:t>b.</w:t>
      </w:r>
      <w:r w:rsidRPr="00E426D3">
        <w:tab/>
        <w:t xml:space="preserve">arbeidsavklaringspenger etter folketrygdloven kapittel 11, </w:t>
      </w:r>
      <w:r w:rsidRPr="00E426D3">
        <w:rPr>
          <w:rStyle w:val="kursiv"/>
        </w:rPr>
        <w:t>ungdomsprogramytelse</w:t>
      </w:r>
      <w:r w:rsidRPr="00E426D3">
        <w:t>, uføretrygd etter kapittel 12 og uføreytelser fra andre ordninger,</w:t>
      </w:r>
    </w:p>
    <w:p w14:paraId="37810580" w14:textId="77777777" w:rsidR="00772748" w:rsidRPr="00E426D3" w:rsidRDefault="00772748" w:rsidP="00E426D3">
      <w:pPr>
        <w:pStyle w:val="a-vedtak-del"/>
      </w:pPr>
      <w:r w:rsidRPr="00E426D3">
        <w:t>II</w:t>
      </w:r>
    </w:p>
    <w:p w14:paraId="6BBCCF5F" w14:textId="77777777" w:rsidR="00772748" w:rsidRPr="00E426D3" w:rsidRDefault="00772748" w:rsidP="00E426D3">
      <w:r w:rsidRPr="00E426D3">
        <w:t xml:space="preserve">Endringa tek til å gjelde straks med verknad </w:t>
      </w:r>
      <w:proofErr w:type="spellStart"/>
      <w:r w:rsidRPr="00E426D3">
        <w:t>frå</w:t>
      </w:r>
      <w:proofErr w:type="spellEnd"/>
      <w:r w:rsidRPr="00E426D3">
        <w:t xml:space="preserve"> og med inntektsåret 2025.</w:t>
      </w:r>
    </w:p>
    <w:p w14:paraId="456C617A" w14:textId="77777777" w:rsidR="00772748" w:rsidRPr="00E426D3" w:rsidRDefault="00772748" w:rsidP="00E426D3"/>
    <w:p w14:paraId="69E469CC" w14:textId="77777777" w:rsidR="00772748" w:rsidRPr="00E426D3" w:rsidRDefault="00772748" w:rsidP="00E426D3">
      <w:pPr>
        <w:pStyle w:val="a-vedtak-tit"/>
      </w:pPr>
      <w:r w:rsidRPr="00E426D3">
        <w:t>Forslag</w:t>
      </w:r>
    </w:p>
    <w:p w14:paraId="7ABBA733" w14:textId="77777777" w:rsidR="00772748" w:rsidRPr="00E426D3" w:rsidRDefault="00772748" w:rsidP="00E426D3">
      <w:pPr>
        <w:pStyle w:val="a-vedtak-tit"/>
      </w:pPr>
      <w:r w:rsidRPr="00E426D3">
        <w:t>til lov om endring i helseforetaksloven</w:t>
      </w:r>
    </w:p>
    <w:p w14:paraId="0C0A458B" w14:textId="77777777" w:rsidR="00772748" w:rsidRPr="00E426D3" w:rsidRDefault="00772748" w:rsidP="00E426D3">
      <w:pPr>
        <w:pStyle w:val="a-vedtak-del"/>
      </w:pPr>
      <w:r w:rsidRPr="00E426D3">
        <w:t>I</w:t>
      </w:r>
    </w:p>
    <w:p w14:paraId="011A9C46" w14:textId="77777777" w:rsidR="00772748" w:rsidRPr="00E426D3" w:rsidRDefault="00772748" w:rsidP="00E426D3">
      <w:pPr>
        <w:pStyle w:val="l-tit-endr-lov"/>
      </w:pPr>
      <w:r w:rsidRPr="00E426D3">
        <w:t>I lov 15. juni 2001 nr. 93 om helseforetak m.m. vert det gjort følgjande endring:</w:t>
      </w:r>
    </w:p>
    <w:p w14:paraId="74E9D470" w14:textId="77777777" w:rsidR="00772748" w:rsidRPr="00E426D3" w:rsidRDefault="00772748" w:rsidP="00E426D3">
      <w:pPr>
        <w:pStyle w:val="l-tit-endr-ledd"/>
      </w:pPr>
      <w:r w:rsidRPr="00E426D3">
        <w:t>§ 43 fyrste ledd skal lyde:</w:t>
      </w:r>
    </w:p>
    <w:p w14:paraId="4987B091" w14:textId="77777777" w:rsidR="00772748" w:rsidRPr="00E426D3" w:rsidRDefault="00772748" w:rsidP="00E426D3">
      <w:pPr>
        <w:pStyle w:val="l-ledd"/>
      </w:pPr>
      <w:r w:rsidRPr="00E426D3">
        <w:t xml:space="preserve">Regnskapslovens bestemmelser gjelder for foretak. </w:t>
      </w:r>
      <w:r w:rsidRPr="00E426D3">
        <w:rPr>
          <w:rStyle w:val="l-endring"/>
        </w:rPr>
        <w:t>Departementet kan i forskrift utfylle eller fravike bestemmelser i regnskapsloven om regnskapsføring av pensjonsforhold.</w:t>
      </w:r>
    </w:p>
    <w:p w14:paraId="758D94FF" w14:textId="77777777" w:rsidR="00772748" w:rsidRPr="00E426D3" w:rsidRDefault="00772748" w:rsidP="00E426D3">
      <w:pPr>
        <w:pStyle w:val="a-vedtak-del"/>
      </w:pPr>
      <w:r w:rsidRPr="00E426D3">
        <w:t>II</w:t>
      </w:r>
    </w:p>
    <w:p w14:paraId="5399F12C" w14:textId="77777777" w:rsidR="00772748" w:rsidRPr="00E426D3" w:rsidRDefault="00772748" w:rsidP="00E426D3">
      <w:r w:rsidRPr="00E426D3">
        <w:t>Endringa under I tek til å gjelde straks.</w:t>
      </w:r>
    </w:p>
    <w:p w14:paraId="53C60C9C" w14:textId="77777777" w:rsidR="00772748" w:rsidRPr="00E426D3" w:rsidRDefault="00772748" w:rsidP="00E426D3"/>
    <w:p w14:paraId="6FDE9E87" w14:textId="77777777" w:rsidR="00772748" w:rsidRPr="00E426D3" w:rsidRDefault="00772748" w:rsidP="00E426D3">
      <w:pPr>
        <w:pStyle w:val="a-vedtak-tit"/>
      </w:pPr>
      <w:r w:rsidRPr="00E426D3">
        <w:t>B – Forslag til stortingsvedtak</w:t>
      </w:r>
    </w:p>
    <w:p w14:paraId="4A74836C" w14:textId="77777777" w:rsidR="00772748" w:rsidRPr="00E426D3" w:rsidRDefault="00772748" w:rsidP="00E426D3">
      <w:pPr>
        <w:pStyle w:val="a-vedtak-tit"/>
      </w:pPr>
      <w:r w:rsidRPr="00E426D3">
        <w:t xml:space="preserve">Forslag </w:t>
      </w:r>
      <w:r w:rsidRPr="00E426D3">
        <w:br/>
        <w:t xml:space="preserve">til vedtak om </w:t>
      </w:r>
      <w:proofErr w:type="spellStart"/>
      <w:r w:rsidRPr="00E426D3">
        <w:t>endringar</w:t>
      </w:r>
      <w:proofErr w:type="spellEnd"/>
      <w:r w:rsidRPr="00E426D3">
        <w:br/>
        <w:t>i stortingsvedtak om avgift på elektrisk kraft</w:t>
      </w:r>
    </w:p>
    <w:p w14:paraId="72E2B31A" w14:textId="77777777" w:rsidR="00772748" w:rsidRPr="00E426D3" w:rsidRDefault="00772748" w:rsidP="00E426D3">
      <w:pPr>
        <w:pStyle w:val="a-vedtak-del"/>
      </w:pPr>
      <w:r w:rsidRPr="00E426D3">
        <w:t>I</w:t>
      </w:r>
    </w:p>
    <w:p w14:paraId="7DFDE9B9" w14:textId="77777777" w:rsidR="00772748" w:rsidRPr="00E426D3" w:rsidRDefault="00772748" w:rsidP="00E426D3">
      <w:pPr>
        <w:pStyle w:val="l-tit-endr-lov"/>
      </w:pPr>
      <w:r w:rsidRPr="00E426D3">
        <w:t>I stortingsvedtak 13. desember 2024 nr. 3216 om avgift på elektrisk kraft for 2025 vert det gjort følgjande endringar i romartal I:</w:t>
      </w:r>
    </w:p>
    <w:p w14:paraId="10FC5306" w14:textId="77777777" w:rsidR="00772748" w:rsidRPr="00E426D3" w:rsidRDefault="00772748" w:rsidP="00E426D3">
      <w:pPr>
        <w:pStyle w:val="l-tit-endr-ledd"/>
      </w:pPr>
      <w:r w:rsidRPr="00E426D3">
        <w:t>§ 1 fyrste ledd skal lyde:</w:t>
      </w:r>
    </w:p>
    <w:p w14:paraId="3B09C78D" w14:textId="77777777" w:rsidR="00772748" w:rsidRPr="00E426D3" w:rsidRDefault="00772748" w:rsidP="00E426D3">
      <w:pPr>
        <w:pStyle w:val="l-ledd"/>
      </w:pPr>
      <w:r w:rsidRPr="00E426D3">
        <w:rPr>
          <w:rStyle w:val="l-endring"/>
        </w:rPr>
        <w:t xml:space="preserve">Fra 1. juli 2025 </w:t>
      </w:r>
      <w:r w:rsidRPr="00E426D3">
        <w:t xml:space="preserve">skal det i henhold til lov 19. mai 1933 nr. 11 om særavgifter betales avgift til statskassen </w:t>
      </w:r>
      <w:r w:rsidRPr="00E426D3">
        <w:rPr>
          <w:rStyle w:val="l-endring"/>
        </w:rPr>
        <w:t>med 12,53</w:t>
      </w:r>
      <w:r w:rsidRPr="00E426D3">
        <w:t xml:space="preserve"> </w:t>
      </w:r>
      <w:r w:rsidRPr="00E426D3">
        <w:rPr>
          <w:rStyle w:val="l-endring"/>
        </w:rPr>
        <w:t>øre</w:t>
      </w:r>
      <w:r w:rsidRPr="00E426D3">
        <w:t xml:space="preserve"> per kWh på elektrisk kraft som leveres her i landet.</w:t>
      </w:r>
    </w:p>
    <w:p w14:paraId="013932CF" w14:textId="77777777" w:rsidR="00772748" w:rsidRPr="00E426D3" w:rsidRDefault="00772748" w:rsidP="00E426D3">
      <w:pPr>
        <w:pStyle w:val="a-vedtak-del"/>
      </w:pPr>
      <w:r w:rsidRPr="00E426D3">
        <w:lastRenderedPageBreak/>
        <w:t>II</w:t>
      </w:r>
    </w:p>
    <w:p w14:paraId="0A5EE6BA" w14:textId="77777777" w:rsidR="00772748" w:rsidRPr="00E426D3" w:rsidRDefault="00772748" w:rsidP="00E426D3">
      <w:pPr>
        <w:pStyle w:val="l-tit-endr-lov"/>
      </w:pPr>
      <w:r w:rsidRPr="00E426D3">
        <w:t>I stortingsvedtak 13. desember 2024 nr. 3216 om avgift på elektrisk kraft for 2025 vert det gjort følgjande endringar i romartal I:</w:t>
      </w:r>
    </w:p>
    <w:p w14:paraId="75C61189" w14:textId="77777777" w:rsidR="00772748" w:rsidRPr="00E426D3" w:rsidRDefault="00772748" w:rsidP="00E426D3">
      <w:pPr>
        <w:pStyle w:val="l-tit-endr-paragraf"/>
      </w:pPr>
      <w:r w:rsidRPr="00E426D3">
        <w:t>§ 2 første ledd bokstav f og ny bokstav g skal lyde:</w:t>
      </w:r>
    </w:p>
    <w:p w14:paraId="4A9BA14E" w14:textId="77777777" w:rsidR="00772748" w:rsidRPr="00E426D3" w:rsidRDefault="00772748" w:rsidP="00E426D3">
      <w:pPr>
        <w:pStyle w:val="friliste"/>
      </w:pPr>
      <w:r w:rsidRPr="00E426D3">
        <w:t>f.</w:t>
      </w:r>
      <w:r w:rsidRPr="00E426D3">
        <w:tab/>
        <w:t xml:space="preserve">fornybare energikilder, og som brukes på </w:t>
      </w:r>
      <w:r w:rsidRPr="00E426D3">
        <w:rPr>
          <w:rStyle w:val="kursiv"/>
        </w:rPr>
        <w:t>eiendommen hvor den er produsert,</w:t>
      </w:r>
    </w:p>
    <w:p w14:paraId="4F87F830" w14:textId="77777777" w:rsidR="00772748" w:rsidRPr="00E426D3" w:rsidRDefault="00772748" w:rsidP="00E426D3">
      <w:pPr>
        <w:pStyle w:val="friliste"/>
      </w:pPr>
      <w:r w:rsidRPr="00E426D3">
        <w:t>g.</w:t>
      </w:r>
      <w:r w:rsidRPr="00E426D3">
        <w:tab/>
      </w:r>
      <w:r w:rsidRPr="00E426D3">
        <w:rPr>
          <w:rStyle w:val="kursiv"/>
        </w:rPr>
        <w:t>fornybare energikilder, og som brukes på næringsområdet hvor den er produsert.</w:t>
      </w:r>
    </w:p>
    <w:p w14:paraId="2E4934E3" w14:textId="77777777" w:rsidR="00772748" w:rsidRPr="00E426D3" w:rsidRDefault="00772748" w:rsidP="00E426D3">
      <w:pPr>
        <w:pStyle w:val="a-vedtak-del"/>
      </w:pPr>
      <w:r w:rsidRPr="00E426D3">
        <w:t>III</w:t>
      </w:r>
    </w:p>
    <w:p w14:paraId="497EAE13" w14:textId="77777777" w:rsidR="00772748" w:rsidRPr="00E426D3" w:rsidRDefault="00772748" w:rsidP="00E426D3">
      <w:r w:rsidRPr="00E426D3">
        <w:t xml:space="preserve">Endringa under I tek til å gjelde </w:t>
      </w:r>
      <w:proofErr w:type="spellStart"/>
      <w:r w:rsidRPr="00E426D3">
        <w:t>frå</w:t>
      </w:r>
      <w:proofErr w:type="spellEnd"/>
      <w:r w:rsidRPr="00E426D3">
        <w:t xml:space="preserve"> 1. juli 2025.</w:t>
      </w:r>
    </w:p>
    <w:p w14:paraId="1BE8DEEE" w14:textId="77777777" w:rsidR="00772748" w:rsidRPr="00E426D3" w:rsidRDefault="00772748" w:rsidP="00E426D3">
      <w:r w:rsidRPr="00E426D3">
        <w:t xml:space="preserve">Endringa under II tek til å gjelde </w:t>
      </w:r>
      <w:proofErr w:type="spellStart"/>
      <w:r w:rsidRPr="00E426D3">
        <w:t>frå</w:t>
      </w:r>
      <w:proofErr w:type="spellEnd"/>
      <w:r w:rsidRPr="00E426D3">
        <w:t xml:space="preserve"> den tid departementet </w:t>
      </w:r>
      <w:proofErr w:type="spellStart"/>
      <w:r w:rsidRPr="00E426D3">
        <w:t>avgjer</w:t>
      </w:r>
      <w:proofErr w:type="spellEnd"/>
      <w:r w:rsidRPr="00E426D3">
        <w:t>.</w:t>
      </w:r>
    </w:p>
    <w:p w14:paraId="4FBD03A3" w14:textId="77777777" w:rsidR="00772748" w:rsidRPr="00E426D3" w:rsidRDefault="00772748" w:rsidP="00E426D3"/>
    <w:sectPr w:rsidR="00772748" w:rsidRPr="00E426D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50F7" w14:textId="77777777" w:rsidR="00772748" w:rsidRDefault="00772748">
      <w:pPr>
        <w:spacing w:after="0" w:line="240" w:lineRule="auto"/>
      </w:pPr>
      <w:r>
        <w:separator/>
      </w:r>
    </w:p>
  </w:endnote>
  <w:endnote w:type="continuationSeparator" w:id="0">
    <w:p w14:paraId="45B6E8A0" w14:textId="77777777" w:rsidR="00772748" w:rsidRDefault="0077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18A9" w14:textId="77777777" w:rsidR="00772748" w:rsidRDefault="00772748">
      <w:pPr>
        <w:spacing w:after="0" w:line="240" w:lineRule="auto"/>
      </w:pPr>
      <w:r>
        <w:separator/>
      </w:r>
    </w:p>
  </w:footnote>
  <w:footnote w:type="continuationSeparator" w:id="0">
    <w:p w14:paraId="374C44EC" w14:textId="77777777" w:rsidR="00772748" w:rsidRDefault="00772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A0564"/>
    <w:rsid w:val="00633D1E"/>
    <w:rsid w:val="0076254B"/>
    <w:rsid w:val="00772748"/>
    <w:rsid w:val="007B1464"/>
    <w:rsid w:val="00866C92"/>
    <w:rsid w:val="008A0564"/>
    <w:rsid w:val="00943D1F"/>
    <w:rsid w:val="00E426D3"/>
    <w:rsid w:val="00EF6026"/>
    <w:rsid w:val="00F913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5AE42C"/>
  <w14:defaultImageDpi w14:val="0"/>
  <w15:docId w15:val="{720E1B00-5B3D-4552-8180-D05DBD94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913CA"/>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F913C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913C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913C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913C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913C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913C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913C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913C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913C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913C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913CA"/>
  </w:style>
  <w:style w:type="character" w:customStyle="1" w:styleId="Overskrift1Tegn">
    <w:name w:val="Overskrift 1 Tegn"/>
    <w:basedOn w:val="Standardskriftforavsnitt"/>
    <w:link w:val="Overskrift1"/>
    <w:rsid w:val="00F913CA"/>
    <w:rPr>
      <w:rFonts w:ascii="Arial" w:eastAsia="Times New Roman" w:hAnsi="Arial"/>
      <w:b/>
      <w:kern w:val="28"/>
      <w:sz w:val="32"/>
      <w:szCs w:val="22"/>
      <w14:ligatures w14:val="none"/>
    </w:rPr>
  </w:style>
  <w:style w:type="character" w:customStyle="1" w:styleId="Overskrift2Tegn">
    <w:name w:val="Overskrift 2 Tegn"/>
    <w:basedOn w:val="Standardskriftforavsnitt"/>
    <w:link w:val="Overskrift2"/>
    <w:rsid w:val="00F913CA"/>
    <w:rPr>
      <w:rFonts w:ascii="Arial" w:eastAsia="Times New Roman" w:hAnsi="Arial"/>
      <w:b/>
      <w:spacing w:val="4"/>
      <w:kern w:val="0"/>
      <w:sz w:val="28"/>
      <w:szCs w:val="22"/>
      <w14:ligatures w14:val="none"/>
    </w:rPr>
  </w:style>
  <w:style w:type="character" w:customStyle="1" w:styleId="Overskrift3Tegn">
    <w:name w:val="Overskrift 3 Tegn"/>
    <w:basedOn w:val="Standardskriftforavsnitt"/>
    <w:link w:val="Overskrift3"/>
    <w:rsid w:val="00F913CA"/>
    <w:rPr>
      <w:rFonts w:ascii="Arial" w:eastAsia="Times New Roman" w:hAnsi="Arial"/>
      <w:b/>
      <w:kern w:val="0"/>
      <w:szCs w:val="22"/>
      <w14:ligatures w14:val="none"/>
    </w:rPr>
  </w:style>
  <w:style w:type="character" w:customStyle="1" w:styleId="Overskrift4Tegn">
    <w:name w:val="Overskrift 4 Tegn"/>
    <w:basedOn w:val="Standardskriftforavsnitt"/>
    <w:link w:val="Overskrift4"/>
    <w:rsid w:val="00F913CA"/>
    <w:rPr>
      <w:rFonts w:ascii="Arial" w:eastAsia="Times New Roman" w:hAnsi="Arial"/>
      <w:i/>
      <w:spacing w:val="4"/>
      <w:kern w:val="0"/>
      <w:szCs w:val="22"/>
      <w14:ligatures w14:val="none"/>
    </w:rPr>
  </w:style>
  <w:style w:type="character" w:customStyle="1" w:styleId="Overskrift5Tegn">
    <w:name w:val="Overskrift 5 Tegn"/>
    <w:basedOn w:val="Standardskriftforavsnitt"/>
    <w:link w:val="Overskrift5"/>
    <w:rsid w:val="00F913CA"/>
    <w:rPr>
      <w:rFonts w:ascii="Arial" w:eastAsia="Times New Roman" w:hAnsi="Arial"/>
      <w:i/>
      <w:kern w:val="0"/>
      <w:szCs w:val="22"/>
      <w14:ligatures w14:val="none"/>
    </w:rPr>
  </w:style>
  <w:style w:type="character" w:customStyle="1" w:styleId="Overskrift6Tegn">
    <w:name w:val="Overskrift 6 Tegn"/>
    <w:basedOn w:val="Standardskriftforavsnitt"/>
    <w:link w:val="Overskrift6"/>
    <w:rsid w:val="00F913CA"/>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F913CA"/>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F913CA"/>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F913CA"/>
    <w:rPr>
      <w:rFonts w:ascii="Arial" w:eastAsia="Times New Roman" w:hAnsi="Arial"/>
      <w:i/>
      <w:spacing w:val="4"/>
      <w:kern w:val="0"/>
      <w:sz w:val="18"/>
      <w:szCs w:val="22"/>
      <w14:ligatures w14:val="none"/>
    </w:rPr>
  </w:style>
  <w:style w:type="paragraph" w:styleId="Liste">
    <w:name w:val="List"/>
    <w:basedOn w:val="Normal"/>
    <w:rsid w:val="00F913CA"/>
    <w:pPr>
      <w:numPr>
        <w:numId w:val="6"/>
      </w:numPr>
      <w:spacing w:line="240" w:lineRule="auto"/>
      <w:contextualSpacing/>
    </w:pPr>
  </w:style>
  <w:style w:type="paragraph" w:styleId="Liste2">
    <w:name w:val="List 2"/>
    <w:basedOn w:val="Normal"/>
    <w:rsid w:val="00F913CA"/>
    <w:pPr>
      <w:numPr>
        <w:ilvl w:val="1"/>
        <w:numId w:val="6"/>
      </w:numPr>
      <w:spacing w:after="0"/>
    </w:pPr>
  </w:style>
  <w:style w:type="paragraph" w:styleId="Bunntekst">
    <w:name w:val="footer"/>
    <w:basedOn w:val="Normal"/>
    <w:link w:val="BunntekstTegn"/>
    <w:rsid w:val="00F913CA"/>
    <w:pPr>
      <w:tabs>
        <w:tab w:val="center" w:pos="4153"/>
        <w:tab w:val="right" w:pos="8306"/>
      </w:tabs>
    </w:pPr>
    <w:rPr>
      <w:sz w:val="20"/>
    </w:rPr>
  </w:style>
  <w:style w:type="character" w:customStyle="1" w:styleId="BunntekstTegn">
    <w:name w:val="Bunntekst Tegn"/>
    <w:basedOn w:val="Standardskriftforavsnitt"/>
    <w:link w:val="Bunntekst"/>
    <w:rsid w:val="00F913CA"/>
    <w:rPr>
      <w:rFonts w:ascii="Times New Roman" w:eastAsia="Times New Roman" w:hAnsi="Times New Roman"/>
      <w:spacing w:val="4"/>
      <w:kern w:val="0"/>
      <w:sz w:val="20"/>
      <w:szCs w:val="22"/>
      <w14:ligatures w14:val="none"/>
    </w:rPr>
  </w:style>
  <w:style w:type="paragraph" w:styleId="Fotnotetekst">
    <w:name w:val="footnote text"/>
    <w:basedOn w:val="Normal"/>
    <w:link w:val="FotnotetekstTegn"/>
    <w:rsid w:val="00F913CA"/>
    <w:rPr>
      <w:sz w:val="20"/>
    </w:rPr>
  </w:style>
  <w:style w:type="character" w:customStyle="1" w:styleId="FotnotetekstTegn">
    <w:name w:val="Fotnotetekst Tegn"/>
    <w:basedOn w:val="Standardskriftforavsnitt"/>
    <w:link w:val="Fotnotetekst"/>
    <w:rsid w:val="00F913CA"/>
    <w:rPr>
      <w:rFonts w:ascii="Times New Roman" w:eastAsia="Times New Roman" w:hAnsi="Times New Roman"/>
      <w:spacing w:val="4"/>
      <w:kern w:val="0"/>
      <w:sz w:val="20"/>
      <w:szCs w:val="22"/>
      <w14:ligatures w14:val="none"/>
    </w:rPr>
  </w:style>
  <w:style w:type="paragraph" w:styleId="INNH1">
    <w:name w:val="toc 1"/>
    <w:basedOn w:val="Normal"/>
    <w:next w:val="Normal"/>
    <w:uiPriority w:val="39"/>
    <w:rsid w:val="00F913CA"/>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913CA"/>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913CA"/>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913CA"/>
    <w:pPr>
      <w:tabs>
        <w:tab w:val="right" w:leader="dot" w:pos="8306"/>
      </w:tabs>
      <w:ind w:left="600"/>
    </w:pPr>
    <w:rPr>
      <w:spacing w:val="0"/>
    </w:rPr>
  </w:style>
  <w:style w:type="paragraph" w:styleId="INNH5">
    <w:name w:val="toc 5"/>
    <w:basedOn w:val="Normal"/>
    <w:next w:val="Normal"/>
    <w:rsid w:val="00F913CA"/>
    <w:pPr>
      <w:tabs>
        <w:tab w:val="right" w:leader="dot" w:pos="8306"/>
      </w:tabs>
      <w:ind w:left="800"/>
    </w:pPr>
    <w:rPr>
      <w:spacing w:val="0"/>
    </w:rPr>
  </w:style>
  <w:style w:type="paragraph" w:styleId="Liste3">
    <w:name w:val="List 3"/>
    <w:basedOn w:val="Normal"/>
    <w:rsid w:val="00F913CA"/>
    <w:pPr>
      <w:numPr>
        <w:ilvl w:val="2"/>
        <w:numId w:val="6"/>
      </w:numPr>
      <w:spacing w:after="0"/>
    </w:pPr>
    <w:rPr>
      <w:spacing w:val="0"/>
    </w:rPr>
  </w:style>
  <w:style w:type="paragraph" w:styleId="Liste4">
    <w:name w:val="List 4"/>
    <w:basedOn w:val="Normal"/>
    <w:rsid w:val="00F913CA"/>
    <w:pPr>
      <w:numPr>
        <w:ilvl w:val="3"/>
        <w:numId w:val="6"/>
      </w:numPr>
      <w:spacing w:after="0"/>
    </w:pPr>
    <w:rPr>
      <w:spacing w:val="0"/>
    </w:rPr>
  </w:style>
  <w:style w:type="paragraph" w:styleId="Liste5">
    <w:name w:val="List 5"/>
    <w:basedOn w:val="Normal"/>
    <w:rsid w:val="00F913CA"/>
    <w:pPr>
      <w:numPr>
        <w:ilvl w:val="4"/>
        <w:numId w:val="6"/>
      </w:numPr>
      <w:spacing w:after="0"/>
    </w:pPr>
    <w:rPr>
      <w:spacing w:val="0"/>
    </w:rPr>
  </w:style>
  <w:style w:type="paragraph" w:styleId="Merknadstekst">
    <w:name w:val="annotation text"/>
    <w:basedOn w:val="Normal"/>
    <w:link w:val="MerknadstekstTegn"/>
    <w:rsid w:val="00F913CA"/>
    <w:rPr>
      <w:spacing w:val="0"/>
      <w:sz w:val="20"/>
    </w:rPr>
  </w:style>
  <w:style w:type="character" w:customStyle="1" w:styleId="MerknadstekstTegn">
    <w:name w:val="Merknadstekst Tegn"/>
    <w:basedOn w:val="Standardskriftforavsnitt"/>
    <w:link w:val="Merknadstekst"/>
    <w:rsid w:val="00F913CA"/>
    <w:rPr>
      <w:rFonts w:ascii="Times New Roman" w:eastAsia="Times New Roman" w:hAnsi="Times New Roman"/>
      <w:kern w:val="0"/>
      <w:sz w:val="20"/>
      <w:szCs w:val="22"/>
      <w14:ligatures w14:val="none"/>
    </w:rPr>
  </w:style>
  <w:style w:type="paragraph" w:styleId="Nummerertliste">
    <w:name w:val="List Number"/>
    <w:basedOn w:val="Normal"/>
    <w:rsid w:val="00F913CA"/>
    <w:pPr>
      <w:numPr>
        <w:numId w:val="4"/>
      </w:numPr>
      <w:spacing w:after="0"/>
    </w:pPr>
    <w:rPr>
      <w:rFonts w:eastAsia="Batang"/>
      <w:spacing w:val="0"/>
      <w:szCs w:val="20"/>
    </w:rPr>
  </w:style>
  <w:style w:type="paragraph" w:styleId="Nummerertliste2">
    <w:name w:val="List Number 2"/>
    <w:basedOn w:val="Normal"/>
    <w:rsid w:val="00F913CA"/>
    <w:pPr>
      <w:numPr>
        <w:ilvl w:val="1"/>
        <w:numId w:val="4"/>
      </w:numPr>
      <w:spacing w:after="0" w:line="240" w:lineRule="auto"/>
    </w:pPr>
    <w:rPr>
      <w:rFonts w:eastAsia="Batang"/>
      <w:spacing w:val="0"/>
      <w:szCs w:val="20"/>
    </w:rPr>
  </w:style>
  <w:style w:type="paragraph" w:styleId="Nummerertliste3">
    <w:name w:val="List Number 3"/>
    <w:basedOn w:val="Normal"/>
    <w:rsid w:val="00F913CA"/>
    <w:pPr>
      <w:numPr>
        <w:ilvl w:val="2"/>
        <w:numId w:val="4"/>
      </w:numPr>
      <w:spacing w:after="0" w:line="240" w:lineRule="auto"/>
    </w:pPr>
    <w:rPr>
      <w:rFonts w:eastAsia="Batang"/>
      <w:spacing w:val="0"/>
      <w:szCs w:val="20"/>
    </w:rPr>
  </w:style>
  <w:style w:type="paragraph" w:styleId="Nummerertliste4">
    <w:name w:val="List Number 4"/>
    <w:basedOn w:val="Normal"/>
    <w:rsid w:val="00F913CA"/>
    <w:pPr>
      <w:numPr>
        <w:ilvl w:val="3"/>
        <w:numId w:val="4"/>
      </w:numPr>
      <w:spacing w:after="0" w:line="240" w:lineRule="auto"/>
    </w:pPr>
    <w:rPr>
      <w:rFonts w:eastAsia="Batang"/>
      <w:spacing w:val="0"/>
      <w:szCs w:val="20"/>
    </w:rPr>
  </w:style>
  <w:style w:type="paragraph" w:styleId="Nummerertliste5">
    <w:name w:val="List Number 5"/>
    <w:basedOn w:val="Normal"/>
    <w:rsid w:val="00F913CA"/>
    <w:pPr>
      <w:numPr>
        <w:ilvl w:val="4"/>
        <w:numId w:val="4"/>
      </w:numPr>
      <w:spacing w:after="0" w:line="240" w:lineRule="auto"/>
    </w:pPr>
    <w:rPr>
      <w:rFonts w:eastAsia="Batang"/>
      <w:spacing w:val="0"/>
      <w:szCs w:val="20"/>
    </w:rPr>
  </w:style>
  <w:style w:type="paragraph" w:styleId="Punktliste">
    <w:name w:val="List Bullet"/>
    <w:basedOn w:val="Normal"/>
    <w:rsid w:val="00F913CA"/>
    <w:pPr>
      <w:spacing w:after="0"/>
      <w:ind w:left="284" w:hanging="284"/>
    </w:pPr>
  </w:style>
  <w:style w:type="paragraph" w:styleId="Punktliste2">
    <w:name w:val="List Bullet 2"/>
    <w:basedOn w:val="Normal"/>
    <w:rsid w:val="00F913CA"/>
    <w:pPr>
      <w:spacing w:after="0"/>
      <w:ind w:left="568" w:hanging="284"/>
    </w:pPr>
  </w:style>
  <w:style w:type="paragraph" w:styleId="Punktliste3">
    <w:name w:val="List Bullet 3"/>
    <w:basedOn w:val="Normal"/>
    <w:rsid w:val="00F913CA"/>
    <w:pPr>
      <w:spacing w:after="0"/>
      <w:ind w:left="851" w:hanging="284"/>
    </w:pPr>
  </w:style>
  <w:style w:type="paragraph" w:styleId="Punktliste4">
    <w:name w:val="List Bullet 4"/>
    <w:basedOn w:val="Normal"/>
    <w:rsid w:val="00F913CA"/>
    <w:pPr>
      <w:spacing w:after="0"/>
      <w:ind w:left="1135" w:hanging="284"/>
    </w:pPr>
    <w:rPr>
      <w:spacing w:val="0"/>
    </w:rPr>
  </w:style>
  <w:style w:type="paragraph" w:styleId="Punktliste5">
    <w:name w:val="List Bullet 5"/>
    <w:basedOn w:val="Normal"/>
    <w:rsid w:val="00F913CA"/>
    <w:pPr>
      <w:spacing w:after="0"/>
      <w:ind w:left="1418" w:hanging="284"/>
    </w:pPr>
    <w:rPr>
      <w:spacing w:val="0"/>
    </w:rPr>
  </w:style>
  <w:style w:type="paragraph" w:styleId="Topptekst">
    <w:name w:val="header"/>
    <w:basedOn w:val="Normal"/>
    <w:link w:val="TopptekstTegn"/>
    <w:rsid w:val="00F913CA"/>
    <w:pPr>
      <w:tabs>
        <w:tab w:val="center" w:pos="4536"/>
        <w:tab w:val="right" w:pos="9072"/>
      </w:tabs>
    </w:pPr>
    <w:rPr>
      <w:spacing w:val="0"/>
      <w:sz w:val="20"/>
    </w:rPr>
  </w:style>
  <w:style w:type="character" w:customStyle="1" w:styleId="TopptekstTegn">
    <w:name w:val="Topptekst Tegn"/>
    <w:basedOn w:val="Standardskriftforavsnitt"/>
    <w:link w:val="Topptekst"/>
    <w:rsid w:val="00F913CA"/>
    <w:rPr>
      <w:rFonts w:ascii="Times New Roman" w:eastAsia="Times New Roman" w:hAnsi="Times New Roman"/>
      <w:kern w:val="0"/>
      <w:sz w:val="20"/>
      <w:szCs w:val="22"/>
      <w14:ligatures w14:val="none"/>
    </w:rPr>
  </w:style>
  <w:style w:type="paragraph" w:styleId="Undertittel">
    <w:name w:val="Subtitle"/>
    <w:basedOn w:val="Normal"/>
    <w:next w:val="Normal"/>
    <w:link w:val="UndertittelTegn"/>
    <w:qFormat/>
    <w:rsid w:val="00F913CA"/>
    <w:pPr>
      <w:keepNext/>
      <w:keepLines/>
      <w:spacing w:before="360"/>
    </w:pPr>
    <w:rPr>
      <w:rFonts w:ascii="Arial" w:hAnsi="Arial"/>
      <w:b/>
      <w:sz w:val="28"/>
    </w:rPr>
  </w:style>
  <w:style w:type="character" w:customStyle="1" w:styleId="UndertittelTegn">
    <w:name w:val="Undertittel Tegn"/>
    <w:basedOn w:val="Standardskriftforavsnitt"/>
    <w:link w:val="Undertittel"/>
    <w:rsid w:val="00F913CA"/>
    <w:rPr>
      <w:rFonts w:ascii="Arial" w:eastAsia="Times New Roman" w:hAnsi="Arial"/>
      <w:b/>
      <w:spacing w:val="4"/>
      <w:kern w:val="0"/>
      <w:sz w:val="28"/>
      <w:szCs w:val="22"/>
      <w14:ligatures w14:val="none"/>
    </w:rPr>
  </w:style>
  <w:style w:type="paragraph" w:customStyle="1" w:styleId="Figur">
    <w:name w:val="Figur"/>
    <w:basedOn w:val="Normal"/>
    <w:uiPriority w:val="99"/>
    <w:rsid w:val="00F913C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F913CA"/>
    <w:pPr>
      <w:spacing w:after="0" w:line="240" w:lineRule="auto"/>
      <w:ind w:left="240" w:hanging="240"/>
    </w:pPr>
  </w:style>
  <w:style w:type="paragraph" w:styleId="Indeks2">
    <w:name w:val="index 2"/>
    <w:basedOn w:val="Normal"/>
    <w:next w:val="Normal"/>
    <w:autoRedefine/>
    <w:uiPriority w:val="99"/>
    <w:unhideWhenUsed/>
    <w:rsid w:val="00F913CA"/>
    <w:pPr>
      <w:spacing w:after="0" w:line="240" w:lineRule="auto"/>
      <w:ind w:left="480" w:hanging="240"/>
    </w:pPr>
  </w:style>
  <w:style w:type="paragraph" w:styleId="Indeks3">
    <w:name w:val="index 3"/>
    <w:basedOn w:val="Normal"/>
    <w:next w:val="Normal"/>
    <w:autoRedefine/>
    <w:uiPriority w:val="99"/>
    <w:unhideWhenUsed/>
    <w:rsid w:val="00F913CA"/>
    <w:pPr>
      <w:spacing w:after="0" w:line="240" w:lineRule="auto"/>
      <w:ind w:left="720" w:hanging="240"/>
    </w:pPr>
  </w:style>
  <w:style w:type="paragraph" w:styleId="Indeks4">
    <w:name w:val="index 4"/>
    <w:basedOn w:val="Normal"/>
    <w:next w:val="Normal"/>
    <w:autoRedefine/>
    <w:uiPriority w:val="99"/>
    <w:unhideWhenUsed/>
    <w:rsid w:val="00F913CA"/>
    <w:pPr>
      <w:spacing w:after="0" w:line="240" w:lineRule="auto"/>
      <w:ind w:left="960" w:hanging="240"/>
    </w:pPr>
  </w:style>
  <w:style w:type="paragraph" w:styleId="Indeks5">
    <w:name w:val="index 5"/>
    <w:basedOn w:val="Normal"/>
    <w:next w:val="Normal"/>
    <w:autoRedefine/>
    <w:uiPriority w:val="99"/>
    <w:unhideWhenUsed/>
    <w:rsid w:val="00F913CA"/>
    <w:pPr>
      <w:spacing w:after="0" w:line="240" w:lineRule="auto"/>
      <w:ind w:left="1200" w:hanging="240"/>
    </w:pPr>
  </w:style>
  <w:style w:type="paragraph" w:styleId="Indeks6">
    <w:name w:val="index 6"/>
    <w:basedOn w:val="Normal"/>
    <w:next w:val="Normal"/>
    <w:autoRedefine/>
    <w:uiPriority w:val="99"/>
    <w:unhideWhenUsed/>
    <w:rsid w:val="00F913CA"/>
    <w:pPr>
      <w:spacing w:after="0" w:line="240" w:lineRule="auto"/>
      <w:ind w:left="1440" w:hanging="240"/>
    </w:pPr>
  </w:style>
  <w:style w:type="paragraph" w:styleId="Indeks7">
    <w:name w:val="index 7"/>
    <w:basedOn w:val="Normal"/>
    <w:next w:val="Normal"/>
    <w:autoRedefine/>
    <w:uiPriority w:val="99"/>
    <w:unhideWhenUsed/>
    <w:rsid w:val="00F913CA"/>
    <w:pPr>
      <w:spacing w:after="0" w:line="240" w:lineRule="auto"/>
      <w:ind w:left="1680" w:hanging="240"/>
    </w:pPr>
  </w:style>
  <w:style w:type="paragraph" w:styleId="Indeks8">
    <w:name w:val="index 8"/>
    <w:basedOn w:val="Normal"/>
    <w:next w:val="Normal"/>
    <w:autoRedefine/>
    <w:uiPriority w:val="99"/>
    <w:unhideWhenUsed/>
    <w:rsid w:val="00F913CA"/>
    <w:pPr>
      <w:spacing w:after="0" w:line="240" w:lineRule="auto"/>
      <w:ind w:left="1920" w:hanging="240"/>
    </w:pPr>
  </w:style>
  <w:style w:type="paragraph" w:styleId="Indeks9">
    <w:name w:val="index 9"/>
    <w:basedOn w:val="Normal"/>
    <w:next w:val="Normal"/>
    <w:autoRedefine/>
    <w:uiPriority w:val="99"/>
    <w:unhideWhenUsed/>
    <w:rsid w:val="00F913CA"/>
    <w:pPr>
      <w:spacing w:after="0" w:line="240" w:lineRule="auto"/>
      <w:ind w:left="2160" w:hanging="240"/>
    </w:pPr>
  </w:style>
  <w:style w:type="paragraph" w:styleId="INNH6">
    <w:name w:val="toc 6"/>
    <w:basedOn w:val="Normal"/>
    <w:next w:val="Normal"/>
    <w:autoRedefine/>
    <w:uiPriority w:val="39"/>
    <w:unhideWhenUsed/>
    <w:rsid w:val="00F913CA"/>
    <w:pPr>
      <w:spacing w:after="100"/>
      <w:ind w:left="1200"/>
    </w:pPr>
  </w:style>
  <w:style w:type="paragraph" w:styleId="INNH7">
    <w:name w:val="toc 7"/>
    <w:basedOn w:val="Normal"/>
    <w:next w:val="Normal"/>
    <w:autoRedefine/>
    <w:uiPriority w:val="39"/>
    <w:unhideWhenUsed/>
    <w:rsid w:val="00F913CA"/>
    <w:pPr>
      <w:spacing w:after="100"/>
      <w:ind w:left="1440"/>
    </w:pPr>
  </w:style>
  <w:style w:type="paragraph" w:styleId="INNH8">
    <w:name w:val="toc 8"/>
    <w:basedOn w:val="Normal"/>
    <w:next w:val="Normal"/>
    <w:autoRedefine/>
    <w:uiPriority w:val="39"/>
    <w:unhideWhenUsed/>
    <w:rsid w:val="00F913CA"/>
    <w:pPr>
      <w:spacing w:after="100"/>
      <w:ind w:left="1680"/>
    </w:pPr>
  </w:style>
  <w:style w:type="paragraph" w:styleId="INNH9">
    <w:name w:val="toc 9"/>
    <w:basedOn w:val="Normal"/>
    <w:next w:val="Normal"/>
    <w:autoRedefine/>
    <w:uiPriority w:val="39"/>
    <w:unhideWhenUsed/>
    <w:rsid w:val="00F913CA"/>
    <w:pPr>
      <w:spacing w:after="100"/>
      <w:ind w:left="1920"/>
    </w:pPr>
  </w:style>
  <w:style w:type="paragraph" w:styleId="Vanliginnrykk">
    <w:name w:val="Normal Indent"/>
    <w:basedOn w:val="Normal"/>
    <w:uiPriority w:val="99"/>
    <w:unhideWhenUsed/>
    <w:rsid w:val="00F913CA"/>
    <w:pPr>
      <w:ind w:left="708"/>
    </w:pPr>
  </w:style>
  <w:style w:type="paragraph" w:styleId="Stikkordregisteroverskrift">
    <w:name w:val="index heading"/>
    <w:basedOn w:val="Normal"/>
    <w:next w:val="Indeks1"/>
    <w:uiPriority w:val="99"/>
    <w:unhideWhenUsed/>
    <w:rsid w:val="00F913CA"/>
    <w:rPr>
      <w:rFonts w:asciiTheme="majorHAnsi" w:eastAsiaTheme="majorEastAsia" w:hAnsiTheme="majorHAnsi" w:cstheme="majorBidi"/>
      <w:b/>
      <w:bCs/>
    </w:rPr>
  </w:style>
  <w:style w:type="paragraph" w:styleId="Bildetekst">
    <w:name w:val="caption"/>
    <w:basedOn w:val="Normal"/>
    <w:next w:val="Normal"/>
    <w:uiPriority w:val="35"/>
    <w:unhideWhenUsed/>
    <w:qFormat/>
    <w:rsid w:val="00F913CA"/>
    <w:pPr>
      <w:spacing w:after="200" w:line="240" w:lineRule="auto"/>
    </w:pPr>
    <w:rPr>
      <w:b/>
      <w:bCs/>
      <w:color w:val="156082" w:themeColor="accent1"/>
      <w:sz w:val="18"/>
      <w:szCs w:val="18"/>
    </w:rPr>
  </w:style>
  <w:style w:type="paragraph" w:styleId="Figurliste">
    <w:name w:val="table of figures"/>
    <w:basedOn w:val="Normal"/>
    <w:next w:val="Normal"/>
    <w:uiPriority w:val="99"/>
    <w:unhideWhenUsed/>
    <w:rsid w:val="00F913CA"/>
    <w:pPr>
      <w:spacing w:after="0"/>
    </w:pPr>
  </w:style>
  <w:style w:type="paragraph" w:styleId="Konvoluttadresse">
    <w:name w:val="envelope address"/>
    <w:basedOn w:val="Normal"/>
    <w:uiPriority w:val="99"/>
    <w:unhideWhenUsed/>
    <w:rsid w:val="00F913C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F913CA"/>
    <w:pPr>
      <w:spacing w:after="0" w:line="240" w:lineRule="auto"/>
    </w:pPr>
    <w:rPr>
      <w:sz w:val="20"/>
      <w:szCs w:val="20"/>
    </w:rPr>
  </w:style>
  <w:style w:type="character" w:customStyle="1" w:styleId="SluttnotetekstTegn">
    <w:name w:val="Sluttnotetekst Tegn"/>
    <w:basedOn w:val="Standardskriftforavsnitt"/>
    <w:link w:val="Sluttnotetekst"/>
    <w:uiPriority w:val="99"/>
    <w:rsid w:val="00F913CA"/>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unhideWhenUsed/>
    <w:rsid w:val="00F913CA"/>
    <w:pPr>
      <w:spacing w:after="0"/>
      <w:ind w:left="240" w:hanging="240"/>
    </w:pPr>
  </w:style>
  <w:style w:type="paragraph" w:styleId="Makrotekst">
    <w:name w:val="macro"/>
    <w:link w:val="MakrotekstTegn"/>
    <w:uiPriority w:val="99"/>
    <w:unhideWhenUsed/>
    <w:rsid w:val="00F913C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rsid w:val="00F913CA"/>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unhideWhenUsed/>
    <w:rsid w:val="00F913C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913CA"/>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F913CA"/>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unhideWhenUsed/>
    <w:rsid w:val="00F913CA"/>
    <w:pPr>
      <w:spacing w:after="0" w:line="240" w:lineRule="auto"/>
      <w:ind w:left="4252"/>
    </w:pPr>
  </w:style>
  <w:style w:type="character" w:customStyle="1" w:styleId="HilsenTegn">
    <w:name w:val="Hilsen Tegn"/>
    <w:basedOn w:val="Standardskriftforavsnitt"/>
    <w:link w:val="Hilsen"/>
    <w:uiPriority w:val="99"/>
    <w:rsid w:val="00F913CA"/>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F913CA"/>
    <w:pPr>
      <w:spacing w:after="0" w:line="240" w:lineRule="auto"/>
      <w:ind w:left="4252"/>
    </w:pPr>
  </w:style>
  <w:style w:type="character" w:customStyle="1" w:styleId="UnderskriftTegn">
    <w:name w:val="Underskrift Tegn"/>
    <w:basedOn w:val="Standardskriftforavsnitt"/>
    <w:link w:val="Underskrift"/>
    <w:uiPriority w:val="99"/>
    <w:rsid w:val="00F913CA"/>
    <w:rPr>
      <w:rFonts w:ascii="Times New Roman" w:eastAsia="Times New Roman" w:hAnsi="Times New Roman"/>
      <w:spacing w:val="4"/>
      <w:kern w:val="0"/>
      <w:szCs w:val="22"/>
      <w14:ligatures w14:val="none"/>
    </w:rPr>
  </w:style>
  <w:style w:type="paragraph" w:styleId="Liste-forts">
    <w:name w:val="List Continue"/>
    <w:basedOn w:val="Normal"/>
    <w:uiPriority w:val="99"/>
    <w:unhideWhenUsed/>
    <w:rsid w:val="00F913CA"/>
    <w:pPr>
      <w:ind w:left="283"/>
      <w:contextualSpacing/>
    </w:pPr>
  </w:style>
  <w:style w:type="paragraph" w:styleId="Liste-forts2">
    <w:name w:val="List Continue 2"/>
    <w:basedOn w:val="Normal"/>
    <w:uiPriority w:val="99"/>
    <w:unhideWhenUsed/>
    <w:rsid w:val="00F913CA"/>
    <w:pPr>
      <w:ind w:left="566"/>
      <w:contextualSpacing/>
    </w:pPr>
  </w:style>
  <w:style w:type="paragraph" w:styleId="Liste-forts3">
    <w:name w:val="List Continue 3"/>
    <w:basedOn w:val="Normal"/>
    <w:uiPriority w:val="99"/>
    <w:unhideWhenUsed/>
    <w:rsid w:val="00F913CA"/>
    <w:pPr>
      <w:ind w:left="849"/>
      <w:contextualSpacing/>
    </w:pPr>
  </w:style>
  <w:style w:type="paragraph" w:styleId="Liste-forts4">
    <w:name w:val="List Continue 4"/>
    <w:basedOn w:val="Normal"/>
    <w:uiPriority w:val="99"/>
    <w:unhideWhenUsed/>
    <w:rsid w:val="00F913CA"/>
    <w:pPr>
      <w:ind w:left="1132"/>
      <w:contextualSpacing/>
    </w:pPr>
  </w:style>
  <w:style w:type="paragraph" w:styleId="Liste-forts5">
    <w:name w:val="List Continue 5"/>
    <w:basedOn w:val="Normal"/>
    <w:uiPriority w:val="99"/>
    <w:unhideWhenUsed/>
    <w:rsid w:val="00F913CA"/>
    <w:pPr>
      <w:ind w:left="1415"/>
      <w:contextualSpacing/>
    </w:pPr>
  </w:style>
  <w:style w:type="paragraph" w:styleId="Meldingshode">
    <w:name w:val="Message Header"/>
    <w:basedOn w:val="Normal"/>
    <w:link w:val="MeldingshodeTegn"/>
    <w:uiPriority w:val="99"/>
    <w:unhideWhenUsed/>
    <w:rsid w:val="00F913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F913CA"/>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unhideWhenUsed/>
    <w:rsid w:val="00F913CA"/>
  </w:style>
  <w:style w:type="character" w:customStyle="1" w:styleId="InnledendehilsenTegn">
    <w:name w:val="Innledende hilsen Tegn"/>
    <w:basedOn w:val="Standardskriftforavsnitt"/>
    <w:link w:val="Innledendehilsen"/>
    <w:uiPriority w:val="99"/>
    <w:rsid w:val="00F913CA"/>
    <w:rPr>
      <w:rFonts w:ascii="Times New Roman" w:eastAsia="Times New Roman" w:hAnsi="Times New Roman"/>
      <w:spacing w:val="4"/>
      <w:kern w:val="0"/>
      <w:szCs w:val="22"/>
      <w14:ligatures w14:val="none"/>
    </w:rPr>
  </w:style>
  <w:style w:type="paragraph" w:styleId="Dato">
    <w:name w:val="Date"/>
    <w:basedOn w:val="Normal"/>
    <w:next w:val="Normal"/>
    <w:link w:val="DatoTegn"/>
    <w:rsid w:val="00F913CA"/>
  </w:style>
  <w:style w:type="character" w:customStyle="1" w:styleId="DatoTegn">
    <w:name w:val="Dato Tegn"/>
    <w:basedOn w:val="Standardskriftforavsnitt"/>
    <w:link w:val="Dato"/>
    <w:rsid w:val="00F913CA"/>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unhideWhenUsed/>
    <w:rsid w:val="00F913CA"/>
    <w:pPr>
      <w:spacing w:after="0" w:line="240" w:lineRule="auto"/>
    </w:pPr>
  </w:style>
  <w:style w:type="character" w:customStyle="1" w:styleId="NotatoverskriftTegn">
    <w:name w:val="Notatoverskrift Tegn"/>
    <w:basedOn w:val="Standardskriftforavsnitt"/>
    <w:link w:val="Notatoverskrift"/>
    <w:uiPriority w:val="99"/>
    <w:rsid w:val="00F913CA"/>
    <w:rPr>
      <w:rFonts w:ascii="Times New Roman" w:eastAsia="Times New Roman" w:hAnsi="Times New Roman"/>
      <w:spacing w:val="4"/>
      <w:kern w:val="0"/>
      <w:szCs w:val="22"/>
      <w14:ligatures w14:val="none"/>
    </w:rPr>
  </w:style>
  <w:style w:type="paragraph" w:styleId="Blokktekst">
    <w:name w:val="Block Text"/>
    <w:basedOn w:val="Normal"/>
    <w:uiPriority w:val="99"/>
    <w:unhideWhenUsed/>
    <w:rsid w:val="00F913CA"/>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paragraph" w:styleId="Dokumentkart">
    <w:name w:val="Document Map"/>
    <w:basedOn w:val="Normal"/>
    <w:link w:val="DokumentkartTegn"/>
    <w:uiPriority w:val="99"/>
    <w:rsid w:val="00F913C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F913CA"/>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unhideWhenUsed/>
    <w:rsid w:val="00F913CA"/>
    <w:rPr>
      <w:rFonts w:ascii="Courier New" w:hAnsi="Courier New" w:cs="Courier New"/>
      <w:sz w:val="20"/>
    </w:rPr>
  </w:style>
  <w:style w:type="character" w:customStyle="1" w:styleId="RentekstTegn">
    <w:name w:val="Ren tekst Tegn"/>
    <w:basedOn w:val="Standardskriftforavsnitt"/>
    <w:link w:val="Rentekst"/>
    <w:uiPriority w:val="99"/>
    <w:rsid w:val="00F913CA"/>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unhideWhenUsed/>
    <w:rsid w:val="00F913CA"/>
    <w:pPr>
      <w:spacing w:after="0" w:line="240" w:lineRule="auto"/>
    </w:pPr>
  </w:style>
  <w:style w:type="character" w:customStyle="1" w:styleId="E-postsignaturTegn">
    <w:name w:val="E-postsignatur Tegn"/>
    <w:basedOn w:val="Standardskriftforavsnitt"/>
    <w:link w:val="E-postsignatur"/>
    <w:uiPriority w:val="99"/>
    <w:rsid w:val="00F913CA"/>
    <w:rPr>
      <w:rFonts w:ascii="Times New Roman" w:eastAsia="Times New Roman" w:hAnsi="Times New Roman"/>
      <w:spacing w:val="4"/>
      <w:kern w:val="0"/>
      <w:szCs w:val="22"/>
      <w14:ligatures w14:val="none"/>
    </w:rPr>
  </w:style>
  <w:style w:type="paragraph" w:styleId="NormalWeb">
    <w:name w:val="Normal (Web)"/>
    <w:basedOn w:val="Normal"/>
    <w:uiPriority w:val="99"/>
    <w:unhideWhenUsed/>
    <w:rsid w:val="00F913CA"/>
    <w:rPr>
      <w:szCs w:val="24"/>
    </w:rPr>
  </w:style>
  <w:style w:type="paragraph" w:styleId="HTML-adresse">
    <w:name w:val="HTML Address"/>
    <w:basedOn w:val="Normal"/>
    <w:link w:val="HTML-adresseTegn"/>
    <w:uiPriority w:val="99"/>
    <w:unhideWhenUsed/>
    <w:rsid w:val="00F913CA"/>
    <w:pPr>
      <w:spacing w:after="0" w:line="240" w:lineRule="auto"/>
    </w:pPr>
    <w:rPr>
      <w:i/>
      <w:iCs/>
    </w:rPr>
  </w:style>
  <w:style w:type="character" w:customStyle="1" w:styleId="HTML-adresseTegn">
    <w:name w:val="HTML-adresse Tegn"/>
    <w:basedOn w:val="Standardskriftforavsnitt"/>
    <w:link w:val="HTML-adresse"/>
    <w:uiPriority w:val="99"/>
    <w:rsid w:val="00F913CA"/>
    <w:rPr>
      <w:rFonts w:ascii="Times New Roman" w:eastAsia="Times New Roman" w:hAnsi="Times New Roman"/>
      <w:i/>
      <w:iCs/>
      <w:spacing w:val="4"/>
      <w:kern w:val="0"/>
      <w:szCs w:val="22"/>
      <w14:ligatures w14:val="none"/>
    </w:rPr>
  </w:style>
  <w:style w:type="paragraph" w:styleId="HTML-forhndsformatert">
    <w:name w:val="HTML Preformatted"/>
    <w:basedOn w:val="Normal"/>
    <w:link w:val="HTML-forhndsformatertTegn"/>
    <w:uiPriority w:val="99"/>
    <w:unhideWhenUsed/>
    <w:rsid w:val="00F913C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F913CA"/>
    <w:rPr>
      <w:rFonts w:ascii="Consolas" w:eastAsia="Times New Roman" w:hAnsi="Consolas"/>
      <w:spacing w:val="4"/>
      <w:kern w:val="0"/>
      <w:sz w:val="20"/>
      <w:szCs w:val="20"/>
      <w14:ligatures w14:val="none"/>
    </w:rPr>
  </w:style>
  <w:style w:type="paragraph" w:styleId="Kommentaremne">
    <w:name w:val="annotation subject"/>
    <w:basedOn w:val="Merknadstekst"/>
    <w:next w:val="Merknadstekst"/>
    <w:link w:val="KommentaremneTegn"/>
    <w:uiPriority w:val="99"/>
    <w:unhideWhenUsed/>
    <w:rsid w:val="00F913CA"/>
    <w:pPr>
      <w:spacing w:line="240" w:lineRule="auto"/>
    </w:pPr>
    <w:rPr>
      <w:b/>
      <w:bCs/>
      <w:spacing w:val="4"/>
      <w:szCs w:val="20"/>
    </w:rPr>
  </w:style>
  <w:style w:type="character" w:customStyle="1" w:styleId="KommentaremneTegn">
    <w:name w:val="Kommentaremne Tegn"/>
    <w:basedOn w:val="MerknadstekstTegn"/>
    <w:link w:val="Kommentaremne"/>
    <w:uiPriority w:val="99"/>
    <w:rsid w:val="00F913CA"/>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F913C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F913CA"/>
    <w:rPr>
      <w:rFonts w:ascii="Tahoma" w:eastAsia="Times New Roman" w:hAnsi="Tahoma" w:cs="Tahoma"/>
      <w:spacing w:val="4"/>
      <w:kern w:val="0"/>
      <w:sz w:val="16"/>
      <w:szCs w:val="16"/>
      <w14:ligatures w14:val="none"/>
    </w:rPr>
  </w:style>
  <w:style w:type="paragraph" w:styleId="Ingenmellomrom">
    <w:name w:val="No Spacing"/>
    <w:uiPriority w:val="1"/>
    <w:qFormat/>
    <w:rsid w:val="00F913CA"/>
    <w:pPr>
      <w:spacing w:after="200" w:line="276" w:lineRule="auto"/>
    </w:pPr>
    <w:rPr>
      <w:rFonts w:ascii="Times New Roman" w:eastAsia="Times New Roman" w:hAnsi="Times New Roman"/>
      <w:spacing w:val="4"/>
      <w:kern w:val="0"/>
      <w:szCs w:val="22"/>
      <w14:ligatures w14:val="none"/>
    </w:rPr>
  </w:style>
  <w:style w:type="paragraph" w:styleId="Listeavsnitt">
    <w:name w:val="List Paragraph"/>
    <w:basedOn w:val="Normal"/>
    <w:uiPriority w:val="34"/>
    <w:qFormat/>
    <w:rsid w:val="00F913CA"/>
    <w:pPr>
      <w:spacing w:before="60" w:after="0"/>
      <w:ind w:left="397"/>
    </w:pPr>
    <w:rPr>
      <w:spacing w:val="0"/>
    </w:rPr>
  </w:style>
  <w:style w:type="paragraph" w:styleId="Sterktsitat">
    <w:name w:val="Intense Quote"/>
    <w:basedOn w:val="Normal"/>
    <w:next w:val="Normal"/>
    <w:link w:val="SterktsitatTegn"/>
    <w:uiPriority w:val="30"/>
    <w:qFormat/>
    <w:rsid w:val="00F913CA"/>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F913CA"/>
    <w:rPr>
      <w:rFonts w:ascii="Times New Roman" w:eastAsia="Times New Roman" w:hAnsi="Times New Roman"/>
      <w:b/>
      <w:bCs/>
      <w:i/>
      <w:iCs/>
      <w:color w:val="156082" w:themeColor="accent1"/>
      <w:spacing w:val="4"/>
      <w:kern w:val="0"/>
      <w:szCs w:val="22"/>
      <w14:ligatures w14:val="none"/>
    </w:rPr>
  </w:style>
  <w:style w:type="paragraph" w:styleId="Bibliografi">
    <w:name w:val="Bibliography"/>
    <w:basedOn w:val="Normal"/>
    <w:next w:val="Normal"/>
    <w:uiPriority w:val="37"/>
    <w:unhideWhenUsed/>
    <w:rsid w:val="00F913CA"/>
  </w:style>
  <w:style w:type="paragraph" w:styleId="Overskriftforinnholdsfortegnelse">
    <w:name w:val="TOC Heading"/>
    <w:basedOn w:val="Overskrift1"/>
    <w:next w:val="Normal"/>
    <w:uiPriority w:val="39"/>
    <w:unhideWhenUsed/>
    <w:qFormat/>
    <w:rsid w:val="00F913CA"/>
    <w:pPr>
      <w:numPr>
        <w:numId w:val="0"/>
      </w:numPr>
      <w:spacing w:before="480" w:after="0" w:line="259" w:lineRule="auto"/>
      <w:outlineLvl w:val="9"/>
    </w:pPr>
    <w:rPr>
      <w:rFonts w:ascii="Open Sans" w:eastAsiaTheme="majorEastAsia" w:hAnsi="Open Sans" w:cstheme="majorBidi"/>
      <w:bCs/>
      <w:kern w:val="0"/>
      <w:sz w:val="28"/>
      <w:szCs w:val="28"/>
    </w:rPr>
  </w:style>
  <w:style w:type="paragraph" w:styleId="Avsenderadresse">
    <w:name w:val="envelope return"/>
    <w:basedOn w:val="Normal"/>
    <w:uiPriority w:val="99"/>
    <w:unhideWhenUsed/>
    <w:rsid w:val="00F913C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F913CA"/>
  </w:style>
  <w:style w:type="character" w:customStyle="1" w:styleId="BrdtekstTegn">
    <w:name w:val="Brødtekst Tegn"/>
    <w:basedOn w:val="Standardskriftforavsnitt"/>
    <w:link w:val="Brdtekst"/>
    <w:rsid w:val="00F913CA"/>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unhideWhenUsed/>
    <w:rsid w:val="00F913CA"/>
    <w:pPr>
      <w:ind w:firstLine="360"/>
    </w:pPr>
  </w:style>
  <w:style w:type="character" w:customStyle="1" w:styleId="Brdtekst-frsteinnrykkTegn">
    <w:name w:val="Brødtekst - første innrykk Tegn"/>
    <w:basedOn w:val="BrdtekstTegn"/>
    <w:link w:val="Brdtekst-frsteinnrykk"/>
    <w:uiPriority w:val="99"/>
    <w:rsid w:val="00F913CA"/>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unhideWhenUsed/>
    <w:rsid w:val="00F913CA"/>
    <w:pPr>
      <w:ind w:left="283"/>
    </w:pPr>
  </w:style>
  <w:style w:type="character" w:customStyle="1" w:styleId="BrdtekstinnrykkTegn">
    <w:name w:val="Brødtekstinnrykk Tegn"/>
    <w:basedOn w:val="Standardskriftforavsnitt"/>
    <w:link w:val="Brdtekstinnrykk"/>
    <w:uiPriority w:val="99"/>
    <w:rsid w:val="00F913CA"/>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unhideWhenUsed/>
    <w:rsid w:val="00F913CA"/>
    <w:pPr>
      <w:ind w:left="360" w:firstLine="360"/>
    </w:pPr>
  </w:style>
  <w:style w:type="character" w:customStyle="1" w:styleId="Brdtekst-frsteinnrykk2Tegn">
    <w:name w:val="Brødtekst - første innrykk 2 Tegn"/>
    <w:basedOn w:val="BrdtekstinnrykkTegn"/>
    <w:link w:val="Brdtekst-frsteinnrykk2"/>
    <w:uiPriority w:val="99"/>
    <w:rsid w:val="00F913CA"/>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unhideWhenUsed/>
    <w:rsid w:val="00F913CA"/>
    <w:pPr>
      <w:spacing w:line="480" w:lineRule="auto"/>
    </w:pPr>
  </w:style>
  <w:style w:type="character" w:customStyle="1" w:styleId="Brdtekst2Tegn">
    <w:name w:val="Brødtekst 2 Tegn"/>
    <w:basedOn w:val="Standardskriftforavsnitt"/>
    <w:link w:val="Brdtekst2"/>
    <w:uiPriority w:val="99"/>
    <w:rsid w:val="00F913CA"/>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unhideWhenUsed/>
    <w:rsid w:val="00F913CA"/>
    <w:rPr>
      <w:sz w:val="16"/>
      <w:szCs w:val="16"/>
    </w:rPr>
  </w:style>
  <w:style w:type="character" w:customStyle="1" w:styleId="Brdtekst3Tegn">
    <w:name w:val="Brødtekst 3 Tegn"/>
    <w:basedOn w:val="Standardskriftforavsnitt"/>
    <w:link w:val="Brdtekst3"/>
    <w:uiPriority w:val="99"/>
    <w:rsid w:val="00F913CA"/>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unhideWhenUsed/>
    <w:rsid w:val="00F913CA"/>
    <w:pPr>
      <w:spacing w:line="480" w:lineRule="auto"/>
      <w:ind w:left="283"/>
    </w:pPr>
  </w:style>
  <w:style w:type="character" w:customStyle="1" w:styleId="Brdtekstinnrykk2Tegn">
    <w:name w:val="Brødtekstinnrykk 2 Tegn"/>
    <w:basedOn w:val="Standardskriftforavsnitt"/>
    <w:link w:val="Brdtekstinnrykk2"/>
    <w:uiPriority w:val="99"/>
    <w:rsid w:val="00F913CA"/>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unhideWhenUsed/>
    <w:rsid w:val="00F913CA"/>
    <w:pPr>
      <w:ind w:left="283"/>
    </w:pPr>
    <w:rPr>
      <w:sz w:val="16"/>
      <w:szCs w:val="16"/>
    </w:rPr>
  </w:style>
  <w:style w:type="character" w:customStyle="1" w:styleId="Brdtekstinnrykk3Tegn">
    <w:name w:val="Brødtekstinnrykk 3 Tegn"/>
    <w:basedOn w:val="Standardskriftforavsnitt"/>
    <w:link w:val="Brdtekstinnrykk3"/>
    <w:uiPriority w:val="99"/>
    <w:rsid w:val="00F913CA"/>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913CA"/>
    <w:pPr>
      <w:numPr>
        <w:numId w:val="0"/>
      </w:numPr>
    </w:pPr>
  </w:style>
  <w:style w:type="paragraph" w:customStyle="1" w:styleId="TrykkeriMerknad">
    <w:name w:val="TrykkeriMerknad"/>
    <w:basedOn w:val="Normal"/>
    <w:qFormat/>
    <w:rsid w:val="00F913CA"/>
    <w:pPr>
      <w:spacing w:before="60"/>
    </w:pPr>
    <w:rPr>
      <w:rFonts w:ascii="Arial" w:hAnsi="Arial"/>
      <w:color w:val="BF4E14" w:themeColor="accent2" w:themeShade="BF"/>
      <w:sz w:val="26"/>
    </w:rPr>
  </w:style>
  <w:style w:type="paragraph" w:customStyle="1" w:styleId="ForfatterMerknad">
    <w:name w:val="ForfatterMerknad"/>
    <w:basedOn w:val="TrykkeriMerknad"/>
    <w:qFormat/>
    <w:rsid w:val="00F913CA"/>
    <w:pPr>
      <w:shd w:val="clear" w:color="auto" w:fill="FFFF99"/>
      <w:spacing w:line="240" w:lineRule="auto"/>
    </w:pPr>
    <w:rPr>
      <w:color w:val="80340D" w:themeColor="accent2" w:themeShade="80"/>
    </w:rPr>
  </w:style>
  <w:style w:type="paragraph" w:customStyle="1" w:styleId="tblRad">
    <w:name w:val="tblRad"/>
    <w:rsid w:val="00F913C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913CA"/>
  </w:style>
  <w:style w:type="paragraph" w:customStyle="1" w:styleId="tbl2LinjeSumBold">
    <w:name w:val="tbl2LinjeSumBold"/>
    <w:basedOn w:val="tblRad"/>
    <w:rsid w:val="00F913CA"/>
  </w:style>
  <w:style w:type="paragraph" w:customStyle="1" w:styleId="tblDelsum1">
    <w:name w:val="tblDelsum1"/>
    <w:basedOn w:val="tblRad"/>
    <w:rsid w:val="00F913CA"/>
  </w:style>
  <w:style w:type="paragraph" w:customStyle="1" w:styleId="tblDelsum1-Kapittel">
    <w:name w:val="tblDelsum1 - Kapittel"/>
    <w:basedOn w:val="tblDelsum1"/>
    <w:rsid w:val="00F913CA"/>
    <w:pPr>
      <w:keepNext w:val="0"/>
    </w:pPr>
  </w:style>
  <w:style w:type="paragraph" w:customStyle="1" w:styleId="tblDelsum2">
    <w:name w:val="tblDelsum2"/>
    <w:basedOn w:val="tblRad"/>
    <w:rsid w:val="00F913CA"/>
  </w:style>
  <w:style w:type="paragraph" w:customStyle="1" w:styleId="tblDelsum2-Kapittel">
    <w:name w:val="tblDelsum2 - Kapittel"/>
    <w:basedOn w:val="tblDelsum2"/>
    <w:rsid w:val="00F913CA"/>
    <w:pPr>
      <w:keepNext w:val="0"/>
    </w:pPr>
  </w:style>
  <w:style w:type="paragraph" w:customStyle="1" w:styleId="tblTabelloverskrift">
    <w:name w:val="tblTabelloverskrift"/>
    <w:rsid w:val="00F913C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913CA"/>
    <w:pPr>
      <w:spacing w:after="0"/>
      <w:jc w:val="right"/>
    </w:pPr>
    <w:rPr>
      <w:b w:val="0"/>
      <w:caps w:val="0"/>
      <w:sz w:val="16"/>
    </w:rPr>
  </w:style>
  <w:style w:type="paragraph" w:customStyle="1" w:styleId="tblKategoriOverskrift">
    <w:name w:val="tblKategoriOverskrift"/>
    <w:basedOn w:val="tblRad"/>
    <w:rsid w:val="00F913CA"/>
    <w:pPr>
      <w:spacing w:before="120"/>
    </w:pPr>
  </w:style>
  <w:style w:type="paragraph" w:customStyle="1" w:styleId="tblKolonneoverskrift">
    <w:name w:val="tblKolonneoverskrift"/>
    <w:basedOn w:val="Normal"/>
    <w:rsid w:val="00F913C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913CA"/>
    <w:pPr>
      <w:spacing w:after="360"/>
      <w:jc w:val="center"/>
    </w:pPr>
    <w:rPr>
      <w:b w:val="0"/>
      <w:caps w:val="0"/>
    </w:rPr>
  </w:style>
  <w:style w:type="paragraph" w:customStyle="1" w:styleId="tblKolonneoverskrift-Vedtak">
    <w:name w:val="tblKolonneoverskrift - Vedtak"/>
    <w:basedOn w:val="tblTabelloverskrift-Vedtak"/>
    <w:rsid w:val="00F913CA"/>
    <w:pPr>
      <w:spacing w:after="0"/>
    </w:pPr>
  </w:style>
  <w:style w:type="paragraph" w:customStyle="1" w:styleId="tblOverskrift-Vedtak">
    <w:name w:val="tblOverskrift - Vedtak"/>
    <w:basedOn w:val="tblRad"/>
    <w:rsid w:val="00F913CA"/>
    <w:pPr>
      <w:spacing w:before="360"/>
      <w:jc w:val="center"/>
    </w:pPr>
  </w:style>
  <w:style w:type="paragraph" w:customStyle="1" w:styleId="tblRadBold">
    <w:name w:val="tblRadBold"/>
    <w:basedOn w:val="tblRad"/>
    <w:rsid w:val="00F913CA"/>
  </w:style>
  <w:style w:type="paragraph" w:customStyle="1" w:styleId="tblRadItalic">
    <w:name w:val="tblRadItalic"/>
    <w:basedOn w:val="tblRad"/>
    <w:rsid w:val="00F913CA"/>
  </w:style>
  <w:style w:type="paragraph" w:customStyle="1" w:styleId="tblRadItalicSiste">
    <w:name w:val="tblRadItalicSiste"/>
    <w:basedOn w:val="tblRadItalic"/>
    <w:rsid w:val="00F913CA"/>
  </w:style>
  <w:style w:type="paragraph" w:customStyle="1" w:styleId="tblRadMedLuft">
    <w:name w:val="tblRadMedLuft"/>
    <w:basedOn w:val="tblRad"/>
    <w:rsid w:val="00F913CA"/>
    <w:pPr>
      <w:spacing w:before="120"/>
    </w:pPr>
  </w:style>
  <w:style w:type="paragraph" w:customStyle="1" w:styleId="tblRadMedLuftSiste">
    <w:name w:val="tblRadMedLuftSiste"/>
    <w:basedOn w:val="tblRadMedLuft"/>
    <w:rsid w:val="00F913CA"/>
    <w:pPr>
      <w:spacing w:after="120"/>
    </w:pPr>
  </w:style>
  <w:style w:type="paragraph" w:customStyle="1" w:styleId="tblRadMedLuftSiste-Vedtak">
    <w:name w:val="tblRadMedLuftSiste - Vedtak"/>
    <w:basedOn w:val="tblRadMedLuftSiste"/>
    <w:rsid w:val="00F913CA"/>
    <w:pPr>
      <w:keepNext w:val="0"/>
    </w:pPr>
  </w:style>
  <w:style w:type="paragraph" w:customStyle="1" w:styleId="tblRadSiste">
    <w:name w:val="tblRadSiste"/>
    <w:basedOn w:val="tblRad"/>
    <w:rsid w:val="00F913CA"/>
  </w:style>
  <w:style w:type="paragraph" w:customStyle="1" w:styleId="tblSluttsum">
    <w:name w:val="tblSluttsum"/>
    <w:basedOn w:val="tblRad"/>
    <w:rsid w:val="00F913CA"/>
    <w:pPr>
      <w:spacing w:before="120"/>
    </w:pPr>
  </w:style>
  <w:style w:type="paragraph" w:customStyle="1" w:styleId="metadatanavn">
    <w:name w:val="metadatanavn"/>
    <w:basedOn w:val="Normal"/>
    <w:qFormat/>
    <w:rsid w:val="00F913CA"/>
    <w:pPr>
      <w:spacing w:before="60" w:after="60"/>
    </w:pPr>
    <w:rPr>
      <w:rFonts w:ascii="Consolas" w:hAnsi="Consolas"/>
      <w:color w:val="E97132" w:themeColor="accent2"/>
      <w:sz w:val="26"/>
    </w:rPr>
  </w:style>
  <w:style w:type="paragraph" w:customStyle="1" w:styleId="metadataverdi">
    <w:name w:val="metadataverdi"/>
    <w:basedOn w:val="Normal"/>
    <w:qFormat/>
    <w:rsid w:val="00F913CA"/>
    <w:pPr>
      <w:spacing w:before="60" w:after="60"/>
    </w:pPr>
    <w:rPr>
      <w:rFonts w:ascii="Consolas" w:hAnsi="Consolas"/>
      <w:color w:val="0F4761" w:themeColor="accent1" w:themeShade="BF"/>
      <w:sz w:val="26"/>
    </w:rPr>
  </w:style>
  <w:style w:type="paragraph" w:customStyle="1" w:styleId="toppteksttittel">
    <w:name w:val="toppteksttittel"/>
    <w:basedOn w:val="i-tit"/>
    <w:qFormat/>
    <w:rsid w:val="00F913CA"/>
    <w:rPr>
      <w:sz w:val="24"/>
    </w:rPr>
  </w:style>
  <w:style w:type="paragraph" w:styleId="Revisjon">
    <w:name w:val="Revision"/>
    <w:uiPriority w:val="99"/>
    <w:pPr>
      <w:widowControl w:val="0"/>
      <w:autoSpaceDE w:val="0"/>
      <w:autoSpaceDN w:val="0"/>
      <w:adjustRightInd w:val="0"/>
      <w:spacing w:after="200" w:line="240" w:lineRule="auto"/>
    </w:pPr>
    <w:rPr>
      <w:rFonts w:ascii="Times New Roman" w:hAnsi="Times New Roman" w:cs="Times New Roman"/>
      <w:color w:val="000000"/>
      <w:w w:val="0"/>
      <w:kern w:val="0"/>
      <w:lang w:val="en-US"/>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avsnitt-tittel-tabell">
    <w:name w:val="avsnitt-tittel-tabell"/>
    <w:basedOn w:val="avsnitt-tittel"/>
    <w:qFormat/>
    <w:rsid w:val="00F913CA"/>
  </w:style>
  <w:style w:type="paragraph" w:customStyle="1" w:styleId="b-budkaptit-tabell">
    <w:name w:val="b-budkaptit-tabell"/>
    <w:basedOn w:val="b-budkaptit"/>
    <w:qFormat/>
    <w:rsid w:val="00F913CA"/>
  </w:style>
  <w:style w:type="paragraph" w:customStyle="1" w:styleId="Konklusjonnummerert">
    <w:name w:val="Konklusjon (nummerert)"/>
    <w:uiPriority w:val="99"/>
    <w:pPr>
      <w:widowControl w:val="0"/>
      <w:tabs>
        <w:tab w:val="left" w:pos="720"/>
      </w:tabs>
      <w:autoSpaceDE w:val="0"/>
      <w:autoSpaceDN w:val="0"/>
      <w:adjustRightInd w:val="0"/>
      <w:spacing w:before="60" w:after="120" w:line="240" w:lineRule="auto"/>
      <w:ind w:left="720" w:hanging="360"/>
    </w:pPr>
    <w:rPr>
      <w:rFonts w:ascii="Calibri" w:hAnsi="Calibri" w:cs="Calibri"/>
      <w:b/>
      <w:bCs/>
      <w:color w:val="000000"/>
      <w:w w:val="0"/>
      <w:kern w:val="0"/>
      <w:lang w:val="en-US"/>
    </w:rPr>
  </w:style>
  <w:style w:type="paragraph" w:customStyle="1" w:styleId="pf0">
    <w:name w:val="pf0"/>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F913CA"/>
    <w:pPr>
      <w:keepNext/>
      <w:keepLines/>
      <w:spacing w:before="240" w:after="240"/>
    </w:pPr>
  </w:style>
  <w:style w:type="paragraph" w:customStyle="1" w:styleId="a-tilraar-tit">
    <w:name w:val="a-tilraar-tit"/>
    <w:basedOn w:val="Normal"/>
    <w:next w:val="Normal"/>
    <w:rsid w:val="00F913C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913CA"/>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913CA"/>
    <w:pPr>
      <w:keepNext/>
      <w:spacing w:before="360" w:after="60"/>
      <w:jc w:val="center"/>
    </w:pPr>
    <w:rPr>
      <w:b/>
    </w:rPr>
  </w:style>
  <w:style w:type="paragraph" w:customStyle="1" w:styleId="a-vedtak-tekst">
    <w:name w:val="a-vedtak-tekst"/>
    <w:basedOn w:val="Normal"/>
    <w:next w:val="Normal"/>
    <w:rsid w:val="00F913C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913C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913CA"/>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913CA"/>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913CA"/>
    <w:pPr>
      <w:numPr>
        <w:numId w:val="3"/>
      </w:numPr>
      <w:spacing w:after="0"/>
    </w:pPr>
  </w:style>
  <w:style w:type="paragraph" w:customStyle="1" w:styleId="alfaliste2">
    <w:name w:val="alfaliste 2"/>
    <w:basedOn w:val="Liste2"/>
    <w:rsid w:val="00F913C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913C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913C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913C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913C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913C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913C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913CA"/>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paragraph" w:customStyle="1" w:styleId="b-post">
    <w:name w:val="b-post"/>
    <w:basedOn w:val="Normal"/>
    <w:next w:val="Normal"/>
    <w:rsid w:val="00F913CA"/>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F913CA"/>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F913CA"/>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913CA"/>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913CA"/>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F913CA"/>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F913CA"/>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0">
    <w:name w:val="dato"/>
    <w:basedOn w:val="Normal"/>
    <w:next w:val="Normal"/>
    <w:rsid w:val="00F913CA"/>
  </w:style>
  <w:style w:type="paragraph" w:customStyle="1" w:styleId="Def">
    <w:name w:val="Def"/>
    <w:basedOn w:val="hengende-innrykk"/>
    <w:rsid w:val="00F913CA"/>
    <w:pPr>
      <w:spacing w:line="240" w:lineRule="auto"/>
      <w:ind w:left="0" w:firstLine="0"/>
    </w:pPr>
    <w:rPr>
      <w:rFonts w:eastAsia="Batang"/>
      <w:spacing w:val="0"/>
      <w:szCs w:val="20"/>
    </w:rPr>
  </w:style>
  <w:style w:type="paragraph" w:customStyle="1" w:styleId="del-nr">
    <w:name w:val="del-nr"/>
    <w:basedOn w:val="Normal"/>
    <w:qFormat/>
    <w:rsid w:val="00F913CA"/>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F913C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F913CA"/>
  </w:style>
  <w:style w:type="paragraph" w:customStyle="1" w:styleId="figur-noter">
    <w:name w:val="figur-noter"/>
    <w:basedOn w:val="Normal"/>
    <w:next w:val="Normal"/>
    <w:rsid w:val="00F913CA"/>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913CA"/>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913C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F913CA"/>
    <w:pPr>
      <w:keepNext/>
      <w:spacing w:before="360" w:after="60" w:line="240" w:lineRule="auto"/>
      <w:jc w:val="center"/>
    </w:pPr>
    <w:rPr>
      <w:rFonts w:eastAsia="Batang" w:cs="Times New Roman"/>
      <w:b/>
      <w:spacing w:val="0"/>
      <w:szCs w:val="20"/>
    </w:rPr>
  </w:style>
  <w:style w:type="paragraph" w:customStyle="1" w:styleId="friliste">
    <w:name w:val="friliste"/>
    <w:basedOn w:val="Normal"/>
    <w:qFormat/>
    <w:rsid w:val="00F913CA"/>
    <w:pPr>
      <w:tabs>
        <w:tab w:val="left" w:pos="397"/>
      </w:tabs>
      <w:spacing w:after="0"/>
      <w:ind w:left="397" w:hanging="397"/>
    </w:pPr>
    <w:rPr>
      <w:spacing w:val="0"/>
    </w:rPr>
  </w:style>
  <w:style w:type="paragraph" w:customStyle="1" w:styleId="friliste2">
    <w:name w:val="friliste 2"/>
    <w:basedOn w:val="Normal"/>
    <w:qFormat/>
    <w:rsid w:val="00F913CA"/>
    <w:pPr>
      <w:tabs>
        <w:tab w:val="left" w:pos="794"/>
      </w:tabs>
      <w:spacing w:after="0"/>
      <w:ind w:left="794" w:hanging="397"/>
    </w:pPr>
    <w:rPr>
      <w:spacing w:val="0"/>
    </w:rPr>
  </w:style>
  <w:style w:type="paragraph" w:customStyle="1" w:styleId="friliste3">
    <w:name w:val="friliste 3"/>
    <w:basedOn w:val="Normal"/>
    <w:qFormat/>
    <w:rsid w:val="00F913CA"/>
    <w:pPr>
      <w:tabs>
        <w:tab w:val="left" w:pos="1191"/>
      </w:tabs>
      <w:spacing w:after="0"/>
      <w:ind w:left="1191" w:hanging="397"/>
    </w:pPr>
    <w:rPr>
      <w:spacing w:val="0"/>
    </w:rPr>
  </w:style>
  <w:style w:type="paragraph" w:customStyle="1" w:styleId="friliste4">
    <w:name w:val="friliste 4"/>
    <w:basedOn w:val="Normal"/>
    <w:qFormat/>
    <w:rsid w:val="00F913CA"/>
    <w:pPr>
      <w:tabs>
        <w:tab w:val="left" w:pos="1588"/>
      </w:tabs>
      <w:spacing w:after="0"/>
      <w:ind w:left="1588" w:hanging="397"/>
    </w:pPr>
    <w:rPr>
      <w:spacing w:val="0"/>
    </w:rPr>
  </w:style>
  <w:style w:type="paragraph" w:customStyle="1" w:styleId="friliste5">
    <w:name w:val="friliste 5"/>
    <w:basedOn w:val="Normal"/>
    <w:qFormat/>
    <w:rsid w:val="00F913CA"/>
    <w:pPr>
      <w:tabs>
        <w:tab w:val="left" w:pos="1985"/>
      </w:tabs>
      <w:spacing w:after="0"/>
      <w:ind w:left="1985" w:hanging="397"/>
    </w:pPr>
    <w:rPr>
      <w:spacing w:val="0"/>
    </w:rPr>
  </w:style>
  <w:style w:type="paragraph" w:customStyle="1" w:styleId="Fullmakttit">
    <w:name w:val="Fullmakttit"/>
    <w:basedOn w:val="Normal"/>
    <w:next w:val="Normal"/>
    <w:rsid w:val="00F913CA"/>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913CA"/>
    <w:pPr>
      <w:ind w:left="1418" w:hanging="1418"/>
    </w:pPr>
  </w:style>
  <w:style w:type="paragraph" w:customStyle="1" w:styleId="i-budkap-over">
    <w:name w:val="i-budkap-over"/>
    <w:basedOn w:val="Normal"/>
    <w:next w:val="Normal"/>
    <w:rsid w:val="00F913CA"/>
    <w:pPr>
      <w:jc w:val="right"/>
    </w:pPr>
    <w:rPr>
      <w:b/>
      <w:noProof/>
    </w:rPr>
  </w:style>
  <w:style w:type="paragraph" w:customStyle="1" w:styleId="i-dep">
    <w:name w:val="i-dep"/>
    <w:basedOn w:val="Normal"/>
    <w:next w:val="Normal"/>
    <w:rsid w:val="00F913CA"/>
    <w:pPr>
      <w:keepNext/>
      <w:keepLines/>
      <w:spacing w:line="240" w:lineRule="auto"/>
      <w:jc w:val="right"/>
    </w:pPr>
    <w:rPr>
      <w:b/>
      <w:noProof/>
      <w:szCs w:val="20"/>
      <w:u w:val="single"/>
    </w:rPr>
  </w:style>
  <w:style w:type="paragraph" w:customStyle="1" w:styleId="i-hode">
    <w:name w:val="i-hode"/>
    <w:basedOn w:val="Normal"/>
    <w:next w:val="Normal"/>
    <w:rsid w:val="00F913CA"/>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913CA"/>
    <w:pPr>
      <w:keepNext/>
      <w:keepLines/>
      <w:jc w:val="center"/>
    </w:pPr>
    <w:rPr>
      <w:rFonts w:eastAsia="Batang"/>
      <w:b/>
      <w:sz w:val="28"/>
    </w:rPr>
  </w:style>
  <w:style w:type="paragraph" w:customStyle="1" w:styleId="i-mtit">
    <w:name w:val="i-mtit"/>
    <w:basedOn w:val="Normal"/>
    <w:next w:val="Normal"/>
    <w:rsid w:val="00F913CA"/>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913CA"/>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913CA"/>
    <w:pPr>
      <w:spacing w:after="0"/>
      <w:jc w:val="center"/>
    </w:pPr>
    <w:rPr>
      <w:i/>
      <w:noProof/>
    </w:rPr>
  </w:style>
  <w:style w:type="paragraph" w:customStyle="1" w:styleId="i-termin">
    <w:name w:val="i-termin"/>
    <w:basedOn w:val="Normal"/>
    <w:next w:val="Normal"/>
    <w:rsid w:val="00F913CA"/>
    <w:pPr>
      <w:spacing w:before="360"/>
      <w:jc w:val="center"/>
    </w:pPr>
    <w:rPr>
      <w:b/>
      <w:noProof/>
      <w:sz w:val="28"/>
    </w:rPr>
  </w:style>
  <w:style w:type="paragraph" w:customStyle="1" w:styleId="i-tit">
    <w:name w:val="i-tit"/>
    <w:basedOn w:val="Normal"/>
    <w:next w:val="i-statsrdato"/>
    <w:rsid w:val="00F913CA"/>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913CA"/>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913C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F913CA"/>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F913CA"/>
    <w:pPr>
      <w:numPr>
        <w:numId w:val="12"/>
      </w:numPr>
    </w:pPr>
    <w:rPr>
      <w:rFonts w:eastAsiaTheme="minorEastAsia"/>
    </w:rPr>
  </w:style>
  <w:style w:type="paragraph" w:customStyle="1" w:styleId="l-alfaliste2">
    <w:name w:val="l-alfaliste 2"/>
    <w:basedOn w:val="alfaliste2"/>
    <w:qFormat/>
    <w:rsid w:val="00F913C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913C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913C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913C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913CA"/>
    <w:rPr>
      <w:lang w:val="nn-NO"/>
    </w:rPr>
  </w:style>
  <w:style w:type="paragraph" w:customStyle="1" w:styleId="l-ledd">
    <w:name w:val="l-ledd"/>
    <w:basedOn w:val="Normal"/>
    <w:qFormat/>
    <w:rsid w:val="00F913CA"/>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913C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F913C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913C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F913CA"/>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913CA"/>
  </w:style>
  <w:style w:type="paragraph" w:customStyle="1" w:styleId="l-tit-endr-ledd">
    <w:name w:val="l-tit-endr-ledd"/>
    <w:basedOn w:val="Normal"/>
    <w:qFormat/>
    <w:rsid w:val="00F913CA"/>
    <w:pPr>
      <w:keepNext/>
      <w:spacing w:before="240" w:after="0" w:line="240" w:lineRule="auto"/>
    </w:pPr>
    <w:rPr>
      <w:noProof/>
      <w:lang w:val="nn-NO"/>
    </w:rPr>
  </w:style>
  <w:style w:type="paragraph" w:customStyle="1" w:styleId="l-tit-endr-lov">
    <w:name w:val="l-tit-endr-lov"/>
    <w:basedOn w:val="Normal"/>
    <w:qFormat/>
    <w:rsid w:val="00F913CA"/>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913CA"/>
    <w:pPr>
      <w:keepNext/>
      <w:spacing w:before="240" w:after="0" w:line="240" w:lineRule="auto"/>
    </w:pPr>
    <w:rPr>
      <w:noProof/>
      <w:lang w:val="nn-NO"/>
    </w:rPr>
  </w:style>
  <w:style w:type="paragraph" w:customStyle="1" w:styleId="l-tit-endr-lovkap">
    <w:name w:val="l-tit-endr-lovkap"/>
    <w:basedOn w:val="Normal"/>
    <w:qFormat/>
    <w:rsid w:val="00F913CA"/>
    <w:pPr>
      <w:keepNext/>
      <w:spacing w:before="240" w:after="0" w:line="240" w:lineRule="auto"/>
    </w:pPr>
    <w:rPr>
      <w:noProof/>
      <w:lang w:val="nn-NO"/>
    </w:rPr>
  </w:style>
  <w:style w:type="paragraph" w:customStyle="1" w:styleId="l-tit-endr-paragraf">
    <w:name w:val="l-tit-endr-paragraf"/>
    <w:basedOn w:val="Normal"/>
    <w:qFormat/>
    <w:rsid w:val="00F913CA"/>
    <w:pPr>
      <w:keepNext/>
      <w:spacing w:before="240" w:after="0" w:line="240" w:lineRule="auto"/>
    </w:pPr>
    <w:rPr>
      <w:noProof/>
      <w:lang w:val="nn-NO"/>
    </w:rPr>
  </w:style>
  <w:style w:type="paragraph" w:customStyle="1" w:styleId="l-tit-endr-punktum">
    <w:name w:val="l-tit-endr-punktum"/>
    <w:basedOn w:val="l-tit-endr-ledd"/>
    <w:qFormat/>
    <w:rsid w:val="00F913C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Listebombe">
    <w:name w:val="Liste bombe"/>
    <w:basedOn w:val="Liste"/>
    <w:qFormat/>
    <w:rsid w:val="00F913CA"/>
    <w:pPr>
      <w:numPr>
        <w:numId w:val="14"/>
      </w:numPr>
      <w:tabs>
        <w:tab w:val="left" w:pos="397"/>
      </w:tabs>
      <w:ind w:left="397" w:hanging="397"/>
    </w:pPr>
  </w:style>
  <w:style w:type="paragraph" w:customStyle="1" w:styleId="Listebombe2">
    <w:name w:val="Liste bombe 2"/>
    <w:basedOn w:val="Liste2"/>
    <w:qFormat/>
    <w:rsid w:val="00F913CA"/>
    <w:pPr>
      <w:numPr>
        <w:ilvl w:val="0"/>
        <w:numId w:val="15"/>
      </w:numPr>
      <w:ind w:left="794" w:hanging="397"/>
    </w:pPr>
  </w:style>
  <w:style w:type="paragraph" w:customStyle="1" w:styleId="Listebombe3">
    <w:name w:val="Liste bombe 3"/>
    <w:basedOn w:val="Liste3"/>
    <w:qFormat/>
    <w:rsid w:val="00F913CA"/>
    <w:pPr>
      <w:numPr>
        <w:ilvl w:val="0"/>
        <w:numId w:val="16"/>
      </w:numPr>
      <w:ind w:left="1191" w:hanging="397"/>
    </w:pPr>
  </w:style>
  <w:style w:type="paragraph" w:customStyle="1" w:styleId="Listebombe4">
    <w:name w:val="Liste bombe 4"/>
    <w:basedOn w:val="Liste4"/>
    <w:qFormat/>
    <w:rsid w:val="00F913CA"/>
    <w:pPr>
      <w:numPr>
        <w:ilvl w:val="0"/>
        <w:numId w:val="17"/>
      </w:numPr>
      <w:ind w:left="1588" w:hanging="397"/>
    </w:pPr>
  </w:style>
  <w:style w:type="paragraph" w:customStyle="1" w:styleId="Listebombe5">
    <w:name w:val="Liste bombe 5"/>
    <w:basedOn w:val="Liste5"/>
    <w:qFormat/>
    <w:rsid w:val="00F913CA"/>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913C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913CA"/>
    <w:pPr>
      <w:spacing w:after="0"/>
      <w:ind w:left="397"/>
    </w:pPr>
    <w:rPr>
      <w:spacing w:val="0"/>
      <w:lang w:val="en-US"/>
    </w:rPr>
  </w:style>
  <w:style w:type="paragraph" w:customStyle="1" w:styleId="opplisting3">
    <w:name w:val="opplisting 3"/>
    <w:basedOn w:val="Normal"/>
    <w:qFormat/>
    <w:rsid w:val="00F913CA"/>
    <w:pPr>
      <w:spacing w:after="0"/>
      <w:ind w:left="794"/>
    </w:pPr>
    <w:rPr>
      <w:spacing w:val="0"/>
    </w:rPr>
  </w:style>
  <w:style w:type="paragraph" w:customStyle="1" w:styleId="opplisting4">
    <w:name w:val="opplisting 4"/>
    <w:basedOn w:val="Normal"/>
    <w:qFormat/>
    <w:rsid w:val="00F913CA"/>
    <w:pPr>
      <w:spacing w:after="0"/>
      <w:ind w:left="1191"/>
    </w:pPr>
    <w:rPr>
      <w:spacing w:val="0"/>
    </w:rPr>
  </w:style>
  <w:style w:type="paragraph" w:customStyle="1" w:styleId="opplisting5">
    <w:name w:val="opplisting 5"/>
    <w:basedOn w:val="Normal"/>
    <w:qFormat/>
    <w:rsid w:val="00F913C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913CA"/>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913CA"/>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F913CA"/>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F913CA"/>
    <w:pPr>
      <w:keepNext/>
      <w:keepLines/>
      <w:spacing w:before="240"/>
      <w:jc w:val="center"/>
    </w:pPr>
    <w:rPr>
      <w:spacing w:val="3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F913CA"/>
    <w:rPr>
      <w:spacing w:val="6"/>
      <w:sz w:val="19"/>
    </w:rPr>
  </w:style>
  <w:style w:type="paragraph" w:customStyle="1" w:styleId="ramme-noter">
    <w:name w:val="ramme-noter"/>
    <w:basedOn w:val="Normal"/>
    <w:next w:val="Normal"/>
    <w:rsid w:val="00F913CA"/>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913CA"/>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913CA"/>
    <w:pPr>
      <w:numPr>
        <w:numId w:val="13"/>
      </w:numPr>
      <w:spacing w:after="0" w:line="240" w:lineRule="auto"/>
    </w:pPr>
    <w:rPr>
      <w:rFonts w:eastAsia="Batang"/>
      <w:spacing w:val="0"/>
      <w:szCs w:val="20"/>
    </w:rPr>
  </w:style>
  <w:style w:type="paragraph" w:customStyle="1" w:styleId="romertallliste2">
    <w:name w:val="romertall liste 2"/>
    <w:basedOn w:val="Normal"/>
    <w:rsid w:val="00F913CA"/>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913CA"/>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913CA"/>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913C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913CA"/>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913CA"/>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913CA"/>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913CA"/>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F913CA"/>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913C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913CA"/>
    <w:pPr>
      <w:keepNext/>
      <w:keepLines/>
      <w:spacing w:before="360" w:after="240"/>
      <w:jc w:val="center"/>
    </w:pPr>
    <w:rPr>
      <w:rFonts w:ascii="Arial" w:hAnsi="Arial"/>
      <w:b/>
      <w:sz w:val="28"/>
    </w:rPr>
  </w:style>
  <w:style w:type="paragraph" w:customStyle="1" w:styleId="tittel-ordforkl">
    <w:name w:val="tittel-ordforkl"/>
    <w:basedOn w:val="Normal"/>
    <w:next w:val="Normal"/>
    <w:rsid w:val="00F913CA"/>
    <w:pPr>
      <w:keepNext/>
      <w:keepLines/>
      <w:spacing w:before="360" w:after="240"/>
      <w:jc w:val="center"/>
    </w:pPr>
    <w:rPr>
      <w:rFonts w:ascii="Arial" w:hAnsi="Arial"/>
      <w:b/>
      <w:sz w:val="28"/>
    </w:rPr>
  </w:style>
  <w:style w:type="paragraph" w:customStyle="1" w:styleId="tittel-ramme">
    <w:name w:val="tittel-ramme"/>
    <w:basedOn w:val="Normal"/>
    <w:next w:val="Normal"/>
    <w:rsid w:val="00F913CA"/>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913CA"/>
    <w:pPr>
      <w:numPr>
        <w:numId w:val="0"/>
      </w:numPr>
    </w:pPr>
    <w:rPr>
      <w:b w:val="0"/>
      <w:i/>
    </w:rPr>
  </w:style>
  <w:style w:type="paragraph" w:customStyle="1" w:styleId="Undervedl-tittel">
    <w:name w:val="Undervedl-tittel"/>
    <w:basedOn w:val="Normal"/>
    <w:next w:val="Normal"/>
    <w:rsid w:val="00F913C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913CA"/>
    <w:pPr>
      <w:numPr>
        <w:numId w:val="0"/>
      </w:numPr>
      <w:outlineLvl w:val="9"/>
    </w:pPr>
  </w:style>
  <w:style w:type="paragraph" w:customStyle="1" w:styleId="v-Overskrift2">
    <w:name w:val="v-Overskrift 2"/>
    <w:basedOn w:val="Overskrift2"/>
    <w:next w:val="Normal"/>
    <w:rsid w:val="00F913C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F913C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F913CA"/>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913C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F913CA"/>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913CA"/>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913CA"/>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F913C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Calibri" w:hAnsi="Calibri" w:cs="Calibri"/>
      <w:color w:val="000000"/>
      <w:sz w:val="24"/>
      <w:szCs w:val="24"/>
      <w:u w:val="none"/>
      <w:lang w:val="en-US"/>
    </w:rPr>
  </w:style>
  <w:style w:type="character" w:styleId="Merknadsreferanse">
    <w:name w:val="annotation reference"/>
    <w:basedOn w:val="Standardskriftforavsnitt"/>
    <w:rsid w:val="00F913CA"/>
    <w:rPr>
      <w:sz w:val="16"/>
    </w:rPr>
  </w:style>
  <w:style w:type="character" w:styleId="Sluttnotereferanse">
    <w:name w:val="endnote reference"/>
    <w:basedOn w:val="Standardskriftforavsnitt"/>
    <w:uiPriority w:val="99"/>
    <w:unhideWhenUsed/>
    <w:rsid w:val="00F913CA"/>
    <w:rPr>
      <w:vertAlign w:val="superscript"/>
    </w:rPr>
  </w:style>
  <w:style w:type="character" w:styleId="Fulgthyperkobling">
    <w:name w:val="FollowedHyperlink"/>
    <w:basedOn w:val="Standardskriftforavsnitt"/>
    <w:uiPriority w:val="99"/>
    <w:unhideWhenUsed/>
    <w:rsid w:val="00F913CA"/>
    <w:rPr>
      <w:color w:val="96607D" w:themeColor="followedHyperlink"/>
      <w:u w:val="single"/>
    </w:rPr>
  </w:style>
  <w:style w:type="character" w:styleId="Utheving">
    <w:name w:val="Emphasis"/>
    <w:basedOn w:val="Standardskriftforavsnitt"/>
    <w:uiPriority w:val="20"/>
    <w:qFormat/>
    <w:rsid w:val="00F913CA"/>
    <w:rPr>
      <w:i/>
      <w:iCs/>
    </w:rPr>
  </w:style>
  <w:style w:type="character" w:styleId="HTML-sitat">
    <w:name w:val="HTML Cite"/>
    <w:basedOn w:val="Standardskriftforavsnitt"/>
    <w:uiPriority w:val="99"/>
    <w:unhideWhenUsed/>
    <w:rsid w:val="00F913CA"/>
    <w:rPr>
      <w:i/>
      <w:iCs/>
    </w:rPr>
  </w:style>
  <w:style w:type="character" w:styleId="HTML-kode">
    <w:name w:val="HTML Code"/>
    <w:basedOn w:val="Standardskriftforavsnitt"/>
    <w:uiPriority w:val="99"/>
    <w:unhideWhenUsed/>
    <w:rsid w:val="00F913CA"/>
    <w:rPr>
      <w:rFonts w:ascii="Consolas" w:hAnsi="Consolas"/>
      <w:sz w:val="20"/>
      <w:szCs w:val="20"/>
    </w:rPr>
  </w:style>
  <w:style w:type="character" w:styleId="HTML-definisjon">
    <w:name w:val="HTML Definition"/>
    <w:basedOn w:val="Standardskriftforavsnitt"/>
    <w:uiPriority w:val="99"/>
    <w:unhideWhenUsed/>
    <w:rsid w:val="00F913CA"/>
    <w:rPr>
      <w:i/>
      <w:iCs/>
    </w:rPr>
  </w:style>
  <w:style w:type="character" w:styleId="HTML-tastatur">
    <w:name w:val="HTML Keyboard"/>
    <w:basedOn w:val="Standardskriftforavsnitt"/>
    <w:uiPriority w:val="99"/>
    <w:unhideWhenUsed/>
    <w:rsid w:val="00F913CA"/>
    <w:rPr>
      <w:rFonts w:ascii="Consolas" w:hAnsi="Consolas"/>
      <w:sz w:val="20"/>
      <w:szCs w:val="20"/>
    </w:rPr>
  </w:style>
  <w:style w:type="character" w:styleId="HTML-eksempel">
    <w:name w:val="HTML Sample"/>
    <w:basedOn w:val="Standardskriftforavsnitt"/>
    <w:uiPriority w:val="99"/>
    <w:unhideWhenUsed/>
    <w:rsid w:val="00F913CA"/>
    <w:rPr>
      <w:rFonts w:ascii="Consolas" w:hAnsi="Consolas"/>
      <w:sz w:val="24"/>
      <w:szCs w:val="24"/>
    </w:rPr>
  </w:style>
  <w:style w:type="character" w:styleId="HTML-skrivemaskin">
    <w:name w:val="HTML Typewriter"/>
    <w:basedOn w:val="Standardskriftforavsnitt"/>
    <w:uiPriority w:val="99"/>
    <w:unhideWhenUsed/>
    <w:rsid w:val="00F913CA"/>
    <w:rPr>
      <w:rFonts w:ascii="Consolas" w:hAnsi="Consolas"/>
      <w:sz w:val="20"/>
      <w:szCs w:val="20"/>
    </w:rPr>
  </w:style>
  <w:style w:type="character" w:styleId="HTML-variabel">
    <w:name w:val="HTML Variable"/>
    <w:basedOn w:val="Standardskriftforavsnitt"/>
    <w:uiPriority w:val="99"/>
    <w:unhideWhenUsed/>
    <w:rsid w:val="00F913CA"/>
    <w:rPr>
      <w:i/>
      <w:iCs/>
    </w:rPr>
  </w:style>
  <w:style w:type="character" w:styleId="Svakutheving">
    <w:name w:val="Subtle Emphasis"/>
    <w:basedOn w:val="Standardskriftforavsnitt"/>
    <w:uiPriority w:val="19"/>
    <w:qFormat/>
    <w:rsid w:val="00F913CA"/>
    <w:rPr>
      <w:i/>
      <w:iCs/>
      <w:color w:val="808080" w:themeColor="text1" w:themeTint="7F"/>
    </w:rPr>
  </w:style>
  <w:style w:type="character" w:styleId="Sterkutheving">
    <w:name w:val="Intense Emphasis"/>
    <w:basedOn w:val="Standardskriftforavsnitt"/>
    <w:uiPriority w:val="21"/>
    <w:qFormat/>
    <w:rsid w:val="00F913CA"/>
    <w:rPr>
      <w:b/>
      <w:bCs/>
      <w:i/>
      <w:iCs/>
      <w:color w:val="156082" w:themeColor="accent1"/>
    </w:rPr>
  </w:style>
  <w:style w:type="character" w:styleId="Svakreferanse">
    <w:name w:val="Subtle Reference"/>
    <w:basedOn w:val="Standardskriftforavsnitt"/>
    <w:uiPriority w:val="31"/>
    <w:qFormat/>
    <w:rsid w:val="00F913CA"/>
    <w:rPr>
      <w:smallCaps/>
      <w:color w:val="E97132" w:themeColor="accent2"/>
      <w:u w:val="single"/>
    </w:rPr>
  </w:style>
  <w:style w:type="character" w:styleId="Sterkreferanse">
    <w:name w:val="Intense Reference"/>
    <w:basedOn w:val="Standardskriftforavsnitt"/>
    <w:uiPriority w:val="32"/>
    <w:qFormat/>
    <w:rsid w:val="00F913CA"/>
    <w:rPr>
      <w:b/>
      <w:bCs/>
      <w:smallCaps/>
      <w:color w:val="E97132" w:themeColor="accent2"/>
      <w:spacing w:val="5"/>
      <w:u w:val="single"/>
    </w:rPr>
  </w:style>
  <w:style w:type="character" w:styleId="Boktittel">
    <w:name w:val="Book Title"/>
    <w:basedOn w:val="Standardskriftforavsnitt"/>
    <w:uiPriority w:val="33"/>
    <w:qFormat/>
    <w:rsid w:val="00F913CA"/>
    <w:rPr>
      <w:b/>
      <w:bCs/>
      <w:smallCaps/>
      <w:spacing w:val="5"/>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KonklusjonnummerertTegn">
    <w:name w:val="Konklusjon (nummerert) Tegn"/>
    <w:uiPriority w:val="99"/>
    <w:rPr>
      <w:b/>
      <w:bCs/>
      <w:color w:val="000000"/>
      <w:sz w:val="24"/>
      <w:szCs w:val="24"/>
      <w:u w:val="none"/>
      <w:lang w:val="en-US"/>
    </w:rPr>
  </w:style>
  <w:style w:type="character" w:customStyle="1" w:styleId="cf01">
    <w:name w:val="cf01"/>
    <w:uiPriority w:val="99"/>
    <w:rPr>
      <w:rFonts w:ascii="Segoe UI" w:hAnsi="Segoe UI" w:cs="Segoe UI"/>
      <w:color w:val="000000"/>
      <w:sz w:val="18"/>
      <w:szCs w:val="18"/>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Calibri" w:hAnsi="Calibri" w:cs="Calibri"/>
      <w:color w:val="000000"/>
      <w:sz w:val="24"/>
      <w:szCs w:val="24"/>
      <w:u w:val="none"/>
      <w:lang w:val="en-US"/>
    </w:rPr>
  </w:style>
  <w:style w:type="character" w:styleId="Hyperkobling">
    <w:name w:val="Hyperlink"/>
    <w:basedOn w:val="Standardskriftforavsnitt"/>
    <w:uiPriority w:val="99"/>
    <w:unhideWhenUsed/>
    <w:rsid w:val="00F913CA"/>
    <w:rPr>
      <w:color w:val="467886" w:themeColor="hyperlink"/>
      <w:u w:val="singl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styleId="Fotnotereferanse">
    <w:name w:val="footnote reference"/>
    <w:basedOn w:val="Standardskriftforavsnitt"/>
    <w:rsid w:val="00F913CA"/>
    <w:rPr>
      <w:vertAlign w:val="superscript"/>
    </w:rPr>
  </w:style>
  <w:style w:type="character" w:customStyle="1" w:styleId="gjennomstreket">
    <w:name w:val="gjennomstreket"/>
    <w:uiPriority w:val="1"/>
    <w:rsid w:val="00F913CA"/>
    <w:rPr>
      <w:strike/>
      <w:dstrike w:val="0"/>
    </w:rPr>
  </w:style>
  <w:style w:type="character" w:customStyle="1" w:styleId="halvfet0">
    <w:name w:val="halvfet"/>
    <w:basedOn w:val="Standardskriftforavsnitt"/>
    <w:rsid w:val="00F913CA"/>
    <w:rPr>
      <w:b/>
    </w:rPr>
  </w:style>
  <w:style w:type="character" w:customStyle="1" w:styleId="kursiv">
    <w:name w:val="kursiv"/>
    <w:basedOn w:val="Standardskriftforavsnitt"/>
    <w:rsid w:val="00F913CA"/>
    <w:rPr>
      <w:i/>
    </w:rPr>
  </w:style>
  <w:style w:type="character" w:customStyle="1" w:styleId="l-endring">
    <w:name w:val="l-endring"/>
    <w:basedOn w:val="Standardskriftforavsnitt"/>
    <w:rsid w:val="00F913C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913CA"/>
  </w:style>
  <w:style w:type="character" w:styleId="Plassholdertekst">
    <w:name w:val="Placeholder Text"/>
    <w:basedOn w:val="Standardskriftforavsnitt"/>
    <w:uiPriority w:val="99"/>
    <w:rsid w:val="00F913CA"/>
    <w:rPr>
      <w:color w:val="808080"/>
    </w:rPr>
  </w:style>
  <w:style w:type="character" w:customStyle="1" w:styleId="regular">
    <w:name w:val="regular"/>
    <w:basedOn w:val="Standardskriftforavsnitt"/>
    <w:uiPriority w:val="1"/>
    <w:qFormat/>
    <w:rsid w:val="00F913C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F913CA"/>
    <w:rPr>
      <w:vertAlign w:val="superscript"/>
    </w:rPr>
  </w:style>
  <w:style w:type="character" w:customStyle="1" w:styleId="skrift-senket">
    <w:name w:val="skrift-senket"/>
    <w:basedOn w:val="Standardskriftforavsnitt"/>
    <w:rsid w:val="00F913CA"/>
    <w:rPr>
      <w:vertAlign w:val="subscript"/>
    </w:rPr>
  </w:style>
  <w:style w:type="character" w:customStyle="1" w:styleId="sperret0">
    <w:name w:val="sperret"/>
    <w:basedOn w:val="Standardskriftforavsnitt"/>
    <w:rsid w:val="00F913CA"/>
    <w:rPr>
      <w:spacing w:val="30"/>
    </w:rPr>
  </w:style>
  <w:style w:type="character" w:customStyle="1" w:styleId="Stikkord">
    <w:name w:val="Stikkord"/>
    <w:basedOn w:val="Standardskriftforavsnitt"/>
    <w:rsid w:val="00F913CA"/>
    <w:rPr>
      <w:color w:val="0000FF"/>
    </w:rPr>
  </w:style>
  <w:style w:type="character" w:customStyle="1" w:styleId="stikkord0">
    <w:name w:val="stikkord"/>
    <w:uiPriority w:val="99"/>
  </w:style>
  <w:style w:type="character" w:styleId="Sterk">
    <w:name w:val="Strong"/>
    <w:basedOn w:val="Standardskriftforavsnitt"/>
    <w:uiPriority w:val="22"/>
    <w:qFormat/>
    <w:rsid w:val="00F913CA"/>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table" w:customStyle="1" w:styleId="Tabell-VM">
    <w:name w:val="Tabell-VM"/>
    <w:basedOn w:val="Tabelltemaer"/>
    <w:uiPriority w:val="99"/>
    <w:qFormat/>
    <w:rsid w:val="00F913CA"/>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F913CA"/>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913CA"/>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F913CA"/>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913CA"/>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F913CA"/>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913CA"/>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F913CA"/>
  </w:style>
  <w:style w:type="character" w:styleId="HTML-akronym">
    <w:name w:val="HTML Acronym"/>
    <w:basedOn w:val="Standardskriftforavsnitt"/>
    <w:uiPriority w:val="99"/>
    <w:semiHidden/>
    <w:unhideWhenUsed/>
    <w:rsid w:val="00F913CA"/>
  </w:style>
  <w:style w:type="table" w:styleId="Tabellrutenett">
    <w:name w:val="Table Grid"/>
    <w:aliases w:val="MetadataTabellss"/>
    <w:basedOn w:val="Vanligtabell"/>
    <w:uiPriority w:val="59"/>
    <w:rsid w:val="00F913CA"/>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F913CA"/>
    <w:pPr>
      <w:numPr>
        <w:numId w:val="3"/>
      </w:numPr>
    </w:pPr>
  </w:style>
  <w:style w:type="numbering" w:customStyle="1" w:styleId="NrListeStil">
    <w:name w:val="NrListeStil"/>
    <w:uiPriority w:val="99"/>
    <w:rsid w:val="00F913CA"/>
    <w:pPr>
      <w:numPr>
        <w:numId w:val="4"/>
      </w:numPr>
    </w:pPr>
  </w:style>
  <w:style w:type="numbering" w:customStyle="1" w:styleId="RomListeStil">
    <w:name w:val="RomListeStil"/>
    <w:uiPriority w:val="99"/>
    <w:rsid w:val="00F913CA"/>
    <w:pPr>
      <w:numPr>
        <w:numId w:val="5"/>
      </w:numPr>
    </w:pPr>
  </w:style>
  <w:style w:type="numbering" w:customStyle="1" w:styleId="StrekListeStil">
    <w:name w:val="StrekListeStil"/>
    <w:uiPriority w:val="99"/>
    <w:rsid w:val="00F913CA"/>
    <w:pPr>
      <w:numPr>
        <w:numId w:val="6"/>
      </w:numPr>
    </w:pPr>
  </w:style>
  <w:style w:type="numbering" w:customStyle="1" w:styleId="OpplistingListeStil">
    <w:name w:val="OpplistingListeStil"/>
    <w:uiPriority w:val="99"/>
    <w:rsid w:val="00F913CA"/>
    <w:pPr>
      <w:numPr>
        <w:numId w:val="7"/>
      </w:numPr>
    </w:pPr>
  </w:style>
  <w:style w:type="numbering" w:customStyle="1" w:styleId="l-NummerertListeStil">
    <w:name w:val="l-NummerertListeStil"/>
    <w:uiPriority w:val="99"/>
    <w:rsid w:val="00F913CA"/>
    <w:pPr>
      <w:numPr>
        <w:numId w:val="8"/>
      </w:numPr>
    </w:pPr>
  </w:style>
  <w:style w:type="numbering" w:customStyle="1" w:styleId="l-AlfaListeStil">
    <w:name w:val="l-AlfaListeStil"/>
    <w:uiPriority w:val="99"/>
    <w:rsid w:val="00F913CA"/>
    <w:pPr>
      <w:numPr>
        <w:numId w:val="9"/>
      </w:numPr>
    </w:pPr>
  </w:style>
  <w:style w:type="numbering" w:customStyle="1" w:styleId="OverskrifterListeStil">
    <w:name w:val="OverskrifterListeStil"/>
    <w:uiPriority w:val="99"/>
    <w:rsid w:val="00F913CA"/>
    <w:pPr>
      <w:numPr>
        <w:numId w:val="10"/>
      </w:numPr>
    </w:pPr>
  </w:style>
  <w:style w:type="numbering" w:customStyle="1" w:styleId="l-ListeStilMal">
    <w:name w:val="l-ListeStilMal"/>
    <w:uiPriority w:val="99"/>
    <w:rsid w:val="00F913CA"/>
    <w:pPr>
      <w:numPr>
        <w:numId w:val="11"/>
      </w:numPr>
    </w:pPr>
  </w:style>
  <w:style w:type="table" w:customStyle="1" w:styleId="MetadataTabell">
    <w:name w:val="MetadataTabell"/>
    <w:basedOn w:val="Rutenettabelllys"/>
    <w:uiPriority w:val="99"/>
    <w:rsid w:val="00F913CA"/>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table" w:styleId="Rutenettabelllys">
    <w:name w:val="Grid Table Light"/>
    <w:basedOn w:val="Vanligtabell"/>
    <w:uiPriority w:val="40"/>
    <w:rsid w:val="00F913CA"/>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andardtabell-02">
    <w:name w:val="Standardtabell-02"/>
    <w:basedOn w:val="StandardTabell"/>
    <w:uiPriority w:val="99"/>
    <w:rsid w:val="00F913CA"/>
    <w:pPr>
      <w:spacing w:after="0" w:line="240" w:lineRule="auto"/>
    </w:pPr>
    <w:tblPr>
      <w:tblBorders>
        <w:top w:val="none" w:sz="0" w:space="0" w:color="auto"/>
        <w:bottom w:val="none" w:sz="0" w:space="0" w:color="auto"/>
        <w:insideH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6960-4772-4CE7-B1A8-104DC7A4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Template>
  <TotalTime>7</TotalTime>
  <Pages>52</Pages>
  <Words>20839</Words>
  <Characters>122517</Characters>
  <Application>Microsoft Office Word</Application>
  <DocSecurity>0</DocSecurity>
  <Lines>1828</Lines>
  <Paragraphs>631</Paragraphs>
  <ScaleCrop>false</ScaleCrop>
  <Company/>
  <LinksUpToDate>false</LinksUpToDate>
  <CharactersWithSpaces>142725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Susann Vatnedal</cp:lastModifiedBy>
  <cp:revision>4</cp:revision>
  <dcterms:created xsi:type="dcterms:W3CDTF">2025-06-11T08:38:00Z</dcterms:created>
  <dcterms:modified xsi:type="dcterms:W3CDTF">2025-06-11T11:23:00Z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2025-06-11T11:23:19Z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76938c35-7ce9-41b2-96df-551e1ce1c3f0</vt:lpwstr>
  </property>
  <property fmtid="{D5CDD505-2E9C-101B-9397-08002B2CF9AE}" pid="8" name="MSIP_Label_b22f7043-6caf-4431-9109-8eff758a1d8b_ContentBits">
    <vt:lpwstr>0</vt:lpwstr>
  </property>
</Properties>
</file>