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48" w:rsidRPr="00A54F48" w:rsidRDefault="00A54F48" w:rsidP="00E65EF3">
      <w:pPr>
        <w:pStyle w:val="PublTittel"/>
      </w:pPr>
      <w:r w:rsidRPr="00A54F48">
        <w:t xml:space="preserve">Forslag til ny lov om tros- og livssynssamfunn (trossamfunnsloven) </w:t>
      </w:r>
    </w:p>
    <w:p w:rsidR="001E1D44" w:rsidRDefault="001E1D44" w:rsidP="001E1D44">
      <w:pPr>
        <w:pStyle w:val="Undertittel"/>
      </w:pPr>
      <w:r>
        <w:t>Høringsnotat 25. september 2017</w:t>
      </w:r>
    </w:p>
    <w:p w:rsidR="00490A21" w:rsidRPr="000550E8" w:rsidRDefault="000550E8" w:rsidP="001E1D44">
      <w:pPr>
        <w:pStyle w:val="Undertittel"/>
      </w:pPr>
      <w:r w:rsidRPr="000550E8">
        <w:t>Høringsfrist 31. desember 2017</w:t>
      </w:r>
    </w:p>
    <w:p w:rsidR="00490A21" w:rsidRPr="001E2486" w:rsidRDefault="00490A21">
      <w:pPr>
        <w:spacing w:after="0" w:line="240" w:lineRule="auto"/>
      </w:pPr>
      <w:r w:rsidRPr="001E2486">
        <w:br w:type="page"/>
      </w:r>
    </w:p>
    <w:p w:rsidR="00944062" w:rsidRDefault="00944062" w:rsidP="00986F34">
      <w:pPr>
        <w:pStyle w:val="Overskrift1"/>
      </w:pPr>
      <w:bookmarkStart w:id="0" w:name="_Toc477789518"/>
      <w:bookmarkStart w:id="1" w:name="_Toc477793925"/>
      <w:bookmarkStart w:id="2" w:name="_Toc477796411"/>
      <w:bookmarkStart w:id="3" w:name="_Toc477797308"/>
      <w:bookmarkStart w:id="4" w:name="_Toc477798205"/>
      <w:bookmarkStart w:id="5" w:name="_Toc477799103"/>
      <w:bookmarkStart w:id="6" w:name="_Toc477800278"/>
      <w:bookmarkStart w:id="7" w:name="_Toc477800275"/>
      <w:bookmarkStart w:id="8" w:name="_Toc477802136"/>
      <w:bookmarkStart w:id="9" w:name="_Toc477803032"/>
      <w:bookmarkStart w:id="10" w:name="_Toc477803928"/>
      <w:bookmarkStart w:id="11" w:name="_Toc477803912"/>
      <w:bookmarkStart w:id="12" w:name="_Toc477805705"/>
      <w:bookmarkStart w:id="13" w:name="_Toc477809221"/>
      <w:bookmarkStart w:id="14" w:name="_Toc477856860"/>
      <w:bookmarkStart w:id="15" w:name="_Toc477859448"/>
      <w:bookmarkStart w:id="16" w:name="_Toc477857767"/>
      <w:bookmarkStart w:id="17" w:name="_Toc477861100"/>
      <w:bookmarkStart w:id="18" w:name="_Toc477863827"/>
      <w:bookmarkStart w:id="19" w:name="_Toc477865063"/>
      <w:bookmarkStart w:id="20" w:name="_Toc477865963"/>
      <w:bookmarkStart w:id="21" w:name="_Toc477866862"/>
      <w:bookmarkStart w:id="22" w:name="_Toc477867761"/>
      <w:bookmarkStart w:id="23" w:name="_Toc477868660"/>
      <w:bookmarkStart w:id="24" w:name="_Toc477869561"/>
      <w:bookmarkStart w:id="25" w:name="_Toc477870462"/>
      <w:bookmarkStart w:id="26" w:name="_Toc477871363"/>
      <w:bookmarkStart w:id="27" w:name="_Toc477869562"/>
      <w:bookmarkStart w:id="28" w:name="_Toc477872939"/>
      <w:bookmarkStart w:id="29" w:name="_Toc477873850"/>
      <w:bookmarkStart w:id="30" w:name="_Toc477875238"/>
      <w:bookmarkStart w:id="31" w:name="_Toc477876147"/>
      <w:bookmarkStart w:id="32" w:name="_Toc477877056"/>
      <w:bookmarkStart w:id="33" w:name="_Toc477877965"/>
      <w:bookmarkStart w:id="34" w:name="_Toc477876127"/>
      <w:bookmarkStart w:id="35" w:name="_Toc477879529"/>
      <w:bookmarkStart w:id="36" w:name="_Toc477880447"/>
      <w:bookmarkStart w:id="37" w:name="_Toc477881366"/>
      <w:bookmarkStart w:id="38" w:name="_Toc477885826"/>
      <w:bookmarkStart w:id="39" w:name="_Toc477890153"/>
      <w:bookmarkStart w:id="40" w:name="_Toc477936509"/>
      <w:bookmarkStart w:id="41" w:name="_Toc477937682"/>
      <w:bookmarkStart w:id="42" w:name="_Toc476320898"/>
      <w:bookmarkStart w:id="43" w:name="_Toc477277184"/>
      <w:bookmarkStart w:id="44" w:name="_Toc477535442"/>
      <w:bookmarkStart w:id="45" w:name="_Toc477630572"/>
      <w:bookmarkStart w:id="46" w:name="_Toc477693533"/>
      <w:bookmarkStart w:id="47" w:name="_Toc477703899"/>
      <w:bookmarkStart w:id="48" w:name="_Toc477799104"/>
      <w:bookmarkStart w:id="49" w:name="_Toc477805706"/>
      <w:bookmarkStart w:id="50" w:name="_Toc477877966"/>
      <w:bookmarkStart w:id="51" w:name="_Toc477881367"/>
      <w:bookmarkStart w:id="52" w:name="_Toc477885827"/>
      <w:bookmarkStart w:id="53" w:name="_Toc478131294"/>
      <w:bookmarkStart w:id="54" w:name="_Toc478138677"/>
      <w:bookmarkStart w:id="55" w:name="_Toc478237176"/>
      <w:bookmarkStart w:id="56" w:name="_Toc481761713"/>
      <w:bookmarkStart w:id="57" w:name="_Toc4929003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Innledning og sammendrag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BC39C4" w:rsidRDefault="00BC39C4" w:rsidP="00BC39C4">
      <w:pPr>
        <w:pStyle w:val="Overskrift2"/>
      </w:pPr>
      <w:bookmarkStart w:id="58" w:name="_Toc472326776"/>
      <w:bookmarkStart w:id="59" w:name="_Toc477277185"/>
      <w:bookmarkStart w:id="60" w:name="_Toc477535443"/>
      <w:bookmarkStart w:id="61" w:name="_Toc477630573"/>
      <w:bookmarkStart w:id="62" w:name="_Toc477693534"/>
      <w:bookmarkStart w:id="63" w:name="_Toc477703900"/>
      <w:bookmarkStart w:id="64" w:name="_Toc477799105"/>
      <w:bookmarkStart w:id="65" w:name="_Toc477805707"/>
      <w:bookmarkStart w:id="66" w:name="_Toc477877967"/>
      <w:bookmarkStart w:id="67" w:name="_Toc477881368"/>
      <w:bookmarkStart w:id="68" w:name="_Toc477885828"/>
      <w:bookmarkStart w:id="69" w:name="_Toc478131295"/>
      <w:bookmarkStart w:id="70" w:name="_Toc478138678"/>
      <w:bookmarkStart w:id="71" w:name="_Toc478237177"/>
      <w:bookmarkStart w:id="72" w:name="_Toc481761714"/>
      <w:bookmarkStart w:id="73" w:name="_Toc492900367"/>
      <w:bookmarkStart w:id="74" w:name="_Toc476320899"/>
      <w:r w:rsidRPr="00BC39C4">
        <w:t>Innledning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8C6A08" w:rsidRDefault="008C6A08" w:rsidP="00A44764">
      <w:r>
        <w:t xml:space="preserve">Kulturdepartementet sender med dette på høring forslag om </w:t>
      </w:r>
      <w:r w:rsidRPr="008C6A08">
        <w:t>endringe</w:t>
      </w:r>
      <w:r>
        <w:t>r som</w:t>
      </w:r>
      <w:r w:rsidRPr="008C6A08">
        <w:t xml:space="preserve"> innebærer en samlet revisjon av hele tros- og livssyns</w:t>
      </w:r>
      <w:r w:rsidR="002421C0">
        <w:t>lovgivningen og de tilknyttede tilskuddsordningene</w:t>
      </w:r>
      <w:r w:rsidRPr="008C6A08">
        <w:t xml:space="preserve">. De gjeldende tre lovene (kirkeloven, trossamfunnsloven og livssynssamfunnsloven) </w:t>
      </w:r>
      <w:r w:rsidR="002421C0">
        <w:t>foreslås opphevet</w:t>
      </w:r>
      <w:r w:rsidRPr="008C6A08">
        <w:t xml:space="preserve"> og </w:t>
      </w:r>
      <w:r w:rsidR="002421C0">
        <w:t>erstattet</w:t>
      </w:r>
      <w:r w:rsidRPr="008C6A08">
        <w:t xml:space="preserve"> av en felles lov. </w:t>
      </w:r>
      <w:r w:rsidR="000A5301">
        <w:t>Forslaget innebærer samordning og forenkling av l</w:t>
      </w:r>
      <w:r w:rsidRPr="008C6A08">
        <w:t>ovgivningen og de lovregulerte finansieringso</w:t>
      </w:r>
      <w:r w:rsidR="000A5301">
        <w:t>rdningene</w:t>
      </w:r>
      <w:r w:rsidRPr="008C6A08">
        <w:t xml:space="preserve">. Det </w:t>
      </w:r>
      <w:r>
        <w:t xml:space="preserve">fremmes </w:t>
      </w:r>
      <w:r w:rsidRPr="008C6A08">
        <w:t>også forslag om justeringer i ekteskapsloven og gravferdsloven. En særskilt lovgivning for Den norske kirke foreslås videreført i samsvar med Grunnloven § 16, nå i form av et eget lovkapittel med rammelovbestemmelser for Den norske kirke.</w:t>
      </w:r>
    </w:p>
    <w:p w:rsidR="009A3E06" w:rsidRPr="00677801" w:rsidRDefault="009A3E06" w:rsidP="00A44764">
      <w:pPr>
        <w:rPr>
          <w:i/>
        </w:rPr>
      </w:pPr>
      <w:r>
        <w:t>I sin høringsuttalelse til</w:t>
      </w:r>
      <w:r w:rsidR="00677801">
        <w:t xml:space="preserve"> </w:t>
      </w:r>
      <w:r>
        <w:t xml:space="preserve">NOU 2013:1 </w:t>
      </w:r>
      <w:r w:rsidRPr="00677801">
        <w:rPr>
          <w:i/>
        </w:rPr>
        <w:t>Det livssynsåpne samfunn</w:t>
      </w:r>
      <w:r>
        <w:t xml:space="preserve"> uttalte Samarbeidsrådet</w:t>
      </w:r>
      <w:r w:rsidR="00677801">
        <w:t xml:space="preserve"> for tros- og livssynssamfunn: </w:t>
      </w:r>
      <w:r w:rsidRPr="00677801">
        <w:rPr>
          <w:i/>
        </w:rPr>
        <w:t>Rapportens navn "Det livssynsåpne samfunn" viser vei inn i fremtiden. Rapporten tar på alvor at Norge i dag er et pluralistisk samfunn preget av religiøst mangfold, og preget i større grad av ulikhet i bakgrunn og kultur, enn landet var bare for en generasjon siden. Økningen av medlemmer i tros- og livssynssamfunn utenfor Den norske kirke (Dnk) utfordrer</w:t>
      </w:r>
      <w:r w:rsidR="00677801">
        <w:rPr>
          <w:i/>
        </w:rPr>
        <w:t xml:space="preserve"> </w:t>
      </w:r>
      <w:r w:rsidRPr="00677801">
        <w:rPr>
          <w:i/>
        </w:rPr>
        <w:t>det</w:t>
      </w:r>
      <w:r w:rsidR="00677801">
        <w:rPr>
          <w:i/>
        </w:rPr>
        <w:t xml:space="preserve"> norske samfunn til</w:t>
      </w:r>
      <w:r w:rsidRPr="00677801">
        <w:rPr>
          <w:i/>
        </w:rPr>
        <w:t xml:space="preserve"> å se gamle</w:t>
      </w:r>
      <w:r w:rsidR="00677801">
        <w:rPr>
          <w:i/>
        </w:rPr>
        <w:t xml:space="preserve"> </w:t>
      </w:r>
      <w:r w:rsidRPr="00677801">
        <w:rPr>
          <w:i/>
        </w:rPr>
        <w:t>prob</w:t>
      </w:r>
      <w:r w:rsidR="00677801">
        <w:rPr>
          <w:i/>
        </w:rPr>
        <w:t>lemstillinger med nye øyne. Det</w:t>
      </w:r>
      <w:r w:rsidRPr="00677801">
        <w:rPr>
          <w:i/>
        </w:rPr>
        <w:t xml:space="preserve"> gjør NOU 2013:1, når den så tydelig understreker at samfunnet må åpne opp og tilrettelegge for ulike synlige trosuttrykk, minoriteter og majoriteter, se</w:t>
      </w:r>
      <w:r w:rsidR="00677801">
        <w:rPr>
          <w:i/>
        </w:rPr>
        <w:t>kulære og religiøse trospraksis</w:t>
      </w:r>
      <w:r w:rsidRPr="00677801">
        <w:rPr>
          <w:i/>
        </w:rPr>
        <w:t>er.</w:t>
      </w:r>
    </w:p>
    <w:p w:rsidR="002421C0" w:rsidRDefault="002421C0" w:rsidP="002421C0">
      <w:r>
        <w:t>I lovproposisjonen om omdanning av Den norske kirke til eget rettssubjekt (</w:t>
      </w:r>
      <w:r w:rsidRPr="008C6A08">
        <w:t>Prop. 55 L (2015</w:t>
      </w:r>
      <w:r>
        <w:t>–2</w:t>
      </w:r>
      <w:r w:rsidRPr="008C6A08">
        <w:t>016)</w:t>
      </w:r>
      <w:r w:rsidR="000A5301">
        <w:t>)</w:t>
      </w:r>
      <w:r w:rsidRPr="008C6A08">
        <w:t xml:space="preserve"> </w:t>
      </w:r>
      <w:r>
        <w:t xml:space="preserve">varslet departementet en helhetlig gjennomgang av </w:t>
      </w:r>
      <w:r w:rsidR="00F13DE4">
        <w:t>tros- og livssynsfeltet, der bl</w:t>
      </w:r>
      <w:r>
        <w:t>a</w:t>
      </w:r>
      <w:r w:rsidR="00E37A6B">
        <w:t>n</w:t>
      </w:r>
      <w:r w:rsidR="00F13DE4">
        <w:t xml:space="preserve">t annet </w:t>
      </w:r>
      <w:r>
        <w:t xml:space="preserve">finansieringsordningene for Den norske kirke og andre tros- og livssynssamfunn skulle vurderes i sammenheng. Utover en gjennomgang av finansieringsordningene for alle tros- og livssynssamfunn, mente departementet at også de andre delene av lovgivningen for Den norske kirke og andre tros- og livssynssamfunn burde gjennomgås samlet. Departementet </w:t>
      </w:r>
      <w:r w:rsidR="000A5301">
        <w:t xml:space="preserve">varslet at en </w:t>
      </w:r>
      <w:r>
        <w:t xml:space="preserve">ville komme tilbake til dette som egen sak når den kirkelige forvaltningsreformen </w:t>
      </w:r>
      <w:r w:rsidR="00433355">
        <w:t xml:space="preserve">med omdanning av Den norske kirke til eget rettssubjekt </w:t>
      </w:r>
      <w:r>
        <w:t>var gjennomført, og uttalte at målet var én helhetlig lov for alle tros- og livssynssamfunn.</w:t>
      </w:r>
    </w:p>
    <w:p w:rsidR="002421C0" w:rsidRPr="008C6A08" w:rsidRDefault="000A5301" w:rsidP="002421C0">
      <w:r>
        <w:t>Kirkemøtet har</w:t>
      </w:r>
      <w:r w:rsidR="002421C0" w:rsidRPr="008C6A08">
        <w:t xml:space="preserve"> tidligere gjo</w:t>
      </w:r>
      <w:r w:rsidR="002421C0">
        <w:t>rt vedtak om at dannelse</w:t>
      </w:r>
      <w:r>
        <w:t>n</w:t>
      </w:r>
      <w:r w:rsidR="002421C0">
        <w:t xml:space="preserve"> av et </w:t>
      </w:r>
      <w:r w:rsidR="002421C0" w:rsidRPr="008C6A08">
        <w:t>nytt</w:t>
      </w:r>
      <w:r>
        <w:t>,</w:t>
      </w:r>
      <w:r w:rsidR="002421C0" w:rsidRPr="008C6A08">
        <w:t xml:space="preserve"> selvstendig rettssubjekt for </w:t>
      </w:r>
      <w:r>
        <w:t>Den norske kirke</w:t>
      </w:r>
      <w:r w:rsidR="002421C0" w:rsidRPr="008C6A08">
        <w:t xml:space="preserve"> måtte følges opp av en ytterligere selvstendiggjøring av </w:t>
      </w:r>
      <w:r>
        <w:t xml:space="preserve">kirken </w:t>
      </w:r>
      <w:r w:rsidR="002421C0" w:rsidRPr="008C6A08">
        <w:t>ved at statens sæ</w:t>
      </w:r>
      <w:r>
        <w:t xml:space="preserve">rskilte lovregulering </w:t>
      </w:r>
      <w:r w:rsidR="002421C0" w:rsidRPr="008C6A08">
        <w:t>ble innskrenket til en kortfattet rammelov.</w:t>
      </w:r>
      <w:r w:rsidR="002421C0">
        <w:t xml:space="preserve"> </w:t>
      </w:r>
    </w:p>
    <w:p w:rsidR="008C6A08" w:rsidRPr="00AE2C25" w:rsidRDefault="008C6A08" w:rsidP="00AE2C25">
      <w:bookmarkStart w:id="75" w:name="_Toc472326777"/>
      <w:bookmarkStart w:id="76" w:name="_Toc477277186"/>
      <w:bookmarkStart w:id="77" w:name="_Toc477535449"/>
      <w:bookmarkStart w:id="78" w:name="_Toc477630579"/>
      <w:bookmarkStart w:id="79" w:name="_Toc477693540"/>
      <w:bookmarkStart w:id="80" w:name="_Toc477703906"/>
      <w:bookmarkStart w:id="81" w:name="_Toc477799111"/>
      <w:bookmarkStart w:id="82" w:name="_Toc477805713"/>
      <w:bookmarkStart w:id="83" w:name="_Toc477877973"/>
      <w:bookmarkStart w:id="84" w:name="_Toc477881374"/>
      <w:bookmarkStart w:id="85" w:name="_Toc477885834"/>
      <w:bookmarkStart w:id="86" w:name="_Toc478131296"/>
      <w:bookmarkStart w:id="87" w:name="_Toc478138679"/>
      <w:bookmarkStart w:id="88" w:name="_Toc478237178"/>
      <w:r w:rsidRPr="00AE2C25">
        <w:t xml:space="preserve">Kulturdepartementet sikter mot å legge fram en lovproposisjon i samsvar med dette. I </w:t>
      </w:r>
      <w:r w:rsidR="002421C0" w:rsidRPr="00AE2C25">
        <w:t xml:space="preserve">det </w:t>
      </w:r>
      <w:r w:rsidR="007A35AF" w:rsidRPr="00AE2C25">
        <w:t xml:space="preserve">foreliggende </w:t>
      </w:r>
      <w:r w:rsidRPr="00AE2C25">
        <w:t>høringsnotat</w:t>
      </w:r>
      <w:r w:rsidR="002421C0" w:rsidRPr="00AE2C25">
        <w:t>et</w:t>
      </w:r>
      <w:r w:rsidRPr="00AE2C25">
        <w:t xml:space="preserve"> er det gjort rede for de problemstillingene en slik reform reiser og de lovforslagene den aktualiserer.</w:t>
      </w:r>
    </w:p>
    <w:p w:rsidR="004678F1" w:rsidRDefault="00BC39C4" w:rsidP="001E491E">
      <w:pPr>
        <w:pStyle w:val="Overskrift2"/>
      </w:pPr>
      <w:bookmarkStart w:id="89" w:name="_Toc481761715"/>
      <w:bookmarkStart w:id="90" w:name="_Toc492900368"/>
      <w:r w:rsidRPr="00BC39C4">
        <w:t>Sammendrag</w:t>
      </w:r>
      <w:bookmarkStart w:id="91" w:name="_Toc477630581"/>
      <w:bookmarkStart w:id="92" w:name="_Toc477693542"/>
      <w:bookmarkStart w:id="93" w:name="_Toc477703908"/>
      <w:bookmarkStart w:id="94" w:name="_Toc477799113"/>
      <w:bookmarkStart w:id="95" w:name="_Toc477805715"/>
      <w:bookmarkStart w:id="96" w:name="_Toc477877975"/>
      <w:bookmarkStart w:id="97" w:name="_Toc477881376"/>
      <w:bookmarkStart w:id="98" w:name="_Toc47788583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937041" w:rsidRDefault="00937041" w:rsidP="00354EF9">
      <w:bookmarkStart w:id="99" w:name="_Toc478124764"/>
      <w:bookmarkEnd w:id="99"/>
      <w:r>
        <w:t>Den rettslige reguleringen av Den norske kirke og andre tros- og livssynssamfunn følger i dag av lov om tr</w:t>
      </w:r>
      <w:r w:rsidR="002E4533">
        <w:t xml:space="preserve">udomssamfunn og ymist anna </w:t>
      </w:r>
      <w:r>
        <w:t xml:space="preserve">fra 1969, lov om tilskott til livssynssamfunn fra 1981 og lov om Den norske kirke fra 1996. Den offentlige finansieringen av Den norske kirke og den særlige økonomiske støtteordningen </w:t>
      </w:r>
      <w:r w:rsidR="00CA11CB">
        <w:t>for</w:t>
      </w:r>
      <w:r>
        <w:t xml:space="preserve"> andre tros</w:t>
      </w:r>
      <w:r w:rsidR="00CB0D15">
        <w:t xml:space="preserve">- og </w:t>
      </w:r>
      <w:r>
        <w:t xml:space="preserve">livssynssamfunn er også regulert </w:t>
      </w:r>
      <w:r w:rsidR="00DB2DF4">
        <w:t>der</w:t>
      </w:r>
      <w:r w:rsidR="00F54769">
        <w:t xml:space="preserve">. </w:t>
      </w:r>
      <w:r>
        <w:t xml:space="preserve">Departementet foreslår i dette høringsnotatet at </w:t>
      </w:r>
      <w:r w:rsidR="00CB0D15">
        <w:t xml:space="preserve">denne </w:t>
      </w:r>
      <w:r>
        <w:t>lovgivning</w:t>
      </w:r>
      <w:r w:rsidR="00CB0D15">
        <w:t>en</w:t>
      </w:r>
      <w:r>
        <w:t xml:space="preserve"> erstattes av en felles lov om tros- og livssynssamfunn</w:t>
      </w:r>
      <w:r w:rsidR="005253FC">
        <w:t xml:space="preserve"> som også omfatter Den norske kirke</w:t>
      </w:r>
      <w:r>
        <w:t>.</w:t>
      </w:r>
    </w:p>
    <w:p w:rsidR="00354EF9" w:rsidRDefault="00CB0D15" w:rsidP="00354EF9">
      <w:r>
        <w:t xml:space="preserve">Lovforslaget </w:t>
      </w:r>
      <w:r w:rsidR="00B37D5C">
        <w:t xml:space="preserve">bygger for en stor del på forslag fremmet av Stålsett-utvalget i NOU 2013: 1 </w:t>
      </w:r>
      <w:r w:rsidR="00B37D5C" w:rsidRPr="004B3D3E">
        <w:rPr>
          <w:i/>
        </w:rPr>
        <w:t>Det livs</w:t>
      </w:r>
      <w:r w:rsidR="00B37D5C">
        <w:rPr>
          <w:i/>
        </w:rPr>
        <w:t>s</w:t>
      </w:r>
      <w:r w:rsidR="00B37D5C" w:rsidRPr="004B3D3E">
        <w:rPr>
          <w:i/>
        </w:rPr>
        <w:t>ynsåpne samfunn</w:t>
      </w:r>
      <w:r w:rsidR="00B37D5C">
        <w:rPr>
          <w:i/>
        </w:rPr>
        <w:t xml:space="preserve">. </w:t>
      </w:r>
      <w:r w:rsidR="00B37D5C" w:rsidRPr="004B3D3E">
        <w:t>Målet for</w:t>
      </w:r>
      <w:r w:rsidR="00B37D5C">
        <w:rPr>
          <w:i/>
        </w:rPr>
        <w:t xml:space="preserve"> </w:t>
      </w:r>
      <w:r w:rsidR="00B37D5C" w:rsidRPr="004B3D3E">
        <w:t>u</w:t>
      </w:r>
      <w:r w:rsidR="00B37D5C">
        <w:t xml:space="preserve">tredningen var å legge grunnlaget for en </w:t>
      </w:r>
      <w:r>
        <w:t>mer</w:t>
      </w:r>
      <w:r w:rsidR="00B37D5C">
        <w:t xml:space="preserve"> helhetlig tros- </w:t>
      </w:r>
      <w:r w:rsidR="00B37D5C">
        <w:lastRenderedPageBreak/>
        <w:t>og livssynspolitikk</w:t>
      </w:r>
      <w:r w:rsidR="00354EF9">
        <w:t>. Utvalget</w:t>
      </w:r>
      <w:r w:rsidR="00B37D5C">
        <w:t xml:space="preserve"> </w:t>
      </w:r>
      <w:r w:rsidR="00F54769">
        <w:t xml:space="preserve">utredet og </w:t>
      </w:r>
      <w:r w:rsidR="00B37D5C">
        <w:t>belyste en rekke spørsmål som berører det tros- og livs</w:t>
      </w:r>
      <w:r w:rsidR="00F54769">
        <w:t>s</w:t>
      </w:r>
      <w:r w:rsidR="00B37D5C">
        <w:t>ynspolitiske feltet</w:t>
      </w:r>
      <w:r w:rsidR="00354EF9">
        <w:t xml:space="preserve">, og la blant annet fram et forslag til en ny lov om tilskudd til tros- og livssynssamfunn utenom Den norske kirke. </w:t>
      </w:r>
    </w:p>
    <w:p w:rsidR="00F54769" w:rsidRDefault="00354EF9" w:rsidP="00354EF9">
      <w:r>
        <w:t>Departementets</w:t>
      </w:r>
      <w:r w:rsidR="00DB2DF4">
        <w:t xml:space="preserve"> h</w:t>
      </w:r>
      <w:r w:rsidR="00F54769">
        <w:t xml:space="preserve">øringsnotat om </w:t>
      </w:r>
      <w:r w:rsidR="00CB0D15">
        <w:t>en</w:t>
      </w:r>
      <w:r w:rsidR="00F54769">
        <w:t xml:space="preserve"> felles lov </w:t>
      </w:r>
      <w:r w:rsidR="005253FC">
        <w:t>om</w:t>
      </w:r>
      <w:r w:rsidR="00F54769">
        <w:t xml:space="preserve"> tros- og livssynssamfunn er avgrenset til å omhandle den rettslige reguleringen og </w:t>
      </w:r>
      <w:r w:rsidR="00CB0D15">
        <w:t>de</w:t>
      </w:r>
      <w:r w:rsidR="00F54769">
        <w:t xml:space="preserve"> særlige finansieringsordningen</w:t>
      </w:r>
      <w:r w:rsidR="00CB0D15">
        <w:t>e</w:t>
      </w:r>
      <w:r w:rsidR="00F54769">
        <w:t xml:space="preserve"> for </w:t>
      </w:r>
      <w:r w:rsidR="00CB0D15">
        <w:t xml:space="preserve">Den norske kirke og andre </w:t>
      </w:r>
      <w:r w:rsidR="00F54769">
        <w:t>tros- og livssynssamfunn.</w:t>
      </w:r>
    </w:p>
    <w:p w:rsidR="00FF64F3" w:rsidRDefault="005850B9" w:rsidP="00354EF9">
      <w:r>
        <w:t xml:space="preserve">Forholdet mellom stat, </w:t>
      </w:r>
      <w:r w:rsidR="00923C93">
        <w:t xml:space="preserve">samfunn, </w:t>
      </w:r>
      <w:r>
        <w:t xml:space="preserve">religion og livssyn har de siste tiårene fått stadig større </w:t>
      </w:r>
      <w:r w:rsidR="00DE09CF">
        <w:t xml:space="preserve">oppmerksomhet, </w:t>
      </w:r>
      <w:r w:rsidR="00B614D6">
        <w:t xml:space="preserve">i Norge som i andre land. </w:t>
      </w:r>
      <w:r w:rsidR="00605927">
        <w:t>Den</w:t>
      </w:r>
      <w:r w:rsidR="00DE09CF">
        <w:t xml:space="preserve"> </w:t>
      </w:r>
      <w:r w:rsidR="0082168B">
        <w:t>kristne enhetskultur</w:t>
      </w:r>
      <w:r w:rsidR="00605927">
        <w:t>en</w:t>
      </w:r>
      <w:r w:rsidR="0082168B">
        <w:t xml:space="preserve"> </w:t>
      </w:r>
      <w:r w:rsidR="00DE09CF">
        <w:t xml:space="preserve">er </w:t>
      </w:r>
      <w:r w:rsidR="00A2576A">
        <w:t xml:space="preserve">i </w:t>
      </w:r>
      <w:r w:rsidR="0082168B">
        <w:t>løpet av de</w:t>
      </w:r>
      <w:r w:rsidR="00605927">
        <w:t>t</w:t>
      </w:r>
      <w:r w:rsidR="0082168B">
        <w:t xml:space="preserve"> siste hundreåret avløst av </w:t>
      </w:r>
      <w:r w:rsidR="00E44E41">
        <w:t xml:space="preserve">et </w:t>
      </w:r>
      <w:r w:rsidR="00DE09CF">
        <w:t xml:space="preserve">stadig </w:t>
      </w:r>
      <w:r w:rsidR="00E44E41">
        <w:t xml:space="preserve">større </w:t>
      </w:r>
      <w:r w:rsidR="00354EF9">
        <w:t>mangfold i trosforestillinger og livssyn, i religiøse kulturuttrykk, tradisjoner og skikker.</w:t>
      </w:r>
      <w:r w:rsidR="00CB0D15">
        <w:t xml:space="preserve"> </w:t>
      </w:r>
      <w:r w:rsidR="007F3C64">
        <w:t xml:space="preserve">En </w:t>
      </w:r>
      <w:r w:rsidR="002D4D63">
        <w:t xml:space="preserve">økende andel av befolkningen </w:t>
      </w:r>
      <w:r w:rsidR="007F3C64">
        <w:t xml:space="preserve">regner seg som </w:t>
      </w:r>
      <w:r w:rsidR="002D4D63">
        <w:t>ikke-religiøse</w:t>
      </w:r>
      <w:r w:rsidR="007F3C64">
        <w:t xml:space="preserve"> og har ingen tilknytning til et bestemt tros- eller livssynssamfunn. </w:t>
      </w:r>
      <w:r w:rsidR="00605927">
        <w:t xml:space="preserve">Behovet for en </w:t>
      </w:r>
      <w:r w:rsidR="007F3C64">
        <w:t xml:space="preserve">mer </w:t>
      </w:r>
      <w:r w:rsidR="00605927">
        <w:t xml:space="preserve">helhetlig tros- og livssynspolitikk har sin vesentlige bakgrunn </w:t>
      </w:r>
      <w:r w:rsidR="00472256">
        <w:t>i d</w:t>
      </w:r>
      <w:r w:rsidR="00605927">
        <w:t xml:space="preserve">et tros- og livssynsmangfoldet som </w:t>
      </w:r>
      <w:r w:rsidR="007F3C64">
        <w:t xml:space="preserve">det </w:t>
      </w:r>
      <w:r w:rsidR="00605927">
        <w:t>norske samfunnet</w:t>
      </w:r>
      <w:r w:rsidR="007F3C64">
        <w:t xml:space="preserve"> kjennetegnes av i dag</w:t>
      </w:r>
      <w:r w:rsidR="00472256">
        <w:t xml:space="preserve">. En felles lov </w:t>
      </w:r>
      <w:r w:rsidR="005253FC">
        <w:t>om</w:t>
      </w:r>
      <w:r w:rsidR="00472256">
        <w:t xml:space="preserve"> tros- og livssynssamfunn skal bidra til </w:t>
      </w:r>
      <w:r w:rsidR="00433355">
        <w:t xml:space="preserve">likebehandling, </w:t>
      </w:r>
      <w:r w:rsidR="00472256">
        <w:t xml:space="preserve">større helhet og sammenheng i </w:t>
      </w:r>
      <w:r w:rsidR="00796B15">
        <w:t xml:space="preserve">lovgivningen </w:t>
      </w:r>
      <w:r w:rsidR="007F3C64">
        <w:t xml:space="preserve">for samfunnene. </w:t>
      </w:r>
      <w:r w:rsidR="00796B15">
        <w:t>Et sentralt mål er at lov</w:t>
      </w:r>
      <w:r w:rsidR="00A0688A">
        <w:t xml:space="preserve">givningen </w:t>
      </w:r>
      <w:r w:rsidR="00796B15">
        <w:t>om Den norske kirke og andre tros- og livssynssamfunn blir mer samordnet og ensartet enn de</w:t>
      </w:r>
      <w:r w:rsidR="00A0688A">
        <w:t>n</w:t>
      </w:r>
      <w:r w:rsidR="00796B15">
        <w:t xml:space="preserve"> er i dag</w:t>
      </w:r>
      <w:r w:rsidR="007F3C64">
        <w:t>,</w:t>
      </w:r>
      <w:r w:rsidR="00A0688A">
        <w:t xml:space="preserve"> og at bestemmelser om </w:t>
      </w:r>
      <w:r w:rsidR="00796B15">
        <w:t xml:space="preserve">Den norske kirke </w:t>
      </w:r>
      <w:r w:rsidR="00A0688A">
        <w:t xml:space="preserve">får mer karakter av rammelovgivning. </w:t>
      </w:r>
      <w:r w:rsidR="00796B15">
        <w:t xml:space="preserve">Et </w:t>
      </w:r>
      <w:r w:rsidR="00B57DBB">
        <w:t xml:space="preserve">annet </w:t>
      </w:r>
      <w:r w:rsidR="00DF351B">
        <w:t xml:space="preserve">viktig mål er å fornye og </w:t>
      </w:r>
      <w:r w:rsidR="007F3C64">
        <w:t>forenkl</w:t>
      </w:r>
      <w:r w:rsidR="00F27BF8">
        <w:t xml:space="preserve">e </w:t>
      </w:r>
      <w:r w:rsidR="00C34A38">
        <w:t>ø</w:t>
      </w:r>
      <w:r w:rsidR="00F27BF8">
        <w:t>konomiske støtteordninge</w:t>
      </w:r>
      <w:r w:rsidR="00C34A38">
        <w:t>r</w:t>
      </w:r>
      <w:r w:rsidR="00F27BF8">
        <w:t xml:space="preserve">. </w:t>
      </w:r>
      <w:r w:rsidR="00FF64F3">
        <w:t xml:space="preserve">I høringsnotatets </w:t>
      </w:r>
      <w:r w:rsidR="00FF64F3" w:rsidRPr="001E491E">
        <w:rPr>
          <w:i/>
        </w:rPr>
        <w:t>kapittel 2</w:t>
      </w:r>
      <w:r w:rsidR="00FF64F3">
        <w:t xml:space="preserve"> er motivene for ny lovgivning nærmere beskrevet, med en gjennomgang av samfunnsmessige og andre utviklingstrekk som begrunner </w:t>
      </w:r>
      <w:r w:rsidR="00B96DB8">
        <w:t xml:space="preserve">behovet for </w:t>
      </w:r>
      <w:r w:rsidR="00FF64F3">
        <w:t>fornying og forenkling</w:t>
      </w:r>
      <w:r w:rsidR="00B96DB8">
        <w:t xml:space="preserve"> av regelverk og </w:t>
      </w:r>
      <w:r w:rsidR="00A0430B">
        <w:t>s</w:t>
      </w:r>
      <w:r w:rsidR="00B96DB8">
        <w:t>tøtteordninge</w:t>
      </w:r>
      <w:r w:rsidR="00834278">
        <w:t>r.</w:t>
      </w:r>
      <w:r w:rsidR="00B96DB8">
        <w:t xml:space="preserve"> </w:t>
      </w:r>
    </w:p>
    <w:p w:rsidR="00F27BF8" w:rsidRDefault="00834278" w:rsidP="00354EF9">
      <w:r>
        <w:t xml:space="preserve">Behovet for ny lovgivning om Den norske kirke og andre tros- og livssynssamfunn er ikke bare aktualisert som følge av samfunnsmessige utviklingstrekk, men også av de siste tiårenes utvikling av forholdet mellom </w:t>
      </w:r>
      <w:r w:rsidR="00F27BF8">
        <w:t xml:space="preserve">staten og </w:t>
      </w:r>
      <w:r>
        <w:t>Den norske kirke. Grunnlovens bestemmelser om statskirkeordningen ble grunnleggende endret i 2012</w:t>
      </w:r>
      <w:r w:rsidR="00F27BF8">
        <w:t>,</w:t>
      </w:r>
      <w:r>
        <w:t xml:space="preserve"> og Den norske kirke </w:t>
      </w:r>
      <w:r w:rsidR="00F27BF8">
        <w:t xml:space="preserve">er i 2017 </w:t>
      </w:r>
      <w:r w:rsidR="00280BB1">
        <w:t>etablert som eget rettssubjekt, skilt fra staten</w:t>
      </w:r>
      <w:r w:rsidR="00F27BF8">
        <w:t xml:space="preserve">. </w:t>
      </w:r>
      <w:r w:rsidR="00280BB1">
        <w:t xml:space="preserve">Høringsnotatets </w:t>
      </w:r>
      <w:r w:rsidR="00280BB1" w:rsidRPr="001E491E">
        <w:rPr>
          <w:i/>
        </w:rPr>
        <w:t>kapittel 3</w:t>
      </w:r>
      <w:r w:rsidR="00280BB1">
        <w:t xml:space="preserve"> gir en kort </w:t>
      </w:r>
      <w:r w:rsidR="005253FC">
        <w:t xml:space="preserve">historisk </w:t>
      </w:r>
      <w:r w:rsidR="00F27BF8">
        <w:t xml:space="preserve">oversikt </w:t>
      </w:r>
      <w:r w:rsidR="005253FC">
        <w:t xml:space="preserve">over den religionspolitiske utviklingen </w:t>
      </w:r>
      <w:r w:rsidR="00DF351B">
        <w:t xml:space="preserve">og </w:t>
      </w:r>
      <w:r w:rsidR="00F044A5">
        <w:t>de s</w:t>
      </w:r>
      <w:r w:rsidR="00DF351B">
        <w:t>iste tiårene</w:t>
      </w:r>
      <w:r w:rsidR="00F27BF8">
        <w:t>s</w:t>
      </w:r>
      <w:r w:rsidR="00F044A5">
        <w:t xml:space="preserve"> reform</w:t>
      </w:r>
      <w:r w:rsidR="00DF351B">
        <w:t>er av forholdet mellom staten og Den norske kirke.</w:t>
      </w:r>
      <w:r w:rsidR="00F044A5">
        <w:t xml:space="preserve"> Også hovedpunkte</w:t>
      </w:r>
      <w:r w:rsidR="00F27BF8">
        <w:t>r</w:t>
      </w:r>
      <w:r w:rsidR="00F044A5">
        <w:t xml:space="preserve"> i Stålsett-utvalgets utredning NOU 2013: 1 er inntatt i kapitlet. </w:t>
      </w:r>
    </w:p>
    <w:p w:rsidR="00FA2C37" w:rsidRDefault="00747F5F" w:rsidP="00354EF9">
      <w:r>
        <w:t>En oversikt over dagens lovgivning om Den norske kirke og andre tros- og livssynssamfunn er gitt i høringsnotat</w:t>
      </w:r>
      <w:r w:rsidR="00F27BF8">
        <w:t>et</w:t>
      </w:r>
      <w:r>
        <w:t xml:space="preserve">s </w:t>
      </w:r>
      <w:r w:rsidRPr="001E491E">
        <w:rPr>
          <w:i/>
        </w:rPr>
        <w:t>kapittel 4</w:t>
      </w:r>
      <w:r>
        <w:t>. Også tilgrensende lovgivning</w:t>
      </w:r>
      <w:r w:rsidR="00FA2C37">
        <w:t xml:space="preserve"> (lov om Opplysningsvesenets fond, </w:t>
      </w:r>
      <w:r>
        <w:t>ek</w:t>
      </w:r>
      <w:r w:rsidR="00FA2C37">
        <w:t>tes</w:t>
      </w:r>
      <w:r>
        <w:t>kapsloven</w:t>
      </w:r>
      <w:r w:rsidR="00FA2C37">
        <w:t xml:space="preserve"> og gravferdsloven) </w:t>
      </w:r>
      <w:r w:rsidR="00C34A38">
        <w:t>er</w:t>
      </w:r>
      <w:r w:rsidR="00FA2C37">
        <w:t xml:space="preserve"> kort omtalt der. </w:t>
      </w:r>
      <w:r>
        <w:t xml:space="preserve"> </w:t>
      </w:r>
    </w:p>
    <w:p w:rsidR="00077FE9" w:rsidRPr="00354EF9" w:rsidRDefault="00FA2C37" w:rsidP="00354EF9">
      <w:r>
        <w:t xml:space="preserve">De nordiske folkekirkene </w:t>
      </w:r>
      <w:r w:rsidR="006E7D2E">
        <w:t xml:space="preserve">er </w:t>
      </w:r>
      <w:r w:rsidR="00677801">
        <w:t xml:space="preserve">historisk </w:t>
      </w:r>
      <w:r w:rsidR="006E7D2E">
        <w:t>alle evangelisk-lutherske kirkesamfunn med en nær tilknytning til staten</w:t>
      </w:r>
      <w:r w:rsidR="005B6734">
        <w:t xml:space="preserve">. </w:t>
      </w:r>
      <w:r w:rsidR="00C34A38">
        <w:t>Stat</w:t>
      </w:r>
      <w:r w:rsidR="002E0FCF">
        <w:t>–</w:t>
      </w:r>
      <w:r w:rsidR="00C34A38">
        <w:t>kirke</w:t>
      </w:r>
      <w:r w:rsidR="002E0FCF">
        <w:t>-</w:t>
      </w:r>
      <w:r w:rsidR="00C34A38">
        <w:t>re</w:t>
      </w:r>
      <w:r w:rsidR="006E7D2E">
        <w:t>lasjon</w:t>
      </w:r>
      <w:r w:rsidR="00C34A38">
        <w:t>ene</w:t>
      </w:r>
      <w:r w:rsidR="006E7D2E">
        <w:t xml:space="preserve"> er </w:t>
      </w:r>
      <w:r w:rsidR="005B6734">
        <w:t xml:space="preserve">imidlertid </w:t>
      </w:r>
      <w:r w:rsidR="006E7D2E">
        <w:t xml:space="preserve">ulikt utformet i lovgivning og finansielle ordninger. </w:t>
      </w:r>
      <w:r w:rsidR="005B6734">
        <w:t xml:space="preserve">Lovreguleringen av andre trossamfunn og de økonomiske støtteordningene for disse er også ulike de nordiske landene imellom. </w:t>
      </w:r>
      <w:r w:rsidR="00077FE9">
        <w:t xml:space="preserve">Situasjonen i de </w:t>
      </w:r>
      <w:r w:rsidR="00433355">
        <w:t xml:space="preserve">andre </w:t>
      </w:r>
      <w:r w:rsidR="00077FE9">
        <w:t xml:space="preserve">nordiske landene er omtalt i høringsnotatets </w:t>
      </w:r>
      <w:r w:rsidR="00077FE9" w:rsidRPr="001E491E">
        <w:rPr>
          <w:i/>
        </w:rPr>
        <w:t>kapittel 5</w:t>
      </w:r>
      <w:r w:rsidR="00077FE9">
        <w:rPr>
          <w:i/>
        </w:rPr>
        <w:t>.</w:t>
      </w:r>
    </w:p>
    <w:p w:rsidR="006B381E" w:rsidRDefault="0079753F" w:rsidP="00354EF9">
      <w:r w:rsidRPr="001E491E">
        <w:t xml:space="preserve">I høringsnotatets </w:t>
      </w:r>
      <w:r>
        <w:rPr>
          <w:i/>
        </w:rPr>
        <w:t>kapittel 6</w:t>
      </w:r>
      <w:r w:rsidRPr="001E491E">
        <w:t xml:space="preserve"> drøfter depart</w:t>
      </w:r>
      <w:r>
        <w:t>e</w:t>
      </w:r>
      <w:r w:rsidRPr="001E491E">
        <w:t>mentet</w:t>
      </w:r>
      <w:r>
        <w:t xml:space="preserve"> </w:t>
      </w:r>
      <w:r w:rsidR="00584EB5">
        <w:t xml:space="preserve">visse </w:t>
      </w:r>
      <w:r>
        <w:t xml:space="preserve">grunnleggende spørsmål </w:t>
      </w:r>
      <w:r w:rsidR="00584EB5">
        <w:t xml:space="preserve">som reises ved den rettslige reguleringen av tros- og livssynssamfunn og ved offentlig finansiering av deres virksomhet. </w:t>
      </w:r>
      <w:r w:rsidR="00F37986">
        <w:t>Først</w:t>
      </w:r>
      <w:r w:rsidR="00683C00">
        <w:t xml:space="preserve"> </w:t>
      </w:r>
      <w:r w:rsidR="00584EB5">
        <w:t xml:space="preserve">drøftes de rettslige rammene som </w:t>
      </w:r>
      <w:r w:rsidR="00E143BE">
        <w:t>følger av i</w:t>
      </w:r>
      <w:r w:rsidR="00584EB5">
        <w:t>nternasjonale konvensjoner om menneskerettigheter</w:t>
      </w:r>
      <w:r w:rsidR="00513DC6">
        <w:t>.</w:t>
      </w:r>
      <w:r w:rsidR="009276D3">
        <w:t xml:space="preserve"> </w:t>
      </w:r>
      <w:r w:rsidR="00F37986">
        <w:t xml:space="preserve">Dernest </w:t>
      </w:r>
      <w:r w:rsidR="00067452">
        <w:t xml:space="preserve">drøfter </w:t>
      </w:r>
      <w:r w:rsidR="00F37986">
        <w:t xml:space="preserve">departementet </w:t>
      </w:r>
      <w:r w:rsidR="00067452">
        <w:t>bestemmelsene</w:t>
      </w:r>
      <w:r w:rsidR="00E143BE">
        <w:t xml:space="preserve"> i Grunnloven § 16, </w:t>
      </w:r>
      <w:r w:rsidR="00513DC6">
        <w:t xml:space="preserve">som forplikter </w:t>
      </w:r>
      <w:r w:rsidR="00E143BE">
        <w:t>staten til å understøtte Den norske kirke som folkekirke</w:t>
      </w:r>
      <w:r w:rsidR="00067452">
        <w:t xml:space="preserve"> og å understøtte</w:t>
      </w:r>
      <w:r w:rsidR="00E143BE">
        <w:t xml:space="preserve"> alle tros- og livssynssamfunn på lik linje. </w:t>
      </w:r>
      <w:r w:rsidR="00322C55">
        <w:t>De</w:t>
      </w:r>
      <w:r w:rsidR="00C34A38">
        <w:t>partementet ser den offentlige finansieringen av Den norske kirke og de økonomiske støtteordningen</w:t>
      </w:r>
      <w:r w:rsidR="00677A8E">
        <w:t>e</w:t>
      </w:r>
      <w:r w:rsidR="00C34A38">
        <w:t xml:space="preserve"> til andre tros- og livssynssamfunn som uttrykk for </w:t>
      </w:r>
      <w:r w:rsidR="00354EF9">
        <w:t xml:space="preserve">understøttelsesplikten og likebehandlingsprinsippet som følger av Grunnloven § 16. Departementet mener at også andre hensyn begrunner offentlige </w:t>
      </w:r>
      <w:r w:rsidR="00354EF9">
        <w:lastRenderedPageBreak/>
        <w:t>støtteordninger til tros- og livssynssamfunn. Departementet legger til grunn at en offentlig</w:t>
      </w:r>
      <w:r w:rsidR="000C2E8D">
        <w:t xml:space="preserve"> finansiering av Den norske kirke og andre tros- og livssynssamfunn føres videre. Den konkrete utformingen av </w:t>
      </w:r>
      <w:r w:rsidR="000C2E8D" w:rsidRPr="000C2E8D">
        <w:t>fi</w:t>
      </w:r>
      <w:r w:rsidR="000C2E8D" w:rsidRPr="001E491E">
        <w:t>n</w:t>
      </w:r>
      <w:r w:rsidR="000C2E8D" w:rsidRPr="000C2E8D">
        <w:t>ansieringsordningen</w:t>
      </w:r>
      <w:r w:rsidR="000C2E8D" w:rsidRPr="001E491E">
        <w:t>e</w:t>
      </w:r>
      <w:r w:rsidR="000C2E8D" w:rsidRPr="000C2E8D">
        <w:t xml:space="preserve"> </w:t>
      </w:r>
      <w:r w:rsidR="006B381E">
        <w:t xml:space="preserve">er </w:t>
      </w:r>
      <w:r w:rsidR="000C2E8D">
        <w:t xml:space="preserve">blant </w:t>
      </w:r>
      <w:r w:rsidR="006B381E">
        <w:t>hovedtema</w:t>
      </w:r>
      <w:r w:rsidR="000C2E8D">
        <w:t>ene</w:t>
      </w:r>
      <w:r w:rsidR="006B381E">
        <w:t xml:space="preserve"> i høringsnotatet.</w:t>
      </w:r>
      <w:r w:rsidR="006B381E" w:rsidDel="006B381E">
        <w:t xml:space="preserve"> </w:t>
      </w:r>
    </w:p>
    <w:p w:rsidR="00354EF9" w:rsidRDefault="00354EF9" w:rsidP="00354EF9">
      <w:r>
        <w:t xml:space="preserve">I </w:t>
      </w:r>
      <w:r w:rsidRPr="001E491E">
        <w:rPr>
          <w:i/>
        </w:rPr>
        <w:t xml:space="preserve">kapittel 7 </w:t>
      </w:r>
      <w:r w:rsidRPr="001E491E">
        <w:t>drøfter depart</w:t>
      </w:r>
      <w:r>
        <w:t>e</w:t>
      </w:r>
      <w:r w:rsidRPr="001E491E">
        <w:t xml:space="preserve">mentet </w:t>
      </w:r>
      <w:r>
        <w:t>hvilke formål en felles lov om tros- og livssynssamfunn bør ivareta, og hva som skal være lovens virkeområde. Departementet mener at det fortsatt bør være e</w:t>
      </w:r>
      <w:r w:rsidR="00D41BF2">
        <w:t xml:space="preserve">n ordning med </w:t>
      </w:r>
      <w:r>
        <w:t xml:space="preserve">registrering av tros- og livssynssamfunn. Departementet foreslår at et samfunn må ha minst 500 medlemmer over 15 år for å bli registrert, kunne få vigselsmyndighet og motta økonomisk støtte etter loven. Mange samfunn vil ikke i dag oppfylle antallskravet, men </w:t>
      </w:r>
      <w:r w:rsidR="002B1925">
        <w:t xml:space="preserve">likeartede </w:t>
      </w:r>
      <w:r>
        <w:t xml:space="preserve">samfunn skal kunne gå sammen i en organisatorisk overbygning for å oppfylle antallskravet. </w:t>
      </w:r>
      <w:r w:rsidR="001C6B8D">
        <w:t xml:space="preserve">Det foreslås også en hjemmel for å kunne fravike antallskravet i helt særlige tilfeller. </w:t>
      </w:r>
    </w:p>
    <w:p w:rsidR="00354EF9" w:rsidRDefault="00354EF9" w:rsidP="00354EF9">
      <w:r>
        <w:t xml:space="preserve">Egne lovbestemmelser om Den norske kirke er foreslått inntatt som et eget kapittel i forslaget til ny lov om tros- og livssynssamfunn. Grunnloven § 16 forutsetter særlig lovgivning om Den norske kirkes "ordning". Forslaget innebærer en nedbygging av dagens lovregulering av kirken og er av rammekarakter. At den gjeldende kirkeloven oppheves og erstattes av en rammelovgivning, reiser en del kirkerettslige spørsmål som er nærmere gjennomgått i høringsnotatets </w:t>
      </w:r>
      <w:r w:rsidRPr="001E491E">
        <w:rPr>
          <w:i/>
        </w:rPr>
        <w:t xml:space="preserve">kapittel </w:t>
      </w:r>
      <w:r>
        <w:rPr>
          <w:i/>
        </w:rPr>
        <w:t>8</w:t>
      </w:r>
      <w:r w:rsidRPr="001E491E">
        <w:rPr>
          <w:i/>
        </w:rPr>
        <w:t>.</w:t>
      </w:r>
      <w:r>
        <w:t xml:space="preserve"> Bla</w:t>
      </w:r>
      <w:r w:rsidR="004022F5">
        <w:t>nt annet</w:t>
      </w:r>
      <w:r>
        <w:t xml:space="preserve"> drøftes </w:t>
      </w:r>
      <w:r w:rsidRPr="00560B39">
        <w:t>s</w:t>
      </w:r>
      <w:r w:rsidRPr="00400001">
        <w:t>oknets</w:t>
      </w:r>
      <w:r w:rsidRPr="00E3145D">
        <w:t xml:space="preserve"> </w:t>
      </w:r>
      <w:r w:rsidR="002B1925">
        <w:t xml:space="preserve">(menighetens) </w:t>
      </w:r>
      <w:r>
        <w:t xml:space="preserve">rettslige stilling i lys av forslaget til ny lov. </w:t>
      </w:r>
      <w:r w:rsidRPr="00527E94">
        <w:t>Soknet</w:t>
      </w:r>
      <w:r>
        <w:t xml:space="preserve"> er den organisatoriske grunnenheten i Den norske kirke, med en rettslig og økonomisk selvstendighet (eget rettssubjekt). </w:t>
      </w:r>
    </w:p>
    <w:p w:rsidR="003F2580" w:rsidRDefault="009C2468" w:rsidP="00354EF9">
      <w:r>
        <w:t>H</w:t>
      </w:r>
      <w:r w:rsidR="00560B39">
        <w:t xml:space="preserve">øringsnotatets </w:t>
      </w:r>
      <w:r w:rsidR="00560B39" w:rsidRPr="001E491E">
        <w:rPr>
          <w:i/>
        </w:rPr>
        <w:t>kapittel 9</w:t>
      </w:r>
      <w:r w:rsidR="00560B39">
        <w:t xml:space="preserve"> </w:t>
      </w:r>
      <w:r>
        <w:t>omhandler</w:t>
      </w:r>
      <w:r w:rsidR="00560B39">
        <w:t xml:space="preserve"> den offentlige finansieringen av Den norske kirke</w:t>
      </w:r>
      <w:r>
        <w:t xml:space="preserve">. </w:t>
      </w:r>
      <w:r w:rsidR="00182D68">
        <w:t>Den norske kirke blir</w:t>
      </w:r>
      <w:r w:rsidR="005E7D11">
        <w:t xml:space="preserve"> i dag finansier</w:t>
      </w:r>
      <w:r w:rsidR="00182D68">
        <w:t>t dels</w:t>
      </w:r>
      <w:r w:rsidR="005E7D11">
        <w:t xml:space="preserve"> over statsbudsjettet</w:t>
      </w:r>
      <w:r w:rsidR="00182D68">
        <w:t>, dels over</w:t>
      </w:r>
      <w:r w:rsidR="00D551BD">
        <w:t xml:space="preserve"> </w:t>
      </w:r>
      <w:r w:rsidR="005E7D11">
        <w:t xml:space="preserve">kommunebudsjettene. Departementet reiser spørsmålet om denne </w:t>
      </w:r>
      <w:r w:rsidR="00182D68">
        <w:t xml:space="preserve">to-delte </w:t>
      </w:r>
      <w:r w:rsidR="005E7D11">
        <w:t>finansierings</w:t>
      </w:r>
      <w:r w:rsidR="00F10CB0">
        <w:t xml:space="preserve">ordningen </w:t>
      </w:r>
      <w:r w:rsidR="005E7D11">
        <w:t>bør føres videre eller om staten bør ta det fulle finansieringsansvaret</w:t>
      </w:r>
      <w:r w:rsidR="00F10CB0">
        <w:t xml:space="preserve">. </w:t>
      </w:r>
      <w:r w:rsidR="00354EF9">
        <w:t xml:space="preserve">Drøftingen av finansieringsordningene </w:t>
      </w:r>
      <w:r w:rsidR="00F3730F">
        <w:t xml:space="preserve">tar utgangspunkt i at departementet mener </w:t>
      </w:r>
      <w:r w:rsidR="008730AD">
        <w:t xml:space="preserve">Den norske kirke </w:t>
      </w:r>
      <w:r w:rsidR="006E6393">
        <w:t xml:space="preserve">bør ha </w:t>
      </w:r>
      <w:r w:rsidR="00702895">
        <w:t xml:space="preserve">stor frihet til </w:t>
      </w:r>
      <w:r w:rsidR="00527E94">
        <w:t xml:space="preserve">selv </w:t>
      </w:r>
      <w:r w:rsidR="00702895">
        <w:t>å bestemme myndighets- og ansvarsfordelingen mellom kirkens ulike organer</w:t>
      </w:r>
      <w:r w:rsidR="00354EF9">
        <w:t>, og at staten bla</w:t>
      </w:r>
      <w:r w:rsidR="00D41BF2">
        <w:t>nt annet</w:t>
      </w:r>
      <w:r w:rsidR="00D551BD">
        <w:t xml:space="preserve"> </w:t>
      </w:r>
      <w:r w:rsidR="00F10CB0">
        <w:t xml:space="preserve">ikke </w:t>
      </w:r>
      <w:r w:rsidR="00F3730F">
        <w:t xml:space="preserve">lenger </w:t>
      </w:r>
      <w:r w:rsidR="00D42BC9">
        <w:t xml:space="preserve">bør </w:t>
      </w:r>
      <w:r w:rsidR="00F3730F">
        <w:t>lovregulere et fellesorgan for soknene i hver kommune</w:t>
      </w:r>
      <w:r w:rsidR="00D551BD">
        <w:t>. Lovbestemmelser</w:t>
      </w:r>
      <w:r w:rsidR="00D42BC9">
        <w:t xml:space="preserve"> om kirkelig fellesråd </w:t>
      </w:r>
      <w:r w:rsidR="00D551BD">
        <w:t xml:space="preserve">foreslås derfor </w:t>
      </w:r>
      <w:r w:rsidR="00D42BC9">
        <w:t>oppheve</w:t>
      </w:r>
      <w:r w:rsidR="00D551BD">
        <w:t>t</w:t>
      </w:r>
      <w:r w:rsidR="002B1925">
        <w:t>, men organet vil kunne v</w:t>
      </w:r>
      <w:r w:rsidR="004959AC">
        <w:t>idereføres etter beslutning av K</w:t>
      </w:r>
      <w:r w:rsidR="002B1925">
        <w:t>irkemøtet.</w:t>
      </w:r>
      <w:r w:rsidR="00D42BC9">
        <w:t xml:space="preserve"> Fellesrådet har i dag ansvaret for forvaltning</w:t>
      </w:r>
      <w:r w:rsidR="00D551BD">
        <w:t>en</w:t>
      </w:r>
      <w:r w:rsidR="00D42BC9">
        <w:t xml:space="preserve"> </w:t>
      </w:r>
      <w:r w:rsidR="00D551BD">
        <w:t>av Den norske kirke</w:t>
      </w:r>
      <w:r w:rsidR="008C16F9">
        <w:t>s</w:t>
      </w:r>
      <w:r w:rsidR="00D551BD">
        <w:t xml:space="preserve"> kirkebygg </w:t>
      </w:r>
      <w:r w:rsidR="00D42BC9">
        <w:t>og disponerer de kommunale bevilgninge</w:t>
      </w:r>
      <w:r w:rsidR="000E1F7F">
        <w:t>ne</w:t>
      </w:r>
      <w:r w:rsidR="00D42BC9">
        <w:t xml:space="preserve"> til kirke</w:t>
      </w:r>
      <w:r w:rsidR="00D551BD">
        <w:t>byggene</w:t>
      </w:r>
      <w:r w:rsidR="00F91E87">
        <w:t xml:space="preserve">, gravplassene </w:t>
      </w:r>
      <w:r w:rsidR="00D551BD">
        <w:t xml:space="preserve">og </w:t>
      </w:r>
      <w:r w:rsidR="00D42BC9">
        <w:t xml:space="preserve">kirkens </w:t>
      </w:r>
      <w:r w:rsidR="00D551BD">
        <w:t xml:space="preserve">øvrige </w:t>
      </w:r>
      <w:r w:rsidR="00D42BC9">
        <w:t xml:space="preserve">virksomhet i kommunen. </w:t>
      </w:r>
      <w:r w:rsidR="00D551BD">
        <w:t>Kirkebyggenes forvaltning og deres</w:t>
      </w:r>
      <w:r w:rsidR="000E1F7F">
        <w:t xml:space="preserve"> finansiering er viktige sider ved finansieringsordningene</w:t>
      </w:r>
      <w:r w:rsidR="00DB7E6E">
        <w:t xml:space="preserve"> og drøftes særskilt</w:t>
      </w:r>
      <w:r w:rsidR="00D551BD">
        <w:t>.</w:t>
      </w:r>
      <w:r w:rsidR="000E1F7F">
        <w:t xml:space="preserve"> </w:t>
      </w:r>
      <w:r w:rsidR="006E6393">
        <w:t xml:space="preserve">Departementet har ikke konkludert </w:t>
      </w:r>
      <w:r w:rsidR="000E1F7F">
        <w:t xml:space="preserve">i spørsmålet om </w:t>
      </w:r>
      <w:r w:rsidR="00D551BD">
        <w:t>den økonomiske oppgavefordelingen mellom stat</w:t>
      </w:r>
      <w:r w:rsidR="00DB7E6E">
        <w:t>en</w:t>
      </w:r>
      <w:r w:rsidR="00D551BD">
        <w:t xml:space="preserve"> og kommune</w:t>
      </w:r>
      <w:r w:rsidR="00DB7E6E">
        <w:t>ne</w:t>
      </w:r>
      <w:r w:rsidR="00D551BD">
        <w:t xml:space="preserve"> </w:t>
      </w:r>
      <w:r w:rsidR="008C16F9">
        <w:t xml:space="preserve">på kirkens område </w:t>
      </w:r>
      <w:r w:rsidR="00D551BD">
        <w:t xml:space="preserve">bør føres videre eller om staten bør ta </w:t>
      </w:r>
      <w:r w:rsidR="008C16F9">
        <w:t xml:space="preserve">det fulle finansieringsansvaret. Departementet </w:t>
      </w:r>
      <w:r w:rsidR="00F143AD">
        <w:t>legger</w:t>
      </w:r>
      <w:r w:rsidR="006E6393">
        <w:t xml:space="preserve"> spørsmålet</w:t>
      </w:r>
      <w:r w:rsidR="00F143AD">
        <w:t xml:space="preserve"> fram </w:t>
      </w:r>
      <w:r w:rsidR="00563A84">
        <w:t xml:space="preserve">i høringen </w:t>
      </w:r>
      <w:r w:rsidR="00F143AD">
        <w:t xml:space="preserve">som </w:t>
      </w:r>
      <w:r w:rsidR="00527E94">
        <w:t xml:space="preserve">to </w:t>
      </w:r>
      <w:r w:rsidR="00F143AD">
        <w:t>alternativer</w:t>
      </w:r>
      <w:r w:rsidR="000E1F7F">
        <w:t>.</w:t>
      </w:r>
      <w:r w:rsidR="00F91E87">
        <w:t xml:space="preserve"> </w:t>
      </w:r>
    </w:p>
    <w:p w:rsidR="000E1F7F" w:rsidRDefault="00F91E87" w:rsidP="00354EF9">
      <w:r>
        <w:t xml:space="preserve">Når det spesielt gjelder forvaltningen av gravplassene, som er en oppgave kirken utfører på vegne av det norske samfunnet, </w:t>
      </w:r>
      <w:r w:rsidR="003F2580">
        <w:t xml:space="preserve">foreslås </w:t>
      </w:r>
      <w:r w:rsidR="00BA679B">
        <w:t xml:space="preserve">det at </w:t>
      </w:r>
      <w:r w:rsidR="003F2580">
        <w:t xml:space="preserve">dagens </w:t>
      </w:r>
      <w:r w:rsidR="00BA679B">
        <w:t xml:space="preserve">bestemmelser om kommunal finansiering med kirken som </w:t>
      </w:r>
      <w:r w:rsidR="00E17A73">
        <w:t xml:space="preserve">lokal </w:t>
      </w:r>
      <w:r w:rsidR="00BA679B">
        <w:t xml:space="preserve">gravplassmyndighet, </w:t>
      </w:r>
      <w:r w:rsidR="003F2580">
        <w:t>i hovedsak før</w:t>
      </w:r>
      <w:r w:rsidR="00BA679B">
        <w:t>es</w:t>
      </w:r>
      <w:r w:rsidR="003F2580">
        <w:t xml:space="preserve"> videre, jf. omtalen til kapittel 22 nedenfor.</w:t>
      </w:r>
    </w:p>
    <w:p w:rsidR="009B6F6A" w:rsidRDefault="009B6F6A" w:rsidP="00354EF9">
      <w:pPr>
        <w:rPr>
          <w:i/>
        </w:rPr>
      </w:pPr>
      <w:r>
        <w:t xml:space="preserve">Departementet ser det ikke som aktuelt å pålegge Den norske kirke å innføre </w:t>
      </w:r>
      <w:r w:rsidR="00F13DE4">
        <w:t>en pliktig medlemskontingent</w:t>
      </w:r>
      <w:r>
        <w:t xml:space="preserve">, men mener det i lovgivningen bør gå klart fram at Kirkemøtet kan treffe vedtak om </w:t>
      </w:r>
      <w:r w:rsidR="00F13DE4">
        <w:t>dette</w:t>
      </w:r>
      <w:r>
        <w:t xml:space="preserve">. Spørsmålet er omtalt i </w:t>
      </w:r>
      <w:r w:rsidRPr="00956468">
        <w:rPr>
          <w:i/>
        </w:rPr>
        <w:t>kapittel 10</w:t>
      </w:r>
      <w:r>
        <w:rPr>
          <w:i/>
        </w:rPr>
        <w:t>.</w:t>
      </w:r>
    </w:p>
    <w:p w:rsidR="0067062F" w:rsidRDefault="00910874" w:rsidP="0067062F">
      <w:pPr>
        <w:rPr>
          <w:color w:val="000000"/>
        </w:rPr>
      </w:pPr>
      <w:r>
        <w:t>Nær 1 630 kirkebygg eies av Den norske kirke</w:t>
      </w:r>
      <w:r w:rsidR="00B0086D">
        <w:t>, hvorav n</w:t>
      </w:r>
      <w:r>
        <w:t xml:space="preserve">esten 1 000 er fredet eller utpekt som kulturhistorisk verdifulle. </w:t>
      </w:r>
      <w:r w:rsidR="0067062F">
        <w:t>Etterslepet i vedlikeholdet er betydelig.</w:t>
      </w:r>
      <w:r w:rsidR="0067062F">
        <w:rPr>
          <w:color w:val="000000"/>
        </w:rPr>
        <w:t xml:space="preserve"> Betydningen av </w:t>
      </w:r>
      <w:r w:rsidR="00B0086D">
        <w:rPr>
          <w:color w:val="000000"/>
        </w:rPr>
        <w:t xml:space="preserve">kirkebyggene som </w:t>
      </w:r>
      <w:r w:rsidR="0067062F">
        <w:rPr>
          <w:color w:val="000000"/>
        </w:rPr>
        <w:t>kulturminne</w:t>
      </w:r>
      <w:r w:rsidR="00B0086D">
        <w:rPr>
          <w:color w:val="000000"/>
        </w:rPr>
        <w:t>r</w:t>
      </w:r>
      <w:r w:rsidR="0067062F">
        <w:rPr>
          <w:color w:val="000000"/>
        </w:rPr>
        <w:t xml:space="preserve">, omfanget av dem og de utfordringene som er knyttet til forvaltningen av dem, </w:t>
      </w:r>
      <w:r w:rsidR="00D01057">
        <w:rPr>
          <w:color w:val="000000"/>
        </w:rPr>
        <w:t xml:space="preserve">er </w:t>
      </w:r>
      <w:r w:rsidR="0067062F">
        <w:rPr>
          <w:color w:val="000000"/>
        </w:rPr>
        <w:t>viktig</w:t>
      </w:r>
      <w:r w:rsidR="00D01057">
        <w:rPr>
          <w:color w:val="000000"/>
        </w:rPr>
        <w:t>e</w:t>
      </w:r>
      <w:r w:rsidR="0067062F">
        <w:rPr>
          <w:color w:val="000000"/>
        </w:rPr>
        <w:t xml:space="preserve"> perspektiv</w:t>
      </w:r>
      <w:r w:rsidR="00D01057">
        <w:rPr>
          <w:color w:val="000000"/>
        </w:rPr>
        <w:t xml:space="preserve">er </w:t>
      </w:r>
      <w:r w:rsidR="00433355">
        <w:rPr>
          <w:color w:val="000000"/>
        </w:rPr>
        <w:t xml:space="preserve">ved utformingen av </w:t>
      </w:r>
      <w:r w:rsidR="0067062F">
        <w:rPr>
          <w:color w:val="000000"/>
        </w:rPr>
        <w:t>lov</w:t>
      </w:r>
      <w:r w:rsidR="00433355">
        <w:rPr>
          <w:color w:val="000000"/>
        </w:rPr>
        <w:t xml:space="preserve">givning og </w:t>
      </w:r>
      <w:r w:rsidR="00433355">
        <w:rPr>
          <w:color w:val="000000"/>
        </w:rPr>
        <w:lastRenderedPageBreak/>
        <w:t xml:space="preserve">finansieringsordninger </w:t>
      </w:r>
      <w:r w:rsidR="0067062F">
        <w:rPr>
          <w:color w:val="000000"/>
        </w:rPr>
        <w:t>for Den norske kirke</w:t>
      </w:r>
      <w:r w:rsidR="00433355">
        <w:rPr>
          <w:color w:val="000000"/>
        </w:rPr>
        <w:t>.</w:t>
      </w:r>
      <w:r w:rsidR="0067062F">
        <w:rPr>
          <w:color w:val="000000"/>
        </w:rPr>
        <w:t xml:space="preserve"> De kulturhist</w:t>
      </w:r>
      <w:r w:rsidR="00B0086D">
        <w:rPr>
          <w:color w:val="000000"/>
        </w:rPr>
        <w:t>o</w:t>
      </w:r>
      <w:r w:rsidR="0067062F">
        <w:rPr>
          <w:color w:val="000000"/>
        </w:rPr>
        <w:t xml:space="preserve">risk verdifulle kirkebyggene er særskilt </w:t>
      </w:r>
      <w:r w:rsidR="00B0086D">
        <w:rPr>
          <w:color w:val="000000"/>
        </w:rPr>
        <w:t xml:space="preserve">omtalt </w:t>
      </w:r>
      <w:r w:rsidR="0067062F">
        <w:rPr>
          <w:color w:val="000000"/>
        </w:rPr>
        <w:t xml:space="preserve">i </w:t>
      </w:r>
      <w:r w:rsidR="0067062F" w:rsidRPr="0067062F">
        <w:rPr>
          <w:i/>
          <w:color w:val="000000"/>
        </w:rPr>
        <w:t>kapittel</w:t>
      </w:r>
      <w:r w:rsidR="0067062F">
        <w:rPr>
          <w:i/>
          <w:color w:val="000000"/>
        </w:rPr>
        <w:t xml:space="preserve"> 11</w:t>
      </w:r>
      <w:r w:rsidR="0067062F">
        <w:rPr>
          <w:color w:val="000000"/>
        </w:rPr>
        <w:t xml:space="preserve">. </w:t>
      </w:r>
    </w:p>
    <w:p w:rsidR="00666A00" w:rsidRDefault="00C07256" w:rsidP="00354EF9">
      <w:r>
        <w:t xml:space="preserve">Opplysningsvesenets fond </w:t>
      </w:r>
      <w:r w:rsidR="00433EEB">
        <w:t>omfatter eiendommer og kapital som har et særskilt vern i Grunnloven § 116. Fondet</w:t>
      </w:r>
      <w:r w:rsidR="00A87870">
        <w:t xml:space="preserve"> har sin opprinnelse</w:t>
      </w:r>
      <w:r w:rsidR="00433EEB">
        <w:t xml:space="preserve"> i kirkelige </w:t>
      </w:r>
      <w:r w:rsidR="00A87870">
        <w:t>eiendommer fra langt tilbake i tid.</w:t>
      </w:r>
      <w:r w:rsidR="00433EEB">
        <w:t xml:space="preserve"> Eierskap</w:t>
      </w:r>
      <w:r w:rsidR="00957123">
        <w:t xml:space="preserve">et til </w:t>
      </w:r>
      <w:r w:rsidR="00433EEB">
        <w:t xml:space="preserve">fondet har lenge vært </w:t>
      </w:r>
      <w:r w:rsidR="00957123">
        <w:t>omstridt</w:t>
      </w:r>
      <w:r w:rsidR="00433EEB">
        <w:t>. Lovavdelingen i Justis- og beredskapsdepartementet har i en nylig avgitt uttalelse konkludert med at staten har eiendomsretten</w:t>
      </w:r>
      <w:r w:rsidR="00957123">
        <w:t xml:space="preserve">. </w:t>
      </w:r>
      <w:r w:rsidR="008C16F9" w:rsidRPr="001E491E">
        <w:rPr>
          <w:i/>
        </w:rPr>
        <w:t xml:space="preserve">I kapittel 12 </w:t>
      </w:r>
      <w:r w:rsidR="008C16F9" w:rsidRPr="001E491E">
        <w:t>o</w:t>
      </w:r>
      <w:r w:rsidR="008C16F9">
        <w:t xml:space="preserve">mtales fondet og </w:t>
      </w:r>
      <w:r w:rsidR="00433EEB">
        <w:t>uttalelsen fra Lovavdelingen</w:t>
      </w:r>
      <w:r w:rsidR="00760A85">
        <w:t xml:space="preserve">. </w:t>
      </w:r>
      <w:r w:rsidR="00F13DE4">
        <w:t>D</w:t>
      </w:r>
      <w:r w:rsidR="00760A85">
        <w:t>epartementet</w:t>
      </w:r>
      <w:r w:rsidR="00433EEB">
        <w:t xml:space="preserve"> </w:t>
      </w:r>
      <w:r w:rsidR="00F13DE4">
        <w:t xml:space="preserve">tar </w:t>
      </w:r>
      <w:r w:rsidR="00563A84">
        <w:t>sikte på å utarbeide en stortingsme</w:t>
      </w:r>
      <w:r w:rsidR="00751A0F">
        <w:t>l</w:t>
      </w:r>
      <w:r w:rsidR="00563A84">
        <w:t xml:space="preserve">ding </w:t>
      </w:r>
      <w:r w:rsidR="00751A0F">
        <w:t>o</w:t>
      </w:r>
      <w:r w:rsidR="00563A84">
        <w:t>m Opplysningsv</w:t>
      </w:r>
      <w:r w:rsidR="00751A0F">
        <w:t>e</w:t>
      </w:r>
      <w:r w:rsidR="00563A84">
        <w:t xml:space="preserve">senets fond. </w:t>
      </w:r>
      <w:r w:rsidR="001769D3">
        <w:t>Sentrale spørsmål i melding</w:t>
      </w:r>
      <w:r w:rsidR="00563A84">
        <w:t>en</w:t>
      </w:r>
      <w:r w:rsidR="001769D3">
        <w:t xml:space="preserve"> vil bla</w:t>
      </w:r>
      <w:r w:rsidR="00D41BF2">
        <w:t>nt annet</w:t>
      </w:r>
      <w:r w:rsidR="00957123">
        <w:t xml:space="preserve"> være om fondet</w:t>
      </w:r>
      <w:r w:rsidR="00563A84">
        <w:t xml:space="preserve"> </w:t>
      </w:r>
      <w:r w:rsidR="00F13DE4">
        <w:t>i sin helhet bør</w:t>
      </w:r>
      <w:r w:rsidR="00957123">
        <w:t xml:space="preserve"> overføres til Den norske kirke</w:t>
      </w:r>
      <w:r w:rsidR="00563A84">
        <w:t xml:space="preserve">, om fondets eiendommer </w:t>
      </w:r>
      <w:r w:rsidR="00F13DE4">
        <w:t xml:space="preserve">bør </w:t>
      </w:r>
      <w:r w:rsidR="00563A84">
        <w:t xml:space="preserve">fordeles på staten og Den norske kirke og </w:t>
      </w:r>
      <w:r w:rsidR="004022F5">
        <w:t xml:space="preserve">om </w:t>
      </w:r>
      <w:r w:rsidR="002E0FCF">
        <w:t xml:space="preserve">fondets finanskapital </w:t>
      </w:r>
      <w:r w:rsidR="00F13DE4">
        <w:t xml:space="preserve">bør </w:t>
      </w:r>
      <w:r w:rsidR="00A75D50">
        <w:t>brukes for ista</w:t>
      </w:r>
      <w:r w:rsidR="002E0FCF">
        <w:t>nds</w:t>
      </w:r>
      <w:r w:rsidR="00A75D50">
        <w:t>e</w:t>
      </w:r>
      <w:r w:rsidR="002E0FCF">
        <w:t>t</w:t>
      </w:r>
      <w:r w:rsidR="00A75D50">
        <w:t>t</w:t>
      </w:r>
      <w:r w:rsidR="002E0FCF">
        <w:t>ing av kirkebygg</w:t>
      </w:r>
      <w:r w:rsidR="001769D3">
        <w:t>.</w:t>
      </w:r>
      <w:r w:rsidR="00751A0F">
        <w:t xml:space="preserve"> Også spørsmålet om å opp</w:t>
      </w:r>
      <w:r w:rsidR="00677801">
        <w:t>heve eller endre Gru</w:t>
      </w:r>
      <w:r w:rsidR="00751A0F">
        <w:t>nnloven § 116 vil bli drøftet i meldingen.</w:t>
      </w:r>
    </w:p>
    <w:p w:rsidR="00760A85" w:rsidRDefault="008730AD" w:rsidP="00354EF9">
      <w:r>
        <w:t>For tros- og livssyns</w:t>
      </w:r>
      <w:r w:rsidR="00367AF9">
        <w:t>s</w:t>
      </w:r>
      <w:r>
        <w:t>amfunn utenom Den norske kirke</w:t>
      </w:r>
      <w:r w:rsidR="00666A00">
        <w:t xml:space="preserve"> foreslå</w:t>
      </w:r>
      <w:r w:rsidR="001769D3">
        <w:t xml:space="preserve">r departementet </w:t>
      </w:r>
      <w:r w:rsidR="00666A00">
        <w:t xml:space="preserve">at </w:t>
      </w:r>
      <w:r w:rsidR="00367AF9">
        <w:t>dagens finansiering av samfunnene innordnes i én tilskuddsordning</w:t>
      </w:r>
      <w:r w:rsidR="001769D3">
        <w:t xml:space="preserve"> </w:t>
      </w:r>
      <w:r w:rsidR="00A87AA3">
        <w:t>som i</w:t>
      </w:r>
      <w:r w:rsidR="00367AF9">
        <w:t xml:space="preserve"> sin helhet finansieres over statsbudsjettet</w:t>
      </w:r>
      <w:r w:rsidR="00760A85">
        <w:t>.</w:t>
      </w:r>
      <w:r w:rsidR="000F2780">
        <w:t xml:space="preserve"> Det kommunale finansieringsansvaret på området vil da falle</w:t>
      </w:r>
      <w:r w:rsidR="001769D3">
        <w:t xml:space="preserve"> bort</w:t>
      </w:r>
      <w:r w:rsidR="00760A85">
        <w:t xml:space="preserve">. Forslaget </w:t>
      </w:r>
      <w:r w:rsidR="00C21C1A">
        <w:t xml:space="preserve">om statlig overtakelse av </w:t>
      </w:r>
      <w:r w:rsidR="00354EF9">
        <w:t>finansieringsansvaret</w:t>
      </w:r>
      <w:r w:rsidR="00C21C1A">
        <w:t xml:space="preserve"> </w:t>
      </w:r>
      <w:r w:rsidR="00760A85">
        <w:t xml:space="preserve">er omtalt i </w:t>
      </w:r>
      <w:r w:rsidR="00112FBF" w:rsidRPr="00B47D53">
        <w:rPr>
          <w:i/>
        </w:rPr>
        <w:t>kapittel 13</w:t>
      </w:r>
      <w:r w:rsidR="00112FBF" w:rsidRPr="001E491E">
        <w:t xml:space="preserve">. </w:t>
      </w:r>
    </w:p>
    <w:p w:rsidR="00A021F1" w:rsidRDefault="00A021F1" w:rsidP="00A021F1">
      <w:r>
        <w:t xml:space="preserve">Departementets forslag til innretning av tilskuddsordningen for tros- og livssynssamfunn utenom Den norske kirke er omtalt i </w:t>
      </w:r>
      <w:r>
        <w:rPr>
          <w:i/>
        </w:rPr>
        <w:t>kapittel 14.</w:t>
      </w:r>
      <w:r>
        <w:t xml:space="preserve"> Utmålingen av tilskudd til det enkelte samfunnet foreslås gitt etter en tilskuddssats per medlem av vedkommende samfunn, slik som i dag, men samfunnet må </w:t>
      </w:r>
      <w:r>
        <w:softHyphen/>
      </w:r>
      <w:r>
        <w:softHyphen/>
        <w:t xml:space="preserve">– som nevnt over – ha minst 500 medlemmer over 15 år for å kunne få støtte. Tilskuddssatsen foreslås </w:t>
      </w:r>
      <w:r w:rsidR="00E17A73">
        <w:t xml:space="preserve">i framtiden </w:t>
      </w:r>
      <w:r>
        <w:t>regulert i takt med statens bevilgninger til Den norske kirke og uavhengig av medlemsutviklingen i Den norske kirke. Departementet tar ikke opp forslag om vesentlige endringer med hensyn til hvilke tilskudd til Den norske kirke som skal inngå i grunnlaget for fastsettelsen av tilskuddssatsen, men mener at det bør gå klarere fram i loven hvilke tilskudd som skal holdes utenom tilskuddsgrunnlaget. Dette vil gjelde tilskudd til utgiftsformål som gjelder alle og som egentlig er offentlige formål</w:t>
      </w:r>
      <w:r w:rsidR="00E17A73">
        <w:t>,</w:t>
      </w:r>
      <w:r>
        <w:t xml:space="preserve"> og tilskudd som følger av kirkens særlige stilling. Blant annet av forenklingshensyn foreslås det at tilskudd begrunnet i kulturminnevern </w:t>
      </w:r>
      <w:r w:rsidR="00E17A73">
        <w:t xml:space="preserve">og som derfor skal holdes utenom tilskuddsgrunnlaget, </w:t>
      </w:r>
      <w:r>
        <w:t>avgrenses til å omfatte investeringer i kirkebygg fra før år 1900.</w:t>
      </w:r>
    </w:p>
    <w:p w:rsidR="00354EF9" w:rsidRDefault="00354EF9" w:rsidP="00354EF9">
      <w:r>
        <w:t xml:space="preserve">I </w:t>
      </w:r>
      <w:r w:rsidRPr="001E491E">
        <w:rPr>
          <w:i/>
        </w:rPr>
        <w:t>kapittel 15</w:t>
      </w:r>
      <w:r>
        <w:t xml:space="preserve"> tar departementet opp forslag om </w:t>
      </w:r>
      <w:r w:rsidR="00AF03D0">
        <w:t xml:space="preserve">klarere og </w:t>
      </w:r>
      <w:r>
        <w:t xml:space="preserve">noe mer omfattende vilkår enn de som gjelder og har vært praktisert i dag, for at et tros- eller livssynssamfunn skal kunne motta støtte. </w:t>
      </w:r>
      <w:r w:rsidR="00FC34A2">
        <w:t xml:space="preserve">Vilkår for støtte vil </w:t>
      </w:r>
      <w:r w:rsidR="005F275E">
        <w:t xml:space="preserve">etter forslaget </w:t>
      </w:r>
      <w:r w:rsidR="00FC34A2">
        <w:t xml:space="preserve">også gjelde Den norske kirke. </w:t>
      </w:r>
      <w:r>
        <w:t xml:space="preserve">Kravet om at tros- og livssynssamfunn skal følge alminnelig norsk lov, og mulige konsekvenser for tilskudd av lovbrudd, er tydeliggjort. Også andre forhold, for eksempel oppfordring eller støtte til handlinger som alvorlig krenker andres rettigheter og friheter, kan føre til tap av tilskudd. Barns rettigheter er særlig løftet fram. </w:t>
      </w:r>
      <w:r w:rsidR="00A55F38">
        <w:t>Kapit</w:t>
      </w:r>
      <w:r w:rsidR="00433355">
        <w:t xml:space="preserve">let </w:t>
      </w:r>
      <w:r w:rsidR="00A55F38">
        <w:t>inneholder også forslag om hvordan det kan settes som</w:t>
      </w:r>
      <w:r w:rsidR="00D41BF2">
        <w:t xml:space="preserve"> vilkår for tilskudd at samfunnet ikke mottar støtte fra stater som ikke praktiserer religionsfrihet. </w:t>
      </w:r>
      <w:r>
        <w:t>Det er ikke stilt særlige, rettslige vilkår som gjelder kjønnslikestilling</w:t>
      </w:r>
      <w:r w:rsidR="000F4BF4">
        <w:t xml:space="preserve"> i tros- og livssynssamfunn</w:t>
      </w:r>
      <w:r>
        <w:t xml:space="preserve">, men departementet varsler at en vil vurdere andre virkemidler for å </w:t>
      </w:r>
      <w:r w:rsidR="00FC34A2">
        <w:t>stimulere til kjønnslikestilling</w:t>
      </w:r>
      <w:r>
        <w:t xml:space="preserve"> i trossamfunn. </w:t>
      </w:r>
    </w:p>
    <w:p w:rsidR="00354EF9" w:rsidRDefault="00354EF9" w:rsidP="00354EF9">
      <w:r>
        <w:t>Med vilkårene for støtte som foreslås, kreves det en tettere oppfølging av hvert enkelt samfunn. I dag er det rundt 785 samfunn som er tilskuddsberettiget. Ved kravet om at samfunnet må ha minst 500 medlemmer over 15 år for å være tilskuddsberettiget, vil færre samfunn komme inn under tilskuddsordningen, og det vil være mulig å ha en tettere oppfølging av det enkelte samfunnet.</w:t>
      </w:r>
      <w:r w:rsidR="00FC34A2">
        <w:t xml:space="preserve"> </w:t>
      </w:r>
    </w:p>
    <w:p w:rsidR="0056503A" w:rsidRDefault="0056503A" w:rsidP="00354EF9">
      <w:r>
        <w:lastRenderedPageBreak/>
        <w:t xml:space="preserve">Krav til samfunnene om innsending av årlige regnskaper og rapporter om sin virksomhet er omtalt i </w:t>
      </w:r>
      <w:r w:rsidRPr="001E491E">
        <w:rPr>
          <w:i/>
        </w:rPr>
        <w:t>kapittel 1</w:t>
      </w:r>
      <w:r w:rsidR="006C1E02">
        <w:rPr>
          <w:i/>
        </w:rPr>
        <w:t>6</w:t>
      </w:r>
      <w:r w:rsidRPr="001E491E">
        <w:rPr>
          <w:i/>
        </w:rPr>
        <w:t>.</w:t>
      </w:r>
      <w:r>
        <w:t xml:space="preserve"> </w:t>
      </w:r>
    </w:p>
    <w:p w:rsidR="0048054A" w:rsidRDefault="0056503A" w:rsidP="00354EF9">
      <w:r>
        <w:t>I</w:t>
      </w:r>
      <w:r w:rsidRPr="001E491E">
        <w:rPr>
          <w:i/>
        </w:rPr>
        <w:t xml:space="preserve"> kapittel 1</w:t>
      </w:r>
      <w:r w:rsidR="006C1E02">
        <w:rPr>
          <w:i/>
        </w:rPr>
        <w:t>7</w:t>
      </w:r>
      <w:r>
        <w:rPr>
          <w:i/>
        </w:rPr>
        <w:t xml:space="preserve"> </w:t>
      </w:r>
      <w:r w:rsidR="005C0A0B" w:rsidRPr="001E491E">
        <w:t>tar depart</w:t>
      </w:r>
      <w:r w:rsidR="005C0A0B">
        <w:t>e</w:t>
      </w:r>
      <w:r w:rsidR="005C0A0B" w:rsidRPr="001E491E">
        <w:t>ment</w:t>
      </w:r>
      <w:r w:rsidR="005C0A0B">
        <w:t>e</w:t>
      </w:r>
      <w:r w:rsidR="005C0A0B" w:rsidRPr="001E491E">
        <w:t>t opp f</w:t>
      </w:r>
      <w:r w:rsidR="005C0A0B">
        <w:t>ors</w:t>
      </w:r>
      <w:r w:rsidR="005C0A0B" w:rsidRPr="001E491E">
        <w:t xml:space="preserve">lag </w:t>
      </w:r>
      <w:r w:rsidR="005C0A0B">
        <w:t>om at</w:t>
      </w:r>
      <w:r w:rsidRPr="001E491E">
        <w:rPr>
          <w:i/>
        </w:rPr>
        <w:t xml:space="preserve"> </w:t>
      </w:r>
      <w:r w:rsidR="005C0A0B">
        <w:t xml:space="preserve">forvaltningen av tilskuddsordningen </w:t>
      </w:r>
      <w:r w:rsidR="00CA11CB">
        <w:t>for</w:t>
      </w:r>
      <w:r w:rsidR="005C0A0B">
        <w:t xml:space="preserve"> tros- og livssynssamfunn utenom Den norske kirke samles hos én statlig instans. </w:t>
      </w:r>
      <w:r w:rsidR="008E46D8">
        <w:t xml:space="preserve">De faglige og </w:t>
      </w:r>
      <w:r w:rsidR="005C0A0B">
        <w:t xml:space="preserve">utvidede </w:t>
      </w:r>
      <w:r w:rsidR="0048054A">
        <w:t xml:space="preserve">oppfølgingsoppgavene overfor samfunnene </w:t>
      </w:r>
      <w:r w:rsidR="004643C6">
        <w:t xml:space="preserve">som departementets forslag innebærer, </w:t>
      </w:r>
      <w:r w:rsidR="0048054A">
        <w:t>tilsier dette</w:t>
      </w:r>
      <w:r w:rsidR="005C0A0B">
        <w:t>.</w:t>
      </w:r>
      <w:r w:rsidR="0048054A">
        <w:t xml:space="preserve"> </w:t>
      </w:r>
      <w:r w:rsidR="00CE4812">
        <w:t>D</w:t>
      </w:r>
      <w:r w:rsidR="00D21D91">
        <w:t xml:space="preserve">epartementet </w:t>
      </w:r>
      <w:r w:rsidR="00CE4812">
        <w:t xml:space="preserve">mener </w:t>
      </w:r>
      <w:r w:rsidR="008E46D8">
        <w:t xml:space="preserve">dessuten </w:t>
      </w:r>
      <w:r>
        <w:t xml:space="preserve">at det i statsforvaltningen </w:t>
      </w:r>
      <w:r w:rsidR="00D21D91">
        <w:t>er behov for å bygge opp e</w:t>
      </w:r>
      <w:r w:rsidR="005C0A0B">
        <w:t>n</w:t>
      </w:r>
      <w:r w:rsidR="00D21D91">
        <w:t xml:space="preserve"> </w:t>
      </w:r>
      <w:r w:rsidR="00354EF9">
        <w:t xml:space="preserve">faginstans på tros- og livssynsfeltet. </w:t>
      </w:r>
      <w:r w:rsidR="00D21D91">
        <w:t>Departementet foreslår</w:t>
      </w:r>
      <w:r w:rsidR="008E46D8">
        <w:t xml:space="preserve"> </w:t>
      </w:r>
      <w:r w:rsidR="00D21D91">
        <w:t xml:space="preserve">at </w:t>
      </w:r>
      <w:r w:rsidR="00DC2B97">
        <w:t xml:space="preserve">det </w:t>
      </w:r>
      <w:r w:rsidR="00354EF9">
        <w:t>etableres en egen</w:t>
      </w:r>
      <w:r w:rsidR="004643C6">
        <w:t xml:space="preserve"> forvaltningsenhet </w:t>
      </w:r>
      <w:r w:rsidR="0063045C">
        <w:t xml:space="preserve">ved </w:t>
      </w:r>
      <w:r w:rsidR="004643C6">
        <w:t xml:space="preserve">ett </w:t>
      </w:r>
      <w:r w:rsidR="00354EF9">
        <w:t>fylkesmannsembete,</w:t>
      </w:r>
      <w:r w:rsidR="004643C6">
        <w:t xml:space="preserve"> med et nasjonalt ansvar </w:t>
      </w:r>
      <w:r w:rsidR="00354EF9">
        <w:t>på feltet.</w:t>
      </w:r>
      <w:r w:rsidR="004643C6">
        <w:t xml:space="preserve"> </w:t>
      </w:r>
    </w:p>
    <w:p w:rsidR="0056503A" w:rsidRDefault="0056503A" w:rsidP="00354EF9">
      <w:pPr>
        <w:rPr>
          <w:i/>
        </w:rPr>
      </w:pPr>
      <w:r>
        <w:t xml:space="preserve">I dag inneholder lovgivningen ulike bestemmelser om medlemskap og tilhørighet for henholdsvis Den norske kirke og andre tros- og livssynssamfunn. </w:t>
      </w:r>
      <w:r w:rsidR="00354EF9">
        <w:t>Departementet foreslår lik regulering av området, i praksis ved at det ikke lenger gis bestemmelser i lovgivningen om barns tilhørighet til Den norske kirke og andre tros- og livssynssamfunn. Medlemskap</w:t>
      </w:r>
      <w:r w:rsidR="005C0A0B">
        <w:t xml:space="preserve"> og tilhørighet er behandlet </w:t>
      </w:r>
      <w:r>
        <w:t xml:space="preserve">i </w:t>
      </w:r>
      <w:r w:rsidRPr="001E491E">
        <w:rPr>
          <w:i/>
        </w:rPr>
        <w:t xml:space="preserve">kapittel </w:t>
      </w:r>
      <w:r w:rsidR="005C0A0B" w:rsidRPr="001E491E">
        <w:rPr>
          <w:i/>
        </w:rPr>
        <w:t>1</w:t>
      </w:r>
      <w:r w:rsidR="006C1E02">
        <w:rPr>
          <w:i/>
        </w:rPr>
        <w:t>8</w:t>
      </w:r>
      <w:r w:rsidR="00252BBF">
        <w:rPr>
          <w:i/>
        </w:rPr>
        <w:t xml:space="preserve">, </w:t>
      </w:r>
      <w:r w:rsidR="00252BBF" w:rsidRPr="00252BBF">
        <w:t>der også alderskravet på 15 år er nærmere omtalt</w:t>
      </w:r>
      <w:r w:rsidR="005C0A0B">
        <w:rPr>
          <w:i/>
        </w:rPr>
        <w:t>.</w:t>
      </w:r>
    </w:p>
    <w:p w:rsidR="00354EF9" w:rsidRDefault="00354EF9" w:rsidP="00354EF9">
      <w:r>
        <w:t xml:space="preserve">Nærmere bestemmelser om tros- og livssynssamfunnenes vigselsmyndighet er drøftet i </w:t>
      </w:r>
      <w:r w:rsidRPr="002616C4">
        <w:rPr>
          <w:i/>
        </w:rPr>
        <w:t>kapittel 19.</w:t>
      </w:r>
      <w:r>
        <w:t xml:space="preserve"> Grunnvilkåret for at samfunnene (egentlig enkeltpersoner i samfunnene) kan få vigselsrett, vil være registrering (krav om 500 medlemmer over 15 år). Departementet foreslår samordning og forenkling av regelverket for vigsel. Både vigselsritualet og konkrete vigslere skal etter forslaget godkjennes av </w:t>
      </w:r>
      <w:r w:rsidRPr="001E491E">
        <w:t>offentli</w:t>
      </w:r>
      <w:r>
        <w:t>g</w:t>
      </w:r>
      <w:r w:rsidRPr="001E491E">
        <w:t xml:space="preserve"> myndighet</w:t>
      </w:r>
      <w:r>
        <w:t xml:space="preserve"> (BLD, Bufdir etter forslaget). Det foreslås at også </w:t>
      </w:r>
      <w:r w:rsidRPr="001E491E">
        <w:t>Den norske kirke</w:t>
      </w:r>
      <w:r>
        <w:t>s vigselsrituale skal godkjennes.</w:t>
      </w:r>
      <w:r w:rsidRPr="00106B4A">
        <w:t xml:space="preserve"> </w:t>
      </w:r>
      <w:r>
        <w:t xml:space="preserve">Nærmere vilkår foreslås regulert i ekteskapsloven. </w:t>
      </w:r>
    </w:p>
    <w:p w:rsidR="00354EF9" w:rsidRDefault="00354EF9" w:rsidP="00354EF9">
      <w:r>
        <w:t xml:space="preserve">Visse enkeltspørsmål, </w:t>
      </w:r>
      <w:r w:rsidR="004022F5">
        <w:t>bl</w:t>
      </w:r>
      <w:r>
        <w:t>a</w:t>
      </w:r>
      <w:r w:rsidR="004022F5">
        <w:t>nt annet</w:t>
      </w:r>
      <w:r>
        <w:t xml:space="preserve"> om samfunnenes enerett til navn</w:t>
      </w:r>
      <w:r w:rsidR="00446996">
        <w:t>,</w:t>
      </w:r>
      <w:r>
        <w:t xml:space="preserve"> krav til arkivering og avlevering av arkivmateriale</w:t>
      </w:r>
      <w:r w:rsidR="00446996">
        <w:t xml:space="preserve"> og </w:t>
      </w:r>
      <w:r w:rsidR="00252BBF">
        <w:t xml:space="preserve">permisjon fra </w:t>
      </w:r>
      <w:r w:rsidR="00446996">
        <w:t>undervisning under religiøse høytidsdager</w:t>
      </w:r>
      <w:r>
        <w:t xml:space="preserve">, er behandlet i </w:t>
      </w:r>
      <w:r w:rsidRPr="001E491E">
        <w:rPr>
          <w:i/>
        </w:rPr>
        <w:t>kapittel</w:t>
      </w:r>
      <w:r>
        <w:rPr>
          <w:i/>
        </w:rPr>
        <w:t xml:space="preserve"> 20</w:t>
      </w:r>
      <w:r>
        <w:t xml:space="preserve">. </w:t>
      </w:r>
    </w:p>
    <w:p w:rsidR="00354EF9" w:rsidRDefault="00354EF9" w:rsidP="00354EF9">
      <w:r>
        <w:t xml:space="preserve">Til erstatning for dagens </w:t>
      </w:r>
      <w:r w:rsidR="00AF03D0">
        <w:t>offentlige tilskudds</w:t>
      </w:r>
      <w:r>
        <w:t>ordninger til Den norske kirke og andre tros- og livssynssamfunn, har det i samfunnsdebatten og i enkelte kirkelige og offentlige utredninger vært tatt til orde for en obligatorisk livssynsavgift for alle skatteytere. En slik finansieringsløsning har ikke vært utredet tidligere. Departementet har funnet det hensiktsmessig å få utredet løsningen nærmere, og konsulentfirmaet EY Norge har på oppdrag fra departementet gjennomgått tekniske, økonomiske og administrative konsekvenser ved en slik løsning. Bla</w:t>
      </w:r>
      <w:r w:rsidR="004022F5">
        <w:t>nt annet</w:t>
      </w:r>
      <w:r>
        <w:t xml:space="preserve"> med bakgrunn i utredningen fra EY mener departementet det ikke er aktuelt </w:t>
      </w:r>
      <w:r w:rsidR="008261CB">
        <w:t xml:space="preserve">å </w:t>
      </w:r>
      <w:r>
        <w:t xml:space="preserve">ta opp forslag om omlegging til en slik finansieringsform. Livssynsavgift som finansieringsmodell og rapporten fra EY er gjennomgått i </w:t>
      </w:r>
      <w:r w:rsidRPr="001E491E">
        <w:rPr>
          <w:i/>
        </w:rPr>
        <w:t xml:space="preserve">kapittel </w:t>
      </w:r>
      <w:r>
        <w:rPr>
          <w:i/>
        </w:rPr>
        <w:t>21</w:t>
      </w:r>
      <w:r w:rsidRPr="001E491E">
        <w:rPr>
          <w:i/>
        </w:rPr>
        <w:t>.</w:t>
      </w:r>
      <w:r>
        <w:t xml:space="preserve"> </w:t>
      </w:r>
    </w:p>
    <w:p w:rsidR="001A54C8" w:rsidRDefault="003919FF" w:rsidP="00354EF9">
      <w:r>
        <w:t xml:space="preserve">I </w:t>
      </w:r>
      <w:r w:rsidRPr="001E491E">
        <w:rPr>
          <w:i/>
        </w:rPr>
        <w:t xml:space="preserve">kapittel </w:t>
      </w:r>
      <w:r w:rsidR="006845F2">
        <w:rPr>
          <w:i/>
        </w:rPr>
        <w:t>22</w:t>
      </w:r>
      <w:r w:rsidR="00624ECF">
        <w:t xml:space="preserve"> </w:t>
      </w:r>
      <w:r w:rsidR="002C2598">
        <w:t xml:space="preserve">drøftes spørsmålet om </w:t>
      </w:r>
      <w:r w:rsidR="00354EF9">
        <w:t xml:space="preserve">forvaltningsansvaret for </w:t>
      </w:r>
      <w:r w:rsidR="002C2598">
        <w:t xml:space="preserve">de offentlige gravplassene bør være en </w:t>
      </w:r>
      <w:r w:rsidR="00546FEA">
        <w:t xml:space="preserve">lovregulert </w:t>
      </w:r>
      <w:r w:rsidR="002C2598">
        <w:t>oppgave for soknene i Den norske kirke</w:t>
      </w:r>
      <w:r w:rsidR="00354EF9">
        <w:t>, slik som i dag,</w:t>
      </w:r>
      <w:r w:rsidR="002C2598">
        <w:t xml:space="preserve"> eller om </w:t>
      </w:r>
      <w:r w:rsidR="00354EF9">
        <w:t>oppgaven</w:t>
      </w:r>
      <w:r w:rsidR="002C2598">
        <w:t xml:space="preserve"> bør overføres til kommunene</w:t>
      </w:r>
      <w:r w:rsidR="004F4E12">
        <w:t>,</w:t>
      </w:r>
      <w:r w:rsidR="003C045D">
        <w:t xml:space="preserve"> som </w:t>
      </w:r>
      <w:r w:rsidR="00546FEA">
        <w:t>i alle tilfelle</w:t>
      </w:r>
      <w:r w:rsidR="002E4533">
        <w:t>r</w:t>
      </w:r>
      <w:r w:rsidR="00546FEA">
        <w:t xml:space="preserve"> </w:t>
      </w:r>
      <w:r w:rsidR="00751A0F">
        <w:t>bør</w:t>
      </w:r>
      <w:r w:rsidR="00546FEA">
        <w:t xml:space="preserve"> </w:t>
      </w:r>
      <w:r w:rsidR="003C045D">
        <w:t>finansiere oppgaven.</w:t>
      </w:r>
      <w:r w:rsidR="002C2598">
        <w:t xml:space="preserve"> </w:t>
      </w:r>
      <w:r w:rsidR="005F275E">
        <w:t>D</w:t>
      </w:r>
      <w:r w:rsidR="00546FEA">
        <w:t>e</w:t>
      </w:r>
      <w:r w:rsidR="002C2598">
        <w:t>partementet</w:t>
      </w:r>
      <w:r w:rsidR="00DC6ADE">
        <w:t xml:space="preserve"> </w:t>
      </w:r>
      <w:r w:rsidR="009F1FC9">
        <w:t xml:space="preserve">er </w:t>
      </w:r>
      <w:r w:rsidR="002C2598">
        <w:t xml:space="preserve">kommet til at </w:t>
      </w:r>
      <w:r w:rsidR="00546FEA">
        <w:t xml:space="preserve">hovedreglene i </w:t>
      </w:r>
      <w:r w:rsidR="00DC6ADE">
        <w:t xml:space="preserve">dagens lovgivning </w:t>
      </w:r>
      <w:r w:rsidR="00546FEA">
        <w:t>bør føres videre</w:t>
      </w:r>
      <w:r w:rsidR="00354EF9">
        <w:t xml:space="preserve">, men at Fylkesmannen kan treffe vedtak om overføring av oppgaven til kommunen </w:t>
      </w:r>
      <w:r w:rsidR="00546FEA">
        <w:t>derso</w:t>
      </w:r>
      <w:r w:rsidR="00DC6ADE">
        <w:t xml:space="preserve">m kommunen </w:t>
      </w:r>
      <w:r w:rsidR="00354EF9">
        <w:t>ønsker det.</w:t>
      </w:r>
      <w:r w:rsidR="003C045D">
        <w:t xml:space="preserve"> </w:t>
      </w:r>
      <w:r w:rsidR="00D20F3A">
        <w:t>Fylkesmannen foreslås</w:t>
      </w:r>
      <w:r w:rsidR="004813A8">
        <w:t xml:space="preserve"> ellers </w:t>
      </w:r>
      <w:r w:rsidR="00D20F3A">
        <w:t xml:space="preserve">tillagt de oppgaver på gravferdslovens område som bispedømmerådene har i dag. </w:t>
      </w:r>
    </w:p>
    <w:p w:rsidR="00D20F3A" w:rsidRDefault="00D20F3A" w:rsidP="00354EF9">
      <w:r>
        <w:t>I kap</w:t>
      </w:r>
      <w:r w:rsidR="004813A8">
        <w:t xml:space="preserve">ittel </w:t>
      </w:r>
      <w:r w:rsidR="006845F2">
        <w:t>22</w:t>
      </w:r>
      <w:r w:rsidR="004813A8">
        <w:t xml:space="preserve"> </w:t>
      </w:r>
      <w:r w:rsidR="002E4533">
        <w:t>har departementet</w:t>
      </w:r>
      <w:r>
        <w:t xml:space="preserve"> også </w:t>
      </w:r>
      <w:r w:rsidR="00E2743D">
        <w:t xml:space="preserve">særskilt vurdert spørsmålet om å gjøre endringer i dagens bestemmelser om kremasjonsavgift, om betaling for </w:t>
      </w:r>
      <w:r w:rsidR="0087193A">
        <w:t>grav</w:t>
      </w:r>
      <w:r w:rsidR="00E2743D">
        <w:t xml:space="preserve">feste </w:t>
      </w:r>
      <w:r w:rsidR="0087193A">
        <w:t xml:space="preserve">når reservert </w:t>
      </w:r>
      <w:r w:rsidR="00E2743D">
        <w:t>grav</w:t>
      </w:r>
      <w:r w:rsidR="0087193A">
        <w:t xml:space="preserve"> tas i bruk</w:t>
      </w:r>
      <w:r w:rsidR="00E2743D">
        <w:t xml:space="preserve"> og om betaling for gravfeste i annen kommune enn der avdøde var bosatt. I NOU 2014: </w:t>
      </w:r>
      <w:r w:rsidR="004813A8">
        <w:t>2</w:t>
      </w:r>
      <w:r w:rsidR="00E2743D">
        <w:t xml:space="preserve"> </w:t>
      </w:r>
      <w:r w:rsidR="00E2743D" w:rsidRPr="001E491E">
        <w:rPr>
          <w:i/>
        </w:rPr>
        <w:t>Lik og likskap</w:t>
      </w:r>
      <w:r w:rsidR="00E2743D">
        <w:t xml:space="preserve"> </w:t>
      </w:r>
      <w:r w:rsidR="002155A2">
        <w:t xml:space="preserve">(Lae-utvalget) </w:t>
      </w:r>
      <w:r w:rsidR="00E2743D">
        <w:t xml:space="preserve">ble det tatt opp forslag om forbud mot å kreve </w:t>
      </w:r>
      <w:r w:rsidR="0087193A">
        <w:t xml:space="preserve">avgifter </w:t>
      </w:r>
      <w:r w:rsidR="00E2743D">
        <w:t>i disse tilfellene</w:t>
      </w:r>
      <w:r w:rsidR="0087193A">
        <w:t xml:space="preserve">. </w:t>
      </w:r>
      <w:r w:rsidR="006C2F8E">
        <w:t xml:space="preserve">Bortfall av slike avgifter </w:t>
      </w:r>
      <w:r w:rsidR="0087193A">
        <w:t xml:space="preserve">ville </w:t>
      </w:r>
      <w:r w:rsidR="002155A2">
        <w:t xml:space="preserve">i tilfelle bety en </w:t>
      </w:r>
      <w:r w:rsidR="0087193A">
        <w:t xml:space="preserve">vesentlig </w:t>
      </w:r>
      <w:r w:rsidR="002155A2">
        <w:t xml:space="preserve">reduksjon i </w:t>
      </w:r>
      <w:r w:rsidR="0087193A">
        <w:t>inntektsgrunnlaget for gravplass</w:t>
      </w:r>
      <w:r w:rsidR="002155A2">
        <w:t>forvaltninge</w:t>
      </w:r>
      <w:r w:rsidR="0087193A">
        <w:t>n</w:t>
      </w:r>
      <w:r w:rsidR="002155A2">
        <w:t xml:space="preserve">. </w:t>
      </w:r>
      <w:r w:rsidR="0087193A">
        <w:t xml:space="preserve">Etter en samlet vurdering har departementet ikke funnet grunn til å følge opp Lae-utvalgets forslag om </w:t>
      </w:r>
      <w:r w:rsidR="006C2F8E">
        <w:t xml:space="preserve">slike </w:t>
      </w:r>
      <w:r w:rsidR="0087193A">
        <w:t>avgiftslettelse</w:t>
      </w:r>
      <w:r w:rsidR="006C2F8E">
        <w:t>r</w:t>
      </w:r>
      <w:r w:rsidR="0087193A">
        <w:t xml:space="preserve">. </w:t>
      </w:r>
    </w:p>
    <w:p w:rsidR="00FF382A" w:rsidRPr="000F5CA8" w:rsidRDefault="00B238D9" w:rsidP="00354EF9">
      <w:r>
        <w:lastRenderedPageBreak/>
        <w:t xml:space="preserve">De økonomiske og administrative konsekvensene av forslagene i høringsnotatet er sammenfattet i </w:t>
      </w:r>
      <w:r w:rsidRPr="001E491E">
        <w:rPr>
          <w:i/>
        </w:rPr>
        <w:t>kapittel</w:t>
      </w:r>
      <w:r>
        <w:rPr>
          <w:i/>
        </w:rPr>
        <w:t xml:space="preserve"> </w:t>
      </w:r>
      <w:r w:rsidR="006845F2">
        <w:rPr>
          <w:i/>
        </w:rPr>
        <w:t>23</w:t>
      </w:r>
      <w:r>
        <w:t>.</w:t>
      </w:r>
      <w:r w:rsidR="001D78D3">
        <w:t xml:space="preserve"> </w:t>
      </w:r>
      <w:r w:rsidR="004C7482" w:rsidRPr="000F5CA8">
        <w:t>Begge</w:t>
      </w:r>
      <w:r w:rsidR="004C7482">
        <w:t xml:space="preserve"> de omtalte alternativene for den offentlige finansieringen av Den norske kirke </w:t>
      </w:r>
      <w:r w:rsidR="00FF382A" w:rsidRPr="000F5CA8">
        <w:t xml:space="preserve">bygger på at de samlede offentlige overføringene til Den norske kirke </w:t>
      </w:r>
      <w:r w:rsidR="00C934A3">
        <w:t>føres videre</w:t>
      </w:r>
      <w:r w:rsidR="004C7482">
        <w:t xml:space="preserve"> på dagens nivå. </w:t>
      </w:r>
      <w:r w:rsidR="00FF382A" w:rsidRPr="000F5CA8">
        <w:t xml:space="preserve">Ved </w:t>
      </w:r>
      <w:r w:rsidR="004C7482">
        <w:t xml:space="preserve">eventuell </w:t>
      </w:r>
      <w:r w:rsidR="00FF382A" w:rsidRPr="000F5CA8">
        <w:t xml:space="preserve">statlig overtakelse av finansieringsansvaret </w:t>
      </w:r>
      <w:r w:rsidR="00C934A3">
        <w:t>for Den norske kirke vil</w:t>
      </w:r>
      <w:r w:rsidR="00FF382A" w:rsidRPr="000F5CA8">
        <w:t xml:space="preserve"> utgangspunktet </w:t>
      </w:r>
      <w:r w:rsidR="00C934A3">
        <w:t xml:space="preserve">være </w:t>
      </w:r>
      <w:r w:rsidR="00FF382A" w:rsidRPr="000F5CA8">
        <w:t xml:space="preserve">at statens </w:t>
      </w:r>
      <w:r w:rsidR="00C934A3">
        <w:t xml:space="preserve">økte </w:t>
      </w:r>
      <w:r w:rsidR="00FF382A" w:rsidRPr="000F5CA8">
        <w:t xml:space="preserve">rammeoverføring til </w:t>
      </w:r>
      <w:r w:rsidR="00C934A3">
        <w:t>Den norske kirke</w:t>
      </w:r>
      <w:r w:rsidR="00FF382A" w:rsidRPr="000F5CA8">
        <w:t xml:space="preserve"> </w:t>
      </w:r>
      <w:r w:rsidR="004C7482">
        <w:t xml:space="preserve">skal </w:t>
      </w:r>
      <w:r w:rsidR="00C934A3">
        <w:t>dekkes gjennom</w:t>
      </w:r>
      <w:r w:rsidR="00FF382A" w:rsidRPr="000F5CA8">
        <w:t xml:space="preserve"> tilsvarende </w:t>
      </w:r>
      <w:r w:rsidR="00C934A3">
        <w:t>uttrekk av</w:t>
      </w:r>
      <w:r w:rsidR="00FF382A" w:rsidRPr="000F5CA8">
        <w:t xml:space="preserve"> statens ramme</w:t>
      </w:r>
      <w:r w:rsidR="00C934A3">
        <w:t>tilskudd til kommunene.</w:t>
      </w:r>
    </w:p>
    <w:p w:rsidR="001A54C8" w:rsidRDefault="008D37A7" w:rsidP="00354EF9">
      <w:r>
        <w:t xml:space="preserve">Forslaget om at staten tar </w:t>
      </w:r>
      <w:r w:rsidRPr="000F5CA8">
        <w:t xml:space="preserve">over finansieringsansvaret for de offentlige tilskuddene til tros- og livssynssamfunn utenom Den norske kirke, </w:t>
      </w:r>
      <w:r w:rsidR="00BD69D2">
        <w:t xml:space="preserve">foreslås </w:t>
      </w:r>
      <w:r w:rsidR="00C934A3">
        <w:t>på samme måten finansier</w:t>
      </w:r>
      <w:r w:rsidR="00BD69D2">
        <w:t>t</w:t>
      </w:r>
      <w:r w:rsidRPr="000F5CA8">
        <w:t xml:space="preserve"> ved </w:t>
      </w:r>
      <w:r w:rsidR="00BD69D2">
        <w:t>uttrekk</w:t>
      </w:r>
      <w:r w:rsidRPr="000F5CA8">
        <w:t xml:space="preserve"> av statens rammetilskudd til kommunene, slik at den samlede effekten for staten og kommunesektoren </w:t>
      </w:r>
      <w:r w:rsidR="00BD69D2">
        <w:t xml:space="preserve">av omleggingen </w:t>
      </w:r>
      <w:r w:rsidRPr="000F5CA8">
        <w:t>er budsjettmessig nøytral.</w:t>
      </w:r>
    </w:p>
    <w:p w:rsidR="00354EF9" w:rsidRDefault="00354EF9" w:rsidP="00354EF9">
      <w:r>
        <w:t>Den budsjettmessige virkningen av forslaget om at tros- og livssynssamfunn må ha minst 500 medlemmer over 15 år for å ha krav på tilskudd, innebærer i utgangspunktet en budsjettmessig innsparing på 9</w:t>
      </w:r>
      <w:r w:rsidR="00433355">
        <w:t>8</w:t>
      </w:r>
      <w:r>
        <w:t xml:space="preserve"> mill. kroner sammenliknet med dagens bevilgninger til samfunnene. Som følge av den organisasjonsmessige tilpasningen som </w:t>
      </w:r>
      <w:r w:rsidR="00886682">
        <w:t xml:space="preserve">likeartede </w:t>
      </w:r>
      <w:r w:rsidR="00471A81">
        <w:t>s</w:t>
      </w:r>
      <w:r>
        <w:t>amfunn</w:t>
      </w:r>
      <w:r w:rsidR="00471A81">
        <w:t xml:space="preserve"> </w:t>
      </w:r>
      <w:r>
        <w:t>ventes å gjennomføre</w:t>
      </w:r>
      <w:r w:rsidR="00D45349">
        <w:t xml:space="preserve"> for å innfri antallskravet</w:t>
      </w:r>
      <w:r>
        <w:t xml:space="preserve">, vil innsparingen bli lavere. </w:t>
      </w:r>
      <w:r w:rsidR="000012BF">
        <w:t xml:space="preserve">Etter departementets syn kan det vurderes å disponere en del av den innsparingen som vil oppstå, til </w:t>
      </w:r>
      <w:r w:rsidR="00FE1036">
        <w:t xml:space="preserve">særlige </w:t>
      </w:r>
      <w:r w:rsidR="000012BF">
        <w:t xml:space="preserve">tiltak som </w:t>
      </w:r>
      <w:r>
        <w:t>kan komme tros- og livssynssamfunnene til gode</w:t>
      </w:r>
      <w:r w:rsidR="00FE1036">
        <w:t xml:space="preserve">, </w:t>
      </w:r>
      <w:r w:rsidR="000012BF">
        <w:t xml:space="preserve">for eksempel </w:t>
      </w:r>
      <w:r>
        <w:t xml:space="preserve">i form av dialogtiltak og selektiv, særskilt begrunnet tilleggsstøtte. </w:t>
      </w:r>
      <w:r w:rsidR="00625448">
        <w:t xml:space="preserve">Forslaget om </w:t>
      </w:r>
      <w:r w:rsidR="00D45349">
        <w:t xml:space="preserve">en </w:t>
      </w:r>
      <w:r w:rsidR="00625448">
        <w:t>aldersgrense</w:t>
      </w:r>
      <w:r w:rsidR="00D45349">
        <w:t xml:space="preserve"> på 15 år </w:t>
      </w:r>
      <w:r w:rsidR="00625448">
        <w:t>for tilskuddstellende medlemskap vil innebære en viss omfordeling av støtten samfunnene imellom, siden aldersfordelingen er noe ulik i de enkelte samfunnene</w:t>
      </w:r>
      <w:r w:rsidR="00B20B3C">
        <w:t>.</w:t>
      </w:r>
    </w:p>
    <w:p w:rsidR="00354EF9" w:rsidRDefault="006E1808" w:rsidP="00354EF9">
      <w:r>
        <w:t>O</w:t>
      </w:r>
      <w:r w:rsidR="0016022B">
        <w:t xml:space="preserve">rganiseringen av </w:t>
      </w:r>
      <w:r w:rsidR="00354EF9">
        <w:t xml:space="preserve">en egen forvaltningsenhet </w:t>
      </w:r>
      <w:r w:rsidR="0016022B">
        <w:t xml:space="preserve">for </w:t>
      </w:r>
      <w:r>
        <w:t xml:space="preserve">tros- og livssynsområdet </w:t>
      </w:r>
      <w:r w:rsidR="00433355">
        <w:t>ved ett fylkesmannsembete</w:t>
      </w:r>
      <w:r w:rsidR="00354EF9">
        <w:t xml:space="preserve"> foreslås finansiert ved den innsparingen som følger av at de øvrige fylkesmennenes oppgaver på området faller bort, og ellers ved den innsparingen som kommer ved innføringen av et antallskrav på 500 medlemmer</w:t>
      </w:r>
      <w:r w:rsidR="00471A81">
        <w:t xml:space="preserve"> over 15 år</w:t>
      </w:r>
      <w:r w:rsidR="00354EF9">
        <w:t>.</w:t>
      </w:r>
    </w:p>
    <w:p w:rsidR="00592760" w:rsidRDefault="00EB0470" w:rsidP="00354EF9">
      <w:r w:rsidRPr="000F5CA8">
        <w:t xml:space="preserve">Ved </w:t>
      </w:r>
      <w:r w:rsidR="00A85B53">
        <w:t>en eventuell</w:t>
      </w:r>
      <w:r w:rsidRPr="000F5CA8">
        <w:t xml:space="preserve"> statlig overtakelse av finansieringsansvaret</w:t>
      </w:r>
      <w:r>
        <w:t xml:space="preserve"> for Den norske kirke </w:t>
      </w:r>
      <w:r w:rsidRPr="000F5CA8">
        <w:t>må det på nasjonalt nivå i kirke</w:t>
      </w:r>
      <w:r w:rsidR="009D1DBC">
        <w:t>n</w:t>
      </w:r>
      <w:r w:rsidRPr="000F5CA8">
        <w:t xml:space="preserve"> bygges opp en større administrasjon enn i dag. Det er særlig oppgavene som knytter seg til fordelingen av de statlige overføringene til soknene </w:t>
      </w:r>
      <w:r w:rsidR="009D1DBC">
        <w:t>og forvaltningsnivåene i kirken</w:t>
      </w:r>
      <w:r w:rsidRPr="000F5CA8">
        <w:t xml:space="preserve"> som vil kreve økte </w:t>
      </w:r>
      <w:r>
        <w:t xml:space="preserve">administrative </w:t>
      </w:r>
      <w:r w:rsidRPr="000F5CA8">
        <w:t xml:space="preserve">ressurser. </w:t>
      </w:r>
    </w:p>
    <w:p w:rsidR="006D7598" w:rsidRDefault="00983787" w:rsidP="00354EF9">
      <w:r>
        <w:t xml:space="preserve">Forslaget om statlig overtakelse av finansieringsoppgaven overfor tros- og livssynssamfunn utenom Den norske kirke, med </w:t>
      </w:r>
      <w:r w:rsidR="00354EF9">
        <w:t>en samling</w:t>
      </w:r>
      <w:r>
        <w:t xml:space="preserve"> av </w:t>
      </w:r>
      <w:r w:rsidR="009D1DBC">
        <w:t xml:space="preserve">de statlige </w:t>
      </w:r>
      <w:r w:rsidR="00765E40">
        <w:t>forvaltnings</w:t>
      </w:r>
      <w:r>
        <w:t xml:space="preserve">oppgavene </w:t>
      </w:r>
      <w:r w:rsidR="00354EF9">
        <w:t>ved ett fylkesmannsembete, innebærer en betydelig administrativ forenkling, både for det offentlige og for de enkelte samfunnene.</w:t>
      </w:r>
      <w:r w:rsidR="00765E40">
        <w:t xml:space="preserve"> De meroppgavene for staten og samfunnene som følger av at det stilles </w:t>
      </w:r>
      <w:r w:rsidR="0016022B">
        <w:t>noe mer omfattende</w:t>
      </w:r>
      <w:r w:rsidR="00765E40">
        <w:t xml:space="preserve"> vilkår til samfunnene for å motta støtte, vil være beskjed</w:t>
      </w:r>
      <w:r w:rsidR="00A85B53">
        <w:t>ne</w:t>
      </w:r>
      <w:r w:rsidR="00765E40">
        <w:t xml:space="preserve"> sammenliknet med de administrative lettelsen</w:t>
      </w:r>
      <w:r w:rsidR="00A85B53">
        <w:t>e</w:t>
      </w:r>
      <w:r w:rsidR="00765E40">
        <w:t xml:space="preserve"> som oppnås i kommunesektoren og i de enkelte tros- og livssynssamfunnene. </w:t>
      </w:r>
    </w:p>
    <w:p w:rsidR="00944062" w:rsidRDefault="007B750F" w:rsidP="00FC118F">
      <w:r>
        <w:br w:type="page"/>
      </w:r>
    </w:p>
    <w:p w:rsidR="007B750F" w:rsidRPr="00247719" w:rsidRDefault="007B750F" w:rsidP="007B750F">
      <w:pPr>
        <w:pStyle w:val="Overskrift1"/>
        <w:rPr>
          <w:rFonts w:eastAsiaTheme="majorEastAsia"/>
        </w:rPr>
      </w:pPr>
      <w:bookmarkStart w:id="100" w:name="_Toc477531611"/>
      <w:bookmarkStart w:id="101" w:name="_Toc477532201"/>
      <w:bookmarkStart w:id="102" w:name="_Toc477532992"/>
      <w:bookmarkStart w:id="103" w:name="_Toc477534583"/>
      <w:bookmarkStart w:id="104" w:name="_Toc477533875"/>
      <w:bookmarkStart w:id="105" w:name="_Toc477535450"/>
      <w:bookmarkStart w:id="106" w:name="_Toc477535659"/>
      <w:bookmarkStart w:id="107" w:name="_Toc477628100"/>
      <w:bookmarkStart w:id="108" w:name="_Toc477628894"/>
      <w:bookmarkStart w:id="109" w:name="_Toc477630583"/>
      <w:bookmarkStart w:id="110" w:name="_Toc477636277"/>
      <w:bookmarkStart w:id="111" w:name="_Toc477691092"/>
      <w:bookmarkStart w:id="112" w:name="_Toc477692744"/>
      <w:bookmarkStart w:id="113" w:name="_Toc477693543"/>
      <w:bookmarkStart w:id="114" w:name="_Toc477694342"/>
      <w:bookmarkStart w:id="115" w:name="_Toc477695141"/>
      <w:bookmarkStart w:id="116" w:name="_Toc477695940"/>
      <w:bookmarkStart w:id="117" w:name="_Toc477702192"/>
      <w:bookmarkStart w:id="118" w:name="_Toc477703050"/>
      <w:bookmarkStart w:id="119" w:name="_Toc477703909"/>
      <w:bookmarkStart w:id="120" w:name="_Toc477704768"/>
      <w:bookmarkStart w:id="121" w:name="_Toc477789529"/>
      <w:bookmarkStart w:id="122" w:name="_Toc477793936"/>
      <w:bookmarkStart w:id="123" w:name="_Toc477796422"/>
      <w:bookmarkStart w:id="124" w:name="_Toc477797319"/>
      <w:bookmarkStart w:id="125" w:name="_Toc477798216"/>
      <w:bookmarkStart w:id="126" w:name="_Toc477799114"/>
      <w:bookmarkStart w:id="127" w:name="_Toc477802147"/>
      <w:bookmarkStart w:id="128" w:name="_Toc477803043"/>
      <w:bookmarkStart w:id="129" w:name="_Toc477803939"/>
      <w:bookmarkStart w:id="130" w:name="_Toc477803923"/>
      <w:bookmarkStart w:id="131" w:name="_Toc477805716"/>
      <w:bookmarkStart w:id="132" w:name="_Toc477809232"/>
      <w:bookmarkStart w:id="133" w:name="_Toc477856871"/>
      <w:bookmarkStart w:id="134" w:name="_Toc477859459"/>
      <w:bookmarkStart w:id="135" w:name="_Toc477857778"/>
      <w:bookmarkStart w:id="136" w:name="_Toc477861111"/>
      <w:bookmarkStart w:id="137" w:name="_Toc477863838"/>
      <w:bookmarkStart w:id="138" w:name="_Toc477865074"/>
      <w:bookmarkStart w:id="139" w:name="_Toc477865974"/>
      <w:bookmarkStart w:id="140" w:name="_Toc477866873"/>
      <w:bookmarkStart w:id="141" w:name="_Toc477867772"/>
      <w:bookmarkStart w:id="142" w:name="_Toc477868671"/>
      <w:bookmarkStart w:id="143" w:name="_Toc477869572"/>
      <w:bookmarkStart w:id="144" w:name="_Toc477870473"/>
      <w:bookmarkStart w:id="145" w:name="_Toc477871374"/>
      <w:bookmarkStart w:id="146" w:name="_Toc477869620"/>
      <w:bookmarkStart w:id="147" w:name="_Toc477872950"/>
      <w:bookmarkStart w:id="148" w:name="_Toc477873861"/>
      <w:bookmarkStart w:id="149" w:name="_Toc477875249"/>
      <w:bookmarkStart w:id="150" w:name="_Toc477876158"/>
      <w:bookmarkStart w:id="151" w:name="_Toc477877067"/>
      <w:bookmarkStart w:id="152" w:name="_Toc477877976"/>
      <w:bookmarkStart w:id="153" w:name="_Toc477876138"/>
      <w:bookmarkStart w:id="154" w:name="_Toc477879540"/>
      <w:bookmarkStart w:id="155" w:name="_Toc477880458"/>
      <w:bookmarkStart w:id="156" w:name="_Toc477881377"/>
      <w:bookmarkStart w:id="157" w:name="_Toc477885837"/>
      <w:bookmarkStart w:id="158" w:name="_Toc477890164"/>
      <w:bookmarkStart w:id="159" w:name="_Toc477936520"/>
      <w:bookmarkStart w:id="160" w:name="_Toc477937693"/>
      <w:bookmarkStart w:id="161" w:name="_Toc477535451"/>
      <w:bookmarkStart w:id="162" w:name="_Toc477630584"/>
      <w:bookmarkStart w:id="163" w:name="_Toc477693544"/>
      <w:bookmarkStart w:id="164" w:name="_Toc477703910"/>
      <w:bookmarkStart w:id="165" w:name="_Toc477799115"/>
      <w:bookmarkStart w:id="166" w:name="_Toc477805717"/>
      <w:bookmarkStart w:id="167" w:name="_Toc477877977"/>
      <w:bookmarkStart w:id="168" w:name="_Toc477881378"/>
      <w:bookmarkStart w:id="169" w:name="_Toc477885838"/>
      <w:bookmarkStart w:id="170" w:name="_Toc478131297"/>
      <w:bookmarkStart w:id="171" w:name="_Toc478138680"/>
      <w:bookmarkStart w:id="172" w:name="_Toc478237179"/>
      <w:bookmarkStart w:id="173" w:name="_Toc481761716"/>
      <w:bookmarkStart w:id="174" w:name="_Toc49290036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247719">
        <w:rPr>
          <w:rFonts w:eastAsiaTheme="majorEastAsia"/>
        </w:rPr>
        <w:lastRenderedPageBreak/>
        <w:t>Bakgrunn for forslag om endringer i lovgivningen om tros- og livssynssamfunn</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7B750F" w:rsidRPr="00247719" w:rsidRDefault="007B750F" w:rsidP="007B750F">
      <w:pPr>
        <w:pStyle w:val="Overskrift2"/>
        <w:rPr>
          <w:rFonts w:eastAsiaTheme="minorEastAsia"/>
        </w:rPr>
      </w:pPr>
      <w:bookmarkStart w:id="175" w:name="_Toc477535452"/>
      <w:bookmarkStart w:id="176" w:name="_Toc477630585"/>
      <w:bookmarkStart w:id="177" w:name="_Toc477693545"/>
      <w:bookmarkStart w:id="178" w:name="_Toc477703911"/>
      <w:bookmarkStart w:id="179" w:name="_Toc477799116"/>
      <w:bookmarkStart w:id="180" w:name="_Toc477805718"/>
      <w:bookmarkStart w:id="181" w:name="_Toc477877978"/>
      <w:bookmarkStart w:id="182" w:name="_Toc477881379"/>
      <w:bookmarkStart w:id="183" w:name="_Toc477885839"/>
      <w:bookmarkStart w:id="184" w:name="_Toc478131298"/>
      <w:bookmarkStart w:id="185" w:name="_Toc478138681"/>
      <w:bookmarkStart w:id="186" w:name="_Toc478237180"/>
      <w:bookmarkStart w:id="187" w:name="_Toc481761717"/>
      <w:bookmarkStart w:id="188" w:name="_Toc492900370"/>
      <w:r w:rsidRPr="00247719">
        <w:rPr>
          <w:rFonts w:eastAsiaTheme="minorEastAsia"/>
        </w:rPr>
        <w:t>Utviklingstrekk</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7B750F" w:rsidRPr="00247719" w:rsidRDefault="007B750F" w:rsidP="007B750F">
      <w:r w:rsidRPr="00247719">
        <w:t xml:space="preserve">Forholdet mellom stat, samfunn, religion og livssyn er på den politiske agendaen i flere land. Mange av de samme spørsmålene diskuteres </w:t>
      </w:r>
      <w:r>
        <w:t xml:space="preserve">derfor </w:t>
      </w:r>
      <w:r w:rsidRPr="00247719">
        <w:t xml:space="preserve">innenfor ulike modeller eller systemer for offentlig tros- og livssynspolitikk og for rettslig regulering av tros- og livssynssamfunn og deres virksomhet. </w:t>
      </w:r>
      <w:r w:rsidRPr="00343185">
        <w:t xml:space="preserve">I kapittel </w:t>
      </w:r>
      <w:r w:rsidR="00965CCF">
        <w:t>5</w:t>
      </w:r>
      <w:r w:rsidRPr="00343185">
        <w:t xml:space="preserve"> er</w:t>
      </w:r>
      <w:r w:rsidRPr="00247719">
        <w:t xml:space="preserve"> ordningene i de nordiske landene nærmere beskrevet. </w:t>
      </w:r>
      <w:r w:rsidR="001A3FF9">
        <w:t xml:space="preserve">I </w:t>
      </w:r>
      <w:r w:rsidR="001A3FF9" w:rsidRPr="001A3FF9">
        <w:t>Danmark og Sverige ble det i henholdsvis 2014 og 2016 igangsatt statlige utredninger på tros- og livssynsfeltet. Den danske utredningen forelå i mars 2017.</w:t>
      </w:r>
    </w:p>
    <w:p w:rsidR="007B750F" w:rsidRPr="00247719" w:rsidRDefault="007B750F" w:rsidP="007B750F">
      <w:r w:rsidRPr="00247719">
        <w:t>Det norske samfunnet er vesentlig endret siden arbeidet med trossamfunnsloven startet i 1957, og siden loven trådte i kraft i 1970. Mange samfunnsmessige utviklingstrekk er relevante i en vurdering av statens forhold til Den norske kirke og andre tros- og livssynssamfunn. Spørsmål om stat, samfunn, religion og verdier er kompliserte</w:t>
      </w:r>
      <w:r>
        <w:t xml:space="preserve">, og de aktualiseres på </w:t>
      </w:r>
      <w:r w:rsidRPr="00247719">
        <w:t xml:space="preserve">mange samfunnsområder. </w:t>
      </w:r>
    </w:p>
    <w:p w:rsidR="007B750F" w:rsidRPr="00247719" w:rsidRDefault="007B750F" w:rsidP="007B750F">
      <w:r>
        <w:t xml:space="preserve">Dette </w:t>
      </w:r>
      <w:r w:rsidRPr="00247719">
        <w:t>høringsnotatet er avgrenset til å omhandle rettslig regulering og finansiering av tros- og livssynssamfunn</w:t>
      </w:r>
      <w:r w:rsidR="00974796">
        <w:t>. D</w:t>
      </w:r>
      <w:r w:rsidRPr="00247719">
        <w:t>epartementet vil særlig framheve to sentrale utviklingstrekk som har betydning for en vurdering av disse spørsmålene. For det første har det skjedd vesentlige endringer i forholdet mellom staten og Den norske kirke</w:t>
      </w:r>
      <w:r>
        <w:t>,</w:t>
      </w:r>
      <w:r w:rsidRPr="00247719">
        <w:t xml:space="preserve"> og organiseringen av Den norske kirke mer generelt. Denne </w:t>
      </w:r>
      <w:r>
        <w:t xml:space="preserve">utviklingen </w:t>
      </w:r>
      <w:r w:rsidRPr="00247719">
        <w:t xml:space="preserve">har også medført endringer i det rettslige grunnlaget for statens forhold til alle tros- og livssynssamfunn. For det andre har det religiøse og kulturelle mangfoldet i </w:t>
      </w:r>
      <w:r>
        <w:t xml:space="preserve">det norske </w:t>
      </w:r>
      <w:r w:rsidRPr="00247719">
        <w:t>samfunnet økt vesentlig. Flere religioner har fått en tydeligere tilstedeværelse i samfunnet, først og fremst på grunn av økt innvandring, og det har skjedd en stor vekst i antallet tros- og livss</w:t>
      </w:r>
      <w:r>
        <w:t xml:space="preserve">ynssamfunn i Norge. Dessuten er det stadig flere personer som </w:t>
      </w:r>
      <w:r w:rsidRPr="00247719">
        <w:t>ikke er medlem i noe tros- e</w:t>
      </w:r>
      <w:r>
        <w:t>ller livssynssamfunn</w:t>
      </w:r>
      <w:r w:rsidRPr="00247719">
        <w:t xml:space="preserve">. </w:t>
      </w:r>
    </w:p>
    <w:p w:rsidR="007B750F" w:rsidRPr="00247719" w:rsidRDefault="007B750F" w:rsidP="007B750F">
      <w:pPr>
        <w:rPr>
          <w:u w:val="single"/>
        </w:rPr>
      </w:pPr>
      <w:r w:rsidRPr="00247719">
        <w:t xml:space="preserve">Utviklingen av forholdet mellom staten og Den norske kirke er beskrevet </w:t>
      </w:r>
      <w:r w:rsidR="007614B6">
        <w:t>nedenfor</w:t>
      </w:r>
      <w:r w:rsidRPr="00247719">
        <w:t xml:space="preserve"> i </w:t>
      </w:r>
      <w:r w:rsidRPr="00343185">
        <w:t xml:space="preserve">kapittel </w:t>
      </w:r>
      <w:r w:rsidR="007614B6">
        <w:t>3</w:t>
      </w:r>
      <w:r w:rsidRPr="00343185">
        <w:t>.</w:t>
      </w:r>
      <w:r w:rsidRPr="00247719">
        <w:t xml:space="preserve"> Denne prosessen har skjedd skrittvis, blant annet for å legge til rette for at endringer skal ha bred politisk og kirkelig o</w:t>
      </w:r>
      <w:r>
        <w:t xml:space="preserve">ppslutning, og fordi en har ønsket å vektlegge </w:t>
      </w:r>
      <w:r w:rsidRPr="00247719">
        <w:t>kontinuitet. Med bakgrunn i kirkeforliket fra 2008 ble det i 2012 vedtatt omfattende endringer i grunnlovsbestemmelsene som etablerte og regulerte statskirkeordning</w:t>
      </w:r>
      <w:r>
        <w:t>en. Endringene i Grunnloven la et</w:t>
      </w:r>
      <w:r w:rsidRPr="00247719">
        <w:t xml:space="preserve"> nytt grunnlag for statens relasjoner til </w:t>
      </w:r>
      <w:r>
        <w:t xml:space="preserve">både </w:t>
      </w:r>
      <w:r w:rsidRPr="00247719">
        <w:t>Den norske kirke og til andre tros- og livssyn</w:t>
      </w:r>
      <w:r>
        <w:t>ssamfunn, og de pekte i retning av større selvstendighet for</w:t>
      </w:r>
      <w:r w:rsidRPr="00247719">
        <w:t xml:space="preserve"> Den norske kirke og tydeligere likebehandling mellom alle tros- og livssynssamfunn.</w:t>
      </w:r>
      <w:r w:rsidR="004B4097">
        <w:t xml:space="preserve"> Et nytt skritt ble tatt da de "</w:t>
      </w:r>
      <w:r w:rsidRPr="00247719">
        <w:t xml:space="preserve">statskirkelige" virksomhetene ble utskilt fra staten og </w:t>
      </w:r>
      <w:r w:rsidR="00D1082E">
        <w:t xml:space="preserve">overført til </w:t>
      </w:r>
      <w:r w:rsidRPr="00247719">
        <w:t xml:space="preserve">et selvstendig kirkelig rettssubjekt med virkning fra 1. januar 2017. I dette høringsnotatet foreslås det ytterligere nedbygging av lovgivningen om Den norske kirke. Det </w:t>
      </w:r>
      <w:r>
        <w:t xml:space="preserve">overordnede </w:t>
      </w:r>
      <w:r w:rsidRPr="00247719">
        <w:t xml:space="preserve">rettslige rammeverket </w:t>
      </w:r>
      <w:r>
        <w:t xml:space="preserve">for statens forhold til Den norske kirke og andre tros- og livssynssamfunn </w:t>
      </w:r>
      <w:r w:rsidRPr="00247719">
        <w:t xml:space="preserve">er framstilt nærmere nedenfor i </w:t>
      </w:r>
      <w:r w:rsidRPr="00343185">
        <w:t>kapittel 6.</w:t>
      </w:r>
      <w:r w:rsidRPr="00247719">
        <w:t xml:space="preserve"> </w:t>
      </w:r>
    </w:p>
    <w:p w:rsidR="007B750F" w:rsidRPr="00247719" w:rsidRDefault="007B750F" w:rsidP="007B750F">
      <w:r w:rsidRPr="00247719">
        <w:t xml:space="preserve">På slutten av 1950-tallet og gjennom 1960-tallet </w:t>
      </w:r>
      <w:r w:rsidR="009D6D27">
        <w:t xml:space="preserve">da trossamfunnsloven var under forberedelse, </w:t>
      </w:r>
      <w:r w:rsidRPr="00247719">
        <w:t xml:space="preserve">var 96 </w:t>
      </w:r>
      <w:r w:rsidR="004B4097">
        <w:t>pst.</w:t>
      </w:r>
      <w:r w:rsidRPr="00247719">
        <w:t xml:space="preserve"> av befolkningen medlemmer av Den norske kirke. En tilsvarende prosentdel døpte barna sine i Den norske kirke, 94 </w:t>
      </w:r>
      <w:r w:rsidR="004B4097">
        <w:t>pst.</w:t>
      </w:r>
      <w:r w:rsidRPr="00247719">
        <w:t xml:space="preserve"> ble konfirmert </w:t>
      </w:r>
      <w:r w:rsidR="00B73EA8">
        <w:t xml:space="preserve">i Den norske kirke og 84,5 </w:t>
      </w:r>
      <w:r w:rsidR="004B4097">
        <w:t>pst.</w:t>
      </w:r>
      <w:r w:rsidR="00B73EA8">
        <w:t xml:space="preserve"> av ekteskapsinngåelsene skjedde i Den norske kirke</w:t>
      </w:r>
      <w:r w:rsidRPr="00247719">
        <w:t xml:space="preserve">. Rundt 25 000 personer i Norge var omfattet av SSBs kategorier "innvandrere" og "norskfødte med innvandrerforeldre", mens rundt 130 000 personer sto utenfor "statskirken". De som var medlemmer i andre trossamfunn, tilhørte nesten bare protestantisk kristne menigheter. I </w:t>
      </w:r>
      <w:r w:rsidRPr="00247719">
        <w:lastRenderedPageBreak/>
        <w:t xml:space="preserve">1971 ble det gitt støtte </w:t>
      </w:r>
      <w:r w:rsidR="001F2B47">
        <w:t>for</w:t>
      </w:r>
      <w:r w:rsidRPr="00247719">
        <w:t xml:space="preserve"> 110 000 personer under den nye trossamfunnsloven, og av disse tilhørte ca. 100 000 slike menigheter. Ulike pinsemenigheter var den største gruppen. Den romersk-katolske kirken fikk støtte for ca. 10 000 personer. </w:t>
      </w:r>
    </w:p>
    <w:p w:rsidR="007B750F" w:rsidRDefault="007B750F" w:rsidP="007B750F">
      <w:r w:rsidRPr="00247719">
        <w:t xml:space="preserve">Vel 50 år senere er 73 </w:t>
      </w:r>
      <w:r w:rsidR="004B4097">
        <w:t>pst.</w:t>
      </w:r>
      <w:r w:rsidRPr="00247719">
        <w:t xml:space="preserve"> av befolkningen medlemmer av Den n</w:t>
      </w:r>
      <w:r w:rsidR="00B2741F">
        <w:t>orske kirke, mens andelen som velger</w:t>
      </w:r>
      <w:r w:rsidRPr="00247719">
        <w:t xml:space="preserve"> kirkeli</w:t>
      </w:r>
      <w:r w:rsidR="00B2741F">
        <w:t>g vigsel, dåp og konfirmasjon ligger</w:t>
      </w:r>
      <w:r w:rsidRPr="00247719">
        <w:t xml:space="preserve"> på henholdsvis 38 </w:t>
      </w:r>
      <w:r w:rsidR="004B4097">
        <w:t>pst.</w:t>
      </w:r>
      <w:r w:rsidRPr="00247719">
        <w:t xml:space="preserve">, 58 </w:t>
      </w:r>
      <w:r w:rsidR="004B4097">
        <w:t>pst.</w:t>
      </w:r>
      <w:r w:rsidRPr="00247719">
        <w:t xml:space="preserve"> og 63 </w:t>
      </w:r>
      <w:r w:rsidR="004B4097">
        <w:t>pst.</w:t>
      </w:r>
      <w:r w:rsidRPr="00247719">
        <w:t xml:space="preserve"> Om lag 850 000 personer </w:t>
      </w:r>
      <w:r w:rsidR="00B2741F">
        <w:t>e</w:t>
      </w:r>
      <w:r w:rsidRPr="00247719">
        <w:t xml:space="preserve">r omfattet av SSBs kategorier "innvandrere" og "norskfødte med innvandrerforeldre", og det </w:t>
      </w:r>
      <w:r w:rsidR="00B2741F">
        <w:t>e</w:t>
      </w:r>
      <w:r w:rsidRPr="00247719">
        <w:t xml:space="preserve">r registrert nærmere 800 tilskuddsberettigede tros- og livssynssamfunn, med til sammen ca. 600 000 tilskuddstellende medlemmer. Kommunene og fylkesmennene </w:t>
      </w:r>
      <w:r w:rsidR="00226541">
        <w:t>treffer i løpet av året rundt 23</w:t>
      </w:r>
      <w:r w:rsidRPr="00247719">
        <w:t xml:space="preserve"> 000 enkeltvedtak om tilskudd</w:t>
      </w:r>
      <w:r w:rsidR="007614B6">
        <w:t>.</w:t>
      </w:r>
      <w:r w:rsidRPr="00247719">
        <w:t xml:space="preserve"> </w:t>
      </w:r>
    </w:p>
    <w:p w:rsidR="009D6D27" w:rsidRPr="00247719" w:rsidRDefault="009D6D27" w:rsidP="007B750F">
      <w:r>
        <w:t>Medlemmer av trossamfunn uteno</w:t>
      </w:r>
      <w:r w:rsidR="005F275E">
        <w:t>m Den norske kirke</w:t>
      </w:r>
      <w:r>
        <w:t xml:space="preserve"> er heller ikke lenger nesten utelukkende protestantisk kristne. </w:t>
      </w:r>
      <w:r w:rsidR="00436543">
        <w:t>I 2016 hadde de muslimske trossamfunnene nærmere 150 000 medlemmer, buddhistene nærmere 19 000 medlemmer og hinduistene ca. 9 000 medlemmer. I tillegg stod nærmere 90 000 oppført som medlemmer av "livssynssamfunn". De kristne trossamfunnene utenom Den norske kirke hadde nærmer</w:t>
      </w:r>
      <w:r w:rsidR="005F275E">
        <w:t>e</w:t>
      </w:r>
      <w:r w:rsidR="00436543">
        <w:t xml:space="preserve"> 350 000 medlemmer, </w:t>
      </w:r>
      <w:r w:rsidR="00A8652E">
        <w:t xml:space="preserve">hvorav om lag </w:t>
      </w:r>
      <w:r w:rsidR="003802E2">
        <w:t>160</w:t>
      </w:r>
      <w:r w:rsidR="00A8652E">
        <w:t xml:space="preserve"> 000 </w:t>
      </w:r>
      <w:r w:rsidR="003802E2">
        <w:t xml:space="preserve">ifølge SSB sine tall stod oppført som medlemmer av den romersk-katolske kirken og </w:t>
      </w:r>
      <w:r w:rsidR="003E6D20">
        <w:t>ortodokse kirker</w:t>
      </w:r>
      <w:r w:rsidR="003802E2">
        <w:t>.</w:t>
      </w:r>
    </w:p>
    <w:p w:rsidR="007B750F" w:rsidRPr="00247719" w:rsidRDefault="007B750F" w:rsidP="007B750F">
      <w:r w:rsidRPr="00247719">
        <w:t>Endringer i befolkningens tilhørighet og holdninger til tro og livssyn skyldes ikke at antallet medlemmer i Den norske kirke har blitt redusert. Tvert imot har realtallet økt i denne perioden, fra 3,6 millioner i 1970 til nærmere 3,8 millioner ved inngangen til 2016. Den norske kirke har med andre ord vel så mange kirkemedlemmer å betjene som den</w:t>
      </w:r>
      <w:r w:rsidR="00CA07F6">
        <w:t xml:space="preserve"> hadde da trossamfunnsloven kom</w:t>
      </w:r>
      <w:r w:rsidRPr="00247719">
        <w:t xml:space="preserve"> og nær sagt alle tilhørte statskirken. Men tallet på innbyggere i Norge har økt, og en lavere andel av dem er medlemmer av Den norske kirke – både som følge av økt innvandring og som følge av mer generelle endringer i samfunnet som får innvirkning på folks religiøse holdninger og praksis. </w:t>
      </w:r>
    </w:p>
    <w:p w:rsidR="007B750F" w:rsidRPr="00247719" w:rsidRDefault="007B750F" w:rsidP="007B750F">
      <w:r w:rsidRPr="00247719">
        <w:t>I 2012 oppga 14 p</w:t>
      </w:r>
      <w:r w:rsidR="007614B6">
        <w:t>st.</w:t>
      </w:r>
      <w:r w:rsidRPr="00247719">
        <w:t xml:space="preserve"> av befolkningen at de ikke stod som medlemmer av noe tros- eller livssynssamfunn, og verdiundersøkelser viser at færre opplys</w:t>
      </w:r>
      <w:r w:rsidR="00B2741F">
        <w:t>er at de tror på noen form for g</w:t>
      </w:r>
      <w:r w:rsidRPr="00247719">
        <w:t>ud. Forskere har også pekt på utviklingen av en såkalt autentisitetskultur, der egne, tradisjonsuavhengige valg får større plass, og på at ikke-religiøse overgangsritualer har blitt mer akseptert og vanlige, også blan</w:t>
      </w:r>
      <w:r>
        <w:t>t Den norske kirkes medlemmer. Det f</w:t>
      </w:r>
      <w:r w:rsidRPr="00247719">
        <w:t xml:space="preserve">ørstnevnte har </w:t>
      </w:r>
      <w:r>
        <w:t xml:space="preserve">antakelig </w:t>
      </w:r>
      <w:r w:rsidRPr="00247719">
        <w:t xml:space="preserve">særlig betydning for nedgangen en ser i dåpstallene i Den norske kirke (kilde: SSB, KIFO). </w:t>
      </w:r>
    </w:p>
    <w:p w:rsidR="007B750F" w:rsidRPr="00247719" w:rsidRDefault="007B750F" w:rsidP="007B750F">
      <w:r w:rsidRPr="00247719">
        <w:t xml:space="preserve">Selv om en ikke skal overdrive geografiske forskjeller når det kommer til religiøs tilhørighet, er det klart at befolkningens etniske og religiøse sammensetning varierer mye i landet. Mens flere små tettsteder og byer i for eksempel Nord-Trøndelag har en medlemsandel i Den norske kirke på mellom 85 og 95 </w:t>
      </w:r>
      <w:r w:rsidR="004B4097">
        <w:t>pst.</w:t>
      </w:r>
      <w:r w:rsidRPr="00247719">
        <w:t xml:space="preserve"> av befolkningen, har Østre Aker prosti i Oslo en medlemsandel på rundt 40 </w:t>
      </w:r>
      <w:r w:rsidR="004B4097">
        <w:t>pst</w:t>
      </w:r>
      <w:r w:rsidRPr="00247719">
        <w:t>. Den lave andelen i Oslo skyldes i all hovedsak innvandring og en stadig mer flerkulturell befolkning, men er også forå</w:t>
      </w:r>
      <w:r>
        <w:t>rsaket av utmeldinger og</w:t>
      </w:r>
      <w:r w:rsidRPr="00247719">
        <w:t xml:space="preserve"> </w:t>
      </w:r>
      <w:r>
        <w:t xml:space="preserve">at færre medlemmer av Den norske kirke velger dåp av barna sine. </w:t>
      </w:r>
      <w:r w:rsidRPr="00247719">
        <w:t xml:space="preserve">Nærmere ¼ av alle medlemmer i tros- eller livssynssamfunn utenom Den norske kirke er bosatt i Oslo. </w:t>
      </w:r>
    </w:p>
    <w:p w:rsidR="007B750F" w:rsidRPr="00247719" w:rsidRDefault="007B750F" w:rsidP="007B750F">
      <w:r w:rsidRPr="00247719">
        <w:t>Den offentlige støtten fra staten og kommunene til tros- og livssynssamfunnene gjennom den særlige finansieringsordningen var i 2016 på ca. 600 mill. kroner. Hvert samfunn mottok rundt 1</w:t>
      </w:r>
      <w:r w:rsidR="00C07513">
        <w:t xml:space="preserve"> </w:t>
      </w:r>
      <w:r w:rsidRPr="00247719">
        <w:t xml:space="preserve">000 kroner per medlem gjennom denne ordningen. </w:t>
      </w:r>
    </w:p>
    <w:p w:rsidR="007B750F" w:rsidRPr="00247719" w:rsidRDefault="007B750F" w:rsidP="007B750F">
      <w:r w:rsidRPr="00247719">
        <w:t>Departementet mener at dagens lovgivnin</w:t>
      </w:r>
      <w:r>
        <w:t xml:space="preserve">g på tros- og livssynsfeltet </w:t>
      </w:r>
      <w:r w:rsidRPr="00247719">
        <w:t xml:space="preserve">ikke </w:t>
      </w:r>
      <w:r>
        <w:t xml:space="preserve">er </w:t>
      </w:r>
      <w:r w:rsidRPr="00247719">
        <w:t>godt nok tilpasset det religiøse og kulturelle mangfoldet vi har i dag. Bare utviklingen i tallet på registrerte trossamfunn og antallet enkeltvedtak som hvert år må tre</w:t>
      </w:r>
      <w:r w:rsidR="00502C84">
        <w:t>ffes av kommunene,</w:t>
      </w:r>
      <w:r w:rsidRPr="00247719">
        <w:t xml:space="preserve"> tilsier </w:t>
      </w:r>
      <w:r>
        <w:t xml:space="preserve">etter departementets syn </w:t>
      </w:r>
      <w:r w:rsidRPr="00247719">
        <w:t xml:space="preserve">at det er behov for forenkling. </w:t>
      </w:r>
    </w:p>
    <w:p w:rsidR="007B750F" w:rsidRPr="00247719" w:rsidRDefault="007B750F" w:rsidP="007B750F">
      <w:r w:rsidRPr="00247719">
        <w:lastRenderedPageBreak/>
        <w:t xml:space="preserve">Endringene i retning av større religiøst og kulturelt mangfold har også bragt ny oppmerksomhet til tros- og livssynsfeltet. Særlig er det religionens rolle som fremmer eller hemmer av god integrering som har blitt tillagt større vekt. Disse spørsmålene kommer departementet tilbake til </w:t>
      </w:r>
      <w:r w:rsidRPr="004B4097">
        <w:t>nedenfor i kapittel 6.</w:t>
      </w:r>
      <w:r w:rsidRPr="00247719">
        <w:t xml:space="preserve"> </w:t>
      </w:r>
    </w:p>
    <w:p w:rsidR="007B750F" w:rsidRPr="00B567B8" w:rsidRDefault="007B750F" w:rsidP="007B750F">
      <w:pPr>
        <w:pStyle w:val="Overskrift2"/>
        <w:rPr>
          <w:rFonts w:eastAsiaTheme="minorEastAsia"/>
        </w:rPr>
      </w:pPr>
      <w:bookmarkStart w:id="189" w:name="_Toc478131299"/>
      <w:bookmarkStart w:id="190" w:name="_Toc478138682"/>
      <w:bookmarkStart w:id="191" w:name="_Toc478237181"/>
      <w:bookmarkStart w:id="192" w:name="_Toc481761718"/>
      <w:bookmarkStart w:id="193" w:name="_Toc492900371"/>
      <w:bookmarkStart w:id="194" w:name="_Toc477535453"/>
      <w:bookmarkStart w:id="195" w:name="_Toc477630586"/>
      <w:bookmarkStart w:id="196" w:name="_Toc477693546"/>
      <w:bookmarkStart w:id="197" w:name="_Toc477703912"/>
      <w:bookmarkStart w:id="198" w:name="_Toc477799117"/>
      <w:bookmarkStart w:id="199" w:name="_Toc477805719"/>
      <w:bookmarkStart w:id="200" w:name="_Toc477877979"/>
      <w:bookmarkStart w:id="201" w:name="_Toc477881380"/>
      <w:bookmarkStart w:id="202" w:name="_Toc477885840"/>
      <w:r w:rsidRPr="00B567B8">
        <w:rPr>
          <w:rFonts w:eastAsiaTheme="minorEastAsia"/>
        </w:rPr>
        <w:t xml:space="preserve">Felles lov – </w:t>
      </w:r>
      <w:r w:rsidR="00AF1F1A">
        <w:rPr>
          <w:rFonts w:eastAsiaTheme="minorEastAsia"/>
        </w:rPr>
        <w:t xml:space="preserve">likebehandling, </w:t>
      </w:r>
      <w:r w:rsidRPr="00B567B8">
        <w:rPr>
          <w:rFonts w:eastAsiaTheme="minorEastAsia"/>
        </w:rPr>
        <w:t>fornying og forenkling av regelverket</w:t>
      </w:r>
      <w:bookmarkEnd w:id="189"/>
      <w:bookmarkEnd w:id="190"/>
      <w:bookmarkEnd w:id="191"/>
      <w:bookmarkEnd w:id="192"/>
      <w:bookmarkEnd w:id="193"/>
      <w:r w:rsidRPr="00B567B8">
        <w:rPr>
          <w:rFonts w:eastAsiaTheme="minorEastAsia"/>
        </w:rPr>
        <w:t xml:space="preserve"> </w:t>
      </w:r>
      <w:bookmarkEnd w:id="194"/>
      <w:bookmarkEnd w:id="195"/>
      <w:bookmarkEnd w:id="196"/>
      <w:bookmarkEnd w:id="197"/>
      <w:bookmarkEnd w:id="198"/>
      <w:bookmarkEnd w:id="199"/>
      <w:bookmarkEnd w:id="200"/>
      <w:bookmarkEnd w:id="201"/>
      <w:bookmarkEnd w:id="202"/>
    </w:p>
    <w:p w:rsidR="007B750F" w:rsidRDefault="007B750F" w:rsidP="007B750F">
      <w:r w:rsidRPr="00247719">
        <w:t xml:space="preserve">Det sentrale formålet med forslaget om ny og felles lovgivning for tros- og livssynssamfunn er å oppdatere, forenkle og effektivisere dagens rettslige regulering og finansiering av Den norske kirke og de øvrige tros- og livssynssamfunnene. </w:t>
      </w:r>
      <w:r>
        <w:t xml:space="preserve">I tillegg er det et mål å sørge for </w:t>
      </w:r>
      <w:r w:rsidR="0046444D">
        <w:t>at regelverket i større grad likebehandler sa</w:t>
      </w:r>
      <w:r>
        <w:t>mfunnene.</w:t>
      </w:r>
    </w:p>
    <w:p w:rsidR="007B750F" w:rsidRPr="00247719" w:rsidRDefault="007B750F" w:rsidP="007B750F">
      <w:r>
        <w:t>Departementet legger til grunn at lovgivningen om Den norske kirke bør reduseres i omfang, blant annet for å gi Den norske kirke større frihet til å organisere seg og fastsette kirkeordningen på et mer selvstendig grunnlag enn i dag. Ny lovgivning om Den norske kirke bør inn</w:t>
      </w:r>
      <w:r w:rsidRPr="00247719">
        <w:t>passes i en felles lov for alle tros- og livssynssamfunn. Dette vil være et nytt steg i retning likebehandling mellom Den norske kirke og andre tros- og livssynssamfunn, men det vil – i tråd med Grunnloven § 16 – forbli et særlig forhold mellom staten og Den norske kirke som folkekirke</w:t>
      </w:r>
      <w:r>
        <w:t>. Etter departementets oppfatning bør også finansieringsord</w:t>
      </w:r>
      <w:r w:rsidR="0046444D">
        <w:t xml:space="preserve">ningen for Den norske kirke </w:t>
      </w:r>
      <w:r>
        <w:t xml:space="preserve">innrettes slik at den i mindre grad enn i dag begrenser Den norske kirkes frihet til å organisere seg. </w:t>
      </w:r>
    </w:p>
    <w:p w:rsidR="007B750F" w:rsidRPr="00247719" w:rsidRDefault="007B750F" w:rsidP="007B750F">
      <w:r w:rsidRPr="00247719">
        <w:t>Departementet mener at den rettslige reguleringen av tros- og livssynssamfunn utenom Den norske kirke ikke er godt nok tilpasset dagens vir</w:t>
      </w:r>
      <w:r>
        <w:t>kelighet og utfordringer. Den gjeldende</w:t>
      </w:r>
      <w:r w:rsidRPr="00247719">
        <w:t xml:space="preserve"> tilskuddsordning</w:t>
      </w:r>
      <w:r>
        <w:t>en</w:t>
      </w:r>
      <w:r w:rsidRPr="00247719">
        <w:t xml:space="preserve"> ble til i en tid hvor </w:t>
      </w:r>
      <w:r>
        <w:t xml:space="preserve">både </w:t>
      </w:r>
      <w:r w:rsidRPr="00247719">
        <w:t xml:space="preserve">antallet tros- og livssynssamfunn utenom Den norske </w:t>
      </w:r>
      <w:r>
        <w:t xml:space="preserve">kirke </w:t>
      </w:r>
      <w:r w:rsidRPr="00247719">
        <w:t>og medlemstallet i disse samfunnene var beskjedent sammenliknet med dagens situasjon. Veksten i antallet tilskuddsberettigede tros- og livssynssamfunn og veksten i samfunnenes medlemstall, med tilhørende vekst i de offentlige bevilgningene, har medført en til dels dramatisk endring i de administrative oppgavene som er knyttet til tilskudds</w:t>
      </w:r>
      <w:r w:rsidR="00E33E11">
        <w:t>forvaltningen</w:t>
      </w:r>
      <w:r w:rsidRPr="00247719">
        <w:t xml:space="preserve">. </w:t>
      </w:r>
    </w:p>
    <w:p w:rsidR="007B750F" w:rsidRPr="00247719" w:rsidRDefault="007B750F" w:rsidP="007B750F">
      <w:r w:rsidRPr="00247719">
        <w:t xml:space="preserve">Forenkling, forbedring og avbyråkratisering er generelle mål for denne regjeringen. Regjeringen er opptatt av at mulighetene som ligger i moderne informasjons- og kommunikasjonsteknologi, skal brukes til å skape et enklere møte med offentlig sektor og høyere kvalitet på tjenestene. </w:t>
      </w:r>
      <w:r w:rsidR="0046444D">
        <w:t>Det bør være et mål at s</w:t>
      </w:r>
      <w:r w:rsidRPr="00247719">
        <w:t>like forenklingshensyn gjøres gjeldende også for myndighetenes forhold til tros- og livssynssamfunnene. Det er flere sider ved dagens ordning</w:t>
      </w:r>
      <w:r w:rsidR="00456133">
        <w:t>er</w:t>
      </w:r>
      <w:r w:rsidRPr="00247719">
        <w:t xml:space="preserve"> som kan forenkles for å redusere ressursbruk både i tros- og livssynssamfunnene og i det offentlige. </w:t>
      </w:r>
    </w:p>
    <w:p w:rsidR="007B750F" w:rsidRPr="00247719" w:rsidRDefault="007B750F" w:rsidP="007B750F">
      <w:r w:rsidRPr="00247719">
        <w:t>Tilskuddsordninger og lovregler skal</w:t>
      </w:r>
      <w:r>
        <w:t xml:space="preserve"> </w:t>
      </w:r>
      <w:r w:rsidRPr="00247719">
        <w:t>være enkle å forstå og lette å finne fram i. Dette er hensyn som har betydn</w:t>
      </w:r>
      <w:r>
        <w:t>ing for mange sektorer, men har</w:t>
      </w:r>
      <w:r w:rsidRPr="00247719">
        <w:t xml:space="preserve"> etter departementets syn særlig betydning på </w:t>
      </w:r>
      <w:r w:rsidR="0046444D">
        <w:t>sivilsamfunnssektoren</w:t>
      </w:r>
      <w:r w:rsidRPr="00247719">
        <w:t xml:space="preserve">. For mange tros- og livssynssamfunn, med begrensede ressurser og ofte en begrenset intern administrasjon, </w:t>
      </w:r>
      <w:r>
        <w:t>er det</w:t>
      </w:r>
      <w:r w:rsidRPr="00247719">
        <w:t xml:space="preserve"> krevende å sette seg inn i og forholde seg til komp</w:t>
      </w:r>
      <w:r>
        <w:t>liserte tilskuddsordninger</w:t>
      </w:r>
      <w:r w:rsidR="0024562B">
        <w:t xml:space="preserve">. Det er derfor </w:t>
      </w:r>
      <w:r w:rsidRPr="00247719">
        <w:t xml:space="preserve">viktig at regelverket for tros- og livssynssamfunnene ikke er unødvendig komplisert og ikke pålegger samfunnene større ressursbruk enn nødvendig. </w:t>
      </w:r>
      <w:r w:rsidR="0046444D">
        <w:t xml:space="preserve">På den andre siden mener departementet at dette hensynet må balanseres mot myndighetenes behov for innsyn i tros- og livssynssamfunnenes virksomhet. </w:t>
      </w:r>
      <w:r w:rsidRPr="00247719">
        <w:t xml:space="preserve">For noen tros- og livssynssamfunn kan også norsk språk være en utfordring, og dette tilsier at regelverket har en klar og lett tilgjengelig språkform. </w:t>
      </w:r>
    </w:p>
    <w:p w:rsidR="007B750F" w:rsidRPr="00247719" w:rsidRDefault="007B750F" w:rsidP="007B750F">
      <w:r w:rsidRPr="00247719">
        <w:lastRenderedPageBreak/>
        <w:t>I regjeringens politiske plattform heter det at regjeringen vil utarbeide en helhetlig lov om tros- og livssynssamfunn. Å samle de tre lovene som i dag finnes på feltet – trossamfunnsloven, loven om tilskott til livssynssamfunn og kirkeloven – i én, felles lov vil i seg selv være et vesentlig grep for forenkling</w:t>
      </w:r>
      <w:r>
        <w:t xml:space="preserve"> og likebehandling</w:t>
      </w:r>
      <w:r w:rsidRPr="00247719">
        <w:t xml:space="preserve">. </w:t>
      </w:r>
    </w:p>
    <w:p w:rsidR="007B750F" w:rsidRDefault="007B750F" w:rsidP="007B750F">
      <w:r w:rsidRPr="00247719">
        <w:t xml:space="preserve">Departementet mener dermed at det ligger til rette for en betydelig modernisering og forenkling av </w:t>
      </w:r>
      <w:r w:rsidR="00456133">
        <w:t>tilskuddsordninger</w:t>
      </w:r>
      <w:r w:rsidRPr="00247719">
        <w:t xml:space="preserve"> og regelverk for øvrig. </w:t>
      </w:r>
      <w:r w:rsidR="00B93159">
        <w:t>Målsettingen bør være at regelverket gjøres mer o</w:t>
      </w:r>
      <w:r w:rsidRPr="00247719">
        <w:t>versiktlig, lettere tilgjen</w:t>
      </w:r>
      <w:r w:rsidR="00B93159">
        <w:t>gelig</w:t>
      </w:r>
      <w:r w:rsidR="006F5AC9">
        <w:t xml:space="preserve"> og </w:t>
      </w:r>
      <w:r w:rsidR="00B93159">
        <w:t>enklere å administrere, men samtidig</w:t>
      </w:r>
      <w:r w:rsidRPr="00247719">
        <w:t xml:space="preserve"> gi</w:t>
      </w:r>
      <w:r w:rsidR="006F5AC9">
        <w:t>r</w:t>
      </w:r>
      <w:r w:rsidRPr="00247719">
        <w:t xml:space="preserve"> offentlige myndigheter stø</w:t>
      </w:r>
      <w:r w:rsidR="00B93159">
        <w:t>rre muligheter for aktiv oppfølging</w:t>
      </w:r>
      <w:r w:rsidRPr="00247719">
        <w:t xml:space="preserve"> og dialog med de enkelte tros- og livssynssamfunnene. Også for tros- og livssynssamfunnene foreligger det et stort behov for endringer som kan forenkle og lette søknads- og utbetalingsprosesser, og blant annet frigi ressurser til aktivitet. </w:t>
      </w:r>
    </w:p>
    <w:p w:rsidR="00944062" w:rsidRPr="00150737" w:rsidRDefault="00944062">
      <w:pPr>
        <w:spacing w:after="0" w:line="240" w:lineRule="auto"/>
        <w:rPr>
          <w:rStyle w:val="halvfet"/>
        </w:rPr>
      </w:pPr>
      <w:r>
        <w:br w:type="page"/>
      </w:r>
    </w:p>
    <w:p w:rsidR="00944062" w:rsidRDefault="007B750F" w:rsidP="00944062">
      <w:pPr>
        <w:pStyle w:val="Overskrift1"/>
      </w:pPr>
      <w:bookmarkStart w:id="203" w:name="_Toc477277187"/>
      <w:bookmarkStart w:id="204" w:name="_Toc477535454"/>
      <w:bookmarkStart w:id="205" w:name="_Toc477630587"/>
      <w:bookmarkStart w:id="206" w:name="_Toc477693547"/>
      <w:bookmarkStart w:id="207" w:name="_Toc477703913"/>
      <w:bookmarkStart w:id="208" w:name="_Toc477799118"/>
      <w:bookmarkStart w:id="209" w:name="_Toc477805720"/>
      <w:bookmarkStart w:id="210" w:name="_Toc477877980"/>
      <w:bookmarkStart w:id="211" w:name="_Toc477881381"/>
      <w:bookmarkStart w:id="212" w:name="_Toc477885841"/>
      <w:bookmarkStart w:id="213" w:name="_Toc478131300"/>
      <w:bookmarkStart w:id="214" w:name="_Toc478138683"/>
      <w:bookmarkStart w:id="215" w:name="_Toc478237182"/>
      <w:bookmarkStart w:id="216" w:name="_Toc481761719"/>
      <w:bookmarkStart w:id="217" w:name="_Toc492900372"/>
      <w:r>
        <w:lastRenderedPageBreak/>
        <w:t xml:space="preserve">Historisk </w:t>
      </w:r>
      <w:r w:rsidR="00721C79">
        <w:t>b</w:t>
      </w:r>
      <w:r w:rsidR="00944062">
        <w:t>akgrunn</w:t>
      </w:r>
      <w:bookmarkEnd w:id="7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041536" w:rsidRDefault="00041536" w:rsidP="00041536">
      <w:pPr>
        <w:pStyle w:val="Overskrift2"/>
      </w:pPr>
      <w:bookmarkStart w:id="218" w:name="_Toc481761720"/>
      <w:bookmarkStart w:id="219" w:name="_Toc492900373"/>
      <w:r>
        <w:t>Statskirken og religionsfriheten</w:t>
      </w:r>
      <w:bookmarkEnd w:id="218"/>
      <w:bookmarkEnd w:id="219"/>
      <w:r>
        <w:t xml:space="preserve"> </w:t>
      </w:r>
    </w:p>
    <w:p w:rsidR="00041536" w:rsidRDefault="00041536" w:rsidP="00041536">
      <w:pPr>
        <w:pStyle w:val="Overskrift3"/>
      </w:pPr>
      <w:bookmarkStart w:id="220" w:name="_Toc481761721"/>
      <w:bookmarkStart w:id="221" w:name="_Toc492900374"/>
      <w:r>
        <w:t xml:space="preserve">De lange </w:t>
      </w:r>
      <w:r w:rsidR="00CF77EA">
        <w:t>linjene</w:t>
      </w:r>
      <w:r>
        <w:t xml:space="preserve"> gjennom tusen år</w:t>
      </w:r>
      <w:bookmarkEnd w:id="220"/>
      <w:bookmarkEnd w:id="221"/>
    </w:p>
    <w:p w:rsidR="00041536" w:rsidRDefault="00041536" w:rsidP="00041536">
      <w:r>
        <w:t>Kristen tro og tradisjon har gjennom tusen år gitt avgjørende impulser til Norges kulturelle og politiske liv. Siden reformasjonen har det vært et nært forhold mellom stat og kirke, og Grunnloven av 1814 videreførte ordningen med Kongen som kirkestyre.</w:t>
      </w:r>
    </w:p>
    <w:p w:rsidR="00041536" w:rsidRDefault="00041536" w:rsidP="00041536">
      <w:r>
        <w:t>Samtidig har et religiøst og livssynsmessig mangfold langsomt vokst fram, og i stadig stigende grad er denne pluralismen blitt sett på som et gode. Religionsfriheten er blitt utviklet og styrket, også rettslig, gjennom internasjonale konvensjoner og en tilsvarende utvikling av intern norsk rett.</w:t>
      </w:r>
    </w:p>
    <w:p w:rsidR="00041536" w:rsidRDefault="00041536" w:rsidP="00041536">
      <w:r>
        <w:t>Gjennom disse århundrene har staten, kirken og det religiøse Norge vært i stadig endring. Den konfesjonelle staten, den embetsstyrte kirken og det kristne enhetssamfunnet er blitt avløst av andre grunnleggende forutsetninger for den rollen religion og livssyn spiller i det moderne velferdssamfunnet. Dette er endringsprosesser som har gått over svært lang tid, og der ulike forhold har spilt sammen og påvirket hverandre.</w:t>
      </w:r>
      <w:r w:rsidR="002E4533">
        <w:t xml:space="preserve"> Departementet vil særlige peke på fire slike forhold som har preget</w:t>
      </w:r>
      <w:r w:rsidR="006552EF">
        <w:t xml:space="preserve"> statskirken og religionsfrihetens utvikling.</w:t>
      </w:r>
    </w:p>
    <w:p w:rsidR="00041536" w:rsidRDefault="00041536" w:rsidP="00041536">
      <w:r>
        <w:t>Det dreier seg for det første om en utvikling av den</w:t>
      </w:r>
      <w:r w:rsidR="006552EF">
        <w:t xml:space="preserve"> særlige kirkelige lovgivningen der</w:t>
      </w:r>
      <w:r>
        <w:t xml:space="preserve"> Den norske kirke </w:t>
      </w:r>
      <w:r w:rsidR="006552EF">
        <w:t xml:space="preserve">swkrittvis er </w:t>
      </w:r>
      <w:r>
        <w:t>blitt utstyrt med valgte organer på lokalt, regionalt og sentralt nivå. I stadig større omfang er kirkelige oppgaver og myndighet som tidligere lå til allmenne politiske organer</w:t>
      </w:r>
      <w:r w:rsidR="00487CF8">
        <w:t>,</w:t>
      </w:r>
      <w:r>
        <w:t xml:space="preserve"> blitt overført til denne lovregulerte kirkestrukturen.</w:t>
      </w:r>
    </w:p>
    <w:p w:rsidR="00041536" w:rsidRDefault="006552EF" w:rsidP="00041536">
      <w:r>
        <w:t>For det annet har</w:t>
      </w:r>
      <w:r w:rsidR="00041536">
        <w:t xml:space="preserve"> en rekke oppgaver av mer allmenn art blitt overført fra kirken og kirkelige instanser til stat og kommune. Det gjelder ansvar innenfor områder som skole og helse, sosialomsorg og folkeregistrering.</w:t>
      </w:r>
    </w:p>
    <w:p w:rsidR="00041536" w:rsidRDefault="00041536" w:rsidP="00041536">
      <w:r>
        <w:t xml:space="preserve">For det tredje har det finansielle grunnlaget for kirken og kirkelig virksomhet blitt lagt om ved at de særlige kirkelige beskatnings- og avgiftsordningene er blitt avviklet, i motsetning til den utvikling man har sett i de øvrige nordiske landene. </w:t>
      </w:r>
      <w:r w:rsidR="00BD0EF7">
        <w:t>F</w:t>
      </w:r>
      <w:r>
        <w:t>ondsmidler</w:t>
      </w:r>
      <w:r w:rsidR="00BD0EF7">
        <w:t xml:space="preserve"> med opprinnelse i kirkelige eiendommer</w:t>
      </w:r>
      <w:r>
        <w:t>, og da i særlig grad Opplysningsvesenets fond, har i stadig minkende grad kunnet bidra til finansiering av kirken. Som erstatning for dette har det kommunale og det statlige finansieringsansvaret blitt formet og utviklet.</w:t>
      </w:r>
    </w:p>
    <w:p w:rsidR="00041536" w:rsidRDefault="00041536" w:rsidP="00041536">
      <w:r>
        <w:t xml:space="preserve">Dette har så for det fjerde ledet til utviklingen av lovgivning og tilskuddsformer for </w:t>
      </w:r>
      <w:r w:rsidR="005F275E">
        <w:t>tros- og livssynssamfunn utenfor</w:t>
      </w:r>
      <w:r>
        <w:t xml:space="preserve"> Den norske kirke. Disse endringene har dels vært preget av et ønske om i økende grad å likebehandle Den norske kirke og de øvrige tros- og livssynssamfunnene.</w:t>
      </w:r>
    </w:p>
    <w:p w:rsidR="00041536" w:rsidRDefault="00041536" w:rsidP="00041536">
      <w:pPr>
        <w:pStyle w:val="Overskrift3"/>
      </w:pPr>
      <w:bookmarkStart w:id="222" w:name="_Toc481761722"/>
      <w:bookmarkStart w:id="223" w:name="_Toc492900375"/>
      <w:r>
        <w:t>Hundre år med kirke- og religionslovreformer</w:t>
      </w:r>
      <w:bookmarkEnd w:id="222"/>
      <w:bookmarkEnd w:id="223"/>
    </w:p>
    <w:p w:rsidR="00CF77EA" w:rsidRDefault="00041536" w:rsidP="00041536">
      <w:r>
        <w:t>Utredningsarbeid vedrørende de grunnleggende spørsmål</w:t>
      </w:r>
      <w:r w:rsidR="00487CF8">
        <w:t>ene</w:t>
      </w:r>
      <w:r>
        <w:t xml:space="preserve"> om forholdet mellom staten og </w:t>
      </w:r>
      <w:r w:rsidR="00487CF8">
        <w:t>Den norske kirke</w:t>
      </w:r>
      <w:r>
        <w:t xml:space="preserve"> </w:t>
      </w:r>
      <w:r w:rsidR="00CF77EA">
        <w:t xml:space="preserve">ble igangsatt fra slutten av 1800-tallet, </w:t>
      </w:r>
      <w:r>
        <w:t>både på statlig og kirkelig side</w:t>
      </w:r>
      <w:r w:rsidR="00487CF8">
        <w:t>. Arbeidet</w:t>
      </w:r>
      <w:r w:rsidR="00CF77EA">
        <w:t xml:space="preserve"> </w:t>
      </w:r>
      <w:r>
        <w:t xml:space="preserve">ble intensivert i etterkrigstiden. Vi fikk </w:t>
      </w:r>
      <w:r w:rsidR="00CF77EA">
        <w:t xml:space="preserve">da </w:t>
      </w:r>
      <w:r w:rsidR="00CF77EA" w:rsidRPr="00487CF8">
        <w:rPr>
          <w:i/>
        </w:rPr>
        <w:t>Kirkeordningsnemnda</w:t>
      </w:r>
      <w:r w:rsidRPr="00487CF8">
        <w:rPr>
          <w:i/>
        </w:rPr>
        <w:t xml:space="preserve"> av 1945</w:t>
      </w:r>
      <w:r>
        <w:t xml:space="preserve">, </w:t>
      </w:r>
      <w:r w:rsidR="00CF77EA" w:rsidRPr="00487CF8">
        <w:rPr>
          <w:i/>
        </w:rPr>
        <w:t>Reformkommisjonen</w:t>
      </w:r>
      <w:r w:rsidRPr="00487CF8">
        <w:rPr>
          <w:i/>
        </w:rPr>
        <w:t xml:space="preserve"> av 1965</w:t>
      </w:r>
      <w:r>
        <w:t xml:space="preserve"> (Birkeli</w:t>
      </w:r>
      <w:r w:rsidR="00487CF8">
        <w:t>-</w:t>
      </w:r>
      <w:r>
        <w:t xml:space="preserve">kommisjonen), </w:t>
      </w:r>
      <w:r w:rsidRPr="00487CF8">
        <w:rPr>
          <w:i/>
        </w:rPr>
        <w:t>Utredningskommisjonen av 1969</w:t>
      </w:r>
      <w:r>
        <w:t xml:space="preserve"> (Støylen</w:t>
      </w:r>
      <w:r w:rsidR="00487CF8">
        <w:t>-</w:t>
      </w:r>
      <w:r>
        <w:t>kommisjonen), Det offentlige stat</w:t>
      </w:r>
      <w:r w:rsidR="00BD0EF7">
        <w:t>–</w:t>
      </w:r>
      <w:r>
        <w:t>kirke-utvalget av 1971 (Sivertsen</w:t>
      </w:r>
      <w:r w:rsidR="00BD0EF7">
        <w:t>-</w:t>
      </w:r>
      <w:r>
        <w:t xml:space="preserve">utvalget) og </w:t>
      </w:r>
      <w:r w:rsidRPr="00487CF8">
        <w:rPr>
          <w:i/>
        </w:rPr>
        <w:t>Kirkelovutvalget av 1989</w:t>
      </w:r>
      <w:r>
        <w:t xml:space="preserve">. Utredningene la grunnlag for en gradvis organisering og </w:t>
      </w:r>
      <w:r>
        <w:lastRenderedPageBreak/>
        <w:t>selvstendiggjøring av Den norske kirke gjennom lovgivning og utvikling av den kirkelige forvaltningen.</w:t>
      </w:r>
    </w:p>
    <w:p w:rsidR="00041536" w:rsidRDefault="00041536" w:rsidP="00041536">
      <w:r>
        <w:t>Det har på mange måter vært en sammenhengende reformprosess gjennom de siste drøyt hundre år</w:t>
      </w:r>
      <w:r w:rsidR="00487CF8">
        <w:t>ene</w:t>
      </w:r>
      <w:r>
        <w:t xml:space="preserve"> når det gjelder religions- og kirkelovgivningen. Kirkeloven av 1897, menighetsrådsloven av 1920</w:t>
      </w:r>
      <w:r w:rsidR="00BD0EF7">
        <w:t xml:space="preserve"> og lov</w:t>
      </w:r>
      <w:r w:rsidR="00487CF8">
        <w:t>en</w:t>
      </w:r>
      <w:r w:rsidR="00BD0EF7">
        <w:t xml:space="preserve"> om bispedømmerådene av 1933</w:t>
      </w:r>
      <w:r>
        <w:t xml:space="preserve"> er viktige milepæler for kirkelovgivningen før andre verdenskrig.</w:t>
      </w:r>
      <w:r w:rsidR="00BD0EF7">
        <w:t xml:space="preserve"> </w:t>
      </w:r>
      <w:r w:rsidR="00572B82">
        <w:t>Deretter fulgte k</w:t>
      </w:r>
      <w:r>
        <w:t>irkeordningsloven av 195</w:t>
      </w:r>
      <w:r w:rsidR="00BD0EF7">
        <w:t>3 og den geistlige lønningsloven fra 1959</w:t>
      </w:r>
      <w:r w:rsidR="00572B82">
        <w:t>,</w:t>
      </w:r>
      <w:r w:rsidR="00BD0EF7">
        <w:t xml:space="preserve"> </w:t>
      </w:r>
      <w:r w:rsidR="00487CF8">
        <w:t>som begge var viktige for Den norske kirke</w:t>
      </w:r>
      <w:r w:rsidR="00572B82">
        <w:t xml:space="preserve">. </w:t>
      </w:r>
      <w:r w:rsidR="00CF77EA">
        <w:t>På bakgrunn av</w:t>
      </w:r>
      <w:r w:rsidR="00E92624">
        <w:t xml:space="preserve"> Stortingets beha</w:t>
      </w:r>
      <w:r w:rsidR="00487CF8">
        <w:t>ndling av St.meld. nr. 40 (1980–</w:t>
      </w:r>
      <w:r w:rsidR="00E92624">
        <w:t xml:space="preserve">81) </w:t>
      </w:r>
      <w:r w:rsidR="006F5AC9" w:rsidRPr="006F5AC9">
        <w:rPr>
          <w:i/>
        </w:rPr>
        <w:t>Om stat og kirke</w:t>
      </w:r>
      <w:r w:rsidR="006F5AC9">
        <w:t xml:space="preserve"> </w:t>
      </w:r>
      <w:r w:rsidR="00E92624">
        <w:t>ble det i de etterfølgende årene gjennomført en rekke reformer. Kir</w:t>
      </w:r>
      <w:r w:rsidR="00A76E6C">
        <w:t>kemøtet ble etablert i 1984 og</w:t>
      </w:r>
      <w:r w:rsidR="00E92624">
        <w:t xml:space="preserve"> Den norske kirkes lærenemnd i 1987. </w:t>
      </w:r>
      <w:r w:rsidR="006F5AC9">
        <w:t xml:space="preserve">Utover på 1990-tallet </w:t>
      </w:r>
      <w:r w:rsidR="00E92624">
        <w:t>ble den kirkelige forvaltningen modernisert</w:t>
      </w:r>
      <w:r w:rsidR="006F5AC9">
        <w:t>,</w:t>
      </w:r>
      <w:r w:rsidR="00E92624">
        <w:t xml:space="preserve"> </w:t>
      </w:r>
      <w:r w:rsidR="006F5AC9">
        <w:t xml:space="preserve">ikke minst </w:t>
      </w:r>
      <w:r w:rsidR="00E92624">
        <w:t xml:space="preserve">gjennom delegasjon fra statlige til valgte kirkelige organer. </w:t>
      </w:r>
      <w:r w:rsidR="00A76E6C">
        <w:t>Blant annet p</w:t>
      </w:r>
      <w:r w:rsidR="00E92624">
        <w:t xml:space="preserve">å bakgrunn av forslagene i NOU </w:t>
      </w:r>
      <w:r w:rsidR="00A76E6C">
        <w:t>1989:</w:t>
      </w:r>
      <w:r w:rsidR="00487CF8">
        <w:t xml:space="preserve"> </w:t>
      </w:r>
      <w:r w:rsidR="00A76E6C">
        <w:t xml:space="preserve">7 </w:t>
      </w:r>
      <w:r w:rsidR="00A76E6C" w:rsidRPr="00487CF8">
        <w:rPr>
          <w:i/>
        </w:rPr>
        <w:t>Den lokale kirkes ordning</w:t>
      </w:r>
      <w:r w:rsidR="00A76E6C">
        <w:t xml:space="preserve"> ble det </w:t>
      </w:r>
      <w:r w:rsidR="006F5AC9">
        <w:t xml:space="preserve">i </w:t>
      </w:r>
      <w:r w:rsidR="00A76E6C">
        <w:t>1996 gjort vedtak om ny kirkelov, ny gravferdslov og ny lov om Opplysningsvesenets fond.</w:t>
      </w:r>
      <w:r w:rsidR="00E92624">
        <w:t xml:space="preserve"> </w:t>
      </w:r>
    </w:p>
    <w:p w:rsidR="00041536" w:rsidRDefault="00041536" w:rsidP="00041536">
      <w:pPr>
        <w:pStyle w:val="Overskrift3"/>
      </w:pPr>
      <w:bookmarkStart w:id="224" w:name="_Toc481761723"/>
      <w:bookmarkStart w:id="225" w:name="_Toc492900376"/>
      <w:r>
        <w:t>Utviklingen av religionsfrihet</w:t>
      </w:r>
      <w:bookmarkEnd w:id="224"/>
      <w:bookmarkEnd w:id="225"/>
    </w:p>
    <w:p w:rsidR="00041536" w:rsidRDefault="00041536" w:rsidP="00041536">
      <w:r>
        <w:t>Det første viktige skritt</w:t>
      </w:r>
      <w:r w:rsidR="00C956E4">
        <w:t>et</w:t>
      </w:r>
      <w:r>
        <w:t xml:space="preserve"> i retning av religionsfrihet etter 1814 ble tatt ved opphevelse</w:t>
      </w:r>
      <w:r w:rsidR="006F5AC9">
        <w:t>n</w:t>
      </w:r>
      <w:r>
        <w:t xml:space="preserve"> av den såkalte konventikkelplakaten i 1842. </w:t>
      </w:r>
    </w:p>
    <w:p w:rsidR="00041536" w:rsidRDefault="00C956E4" w:rsidP="00041536">
      <w:r>
        <w:t xml:space="preserve">I 1845 ble det </w:t>
      </w:r>
      <w:r w:rsidR="00041536">
        <w:t>vedtatt og sanksjonert en lov om "Kristne, som ikke ere Medlemmer av Statskirken". Loven fastslo fri offentlig religionsutøvelse "innenfor lov og ærbarhets grenser" for alle som bekjenner seg til den kristne religion. Loven ga også adgang til utmelding av statskirken uten overgang til noe annet trossamfunn.</w:t>
      </w:r>
    </w:p>
    <w:p w:rsidR="00041536" w:rsidRDefault="00041536" w:rsidP="00041536">
      <w:r>
        <w:t>Jøders adgang til landet, embetsmennenes trosfrihet og opphevelse</w:t>
      </w:r>
      <w:r w:rsidR="00532343">
        <w:t>n</w:t>
      </w:r>
      <w:r>
        <w:t xml:space="preserve"> av grunnlovens forbud mot munkeord</w:t>
      </w:r>
      <w:r w:rsidR="00C956E4">
        <w:t>e</w:t>
      </w:r>
      <w:r>
        <w:t>ner var sentrale enkelttemaer i annen halvdel av 1800-tallet. Ny "dissenterlov" ble vedtatt i 1891. Det striden da stod om</w:t>
      </w:r>
      <w:r w:rsidR="003F6A29">
        <w:t>,</w:t>
      </w:r>
      <w:r>
        <w:t xml:space="preserve"> var om </w:t>
      </w:r>
      <w:r w:rsidR="00B06533">
        <w:t>loven</w:t>
      </w:r>
      <w:r>
        <w:t xml:space="preserve"> fortsatt bare skulle gjelde for kristne, eller om den skulle omfatte alle som ikke sto i statskirken. Resultatet ble at den bare skulle gjelde for kristne og jøder. I 1889 ble det vedtatt en lovendring som innebar at også unitarer fikk rettigheter som dissentere.</w:t>
      </w:r>
    </w:p>
    <w:p w:rsidR="00A76E6C" w:rsidRDefault="00A76E6C" w:rsidP="00041536">
      <w:r>
        <w:t>F</w:t>
      </w:r>
      <w:r w:rsidR="00C956E4">
        <w:t>ørst i 1956 ble bestemmelsen i G</w:t>
      </w:r>
      <w:r>
        <w:t>runnloven § 2 som nektet jesuitter adgang til riket</w:t>
      </w:r>
      <w:r w:rsidR="00C956E4">
        <w:t>,</w:t>
      </w:r>
      <w:r>
        <w:t xml:space="preserve"> opphevet. Religionsfriheten ble grunnlovfestet i 1964.</w:t>
      </w:r>
    </w:p>
    <w:p w:rsidR="00041536" w:rsidRDefault="00041536" w:rsidP="00041536">
      <w:r>
        <w:t xml:space="preserve">På bakgrunn av forslag fra </w:t>
      </w:r>
      <w:r w:rsidR="003F6A29" w:rsidRPr="00C956E4">
        <w:rPr>
          <w:i/>
        </w:rPr>
        <w:t>D</w:t>
      </w:r>
      <w:r w:rsidRPr="00C956E4">
        <w:rPr>
          <w:i/>
        </w:rPr>
        <w:t>issenterlovkomiteen av 1957</w:t>
      </w:r>
      <w:r>
        <w:t xml:space="preserve"> ble lov om trudomssamfunn og ymist anna vedtatt i 1969. De nye, og fortsatt gjeldende, bestemmelsene om tilskudd til </w:t>
      </w:r>
      <w:r w:rsidR="003F6A29">
        <w:t xml:space="preserve">registrerte </w:t>
      </w:r>
      <w:r>
        <w:t>trossamfunn avløste da ordningen med redusert kommuneskatt for medlemmer av ordnede dissentermenigheter i dissenterloven av</w:t>
      </w:r>
      <w:r w:rsidR="00C956E4">
        <w:t xml:space="preserve"> 1891. Med opphevelsen av </w:t>
      </w:r>
      <w:r>
        <w:t xml:space="preserve">loven </w:t>
      </w:r>
      <w:r w:rsidR="00C956E4">
        <w:t xml:space="preserve">fra 1891 </w:t>
      </w:r>
      <w:r>
        <w:t xml:space="preserve">forsvant dissenterbegrepet fra norsk lovgivning. I 1981 ble det gjort en tilføyelse i trossamfunnsloven som innebar at også uregistrerte trossamfunn kunne kreve tilskudd fra stat og kommune. Samtidig ble det ved egen lov om </w:t>
      </w:r>
      <w:r w:rsidR="00AF5CC6">
        <w:t>tilskudd</w:t>
      </w:r>
      <w:r>
        <w:t xml:space="preserve"> til livssynssamfunn bestemt at også livssynssamfunn skulle kunne kreve tilskudd fra stat og kommune til sin virksomhet. </w:t>
      </w:r>
    </w:p>
    <w:p w:rsidR="00041536" w:rsidRDefault="00041536" w:rsidP="00041536">
      <w:pPr>
        <w:pStyle w:val="Overskrift2"/>
      </w:pPr>
      <w:bookmarkStart w:id="226" w:name="_Toc481761724"/>
      <w:bookmarkStart w:id="227" w:name="_Toc492900377"/>
      <w:r>
        <w:t>Gjennomføringen av et historisk skille – ved starten av et nytt årtusen</w:t>
      </w:r>
      <w:bookmarkEnd w:id="226"/>
      <w:bookmarkEnd w:id="227"/>
    </w:p>
    <w:p w:rsidR="00041536" w:rsidRDefault="00041536" w:rsidP="00041536">
      <w:pPr>
        <w:pStyle w:val="Overskrift3"/>
      </w:pPr>
      <w:bookmarkStart w:id="228" w:name="_Toc481761725"/>
      <w:bookmarkStart w:id="229" w:name="_Toc492900378"/>
      <w:r>
        <w:t>Kirkelig og offentlig utredningsarbeid</w:t>
      </w:r>
      <w:bookmarkEnd w:id="228"/>
      <w:bookmarkEnd w:id="229"/>
    </w:p>
    <w:p w:rsidR="00041536" w:rsidRDefault="00041536" w:rsidP="00041536">
      <w:r>
        <w:t>Kirkerådet nedsatt</w:t>
      </w:r>
      <w:r w:rsidR="00AF5CC6">
        <w:t>e</w:t>
      </w:r>
      <w:r>
        <w:t xml:space="preserve"> i 1998 et utvalg (Bakkevig-utvalget) som skulle utrede forholdet mellom kirke og stat. Utredningen </w:t>
      </w:r>
      <w:r w:rsidRPr="00874224">
        <w:rPr>
          <w:i/>
        </w:rPr>
        <w:t>Samme kirke – ny ordning</w:t>
      </w:r>
      <w:r>
        <w:t xml:space="preserve"> forelå i 2002. Den la til grunn at staten </w:t>
      </w:r>
      <w:r>
        <w:lastRenderedPageBreak/>
        <w:t>burde føre en aktivt støtten</w:t>
      </w:r>
      <w:r w:rsidR="00874224">
        <w:t>de</w:t>
      </w:r>
      <w:r>
        <w:t xml:space="preserve"> religionspolitikk, og at det burde legges til rette for likebehandling av tros- og livssynssamfunnene.</w:t>
      </w:r>
    </w:p>
    <w:p w:rsidR="00041536" w:rsidRDefault="00041536" w:rsidP="00041536">
      <w:r>
        <w:t>I 2002 vedtok et enstemmig Storting å be regjeringen oppnevne et bredt sammensatt offentlig utvalg for å vurdere forholdet mellom stat og kirke. Utvalget (Gjønnes</w:t>
      </w:r>
      <w:r w:rsidR="00874224">
        <w:t>-</w:t>
      </w:r>
      <w:r>
        <w:t>utvalget) framla sin utredning i NOU 2006:</w:t>
      </w:r>
      <w:r w:rsidR="00AF5CC6">
        <w:t xml:space="preserve"> </w:t>
      </w:r>
      <w:r>
        <w:t xml:space="preserve">2 </w:t>
      </w:r>
      <w:r w:rsidRPr="00874224">
        <w:rPr>
          <w:i/>
        </w:rPr>
        <w:t>Staten og Den norske kirke</w:t>
      </w:r>
      <w:r>
        <w:t>. Utvalgsflertallet foreslo at Den norske kirke ble organisert som en "lovforankret folkekirke", at Grunnlovens gjeldende bestemmelser om statskirkeordningen ble opphevet, og at kirkens særlige forhold ble regulert gjennom en kortfattet rammelov.</w:t>
      </w:r>
    </w:p>
    <w:p w:rsidR="00041536" w:rsidRDefault="00041536" w:rsidP="00041536">
      <w:pPr>
        <w:pStyle w:val="Overskrift3"/>
      </w:pPr>
      <w:bookmarkStart w:id="230" w:name="_Toc481761726"/>
      <w:bookmarkStart w:id="231" w:name="_Toc492900379"/>
      <w:r>
        <w:t>Stortingsmelding, kirkeforlik og grunnlovsendring</w:t>
      </w:r>
      <w:bookmarkEnd w:id="230"/>
      <w:bookmarkEnd w:id="231"/>
    </w:p>
    <w:p w:rsidR="00041536" w:rsidRDefault="00041536" w:rsidP="00041536">
      <w:r>
        <w:t>Gjønnes</w:t>
      </w:r>
      <w:r w:rsidR="00874224">
        <w:t>-</w:t>
      </w:r>
      <w:r>
        <w:t>utvalgets utredning ble sendt på bred høring, og saken ble deretter fremmet for Stortinget i St.meld. nr. 17 (2007</w:t>
      </w:r>
      <w:r w:rsidR="00874224">
        <w:t>–</w:t>
      </w:r>
      <w:r>
        <w:t>200</w:t>
      </w:r>
      <w:r w:rsidR="00532343">
        <w:t>8</w:t>
      </w:r>
      <w:r>
        <w:t>)</w:t>
      </w:r>
      <w:r w:rsidR="00874224">
        <w:t xml:space="preserve"> </w:t>
      </w:r>
      <w:r w:rsidR="00874224" w:rsidRPr="00874224">
        <w:rPr>
          <w:i/>
        </w:rPr>
        <w:t>S</w:t>
      </w:r>
      <w:r w:rsidR="00874224">
        <w:rPr>
          <w:i/>
        </w:rPr>
        <w:t>t</w:t>
      </w:r>
      <w:r w:rsidR="00874224" w:rsidRPr="00874224">
        <w:rPr>
          <w:i/>
        </w:rPr>
        <w:t>aten og Den norske kirke</w:t>
      </w:r>
      <w:r>
        <w:t>.</w:t>
      </w:r>
    </w:p>
    <w:p w:rsidR="00041536" w:rsidRDefault="00041536" w:rsidP="00041536">
      <w:r>
        <w:t>10. april 2008 ble det inngått en politisk avtale mellom samtlige partier på Stortinget om det framtidige forholdet mellom staten og Den norske kirke. Avtalen ble gjengitt i stortingsmeldingen, og meldingens forslag var i samsvar med denne.</w:t>
      </w:r>
    </w:p>
    <w:p w:rsidR="00532343" w:rsidRDefault="00041536" w:rsidP="00041536">
      <w:r>
        <w:t>Avtalen innebar at det skulle gjennomføres en demokratireform i kirken, blant annet med sikte på å overføre tilsettingsmyndighet for proster og biskoper til kirkelige organer. På dette grunnlaget skulle det gjennomføres avtalte en</w:t>
      </w:r>
      <w:r w:rsidR="00C956E4">
        <w:t>dringer i G</w:t>
      </w:r>
      <w:r>
        <w:t>runnlovens bestemmelser om statskirkeordningen. Avtalen gjaldt ut stortingsperioden 2009</w:t>
      </w:r>
      <w:r w:rsidR="00AF5CC6">
        <w:t>–</w:t>
      </w:r>
      <w:r>
        <w:t xml:space="preserve">2013 og omfattet også blant annet videreføring av finansieringsordningene og revisjon av gravferdsforvaltningen for å ivareta </w:t>
      </w:r>
      <w:r w:rsidR="001A0C56">
        <w:t>religiøse og livssynsmessige minoriteters særskilte behov ved gravlegging.</w:t>
      </w:r>
    </w:p>
    <w:p w:rsidR="00041536" w:rsidRDefault="00041536" w:rsidP="00041536">
      <w:r>
        <w:t>På bakgrunn av Gjønnes</w:t>
      </w:r>
      <w:r w:rsidR="00874224">
        <w:t>-</w:t>
      </w:r>
      <w:r>
        <w:t>utvalgets utredning, kirkeforliket og Stortingets behandling av St.meld. nr. 17 (2007–2008), se Innst. S. nr. 287 (2007–2008), ble det i Dokument nr. 12:10 (2007–2008) lagt fram forslag til endringer i Grunnlovens bestemmelser om statskirkeordningen. Endringene ble vedtatt 21. mai 2012, se Innst. 233 S (2011–2012).</w:t>
      </w:r>
    </w:p>
    <w:p w:rsidR="00041536" w:rsidRDefault="00041536" w:rsidP="00041536">
      <w:r>
        <w:t>I 2012 ble det foretatt slike endringer i kirkeloven som grunnlovsendringene i 2012 umiddelbart krevde. Etter at det med hjemmel i endringer i 2009 i kirkeloven var prøvd ut nye ordninger for de kirkelige valgene i 2009 og 2011 for å styrke kirkens demokratiske grunnlag, ble hovedelementene i demokratireformen lovfestet i 2012.</w:t>
      </w:r>
    </w:p>
    <w:p w:rsidR="00041536" w:rsidRDefault="00041536" w:rsidP="00041536">
      <w:r>
        <w:t xml:space="preserve">Endringene som med det ble gjennomført, innebar </w:t>
      </w:r>
      <w:r w:rsidR="00C956E4">
        <w:t xml:space="preserve">blant annet </w:t>
      </w:r>
      <w:r>
        <w:t>at Kongens særskilte kirkestyre ble avviklet. Det ble overlatt til kirkelig valgte organer, henholdsvis bispedømmerådene</w:t>
      </w:r>
      <w:r w:rsidR="001A0C56">
        <w:t xml:space="preserve"> og Kirkerådet</w:t>
      </w:r>
      <w:r>
        <w:t xml:space="preserve">, å tilsette proster og biskoper. </w:t>
      </w:r>
    </w:p>
    <w:p w:rsidR="00041536" w:rsidRDefault="00041536" w:rsidP="00041536">
      <w:pPr>
        <w:pStyle w:val="Overskrift2"/>
      </w:pPr>
      <w:bookmarkStart w:id="232" w:name="_Toc481761727"/>
      <w:bookmarkStart w:id="233" w:name="_Toc492900380"/>
      <w:r>
        <w:t>De senere år</w:t>
      </w:r>
      <w:r w:rsidR="00C956E4">
        <w:t>ene</w:t>
      </w:r>
      <w:r>
        <w:t>s offentlige utredninger</w:t>
      </w:r>
      <w:bookmarkEnd w:id="232"/>
      <w:bookmarkEnd w:id="233"/>
    </w:p>
    <w:p w:rsidR="00041536" w:rsidRDefault="00041536" w:rsidP="00041536">
      <w:pPr>
        <w:pStyle w:val="Overskrift3"/>
      </w:pPr>
      <w:bookmarkStart w:id="234" w:name="_Toc481761728"/>
      <w:bookmarkStart w:id="235" w:name="_Toc492900381"/>
      <w:r>
        <w:t xml:space="preserve">NOU 2013: 1 </w:t>
      </w:r>
      <w:r w:rsidRPr="00874224">
        <w:rPr>
          <w:i/>
        </w:rPr>
        <w:t>Det livssynsåpne samfunn</w:t>
      </w:r>
      <w:bookmarkEnd w:id="234"/>
      <w:bookmarkEnd w:id="235"/>
    </w:p>
    <w:p w:rsidR="00041536" w:rsidRDefault="00041536" w:rsidP="00041536">
      <w:r>
        <w:t xml:space="preserve">I 2010 ble det oppnevnt et offentlig utvalg som fikk i oppgave å gjennomgå statens tros- og livssynspolitikk og fremme forslag som kunne bidra til å skape en mer helhetlig politikk på feltet (Stålsett-utvalget). </w:t>
      </w:r>
    </w:p>
    <w:p w:rsidR="00041536" w:rsidRDefault="00041536" w:rsidP="00041536">
      <w:r>
        <w:t xml:space="preserve">Utvalget skulle ta utgangspunkt i at statens fremste oppgave i tros- og livssynspolitikken er å sikre og beskytte tros- og livssynsfriheten. Videre skulle utvalget legge til grunn at staten fortsatt skulle føre en aktivt støttende tros- og livssynspolitikk, og komme med forslag innenfor rammene av den politiske avtalen </w:t>
      </w:r>
      <w:r w:rsidR="00E758FE">
        <w:t xml:space="preserve">10. april 2008 </w:t>
      </w:r>
      <w:r>
        <w:t xml:space="preserve">mellom partiene på Stortinget om </w:t>
      </w:r>
      <w:r>
        <w:lastRenderedPageBreak/>
        <w:t xml:space="preserve">statskirken. Dagens finansieringsordning for Den norske kirke skulle dermed ligge som premiss for utvalgets forslag. </w:t>
      </w:r>
    </w:p>
    <w:p w:rsidR="00041536" w:rsidRDefault="00041536" w:rsidP="00041536">
      <w:r>
        <w:t>Utvalget skulle bla</w:t>
      </w:r>
      <w:r w:rsidR="00532343">
        <w:t xml:space="preserve">nt annet </w:t>
      </w:r>
      <w:r>
        <w:t>vurdere ordninger for tilskudd, registrering av trossamfunn og offentligrettslige funksjoner, behovet for samordning av regelverk, hvilken plass religion og livssyn bør ha i offentlige institusjoner og hvordan tros- og livssynspolitikken påvirker integreringen i vårt samfunn. Som tilleggsbestillinger 3. februar 2011 og 9. juli 2012 fikk utvalget også i oppgave å utrede lovendringer og andre tiltak som kan bidra til å begrense omfanget av dobbeltmedlemskap</w:t>
      </w:r>
      <w:r w:rsidR="001955B2">
        <w:t xml:space="preserve"> i tilskuddsordningen for tros- og livssynssamfunn utenom Den norske kirke</w:t>
      </w:r>
      <w:r w:rsidR="00E758FE">
        <w:t xml:space="preserve"> (</w:t>
      </w:r>
      <w:r w:rsidR="00AF5CC6">
        <w:t xml:space="preserve">en person </w:t>
      </w:r>
      <w:r w:rsidR="00E758FE">
        <w:t xml:space="preserve">som </w:t>
      </w:r>
      <w:r w:rsidR="00AF5CC6">
        <w:t xml:space="preserve">står oppført i flere tros- eller livssynssamfunn </w:t>
      </w:r>
      <w:r w:rsidR="00E758FE">
        <w:t>kan bare være tilskuddstellende ett sted)</w:t>
      </w:r>
      <w:r>
        <w:t xml:space="preserve">, og å vurdere forvaltningsansvaret for gravplassene og </w:t>
      </w:r>
      <w:r w:rsidR="00874224">
        <w:t>departementets særskilte fagkonsulent på gravplassområdet</w:t>
      </w:r>
      <w:r>
        <w:t xml:space="preserve">. </w:t>
      </w:r>
    </w:p>
    <w:p w:rsidR="00041536" w:rsidRDefault="00041536" w:rsidP="00041536">
      <w:r>
        <w:t xml:space="preserve">Utvalget leverte sin innstilling NOU 2013:1 </w:t>
      </w:r>
      <w:r w:rsidRPr="00B703D3">
        <w:rPr>
          <w:i/>
        </w:rPr>
        <w:t>Det livssynsåpne samfunn</w:t>
      </w:r>
      <w:r>
        <w:t xml:space="preserve"> 7. januar 2013. Til grunn for forslagene utvalget kom med, lå åtte prinsipper som </w:t>
      </w:r>
      <w:r w:rsidR="00532343">
        <w:t xml:space="preserve">utvalget </w:t>
      </w:r>
      <w:r>
        <w:t xml:space="preserve">mente burde være førende for en helhetlig tros- og livssynspolitikk: </w:t>
      </w:r>
    </w:p>
    <w:p w:rsidR="00041536" w:rsidRDefault="00041536" w:rsidP="00EC0571">
      <w:pPr>
        <w:pStyle w:val="Nummerertliste2"/>
      </w:pPr>
      <w:r>
        <w:t>Tros- og livssynsfriheten beskyttes for alle.</w:t>
      </w:r>
    </w:p>
    <w:p w:rsidR="00041536" w:rsidRDefault="00041536" w:rsidP="00EC0571">
      <w:pPr>
        <w:pStyle w:val="Nummerertliste2"/>
      </w:pPr>
      <w:r>
        <w:t>Den enkeltes tros- og livssynspraksis må ikke krenke andre</w:t>
      </w:r>
      <w:r w:rsidR="004742C1">
        <w:t>s</w:t>
      </w:r>
      <w:r>
        <w:t xml:space="preserve"> rettigheter og friheter. </w:t>
      </w:r>
    </w:p>
    <w:p w:rsidR="00041536" w:rsidRDefault="00041536" w:rsidP="00EC0571">
      <w:pPr>
        <w:pStyle w:val="Nummerertliste2"/>
      </w:pPr>
      <w:r>
        <w:t>Ikke-diskriminering: Staten må ikke utsette noen for usaklig eller uforholdsmessig forskjellsbehandling på grunn av deres tros- eller livssynspraksis.</w:t>
      </w:r>
    </w:p>
    <w:p w:rsidR="00041536" w:rsidRDefault="00041536" w:rsidP="00EC0571">
      <w:pPr>
        <w:pStyle w:val="Nummerertliste2"/>
      </w:pPr>
      <w:r>
        <w:t>Det legges aktivt til rette for alle borgeres tros- og livssynspraksis.</w:t>
      </w:r>
    </w:p>
    <w:p w:rsidR="00041536" w:rsidRDefault="00041536" w:rsidP="00EC0571">
      <w:pPr>
        <w:pStyle w:val="Nummerertliste2"/>
      </w:pPr>
      <w:r>
        <w:t xml:space="preserve">Likebehandling: Staten bør tilstrebe at enhver borger får – i prinsipp og i rimelig praksis – samme grad av støtte til sin tros- og livssynsutøvelse. </w:t>
      </w:r>
    </w:p>
    <w:p w:rsidR="00041536" w:rsidRDefault="00041536" w:rsidP="00EC0571">
      <w:pPr>
        <w:pStyle w:val="Nummerertliste2"/>
      </w:pPr>
      <w:r>
        <w:t>Statens aktive tros- og livssynspolitikk må i sin utforming vurderes opp mot sentrale fellesverdier: demokrati, rettsstat, menneskerettigheter, ikke-diskriminering og likestilling.</w:t>
      </w:r>
    </w:p>
    <w:p w:rsidR="00041536" w:rsidRDefault="00041536" w:rsidP="00EC0571">
      <w:pPr>
        <w:pStyle w:val="Nummerertliste2"/>
      </w:pPr>
      <w:r>
        <w:t>Organisert tros- og livssynsutøvelse som mottar statlig støtte, må forventes å vise vilje til åpenhet og vise annen tros- og livssynsutøvelse den samme respekt som en selv forventer og nyter godt av.</w:t>
      </w:r>
    </w:p>
    <w:p w:rsidR="00041536" w:rsidRDefault="00041536" w:rsidP="00EC0571">
      <w:pPr>
        <w:pStyle w:val="Nummerertliste2"/>
      </w:pPr>
      <w:r>
        <w:t>Alle bør akseptere å bli eksponert for andre tros- og livssynspraksis i det offentlige rom.</w:t>
      </w:r>
    </w:p>
    <w:p w:rsidR="00291663" w:rsidRDefault="00291663" w:rsidP="00291663">
      <w:pPr>
        <w:pStyle w:val="Nummerertliste"/>
        <w:numPr>
          <w:ilvl w:val="0"/>
          <w:numId w:val="0"/>
        </w:numPr>
      </w:pPr>
    </w:p>
    <w:p w:rsidR="00041536" w:rsidRDefault="00041536" w:rsidP="00041536">
      <w:r>
        <w:t>Med dette som utgangspunkt fremmet utvalget forslag om endringer på flere departementers ansvarsområder. Utvalget anbefalte bl</w:t>
      </w:r>
      <w:r w:rsidR="00532343">
        <w:t xml:space="preserve">ant annet </w:t>
      </w:r>
      <w:r>
        <w:t>at</w:t>
      </w:r>
    </w:p>
    <w:p w:rsidR="001314C8" w:rsidRDefault="00041536" w:rsidP="00EC0571">
      <w:pPr>
        <w:pStyle w:val="Listebombe2"/>
      </w:pPr>
      <w:r>
        <w:t>skolens formålsparagraf endres for å gi større vekt på verdier som samler på tvers av livssyn enn på verdienes opprinnelse eller begrunnelse</w:t>
      </w:r>
      <w:r w:rsidR="00E758FE">
        <w:t>.</w:t>
      </w:r>
    </w:p>
    <w:p w:rsidR="00041536" w:rsidRDefault="00041536" w:rsidP="00EC0571">
      <w:pPr>
        <w:pStyle w:val="Listebombe2"/>
      </w:pPr>
      <w:r>
        <w:t xml:space="preserve">uniformstilpassede religiøse hodeplagg tillates sammen med politiuniformen, </w:t>
      </w:r>
    </w:p>
    <w:p w:rsidR="00041536" w:rsidRDefault="00041536" w:rsidP="00EC0571">
      <w:pPr>
        <w:pStyle w:val="Listebombe2"/>
      </w:pPr>
      <w:r>
        <w:t xml:space="preserve">det opprettes offentlig finansierte stillinger for en bredere tros- og livssynsbetjening i Forsvaret, kriminalomsorgen og helse- og omsorgsinstitusjonene, </w:t>
      </w:r>
    </w:p>
    <w:p w:rsidR="00041536" w:rsidRDefault="00041536" w:rsidP="00EC0571">
      <w:pPr>
        <w:pStyle w:val="Listebombe2"/>
      </w:pPr>
      <w:r>
        <w:t>sivil ekteskapsinngåels</w:t>
      </w:r>
      <w:r w:rsidR="00753A54">
        <w:t>e innføres som generell ordning.</w:t>
      </w:r>
    </w:p>
    <w:p w:rsidR="00494084" w:rsidRDefault="00494084" w:rsidP="00041536">
      <w:r>
        <w:t>I tillegg kom utval</w:t>
      </w:r>
      <w:r w:rsidR="00753A54">
        <w:t>get med flere enkeltforslag på K</w:t>
      </w:r>
      <w:r>
        <w:t>ulturdepartementets område, bla</w:t>
      </w:r>
      <w:r w:rsidR="00E758FE">
        <w:t xml:space="preserve">nt annet </w:t>
      </w:r>
      <w:r>
        <w:t xml:space="preserve">at kommunene burde overta forvaltningsansvaret </w:t>
      </w:r>
      <w:r w:rsidR="00E758FE">
        <w:t>for</w:t>
      </w:r>
      <w:r>
        <w:t xml:space="preserve"> gravplassene og at det ble innført </w:t>
      </w:r>
      <w:r w:rsidR="00B326FC">
        <w:t xml:space="preserve">krav om </w:t>
      </w:r>
      <w:r w:rsidR="00E758FE">
        <w:t xml:space="preserve">barns </w:t>
      </w:r>
      <w:r>
        <w:t>skriftlig</w:t>
      </w:r>
      <w:r w:rsidR="00E758FE">
        <w:t>e</w:t>
      </w:r>
      <w:r>
        <w:t xml:space="preserve"> samtykke fra fylte 12 år for inn- og utmelding i tros- og livssynssamfunn. </w:t>
      </w:r>
    </w:p>
    <w:p w:rsidR="00041536" w:rsidRDefault="00041536" w:rsidP="00041536">
      <w:r>
        <w:t xml:space="preserve">Utvalget kom også med forslag til en felles tilskuddslov for tros- og livssynssamfunn utenom Den norske kirke, der det </w:t>
      </w:r>
      <w:r w:rsidR="00B703D3">
        <w:t>bl</w:t>
      </w:r>
      <w:r>
        <w:t>a</w:t>
      </w:r>
      <w:r w:rsidR="00B703D3">
        <w:t>nt annet</w:t>
      </w:r>
      <w:r>
        <w:t xml:space="preserve"> ble foreslått å oppheve skillet mellom registrerte og uregistrerte trossamfunn og </w:t>
      </w:r>
      <w:r w:rsidR="00B703D3">
        <w:t xml:space="preserve">å </w:t>
      </w:r>
      <w:r>
        <w:t xml:space="preserve">innføre et antallskrav på 100 medlemmer eller aktivt registrerte tilhørige for å kunne være tilskuddsberettiget samfunn. Utvalget gikk inn for </w:t>
      </w:r>
      <w:r w:rsidR="00B703D3">
        <w:t>at</w:t>
      </w:r>
      <w:r>
        <w:t xml:space="preserve"> tilskuddsordningen </w:t>
      </w:r>
      <w:r w:rsidR="00B703D3">
        <w:t>ble fullt ut finansiert av staten</w:t>
      </w:r>
      <w:r>
        <w:t>.</w:t>
      </w:r>
    </w:p>
    <w:p w:rsidR="00041536" w:rsidRDefault="00041536" w:rsidP="00041536">
      <w:r>
        <w:lastRenderedPageBreak/>
        <w:t>NOU 2013: 1 ble sendt på høring 11. februar 2013 til rundt 3</w:t>
      </w:r>
      <w:r w:rsidR="00DE79A1">
        <w:t xml:space="preserve"> </w:t>
      </w:r>
      <w:r>
        <w:t>000 instanser. Høringsfristen var 30. august 2013, og Kulturdepartementet mottok svar fra 287 høringsinstanser. I overkant av 60 p</w:t>
      </w:r>
      <w:r w:rsidR="00DE79A1">
        <w:t xml:space="preserve">st. </w:t>
      </w:r>
      <w:r>
        <w:t xml:space="preserve">av disse var høringssvar fra instanser innen Den norske kirke (menighetsråd, fellesråd m.m.). Gjennomgående var </w:t>
      </w:r>
      <w:r w:rsidR="00B703D3">
        <w:t>det</w:t>
      </w:r>
      <w:r>
        <w:t xml:space="preserve"> mellom 15</w:t>
      </w:r>
      <w:r w:rsidR="00B703D3">
        <w:t xml:space="preserve"> og </w:t>
      </w:r>
      <w:r>
        <w:t>30 p</w:t>
      </w:r>
      <w:r w:rsidR="00B703D3">
        <w:t>st.</w:t>
      </w:r>
      <w:r>
        <w:t xml:space="preserve"> av instansene som uttalte seg om enkeltforslagene i innstillingen. </w:t>
      </w:r>
    </w:p>
    <w:p w:rsidR="00041536" w:rsidRDefault="00041536" w:rsidP="00041536">
      <w:r>
        <w:t>Forslagene i NOU 2013: 1 og utfallet av høringen knyttet til enkelte tema som berøres i dette høringsnotatet, vil bli referert til der det er relevant.</w:t>
      </w:r>
    </w:p>
    <w:p w:rsidR="00041536" w:rsidRDefault="00041536" w:rsidP="00041536">
      <w:pPr>
        <w:pStyle w:val="Overskrift3"/>
      </w:pPr>
      <w:bookmarkStart w:id="236" w:name="_Toc481761729"/>
      <w:bookmarkStart w:id="237" w:name="_Toc492900382"/>
      <w:r>
        <w:t xml:space="preserve">NOU 2013: 4 </w:t>
      </w:r>
      <w:r w:rsidRPr="00B703D3">
        <w:rPr>
          <w:i/>
        </w:rPr>
        <w:t>Kulturutredningen 2014</w:t>
      </w:r>
      <w:bookmarkEnd w:id="236"/>
      <w:bookmarkEnd w:id="237"/>
    </w:p>
    <w:p w:rsidR="00041536" w:rsidRDefault="00041536" w:rsidP="00041536">
      <w:r>
        <w:t>I 2011 ble det oppnevnt et offentlig utvalg som fikk i oppdrag å gjennomgå kulturpoli</w:t>
      </w:r>
      <w:r w:rsidR="00B703D3">
        <w:t>ti</w:t>
      </w:r>
      <w:r>
        <w:t xml:space="preserve">ske mål, virkemidler og tiltak i perioden etter 2005 (Enger-utvalget). Utvalget skulle også komme med konkrete forslag til endringer i mål, virkemidler og tiltak, samt behandle begrunnelsen for en kulturpolitikk og se på sammenhengen mellom kulturpolitikk og samfunnsutvikling.  Utvalget leverte sin innstilling NOU 2013: 4 </w:t>
      </w:r>
      <w:r w:rsidRPr="004742C1">
        <w:rPr>
          <w:i/>
        </w:rPr>
        <w:t>Kulturutredningen 2014</w:t>
      </w:r>
      <w:r>
        <w:t xml:space="preserve"> i mars 2013. </w:t>
      </w:r>
    </w:p>
    <w:p w:rsidR="00041536" w:rsidRDefault="00041536" w:rsidP="00041536">
      <w:r>
        <w:t xml:space="preserve">I Kulturutredningen </w:t>
      </w:r>
      <w:r w:rsidR="000848C2">
        <w:t>2014</w:t>
      </w:r>
      <w:r>
        <w:t xml:space="preserve"> er det særlig to aspekter som har betydning for tros- og livssynspolitikken og en felles lov for tros- og livssynssamfunn. Det første er knyttet til utvalgets betraktninger </w:t>
      </w:r>
      <w:r w:rsidR="004742C1">
        <w:t>om</w:t>
      </w:r>
      <w:r>
        <w:t xml:space="preserve"> Den norske kirkes rolle som del av "den kulturelle grunnmuren". Det andre er knyttet til utvalgets betraktninger om det kulturelle mangfoldet.</w:t>
      </w:r>
      <w:r w:rsidR="00D90A98">
        <w:t xml:space="preserve"> </w:t>
      </w:r>
    </w:p>
    <w:p w:rsidR="00041536" w:rsidRDefault="00041536" w:rsidP="00041536">
      <w:r>
        <w:t>Den norske kirke ble av utvalget regnet som del av den kulturelle grunnmuren på grunn av sin rolle som materiell og immateriell kulturbærer. Utvalget mente at kirken, gjennom sin historiske og nåværende funksjon av å være folkekirke, hadde en særlig rolle som formidler av kulturarven, slik denne er innvevd i kirkebyggene og i menneskers livsriter, og i dens landsdekkende kulturelle infrastruktur. Utvalget pekte bla</w:t>
      </w:r>
      <w:r w:rsidR="00532343">
        <w:t xml:space="preserve">nt annet </w:t>
      </w:r>
      <w:r>
        <w:t xml:space="preserve">på at kirken </w:t>
      </w:r>
      <w:r w:rsidR="00532343">
        <w:t>er</w:t>
      </w:r>
      <w:r>
        <w:t xml:space="preserve"> en viktig arena for kirkemusikk, visuell k</w:t>
      </w:r>
      <w:r w:rsidR="00D90A98">
        <w:t>unst og andre kulturaktiviteter –</w:t>
      </w:r>
      <w:r>
        <w:t xml:space="preserve"> både profesjonell virksomhet og amatørkultur, som kor, fritidsklubber, danse- og teatergrupper. Utvalget viste også til at kirkemusikeren flere steder </w:t>
      </w:r>
      <w:r w:rsidR="00532343">
        <w:t xml:space="preserve">er </w:t>
      </w:r>
      <w:r>
        <w:t>den eneste profesjonelle kunstneren i kommunen</w:t>
      </w:r>
      <w:r w:rsidR="00FF77DC">
        <w:t xml:space="preserve">, og at kirken </w:t>
      </w:r>
      <w:r>
        <w:t>derfor</w:t>
      </w:r>
      <w:r w:rsidR="00FF77DC">
        <w:t xml:space="preserve"> måtte</w:t>
      </w:r>
      <w:r>
        <w:t xml:space="preserve"> trekkes aktivt inn i arbeidet med de lokale kulturutviklingsstrategiene som utvalget foreslo kulturloven burde åpne for. </w:t>
      </w:r>
    </w:p>
    <w:p w:rsidR="00D90A98" w:rsidRDefault="00D90A98" w:rsidP="00041536">
      <w:r>
        <w:t>Ifølge utvalget var slike</w:t>
      </w:r>
      <w:r w:rsidR="0047696A">
        <w:t xml:space="preserve"> kulturinstitusjoner og kulturvirksomheter som var etablert over tid i Norge</w:t>
      </w:r>
      <w:r w:rsidR="00753A54">
        <w:t>,</w:t>
      </w:r>
      <w:r w:rsidR="0047696A">
        <w:t xml:space="preserve"> og som</w:t>
      </w:r>
      <w:r w:rsidR="00290A9D">
        <w:t xml:space="preserve"> dermed</w:t>
      </w:r>
      <w:r w:rsidR="0047696A">
        <w:t xml:space="preserve"> utgjorde den kulturelle grunnmuren, en nødvendig infrastruktur for demokratiet. Det samme gjaldt det kulturelle mangfoldet. Utvalget omtalte dette som et "kulturelt medlemskap", der </w:t>
      </w:r>
      <w:r w:rsidR="0044673B">
        <w:t>alle borgere</w:t>
      </w:r>
      <w:r w:rsidR="0047696A">
        <w:t xml:space="preserve"> har en rett til å utøve og utvikle egen kultur</w:t>
      </w:r>
      <w:r w:rsidR="00EE25C9">
        <w:t xml:space="preserve"> og en rett til å delta i og påvirke samfunnets felleskultur. Et slikt mangfoldig kulturliv ville ifølge utvalget bidra til å motvirke at folk fikk delte erfaringer og referanser. Det ville også gi tilgang på en rik variasjon av ytringer og uttrykksformer.</w:t>
      </w:r>
    </w:p>
    <w:p w:rsidR="00EE25C9" w:rsidRDefault="0044673B" w:rsidP="00041536">
      <w:r>
        <w:t>U</w:t>
      </w:r>
      <w:r w:rsidR="00EE25C9">
        <w:t xml:space="preserve">tvalget </w:t>
      </w:r>
      <w:r>
        <w:t xml:space="preserve">mente at det </w:t>
      </w:r>
      <w:r w:rsidR="00EE25C9">
        <w:t>var et offentlig ansvar å v</w:t>
      </w:r>
      <w:r>
        <w:t>idereføre og utvikle det nor</w:t>
      </w:r>
      <w:r w:rsidR="00EE25C9">
        <w:t>s</w:t>
      </w:r>
      <w:r>
        <w:t>k</w:t>
      </w:r>
      <w:r w:rsidR="00EE25C9">
        <w:t xml:space="preserve">e samfunnets felles kulturarv (den kulturelle grunnmuren), men det måtte gjøres som en del av det globale kulturmangfoldet og med anerkjennelse av delkulturer. </w:t>
      </w:r>
      <w:r>
        <w:t>Den kulturelle grunnmuren og det kulturelle mangfoldet var med andre ord to nødvendige sider av et demokratihensyn som legitimerte offentlig finansiering av kultur som et fell</w:t>
      </w:r>
      <w:r w:rsidR="00DE79A1">
        <w:t>e</w:t>
      </w:r>
      <w:r>
        <w:t>sgode for samfunnet.</w:t>
      </w:r>
    </w:p>
    <w:p w:rsidR="00041536" w:rsidRDefault="00041536" w:rsidP="00041536">
      <w:r>
        <w:t xml:space="preserve">NOU 2013: 4 ble sendt på høring 11. mars 2013 til 800 instanser. Departementet mottok 280 høringssvar, </w:t>
      </w:r>
      <w:r w:rsidR="000849D4">
        <w:t>der flere</w:t>
      </w:r>
      <w:r>
        <w:t xml:space="preserve"> sluttet seg til at </w:t>
      </w:r>
      <w:r w:rsidR="000849D4">
        <w:t>den kulturelle grunnmuren og mangfold burde være</w:t>
      </w:r>
      <w:r>
        <w:t xml:space="preserve"> mål </w:t>
      </w:r>
      <w:r w:rsidR="00290A9D">
        <w:t xml:space="preserve">og begrunnelse </w:t>
      </w:r>
      <w:r>
        <w:t xml:space="preserve">for kulturpolitikken, og at det var viktig å bidra til kulturelt medlemskap og mulighet for deltakelse for alle. </w:t>
      </w:r>
    </w:p>
    <w:p w:rsidR="00041536" w:rsidRPr="000848C2" w:rsidRDefault="00041536" w:rsidP="00041536">
      <w:pPr>
        <w:pStyle w:val="Overskrift3"/>
        <w:rPr>
          <w:i/>
        </w:rPr>
      </w:pPr>
      <w:bookmarkStart w:id="238" w:name="_Toc481761730"/>
      <w:bookmarkStart w:id="239" w:name="_Toc492900383"/>
      <w:r>
        <w:lastRenderedPageBreak/>
        <w:t xml:space="preserve">NOU 2014: 2 </w:t>
      </w:r>
      <w:r w:rsidRPr="000848C2">
        <w:rPr>
          <w:i/>
        </w:rPr>
        <w:t>Lik og likskap</w:t>
      </w:r>
      <w:bookmarkEnd w:id="238"/>
      <w:bookmarkEnd w:id="239"/>
    </w:p>
    <w:p w:rsidR="00041536" w:rsidRDefault="00041536" w:rsidP="00041536">
      <w:r>
        <w:t xml:space="preserve">Gravferdsavgiftsutvalget </w:t>
      </w:r>
      <w:r w:rsidR="000848C2">
        <w:t xml:space="preserve">(Lae-utvalget) </w:t>
      </w:r>
      <w:r>
        <w:t xml:space="preserve">ble </w:t>
      </w:r>
      <w:r w:rsidR="00E17608">
        <w:t xml:space="preserve">oppnevnt </w:t>
      </w:r>
      <w:r w:rsidR="00B2741F">
        <w:t>i</w:t>
      </w:r>
      <w:r>
        <w:t xml:space="preserve"> 2012. Bakgrunnen for oppnevningen var at </w:t>
      </w:r>
      <w:r w:rsidR="000848C2">
        <w:t>departementet</w:t>
      </w:r>
      <w:r>
        <w:t xml:space="preserve"> i forbindelse med endringene i gravferdsloven i 2011 så at det var behov for å avklare "en rekke forhold av økonomisk karakter" før en ev</w:t>
      </w:r>
      <w:r w:rsidR="000848C2">
        <w:t>entuelt</w:t>
      </w:r>
      <w:r>
        <w:t xml:space="preserve"> kunne foreslå endringer knyttet til avgiftssystemet for gravplassforvaltningen, jf. Prop. 81 L (2010–2011) s. 25. </w:t>
      </w:r>
    </w:p>
    <w:p w:rsidR="00041536" w:rsidRDefault="00041536" w:rsidP="00041536">
      <w:r>
        <w:t>Utvalget fikk på denne bakgrunn bla</w:t>
      </w:r>
      <w:r w:rsidR="00532343">
        <w:t xml:space="preserve">nt annet </w:t>
      </w:r>
      <w:r>
        <w:t>i oppdrag å utrede:</w:t>
      </w:r>
    </w:p>
    <w:p w:rsidR="00041536" w:rsidRDefault="00041536" w:rsidP="00EC0571">
      <w:pPr>
        <w:pStyle w:val="Listebombe2"/>
      </w:pPr>
      <w:r>
        <w:t xml:space="preserve">økonomisk likestilling mellom </w:t>
      </w:r>
      <w:r w:rsidR="000848C2">
        <w:t>gra</w:t>
      </w:r>
      <w:r w:rsidR="00DE79A1">
        <w:t>v</w:t>
      </w:r>
      <w:r w:rsidR="000848C2">
        <w:t>ferdsformene (</w:t>
      </w:r>
      <w:r>
        <w:t>kremasjon og kistegravlegging</w:t>
      </w:r>
      <w:r w:rsidR="000848C2">
        <w:t>)</w:t>
      </w:r>
    </w:p>
    <w:p w:rsidR="00041536" w:rsidRDefault="00041536" w:rsidP="00EC0571">
      <w:pPr>
        <w:pStyle w:val="Listebombe2"/>
      </w:pPr>
      <w:r>
        <w:t>utvidelse av retten til grav utenfor bostedskommunen</w:t>
      </w:r>
    </w:p>
    <w:p w:rsidR="00041536" w:rsidRDefault="00041536" w:rsidP="00EC0571">
      <w:pPr>
        <w:pStyle w:val="Listebombe2"/>
      </w:pPr>
      <w:r>
        <w:t>ordningen med feste av grav</w:t>
      </w:r>
    </w:p>
    <w:p w:rsidR="00041536" w:rsidRDefault="00753A54" w:rsidP="00EC0571">
      <w:pPr>
        <w:pStyle w:val="Listebombe2"/>
      </w:pPr>
      <w:r>
        <w:t>b</w:t>
      </w:r>
      <w:r w:rsidR="00041536">
        <w:t>ehovet for endringer i avgiftssystemet knyttet til gravferdssektoren</w:t>
      </w:r>
    </w:p>
    <w:p w:rsidR="00041536" w:rsidRDefault="00041536" w:rsidP="00041536">
      <w:r>
        <w:t xml:space="preserve">Utvalget leverte sin innstilling NOU 2014: 2 </w:t>
      </w:r>
      <w:r w:rsidRPr="000848C2">
        <w:rPr>
          <w:i/>
        </w:rPr>
        <w:t>Lik og likskap</w:t>
      </w:r>
      <w:r>
        <w:t xml:space="preserve"> </w:t>
      </w:r>
      <w:r w:rsidR="00B2741F">
        <w:t>i</w:t>
      </w:r>
      <w:r>
        <w:t xml:space="preserve"> 2014. I den ble det foreslått flere endringer i gravferdsavgiftssystemet som innrettet seg mot en avvikling av brukerbetaling og større grad av likebeha</w:t>
      </w:r>
      <w:r w:rsidR="00B2741F">
        <w:t>ndling mellom gravferdsformene</w:t>
      </w:r>
      <w:r w:rsidR="00DE79A1">
        <w:t>,</w:t>
      </w:r>
      <w:r w:rsidR="00B2741F">
        <w:t xml:space="preserve"> </w:t>
      </w:r>
      <w:r w:rsidR="00532343">
        <w:t>bl</w:t>
      </w:r>
      <w:r>
        <w:t>a</w:t>
      </w:r>
      <w:r w:rsidR="00532343">
        <w:t>nt annet</w:t>
      </w:r>
      <w:r>
        <w:t xml:space="preserve">: </w:t>
      </w:r>
    </w:p>
    <w:p w:rsidR="00041536" w:rsidRDefault="00DE79A1" w:rsidP="002834ED">
      <w:pPr>
        <w:pStyle w:val="Nummerertliste2"/>
        <w:numPr>
          <w:ilvl w:val="1"/>
          <w:numId w:val="40"/>
        </w:numPr>
      </w:pPr>
      <w:r>
        <w:t>O</w:t>
      </w:r>
      <w:r w:rsidR="00041536">
        <w:t>ppheve adgangen til å kreve kremasjonsavgift</w:t>
      </w:r>
      <w:r>
        <w:t>,</w:t>
      </w:r>
      <w:r w:rsidR="00041536">
        <w:t xml:space="preserve"> slik at gravferdsformene kremasjon med urnenedsettelse og kistegravlegging likestilles. </w:t>
      </w:r>
    </w:p>
    <w:p w:rsidR="00041536" w:rsidRDefault="00041536" w:rsidP="00EC0571">
      <w:pPr>
        <w:pStyle w:val="Nummerertliste2"/>
        <w:numPr>
          <w:ilvl w:val="0"/>
          <w:numId w:val="0"/>
        </w:numPr>
        <w:ind w:left="794"/>
      </w:pPr>
      <w:r>
        <w:t xml:space="preserve">Etter gjeldende rett er kistegravlegging kostnadsfritt for de etterlatte, mens det er kommunal frihet til å kreve avgift for kremasjon. Utvalget la til grunn at bortfall av adgangen til å kreve kremasjonsavgift vil gi et inntektstap for gravplassforvaltningen på 40 mill. kroner årlig. </w:t>
      </w:r>
    </w:p>
    <w:p w:rsidR="00041536" w:rsidRDefault="00DE79A1" w:rsidP="00EC0571">
      <w:pPr>
        <w:pStyle w:val="Nummerertliste2"/>
      </w:pPr>
      <w:r>
        <w:t>I</w:t>
      </w:r>
      <w:r w:rsidR="00041536">
        <w:t xml:space="preserve">nnføre 20 års fri grav for alle. </w:t>
      </w:r>
    </w:p>
    <w:p w:rsidR="00041536" w:rsidRDefault="00041536" w:rsidP="00EC0571">
      <w:pPr>
        <w:pStyle w:val="Nummerertliste2"/>
        <w:numPr>
          <w:ilvl w:val="0"/>
          <w:numId w:val="0"/>
        </w:numPr>
        <w:ind w:left="794"/>
      </w:pPr>
      <w:r>
        <w:t>Etter gjeldende rett vil en tilvist grav fra gravplass</w:t>
      </w:r>
      <w:r w:rsidR="00532343">
        <w:t>myndigh</w:t>
      </w:r>
      <w:r w:rsidR="00D576DA">
        <w:t>e</w:t>
      </w:r>
      <w:r w:rsidR="00532343">
        <w:t xml:space="preserve">ten </w:t>
      </w:r>
      <w:r>
        <w:t xml:space="preserve">utløse 20 betalingsfrie år, mens det ved en festet grav betales festeavgift fra første dag. Utvalget la til grunn at de foreslåtte endringene vil utgjøre et tap av festeavgift for gravplassforvaltningen på 52,2 mill. kroner årlig. </w:t>
      </w:r>
    </w:p>
    <w:p w:rsidR="00041536" w:rsidRDefault="00DE79A1" w:rsidP="00EC0571">
      <w:pPr>
        <w:pStyle w:val="Nummerertliste2"/>
      </w:pPr>
      <w:r>
        <w:t>R</w:t>
      </w:r>
      <w:r w:rsidR="00041536">
        <w:t xml:space="preserve">ett til fri grav utenfor bostedskommunen. </w:t>
      </w:r>
    </w:p>
    <w:p w:rsidR="00041536" w:rsidRDefault="00041536" w:rsidP="00EC0571">
      <w:pPr>
        <w:pStyle w:val="Nummerertliste2"/>
        <w:numPr>
          <w:ilvl w:val="0"/>
          <w:numId w:val="0"/>
        </w:numPr>
        <w:ind w:left="794"/>
      </w:pPr>
      <w:r>
        <w:t xml:space="preserve">I dag er retten til fri grav i tilvist grav knyttet til den kommunen avdøde står </w:t>
      </w:r>
      <w:r w:rsidR="00701184">
        <w:t>folkeregistrert</w:t>
      </w:r>
      <w:r>
        <w:t xml:space="preserve"> i. Utvalget </w:t>
      </w:r>
      <w:r w:rsidR="00701184">
        <w:t>foreslo</w:t>
      </w:r>
      <w:r>
        <w:t xml:space="preserve"> rett til fri grav også utenfor bostedskommunen</w:t>
      </w:r>
      <w:r w:rsidR="00701184">
        <w:t xml:space="preserve">, og la til grunn </w:t>
      </w:r>
      <w:r w:rsidR="00FC50F8">
        <w:t xml:space="preserve">at </w:t>
      </w:r>
      <w:r w:rsidR="00701184">
        <w:t xml:space="preserve">dette </w:t>
      </w:r>
      <w:r>
        <w:t xml:space="preserve">ville gi et årlig inntektstap for gravplassforvaltningen på 12,1 mill. kroner. </w:t>
      </w:r>
    </w:p>
    <w:p w:rsidR="00041536" w:rsidRDefault="00041536" w:rsidP="00041536">
      <w:r>
        <w:t>Utvalget foreslo at gravferdsforvaltningen ble kompensert for inntektstapene gjennom rammeoverføringer til kommunene. Årlig ville dette utgjøre 104,3 mill. kroner.</w:t>
      </w:r>
    </w:p>
    <w:p w:rsidR="00642343" w:rsidRDefault="00041536" w:rsidP="00041536">
      <w:r>
        <w:t xml:space="preserve">NOU 2014: 2 ble sendt på høring </w:t>
      </w:r>
      <w:r w:rsidR="00FC50F8">
        <w:t xml:space="preserve">29. april 2014 med frist for å avgi uttalelse 1. oktober 2014. </w:t>
      </w:r>
      <w:r w:rsidR="00841217">
        <w:t>I høringen var det</w:t>
      </w:r>
      <w:r>
        <w:t xml:space="preserve"> stor grad av til</w:t>
      </w:r>
      <w:r w:rsidR="004D63C5">
        <w:t>slutning til utvalgets forslag, men da med den forutsetning at tapet av inntektene fra avgiftene ble kompensert gjennom økte overføringer</w:t>
      </w:r>
      <w:r w:rsidR="00642343">
        <w:t xml:space="preserve"> fra staten til kommunene</w:t>
      </w:r>
      <w:r w:rsidR="004D63C5">
        <w:t xml:space="preserve">. </w:t>
      </w:r>
    </w:p>
    <w:p w:rsidR="00041536" w:rsidRDefault="00041536" w:rsidP="00041536">
      <w:r>
        <w:t>U</w:t>
      </w:r>
      <w:r w:rsidR="00547E11">
        <w:t>tfallet av høringen</w:t>
      </w:r>
      <w:r>
        <w:t xml:space="preserve"> og departementets vurderinger av </w:t>
      </w:r>
      <w:r w:rsidR="00547E11">
        <w:t>utvalgets forslag</w:t>
      </w:r>
      <w:r>
        <w:t xml:space="preserve"> er nærmere behandlet i kapittel 22.</w:t>
      </w:r>
    </w:p>
    <w:p w:rsidR="00041536" w:rsidRDefault="00041536" w:rsidP="00041536">
      <w:pPr>
        <w:pStyle w:val="Overskrift2"/>
      </w:pPr>
      <w:bookmarkStart w:id="240" w:name="_Toc481761731"/>
      <w:bookmarkStart w:id="241" w:name="_Toc492900384"/>
      <w:r>
        <w:t>Den norske kirke som eget rettssubjekt</w:t>
      </w:r>
      <w:bookmarkEnd w:id="240"/>
      <w:bookmarkEnd w:id="241"/>
    </w:p>
    <w:p w:rsidR="00041536" w:rsidRDefault="000848C2" w:rsidP="00041536">
      <w:pPr>
        <w:pStyle w:val="Overskrift3"/>
      </w:pPr>
      <w:bookmarkStart w:id="242" w:name="_Toc481761732"/>
      <w:bookmarkStart w:id="243" w:name="_Toc492900385"/>
      <w:r>
        <w:t>Endringer</w:t>
      </w:r>
      <w:r w:rsidR="00753A54">
        <w:t xml:space="preserve"> i</w:t>
      </w:r>
      <w:r>
        <w:t xml:space="preserve"> 2017 i kirkeloven</w:t>
      </w:r>
      <w:bookmarkEnd w:id="242"/>
      <w:bookmarkEnd w:id="243"/>
      <w:r>
        <w:t xml:space="preserve"> </w:t>
      </w:r>
    </w:p>
    <w:p w:rsidR="00041536" w:rsidRDefault="00041536" w:rsidP="00041536">
      <w:r>
        <w:t>I Prop. 55 L (2015</w:t>
      </w:r>
      <w:r w:rsidR="000848C2">
        <w:t>–</w:t>
      </w:r>
      <w:r>
        <w:t xml:space="preserve">2016) la Kulturdepartementet fram forslag til lov om endringer i kirkeloven med sikte på omdanning av Den norske kirke til eget rettssubjekt. Endringene ble vedtatt i Stortinget 18. mai 2016 og sanksjonert ved kongelig resolusjon 27. mai 2016. Lovendringene trådte i kraft 1. januar 2017. </w:t>
      </w:r>
    </w:p>
    <w:p w:rsidR="00041536" w:rsidRDefault="00041536" w:rsidP="00041536">
      <w:r>
        <w:lastRenderedPageBreak/>
        <w:t xml:space="preserve">Det sentrale formålet med endringene var å gi Den norske kirke en rettslig selvstendig handleevne, slik de enkelte soknene allerede hadde. Ved </w:t>
      </w:r>
      <w:r w:rsidR="00D576DA">
        <w:t xml:space="preserve">reformen </w:t>
      </w:r>
      <w:r>
        <w:t xml:space="preserve">ble det dannet et nytt rettssubjekt for Den norske kirke. Arbeidsgiveransvaret for prestene, prostene, biskopene, de tilsatte ved bispedømmerådenes og Kirkerådets administrasjoner, andre som var tilsatt og lønnet av bispedømmerådene eller Kirkerådet, samt tilsatte ved Kirkelig utdanningssenter i nord og ved Svalbard kirke, ble på dette grunnlaget overført fra staten til kirken. </w:t>
      </w:r>
    </w:p>
    <w:p w:rsidR="00041536" w:rsidRDefault="00041536" w:rsidP="00041536">
      <w:r>
        <w:t>Et hovedsynspunkt i reformen var at soknenes selvstendighet skulle føres videre. Hvert av de 1 2</w:t>
      </w:r>
      <w:r w:rsidR="00532343">
        <w:t>0</w:t>
      </w:r>
      <w:r>
        <w:t xml:space="preserve">0 soknene ville dermed fortsatt være den grunnleggende enheten i Den norske kirke og ha en selvstendig rettslig stilling. Soknet skulle fortsatt være arbeidsgiver for sine tilsatte og ha sin selvstendige økonomi. Også kommunenes finansieringsansvar for kirkens lokale virksomhet ble ført videre. </w:t>
      </w:r>
    </w:p>
    <w:p w:rsidR="00041536" w:rsidRDefault="00041536" w:rsidP="00041536">
      <w:r>
        <w:t xml:space="preserve">De kirkelige organene </w:t>
      </w:r>
      <w:r w:rsidR="00753A54">
        <w:t>er</w:t>
      </w:r>
      <w:r>
        <w:t xml:space="preserve"> fortsatt regulert i lov. Kirkemøtet ble bekreftet som Den norske kirkes øverste organ. Kirkemøtet opptre</w:t>
      </w:r>
      <w:r w:rsidR="00753A54">
        <w:t>r</w:t>
      </w:r>
      <w:r>
        <w:t xml:space="preserve"> på det nye rettssubjektets vegne i alle saker der det ikke </w:t>
      </w:r>
      <w:r w:rsidR="00753A54">
        <w:t>er</w:t>
      </w:r>
      <w:r>
        <w:t xml:space="preserve"> fastsatt i eller i medhold av lov at myndigheten er lagt til et annet organ. Kirkerådet fikk en tydelig rolle som utøvende organ for Kirkemøtet, og dermed for rettssubjektet. Kirkemøtet og andre nasjonale og regionale kirkelige organer </w:t>
      </w:r>
      <w:r w:rsidR="00753A54">
        <w:t xml:space="preserve">kan </w:t>
      </w:r>
      <w:r>
        <w:t xml:space="preserve">bare gripe inn i soknets selvstendige myndighet når dette er hjemlet i lov. </w:t>
      </w:r>
    </w:p>
    <w:p w:rsidR="00041536" w:rsidRDefault="00041536" w:rsidP="00041536">
      <w:r>
        <w:t>Reformen innebar en virksomhetsoverdragelse fra staten til det nye rettssubjektet for Den norske kirke. Statens finansiering av de virksomhet</w:t>
      </w:r>
      <w:r w:rsidR="0024286C">
        <w:t>ene som ble overført, er</w:t>
      </w:r>
      <w:r>
        <w:t xml:space="preserve"> opprettholdt gjennom rammetilskudd</w:t>
      </w:r>
      <w:r w:rsidR="00B96593">
        <w:t xml:space="preserve"> </w:t>
      </w:r>
      <w:r w:rsidR="00D576DA">
        <w:t>som er stilt t</w:t>
      </w:r>
      <w:r w:rsidR="00B96593">
        <w:t>il Kirkemøtets rådighet.</w:t>
      </w:r>
      <w:r>
        <w:t xml:space="preserve"> Statens finansierings</w:t>
      </w:r>
      <w:r w:rsidR="00B96593">
        <w:t>ansvar</w:t>
      </w:r>
      <w:r>
        <w:t xml:space="preserve"> overfor kirken </w:t>
      </w:r>
      <w:r w:rsidR="0024286C">
        <w:t>er</w:t>
      </w:r>
      <w:r w:rsidR="00B96593">
        <w:t xml:space="preserve"> </w:t>
      </w:r>
      <w:r>
        <w:t>de</w:t>
      </w:r>
      <w:r w:rsidR="00B96593">
        <w:t>t</w:t>
      </w:r>
      <w:r>
        <w:t xml:space="preserve"> samme som før, og den økonomiske ansvarsdelingen mellom staten og</w:t>
      </w:r>
      <w:r w:rsidR="0024286C">
        <w:t xml:space="preserve"> kommunene på kirkens område er</w:t>
      </w:r>
      <w:r>
        <w:t xml:space="preserve"> ført videre. </w:t>
      </w:r>
    </w:p>
    <w:p w:rsidR="00041536" w:rsidRDefault="00041536" w:rsidP="00041536">
      <w:pPr>
        <w:pStyle w:val="Overskrift3"/>
      </w:pPr>
      <w:bookmarkStart w:id="244" w:name="_Toc481761733"/>
      <w:bookmarkStart w:id="245" w:name="_Toc492900386"/>
      <w:r>
        <w:t>Varslet videre utvikling</w:t>
      </w:r>
      <w:bookmarkEnd w:id="244"/>
      <w:bookmarkEnd w:id="245"/>
    </w:p>
    <w:p w:rsidR="00041536" w:rsidRDefault="00041536" w:rsidP="00041536">
      <w:r>
        <w:t xml:space="preserve">Kirkemøtet har klargjort at det arbeider ut fra et mål om at dannelsen av et nytt rettssubjekt for kirken skal følges opp av en reformfase to. Kirkemøtet 2015 uttalte: </w:t>
      </w:r>
    </w:p>
    <w:p w:rsidR="00041536" w:rsidRPr="00AE2C25" w:rsidRDefault="00041536" w:rsidP="00291663">
      <w:pPr>
        <w:pStyle w:val="blokksit"/>
        <w:rPr>
          <w:rStyle w:val="kursiv"/>
        </w:rPr>
      </w:pPr>
      <w:r w:rsidRPr="00AE2C25">
        <w:rPr>
          <w:rStyle w:val="kursiv"/>
        </w:rPr>
        <w:t xml:space="preserve">Kirkemøtet ser på de foreslåtte endringene som et viktig skritt videre i relasjonen mellom stat og kirke. Samtidig vil Kirkemøtet uttrykke tilfredshet med at departementet har lagt vekt på at de foreslåtte endringene skal åpne for en videre utvikling mot rammelovgivning for Den norske kirke. I et neste skritt vil færre bestemmelser om kirkens organisering, kirkelig myndighetsutøvelse og rettslig handleevne fastsettes i statens lovgivning om kirken. </w:t>
      </w:r>
    </w:p>
    <w:p w:rsidR="00041536" w:rsidRDefault="00041536" w:rsidP="00041536">
      <w:r>
        <w:t>Departementet antok i lovproposisjonen (Prop. 55 L (2015</w:t>
      </w:r>
      <w:r w:rsidR="00FF5BC0">
        <w:t>–</w:t>
      </w:r>
      <w:r>
        <w:t xml:space="preserve">2016) side 14) </w:t>
      </w:r>
    </w:p>
    <w:p w:rsidR="00041536" w:rsidRPr="00AE2C25" w:rsidRDefault="00041536" w:rsidP="00AE2C25">
      <w:pPr>
        <w:pStyle w:val="blokksit"/>
        <w:rPr>
          <w:rStyle w:val="kursiv"/>
        </w:rPr>
      </w:pPr>
      <w:r w:rsidRPr="00AE2C25">
        <w:rPr>
          <w:rStyle w:val="kursiv"/>
        </w:rPr>
        <w:t xml:space="preserve">at kirken under denne reformfasen bl.a. vil gjennomgå kirkens organisering og soknenes plass i kirkeordningen, kirkens forvaltningsnivåer og de kirkelige organenes innbyrdes myndighetsfordeling, med sikte på at slike spørsmål blir regulert i en kirkeordning som Kirkemøtet gjør vedtak om. En rekke bestemmelser i kirkeloven vil da kunne oppheves og statens lovregulering reduseres til en kortfattet rammelovgivning for kirken. En slik rammelovgivning for Den norske kirke vil reise spørsmål om en omlegging av dagens finansieringsordninger for kirken, slik at kirken også på det økonomiske området blir mer fristilt og selvstendig. Det er særlig spørsmålet om endringer i dagens bestemmelser i kirkeloven § 15 om kommunenes økonomiske oppgaver overfor Den norske kirke som da er aktuelle å ta opp. I dag innebærer kirkeloven § 15 begrensninger i kirkens myndighet til blant annet å treffe vedtak om kirkens organisering, den kirkelige inndelingen og om kirkebyggene. Dette er bestemmelser som ikke foreslås endret ved de lovforslagene som nå legges fram. Ved en framtidig vurdering av kirkens finansieringsordninger antar departementet at en omlegging for eksempel i retning av medlemsfinansiering i en eller annen form vil være naturlig å vurdere. </w:t>
      </w:r>
    </w:p>
    <w:p w:rsidR="00041536" w:rsidRPr="00AE2C25" w:rsidRDefault="00041536" w:rsidP="00AE2C25">
      <w:pPr>
        <w:pStyle w:val="blokksit"/>
        <w:rPr>
          <w:rStyle w:val="kursiv"/>
        </w:rPr>
      </w:pPr>
      <w:r w:rsidRPr="00AE2C25">
        <w:rPr>
          <w:rStyle w:val="kursiv"/>
        </w:rPr>
        <w:t xml:space="preserve">Slike ytterligere reformer på kirkens område bør etter departementets syn innpasses i en helhetlig gjennomgang av tros- og livssynsfeltet, der bl.a. finansieringsordningene for Den norske kirke og </w:t>
      </w:r>
      <w:r w:rsidRPr="00AE2C25">
        <w:rPr>
          <w:rStyle w:val="kursiv"/>
        </w:rPr>
        <w:lastRenderedPageBreak/>
        <w:t>andre tros- og livssynssamfunn vurderes i sammenheng. Utover en gjennomgang av finansieringsordningene for alle tros- og livssynssamfunn, mener departementet at også de andre delene av lovgivningen for Den norske kirke og andre tros- og livssynssamfunn bør gjennomgås samlet. Etter at den foreslåtte forvaltningsreformen er gjennomført, vil departementet komme tilbake til dette som egen sak. Målet er én helhetlig lov for alle tros- og livssynssamfunn.</w:t>
      </w:r>
    </w:p>
    <w:p w:rsidR="00041536" w:rsidRDefault="00041536" w:rsidP="00041536">
      <w:pPr>
        <w:pStyle w:val="Overskrift2"/>
      </w:pPr>
      <w:bookmarkStart w:id="246" w:name="_Toc481761734"/>
      <w:bookmarkStart w:id="247" w:name="_Toc492900387"/>
      <w:r>
        <w:t>Stortingets anmodningsvedtak</w:t>
      </w:r>
      <w:bookmarkEnd w:id="246"/>
      <w:bookmarkEnd w:id="247"/>
    </w:p>
    <w:p w:rsidR="00511406" w:rsidRDefault="00511406" w:rsidP="00511406">
      <w:r>
        <w:t xml:space="preserve">Stortinget har ved ulike anledninger truffet flere anmodningsvedtak som har sammenheng </w:t>
      </w:r>
      <w:r w:rsidR="00D576DA">
        <w:t>m</w:t>
      </w:r>
      <w:r>
        <w:t xml:space="preserve">ed de forslagene som </w:t>
      </w:r>
      <w:r w:rsidR="0024286C">
        <w:t>nå</w:t>
      </w:r>
      <w:r>
        <w:t xml:space="preserve"> sendes på høring. </w:t>
      </w:r>
    </w:p>
    <w:p w:rsidR="00511406" w:rsidRDefault="00511406" w:rsidP="00511406">
      <w:pPr>
        <w:pStyle w:val="Overskrift3"/>
      </w:pPr>
      <w:bookmarkStart w:id="248" w:name="_Toc481761735"/>
      <w:bookmarkStart w:id="249" w:name="_Toc492900388"/>
      <w:r>
        <w:t>Anmodningsvedtak 237</w:t>
      </w:r>
      <w:bookmarkEnd w:id="248"/>
      <w:bookmarkEnd w:id="249"/>
    </w:p>
    <w:p w:rsidR="00B80B87" w:rsidRDefault="00B80B87" w:rsidP="00B80B87">
      <w:r>
        <w:t>I Prop. 12 L (2015</w:t>
      </w:r>
      <w:r w:rsidR="00532343">
        <w:t>–</w:t>
      </w:r>
      <w:r>
        <w:t xml:space="preserve">2016) foreslo Kulturdepartementet endringer i trossamfunnslovens og livssynsamfunnslovens tilskuddsregler i forbindelse med </w:t>
      </w:r>
      <w:r w:rsidR="00D576DA">
        <w:t>avviklingen av tjenestebolig</w:t>
      </w:r>
      <w:r w:rsidR="00F827B6">
        <w:t>-</w:t>
      </w:r>
      <w:r w:rsidR="00D576DA">
        <w:t xml:space="preserve"> og </w:t>
      </w:r>
      <w:r>
        <w:t>boplikt</w:t>
      </w:r>
      <w:r w:rsidR="00D576DA">
        <w:t xml:space="preserve">ordningen </w:t>
      </w:r>
      <w:r>
        <w:t>for preste</w:t>
      </w:r>
      <w:r w:rsidR="00D576DA">
        <w:t>ne</w:t>
      </w:r>
      <w:r>
        <w:t xml:space="preserve"> i Den norske kirke</w:t>
      </w:r>
      <w:r w:rsidR="006552EF" w:rsidRPr="006552EF">
        <w:t xml:space="preserve"> </w:t>
      </w:r>
      <w:r w:rsidR="006552EF">
        <w:t>i 2015</w:t>
      </w:r>
      <w:r>
        <w:t xml:space="preserve">. Endringen innebar at bevilgninger til Den norske kirke som </w:t>
      </w:r>
      <w:r w:rsidR="00F827B6">
        <w:t xml:space="preserve">følger av at </w:t>
      </w:r>
      <w:r>
        <w:t>boplikt</w:t>
      </w:r>
      <w:r w:rsidR="00F827B6">
        <w:t xml:space="preserve">en </w:t>
      </w:r>
      <w:r>
        <w:t>er avviklet, ikke skal regnes med i grunnlaget for statstilskuddet til tros- og livssynssamfunnene.</w:t>
      </w:r>
    </w:p>
    <w:p w:rsidR="00B80B87" w:rsidRDefault="00B80B87" w:rsidP="00B80B87">
      <w:r>
        <w:t>Stortinget sluttet seg til forslagene, og gjorde samtidig</w:t>
      </w:r>
      <w:r w:rsidR="00F827B6">
        <w:t xml:space="preserve">, ved behandlingen av </w:t>
      </w:r>
      <w:r w:rsidR="00511406">
        <w:t>Innst. 111 L (2015–2016)</w:t>
      </w:r>
      <w:r w:rsidR="00F827B6">
        <w:t xml:space="preserve">, </w:t>
      </w:r>
      <w:r w:rsidR="00511406">
        <w:t>følgende vedtak (anmodningsvedtak nr. 237 av 11. desember 2015):</w:t>
      </w:r>
    </w:p>
    <w:p w:rsidR="00041536" w:rsidRPr="00AE2C25" w:rsidRDefault="00041536" w:rsidP="00856E3F">
      <w:pPr>
        <w:pStyle w:val="blokksit"/>
        <w:rPr>
          <w:rStyle w:val="kursiv"/>
        </w:rPr>
      </w:pPr>
      <w:r w:rsidRPr="00AE2C25">
        <w:rPr>
          <w:rStyle w:val="kursiv"/>
        </w:rPr>
        <w:t>Stortinget ber regjeringen komme tilbake til Stortinget med forslag til nytt finansieringssystem for tros- og livssynssamfunn, sett i lys av endringer i Den norske kirke o</w:t>
      </w:r>
      <w:r w:rsidR="001C1859" w:rsidRPr="00AE2C25">
        <w:rPr>
          <w:rStyle w:val="kursiv"/>
        </w:rPr>
        <w:t>g prinsippet om likebehandling.</w:t>
      </w:r>
    </w:p>
    <w:p w:rsidR="00511406" w:rsidRDefault="00913FC0" w:rsidP="00511406">
      <w:r>
        <w:t>Av Prop. 1 S (2016</w:t>
      </w:r>
      <w:r w:rsidR="00511406">
        <w:t xml:space="preserve">–2017) for Kulturdepartementet framgikk det at anmodningsvedtak nr. 237 "vil bli fulgt opp under arbeidet med en helhetlig lov for tros- og livssynssamfunn" (side 122). </w:t>
      </w:r>
    </w:p>
    <w:p w:rsidR="00511406" w:rsidRDefault="00511406" w:rsidP="00511406">
      <w:pPr>
        <w:pStyle w:val="Overskrift3"/>
      </w:pPr>
      <w:bookmarkStart w:id="250" w:name="_Toc481761736"/>
      <w:bookmarkStart w:id="251" w:name="_Toc492900389"/>
      <w:r>
        <w:t>Anmodningsvedtak 407 og 408</w:t>
      </w:r>
      <w:bookmarkEnd w:id="250"/>
      <w:bookmarkEnd w:id="251"/>
    </w:p>
    <w:p w:rsidR="00511406" w:rsidRDefault="00511406" w:rsidP="00511406">
      <w:pPr>
        <w:rPr>
          <w:rFonts w:cs="Times New Roman"/>
          <w:color w:val="000000"/>
          <w:szCs w:val="24"/>
        </w:rPr>
      </w:pPr>
      <w:r>
        <w:rPr>
          <w:rFonts w:cs="Times New Roman"/>
          <w:color w:val="000000"/>
          <w:szCs w:val="24"/>
        </w:rPr>
        <w:t xml:space="preserve">Ved </w:t>
      </w:r>
      <w:r w:rsidRPr="00E96B5A">
        <w:rPr>
          <w:rFonts w:cs="Times New Roman"/>
          <w:color w:val="000000"/>
          <w:szCs w:val="24"/>
        </w:rPr>
        <w:t>Stortingets behandling av Innst. 72 S (2015–2016)</w:t>
      </w:r>
      <w:r>
        <w:rPr>
          <w:rFonts w:cs="Times New Roman"/>
          <w:color w:val="000000"/>
          <w:szCs w:val="24"/>
        </w:rPr>
        <w:t xml:space="preserve"> vedrørende representantforslag fra Marit Arnstad, Geir Jørgen Bekkevold, Anders Tyvand og Anne Tingelstad Wøien, gjorde Stortinget følgende vedtak (vedtak nr. 407 og 408 av 18. desember 2015):</w:t>
      </w:r>
    </w:p>
    <w:p w:rsidR="00511406" w:rsidRPr="00D93AC6" w:rsidRDefault="00511406" w:rsidP="00D93AC6">
      <w:pPr>
        <w:pStyle w:val="blokksit"/>
        <w:rPr>
          <w:rStyle w:val="kursiv"/>
        </w:rPr>
      </w:pPr>
      <w:r w:rsidRPr="00D93AC6">
        <w:rPr>
          <w:rStyle w:val="kursiv"/>
        </w:rPr>
        <w:t>Stortinget ber regjeringen, i henhold til sektorprinsippet, utarbeide en forsterket strategi for hvordan steinkirker fra middelalderen, fredede etter-reformatoriske kirker og særlig viktige kirker fra etter 1650 kan sikres et forsvarlig vedlikeholdsnivå.</w:t>
      </w:r>
    </w:p>
    <w:p w:rsidR="00511406" w:rsidRPr="00D93AC6" w:rsidRDefault="00511406" w:rsidP="00D93AC6">
      <w:pPr>
        <w:pStyle w:val="blokksit"/>
        <w:rPr>
          <w:rStyle w:val="kursiv"/>
        </w:rPr>
      </w:pPr>
      <w:r w:rsidRPr="00D93AC6">
        <w:rPr>
          <w:rStyle w:val="kursiv"/>
        </w:rPr>
        <w:t>Stortinget ber regjeringen i strategiarbeidet vurdere om det bør opprettes bevaringsprogrammer etter inspirasjon fra Riksantikvarens «stavkirkeprogram», innenfor rammen av dagens sektoransvar.</w:t>
      </w:r>
    </w:p>
    <w:p w:rsidR="00511406" w:rsidRDefault="00511406" w:rsidP="00511406">
      <w:r>
        <w:t>I Prop</w:t>
      </w:r>
      <w:r w:rsidR="0095130A">
        <w:t>.</w:t>
      </w:r>
      <w:r>
        <w:t xml:space="preserve"> 1 S (2016–2017) bemerket </w:t>
      </w:r>
      <w:r w:rsidR="00913FC0">
        <w:t>K</w:t>
      </w:r>
      <w:r>
        <w:t>ulturdepartementet til anmodningsvedtakene 407 og 408 at de "berører finansieringsordningene for Den norske kirke. Vedtakene vil bli fulgt opp under arbeidet med ny lovgivning og finansieringsordninger" (side 122).</w:t>
      </w:r>
    </w:p>
    <w:p w:rsidR="00511406" w:rsidRDefault="00511406" w:rsidP="00511406">
      <w:pPr>
        <w:pStyle w:val="Overskrift3"/>
      </w:pPr>
      <w:bookmarkStart w:id="252" w:name="_Toc481761737"/>
      <w:bookmarkStart w:id="253" w:name="_Toc492900390"/>
      <w:r>
        <w:t>Anmodningsvedtak 442</w:t>
      </w:r>
      <w:bookmarkEnd w:id="252"/>
      <w:bookmarkEnd w:id="253"/>
    </w:p>
    <w:p w:rsidR="00041536" w:rsidRDefault="00041536" w:rsidP="00041536">
      <w:r>
        <w:t>Etter et representantforslag fra Harald T. Nesvik, Jonas Gahr Støre, Knut Arild Hareide, Marit Arnstad, Trond Helleland og Trine Skei Grande om et felles løft for god integrering, Dokument 8:37 S (2015–2016), fattet Stortinget følgende anmodningsvedtak den 12. januar 2016 (nr. 442):</w:t>
      </w:r>
    </w:p>
    <w:p w:rsidR="00041536" w:rsidRPr="00D93AC6" w:rsidRDefault="00041536" w:rsidP="00856E3F">
      <w:pPr>
        <w:pStyle w:val="blokksit"/>
        <w:rPr>
          <w:rStyle w:val="kursiv"/>
        </w:rPr>
      </w:pPr>
      <w:r w:rsidRPr="00D93AC6">
        <w:rPr>
          <w:rStyle w:val="kursiv"/>
        </w:rPr>
        <w:lastRenderedPageBreak/>
        <w:t>Stortinget ber regjeringen utrede en ordning som gjør at kun stater som praktiserer religionsfrihet tillates å bistå med finansiering av trossamfunn i Norge. Regjeringen anmodes videre om å arbeide for å tette alle smutthull i regelverke</w:t>
      </w:r>
      <w:r w:rsidR="001C1859" w:rsidRPr="00D93AC6">
        <w:rPr>
          <w:rStyle w:val="kursiv"/>
        </w:rPr>
        <w:t>t, herunder bruk av stiftelser.</w:t>
      </w:r>
    </w:p>
    <w:p w:rsidR="00511406" w:rsidRDefault="00511406" w:rsidP="00511406">
      <w:r>
        <w:t xml:space="preserve">Anmodningsvedtak </w:t>
      </w:r>
      <w:r w:rsidR="00F827B6">
        <w:t xml:space="preserve">nr. </w:t>
      </w:r>
      <w:r>
        <w:t xml:space="preserve">442 ble fulgt opp med en utredning i samarbeid mellom Kulturdepartementet, Justis- og beredskapsdepartementet og Utenriksdepartementet. Stortinget ble orientert om utredningsfunnene i Prop. 1 S (2016–2017) for Kulturdepartementet s. 132–134. </w:t>
      </w:r>
      <w:r w:rsidRPr="00394399">
        <w:t>Departementet vis</w:t>
      </w:r>
      <w:r>
        <w:t>te der</w:t>
      </w:r>
      <w:r w:rsidRPr="00394399">
        <w:t xml:space="preserve"> </w:t>
      </w:r>
    </w:p>
    <w:p w:rsidR="00511406" w:rsidRPr="00D93AC6" w:rsidRDefault="00511406" w:rsidP="00856E3F">
      <w:pPr>
        <w:pStyle w:val="blokksit"/>
        <w:rPr>
          <w:rStyle w:val="kursiv"/>
        </w:rPr>
      </w:pPr>
      <w:r w:rsidRPr="00D93AC6">
        <w:rPr>
          <w:rStyle w:val="kursiv"/>
          <w:rFonts w:eastAsiaTheme="minorHAnsi"/>
        </w:rPr>
        <w:t>til omtalen av anmodningsvedtak nr. 929, 16. juni 2016 om tilbaketrekking av statlig støtte til trossamfunn, jf. Meld. St. 30 (2015–2016) og Innst. 399 S (2015–2016), i programkategori 08.40. Det nevnte anmodningsvedtaket tar også opp spørsmålet om utenlandsk finansiering av trossamfunn. Vedtaket har imidlertid en noe annen innretning og gjelder flere forhold enn anmodningsvedtak 442. Vedtak nr. 929 ber om en utredning av en mulighet til å trekke tilbake økonomisk støtte til trossamfunn på visse grunnlag, blant annet dersom trossamfunnet mottar utenlandsk finansiering fra stater som bryter fundamentale menneskerettigheter. Departementet vil, som nevnt ovenfor, følge opp anmodningsvedtak nr. 929 i forbindelse med gjennomgangen av finansieringsordninger for tros- og livssynssamfunn i arbeidet med en helhetlig lov for tros- og livssynssamfunn.</w:t>
      </w:r>
    </w:p>
    <w:p w:rsidR="00511406" w:rsidRDefault="00511406" w:rsidP="00511406">
      <w:pPr>
        <w:pStyle w:val="Overskrift3"/>
      </w:pPr>
      <w:bookmarkStart w:id="254" w:name="_Toc481761738"/>
      <w:bookmarkStart w:id="255" w:name="_Toc492900391"/>
      <w:r>
        <w:t>Anmodningsvedtak 443</w:t>
      </w:r>
      <w:bookmarkEnd w:id="254"/>
      <w:bookmarkEnd w:id="255"/>
    </w:p>
    <w:p w:rsidR="00511406" w:rsidRDefault="00511406" w:rsidP="00511406">
      <w:r>
        <w:t xml:space="preserve">Ved behandlingen </w:t>
      </w:r>
      <w:r w:rsidR="006958E8">
        <w:t xml:space="preserve">av </w:t>
      </w:r>
      <w:r w:rsidR="0024286C">
        <w:t>oven</w:t>
      </w:r>
      <w:r>
        <w:t>nevnte representantforslag (Dokument 8:37 S (2015–2016)) fattet Stortinget også anmodningsvedtak nr. 443 om utdanning av religiøse ledere:</w:t>
      </w:r>
    </w:p>
    <w:p w:rsidR="00CF1006" w:rsidRPr="00D93AC6" w:rsidRDefault="00CF1006" w:rsidP="00856E3F">
      <w:pPr>
        <w:pStyle w:val="blokksit"/>
        <w:rPr>
          <w:rStyle w:val="kursiv"/>
        </w:rPr>
      </w:pPr>
      <w:r w:rsidRPr="00D93AC6">
        <w:rPr>
          <w:rStyle w:val="kursiv"/>
        </w:rPr>
        <w:t>Stortinget ber regjeringen utrede muligheten for en offisiell, norsk utdanning av religiøse ledere fra relevante trossamfunn etter mal fra måten dette gjøres ved norske utdanningsinstitusjoner</w:t>
      </w:r>
    </w:p>
    <w:p w:rsidR="00511406" w:rsidRDefault="00511406" w:rsidP="00511406">
      <w:r>
        <w:t xml:space="preserve">Kulturdepartementet viste i </w:t>
      </w:r>
      <w:r w:rsidR="00CF1006">
        <w:t>Prop</w:t>
      </w:r>
      <w:r>
        <w:t>.</w:t>
      </w:r>
      <w:r w:rsidR="00CF1006">
        <w:t xml:space="preserve"> 1 S </w:t>
      </w:r>
      <w:r w:rsidR="0024286C">
        <w:t>(2016</w:t>
      </w:r>
      <w:r>
        <w:t xml:space="preserve">–2017) side 134 til at det har </w:t>
      </w:r>
    </w:p>
    <w:p w:rsidR="00511406" w:rsidRPr="00D93AC6" w:rsidRDefault="00511406" w:rsidP="00856E3F">
      <w:pPr>
        <w:pStyle w:val="blokksit"/>
        <w:rPr>
          <w:rStyle w:val="kursiv"/>
        </w:rPr>
      </w:pPr>
      <w:r w:rsidRPr="00D93AC6">
        <w:rPr>
          <w:rStyle w:val="kursiv"/>
        </w:rPr>
        <w:t>foretatt en innledende utredning med bakgrunn i departementets sektoransvar for tros- og livssynsamfunn, samt at departementet har gitt tilskudd til kurset «Å være religiøs leder i Norge.» Utredningen</w:t>
      </w:r>
      <w:r w:rsidR="00CF1006" w:rsidRPr="00D93AC6">
        <w:rPr>
          <w:rStyle w:val="kursiv"/>
        </w:rPr>
        <w:t xml:space="preserve"> er oversendt </w:t>
      </w:r>
      <w:r w:rsidRPr="00D93AC6">
        <w:rPr>
          <w:rStyle w:val="kursiv"/>
        </w:rPr>
        <w:t>Kunnskapsdepartementet</w:t>
      </w:r>
      <w:r w:rsidR="00CF1006" w:rsidRPr="00D93AC6">
        <w:rPr>
          <w:rStyle w:val="kursiv"/>
        </w:rPr>
        <w:t xml:space="preserve"> som rette vedkommende</w:t>
      </w:r>
      <w:r w:rsidRPr="00D93AC6">
        <w:rPr>
          <w:rStyle w:val="kursiv"/>
        </w:rPr>
        <w:t xml:space="preserve"> for videre oppfølging av anmodningsvedtaket. </w:t>
      </w:r>
    </w:p>
    <w:p w:rsidR="00552079" w:rsidRPr="00D93AC6" w:rsidRDefault="00511406" w:rsidP="00856E3F">
      <w:pPr>
        <w:pStyle w:val="blokksit"/>
        <w:rPr>
          <w:rStyle w:val="kursiv"/>
        </w:rPr>
      </w:pPr>
      <w:r w:rsidRPr="00D93AC6">
        <w:rPr>
          <w:rStyle w:val="kursiv"/>
        </w:rPr>
        <w:t>Kulturdepartementet har videre identifisert et behov for å utrede et lokalt eller regionalt kurstilbud for ledere i tros- og livssynssamfunn. Kurset skal være et lavterskeltilbud som gir en grunnleggende innføring i norske samfunnsforhold, med et særlig fokus på religionsrelatert lovgivning i Norge og forholdet mellom sekulære og religiøse verdier.</w:t>
      </w:r>
      <w:r w:rsidR="00CF1006" w:rsidRPr="00D93AC6">
        <w:rPr>
          <w:rStyle w:val="kursiv"/>
        </w:rPr>
        <w:t xml:space="preserve"> </w:t>
      </w:r>
    </w:p>
    <w:p w:rsidR="00511406" w:rsidRPr="00D93AC6" w:rsidRDefault="00CF1006" w:rsidP="00856E3F">
      <w:pPr>
        <w:pStyle w:val="blokksit"/>
        <w:rPr>
          <w:rStyle w:val="kursiv"/>
        </w:rPr>
      </w:pPr>
      <w:r w:rsidRPr="00D93AC6">
        <w:rPr>
          <w:rStyle w:val="kursiv"/>
        </w:rPr>
        <w:t>I forbindelse med arbeidet med en ny helhetlig lov for tros- og livssynssamfunn vil departementet vurdere kompetansekrav for ledere i tros- og livssynssamfunn som skal ivareta lovpålagte oppgaver. Det er videre behov for å utrede hvordan et slikt mulig kursopplegg for å møte kompetansekravet kan innrettes, samt rettslige rammer for, og økonomiske og administrative konsekvenser av, et slikt kompetansekrav. Stortinget vil bli orientert om dette arbeidet på egnet måte.</w:t>
      </w:r>
      <w:r w:rsidR="00552079" w:rsidRPr="00D93AC6">
        <w:rPr>
          <w:rStyle w:val="kursiv"/>
        </w:rPr>
        <w:t xml:space="preserve"> </w:t>
      </w:r>
    </w:p>
    <w:p w:rsidR="00511406" w:rsidRDefault="00511406" w:rsidP="00511406">
      <w:pPr>
        <w:pStyle w:val="Overskrift3"/>
      </w:pPr>
      <w:bookmarkStart w:id="256" w:name="_Toc481761739"/>
      <w:bookmarkStart w:id="257" w:name="_Toc492900392"/>
      <w:r>
        <w:t>Anmodningsvedtak 929</w:t>
      </w:r>
      <w:bookmarkEnd w:id="256"/>
      <w:bookmarkEnd w:id="257"/>
    </w:p>
    <w:p w:rsidR="00511406" w:rsidRDefault="00511406" w:rsidP="00511406">
      <w:r>
        <w:t xml:space="preserve">Under behandlingen av Meld. St. 30 (2015–2016) </w:t>
      </w:r>
      <w:r w:rsidRPr="0040085D">
        <w:rPr>
          <w:i/>
        </w:rPr>
        <w:t>Fra mottak til arbeidsliv – en effektiv integreringspolitikk</w:t>
      </w:r>
      <w:r>
        <w:t xml:space="preserve"> og et representantforslag fra Karin Andersen og Audun Lysbakken om å sikre integrering (Dokument 8:29 S (2015–2016)) fattet Stortinget følgende anmodningsvedtak nr. 929, 16. juni 2016:</w:t>
      </w:r>
    </w:p>
    <w:p w:rsidR="00511406" w:rsidRPr="00B820F6" w:rsidRDefault="00511406" w:rsidP="00B820F6">
      <w:pPr>
        <w:pStyle w:val="blokksit"/>
        <w:rPr>
          <w:rStyle w:val="kursiv"/>
        </w:rPr>
      </w:pPr>
      <w:r w:rsidRPr="00B820F6">
        <w:rPr>
          <w:rStyle w:val="kursiv"/>
        </w:rPr>
        <w:t>Stortinget ber regjeringen utrede en mulighet for å trekke tilbake økonomisk støtte til trossamfunn som:</w:t>
      </w:r>
    </w:p>
    <w:p w:rsidR="00511406" w:rsidRPr="00B820F6" w:rsidRDefault="00511406" w:rsidP="002834ED">
      <w:pPr>
        <w:pStyle w:val="Nummerertliste2"/>
        <w:numPr>
          <w:ilvl w:val="1"/>
          <w:numId w:val="41"/>
        </w:numPr>
        <w:rPr>
          <w:rStyle w:val="kursiv"/>
        </w:rPr>
      </w:pPr>
      <w:r w:rsidRPr="00B820F6">
        <w:rPr>
          <w:rStyle w:val="kursiv"/>
        </w:rPr>
        <w:t>oppfordrer til lovbrudd,</w:t>
      </w:r>
    </w:p>
    <w:p w:rsidR="00511406" w:rsidRPr="00B820F6" w:rsidRDefault="00511406" w:rsidP="002834ED">
      <w:pPr>
        <w:pStyle w:val="Nummerertliste2"/>
        <w:numPr>
          <w:ilvl w:val="1"/>
          <w:numId w:val="41"/>
        </w:numPr>
        <w:rPr>
          <w:rStyle w:val="kursiv"/>
        </w:rPr>
      </w:pPr>
      <w:r w:rsidRPr="00B820F6">
        <w:rPr>
          <w:rStyle w:val="kursiv"/>
        </w:rPr>
        <w:lastRenderedPageBreak/>
        <w:t>tar imot utenlandsk finansiering fra stater som bryter fundamentale menneskerettigheter,</w:t>
      </w:r>
    </w:p>
    <w:p w:rsidR="00511406" w:rsidRPr="00B820F6" w:rsidRDefault="00511406" w:rsidP="002834ED">
      <w:pPr>
        <w:pStyle w:val="Nummerertliste2"/>
        <w:numPr>
          <w:ilvl w:val="1"/>
          <w:numId w:val="41"/>
        </w:numPr>
        <w:rPr>
          <w:rStyle w:val="kursiv"/>
        </w:rPr>
      </w:pPr>
      <w:r w:rsidRPr="00B820F6">
        <w:rPr>
          <w:rStyle w:val="kursiv"/>
        </w:rPr>
        <w:t>andre alvorlige forhold som kan medføre tilbaketrekking av statlig støtte.</w:t>
      </w:r>
    </w:p>
    <w:p w:rsidR="00511406" w:rsidRPr="00B820F6" w:rsidRDefault="00511406" w:rsidP="00B820F6">
      <w:pPr>
        <w:pStyle w:val="blokksit"/>
        <w:rPr>
          <w:rStyle w:val="kursiv"/>
        </w:rPr>
      </w:pPr>
      <w:r w:rsidRPr="00B820F6">
        <w:rPr>
          <w:rStyle w:val="kursiv"/>
        </w:rPr>
        <w:t>Regjeringen bes utrede retningslinjer for når slik støtte kan trekkes tilbake.</w:t>
      </w:r>
    </w:p>
    <w:p w:rsidR="00CF1006" w:rsidRPr="00511406" w:rsidRDefault="00F827B6" w:rsidP="00511406">
      <w:r>
        <w:t xml:space="preserve">I Prop. 1 S (2016–2017) bemerket Kulturdepartementet at vedtaket </w:t>
      </w:r>
      <w:r w:rsidR="00511406">
        <w:t xml:space="preserve">"vil bli fulgt opp i gjennomgangen av finansieringsordningene for tros- og livssynssamfunn i arbeidet med en helhetlig lov" </w:t>
      </w:r>
      <w:r>
        <w:t>(</w:t>
      </w:r>
      <w:r w:rsidR="00511406">
        <w:t>side 122).</w:t>
      </w:r>
      <w:r w:rsidR="00552079">
        <w:rPr>
          <w:rFonts w:cs="Times New Roman"/>
          <w:color w:val="000000"/>
        </w:rPr>
        <w:t xml:space="preserve"> </w:t>
      </w:r>
    </w:p>
    <w:p w:rsidR="00944062" w:rsidRDefault="00CF1006" w:rsidP="00944062">
      <w:r>
        <w:t xml:space="preserve"> </w:t>
      </w:r>
      <w:r w:rsidR="00944062">
        <w:br w:type="page"/>
      </w:r>
    </w:p>
    <w:p w:rsidR="00944062" w:rsidRPr="005B2689" w:rsidRDefault="00944062" w:rsidP="00944062">
      <w:pPr>
        <w:pStyle w:val="Overskrift1"/>
      </w:pPr>
      <w:bookmarkStart w:id="258" w:name="_Toc476320900"/>
      <w:bookmarkStart w:id="259" w:name="_Toc477277197"/>
      <w:bookmarkStart w:id="260" w:name="_Toc477535496"/>
      <w:bookmarkStart w:id="261" w:name="_Toc477630629"/>
      <w:bookmarkStart w:id="262" w:name="_Toc477693593"/>
      <w:bookmarkStart w:id="263" w:name="_Toc477703959"/>
      <w:bookmarkStart w:id="264" w:name="_Toc477799164"/>
      <w:bookmarkStart w:id="265" w:name="_Toc477805766"/>
      <w:bookmarkStart w:id="266" w:name="_Toc477878026"/>
      <w:bookmarkStart w:id="267" w:name="_Toc477881427"/>
      <w:bookmarkStart w:id="268" w:name="_Toc477885887"/>
      <w:bookmarkStart w:id="269" w:name="_Toc478131305"/>
      <w:bookmarkStart w:id="270" w:name="_Toc478138689"/>
      <w:bookmarkStart w:id="271" w:name="_Toc478232204"/>
      <w:bookmarkStart w:id="272" w:name="_Toc478237188"/>
      <w:bookmarkStart w:id="273" w:name="_Toc481761740"/>
      <w:bookmarkStart w:id="274" w:name="_Toc492900393"/>
      <w:r w:rsidRPr="005B2689">
        <w:lastRenderedPageBreak/>
        <w:t xml:space="preserve">Oversikt over gjeldende </w:t>
      </w:r>
      <w:bookmarkEnd w:id="258"/>
      <w:r w:rsidR="0072263D">
        <w:t>lovgivning</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007A4B84">
        <w:t xml:space="preserve"> </w:t>
      </w:r>
    </w:p>
    <w:p w:rsidR="00944062" w:rsidRDefault="00944062" w:rsidP="00944062">
      <w:pPr>
        <w:pStyle w:val="Overskrift2"/>
      </w:pPr>
      <w:bookmarkStart w:id="275" w:name="_Toc476320901"/>
      <w:bookmarkStart w:id="276" w:name="_Toc477277198"/>
      <w:bookmarkStart w:id="277" w:name="_Toc477535497"/>
      <w:bookmarkStart w:id="278" w:name="_Toc477630630"/>
      <w:bookmarkStart w:id="279" w:name="_Toc477693594"/>
      <w:bookmarkStart w:id="280" w:name="_Toc477703960"/>
      <w:bookmarkStart w:id="281" w:name="_Toc477799165"/>
      <w:bookmarkStart w:id="282" w:name="_Toc477805767"/>
      <w:bookmarkStart w:id="283" w:name="_Toc477878027"/>
      <w:bookmarkStart w:id="284" w:name="_Toc477881428"/>
      <w:bookmarkStart w:id="285" w:name="_Toc477885888"/>
      <w:bookmarkStart w:id="286" w:name="_Toc478131306"/>
      <w:bookmarkStart w:id="287" w:name="_Toc478138690"/>
      <w:bookmarkStart w:id="288" w:name="_Toc478232205"/>
      <w:bookmarkStart w:id="289" w:name="_Toc478237189"/>
      <w:bookmarkStart w:id="290" w:name="_Toc481761741"/>
      <w:bookmarkStart w:id="291" w:name="_Toc492900394"/>
      <w:r>
        <w:t>Innledning</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944062" w:rsidRDefault="0043177E" w:rsidP="00944062">
      <w:pPr>
        <w:rPr>
          <w:rFonts w:cs="Times New Roman"/>
          <w:szCs w:val="24"/>
        </w:rPr>
      </w:pPr>
      <w:r>
        <w:rPr>
          <w:rFonts w:cs="Times New Roman"/>
          <w:szCs w:val="24"/>
        </w:rPr>
        <w:t>I dette kapitlet</w:t>
      </w:r>
      <w:r w:rsidR="00944062">
        <w:rPr>
          <w:rFonts w:cs="Times New Roman"/>
          <w:szCs w:val="24"/>
        </w:rPr>
        <w:t xml:space="preserve"> gis en </w:t>
      </w:r>
      <w:r w:rsidR="00BC39C4">
        <w:rPr>
          <w:rFonts w:cs="Times New Roman"/>
          <w:szCs w:val="24"/>
        </w:rPr>
        <w:t xml:space="preserve">kortfattet </w:t>
      </w:r>
      <w:r w:rsidR="002E4012">
        <w:rPr>
          <w:rFonts w:cs="Times New Roman"/>
          <w:szCs w:val="24"/>
        </w:rPr>
        <w:t xml:space="preserve">oversikt over </w:t>
      </w:r>
      <w:r w:rsidR="00A1623C">
        <w:rPr>
          <w:rFonts w:cs="Times New Roman"/>
          <w:szCs w:val="24"/>
        </w:rPr>
        <w:t xml:space="preserve">aktuell </w:t>
      </w:r>
      <w:r w:rsidR="00944062">
        <w:rPr>
          <w:rFonts w:cs="Times New Roman"/>
          <w:szCs w:val="24"/>
        </w:rPr>
        <w:t>lovg</w:t>
      </w:r>
      <w:r w:rsidR="002E4012">
        <w:rPr>
          <w:rFonts w:cs="Times New Roman"/>
          <w:szCs w:val="24"/>
        </w:rPr>
        <w:t>ivning</w:t>
      </w:r>
      <w:r w:rsidR="00A1623C">
        <w:rPr>
          <w:rFonts w:cs="Times New Roman"/>
          <w:szCs w:val="24"/>
        </w:rPr>
        <w:t xml:space="preserve"> og finansieringsordninger for Den norske kirke og de øvrige tros- og livssynssamfunnene.</w:t>
      </w:r>
      <w:r w:rsidR="00944062">
        <w:rPr>
          <w:rFonts w:cs="Times New Roman"/>
          <w:szCs w:val="24"/>
        </w:rPr>
        <w:t xml:space="preserve"> </w:t>
      </w:r>
    </w:p>
    <w:p w:rsidR="0043177E" w:rsidRDefault="0014556E" w:rsidP="00944062">
      <w:pPr>
        <w:rPr>
          <w:rFonts w:cs="Times New Roman"/>
          <w:szCs w:val="24"/>
        </w:rPr>
      </w:pPr>
      <w:r>
        <w:t>Den norske kirke</w:t>
      </w:r>
      <w:r w:rsidR="00944062">
        <w:t xml:space="preserve"> og de øvrige tros- og livssynssamfunnene er som annen virksomhet underlagt den alminnelige lovgivningen. I noen tilfeller er det der også gitt særlige bestemmelser som uttrykkelig retter seg mot tros- og livssynssamfunn eller deres prester, forstandere eller tilsvarende.</w:t>
      </w:r>
      <w:r>
        <w:t xml:space="preserve"> </w:t>
      </w:r>
      <w:r w:rsidR="00944062">
        <w:rPr>
          <w:rFonts w:cs="Times New Roman"/>
          <w:szCs w:val="24"/>
        </w:rPr>
        <w:t>Framstillingen i det følgende er</w:t>
      </w:r>
      <w:r w:rsidR="002E4012">
        <w:rPr>
          <w:rFonts w:cs="Times New Roman"/>
          <w:szCs w:val="24"/>
        </w:rPr>
        <w:t xml:space="preserve"> likevel begrenset til å gi en framstilling av</w:t>
      </w:r>
      <w:r w:rsidR="00944062">
        <w:rPr>
          <w:rFonts w:cs="Times New Roman"/>
          <w:szCs w:val="24"/>
        </w:rPr>
        <w:t xml:space="preserve"> lovgivningen som vil være direkte berørt av forslag</w:t>
      </w:r>
      <w:r w:rsidR="002E4012">
        <w:rPr>
          <w:rFonts w:cs="Times New Roman"/>
          <w:szCs w:val="24"/>
        </w:rPr>
        <w:t>et om en felles</w:t>
      </w:r>
      <w:r w:rsidR="00944062">
        <w:rPr>
          <w:rFonts w:cs="Times New Roman"/>
          <w:szCs w:val="24"/>
        </w:rPr>
        <w:t xml:space="preserve"> lov for tros- og livssynssamfunn. </w:t>
      </w:r>
      <w:r w:rsidR="0043177E">
        <w:rPr>
          <w:rFonts w:cs="Times New Roman"/>
          <w:szCs w:val="24"/>
        </w:rPr>
        <w:t xml:space="preserve">I de senere, tematiske kapitlene utdypes regelverket ytterligere. </w:t>
      </w:r>
    </w:p>
    <w:p w:rsidR="00944062" w:rsidRPr="005B2689" w:rsidRDefault="002E4012" w:rsidP="00944062">
      <w:pPr>
        <w:pStyle w:val="Overskrift2"/>
      </w:pPr>
      <w:bookmarkStart w:id="292" w:name="_Toc477277199"/>
      <w:bookmarkStart w:id="293" w:name="_Toc477535498"/>
      <w:bookmarkStart w:id="294" w:name="_Toc477630631"/>
      <w:bookmarkStart w:id="295" w:name="_Toc477693595"/>
      <w:bookmarkStart w:id="296" w:name="_Toc477703961"/>
      <w:bookmarkStart w:id="297" w:name="_Toc477799166"/>
      <w:bookmarkStart w:id="298" w:name="_Toc477805768"/>
      <w:bookmarkStart w:id="299" w:name="_Toc477878028"/>
      <w:bookmarkStart w:id="300" w:name="_Toc477881429"/>
      <w:bookmarkStart w:id="301" w:name="_Toc477885889"/>
      <w:bookmarkStart w:id="302" w:name="_Toc478131307"/>
      <w:bookmarkStart w:id="303" w:name="_Toc478138691"/>
      <w:bookmarkStart w:id="304" w:name="_Toc478232206"/>
      <w:bookmarkStart w:id="305" w:name="_Toc478237190"/>
      <w:bookmarkStart w:id="306" w:name="_Toc481761742"/>
      <w:bookmarkStart w:id="307" w:name="_Toc492900395"/>
      <w:r>
        <w:t>Overordnet rammeverk</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944062" w:rsidRDefault="002E4012" w:rsidP="00944062">
      <w:pPr>
        <w:rPr>
          <w:rFonts w:cs="Times New Roman"/>
          <w:szCs w:val="24"/>
        </w:rPr>
      </w:pPr>
      <w:r>
        <w:rPr>
          <w:rFonts w:cs="Times New Roman"/>
          <w:szCs w:val="24"/>
        </w:rPr>
        <w:t>Lov</w:t>
      </w:r>
      <w:r w:rsidR="00944062" w:rsidRPr="005B2689">
        <w:rPr>
          <w:rFonts w:cs="Times New Roman"/>
          <w:szCs w:val="24"/>
        </w:rPr>
        <w:t xml:space="preserve">givningen </w:t>
      </w:r>
      <w:r>
        <w:rPr>
          <w:rFonts w:cs="Times New Roman"/>
          <w:szCs w:val="24"/>
        </w:rPr>
        <w:t xml:space="preserve">om tros- og livssynssamfunn </w:t>
      </w:r>
      <w:r w:rsidR="00944062" w:rsidRPr="005B2689">
        <w:rPr>
          <w:rFonts w:cs="Times New Roman"/>
          <w:szCs w:val="24"/>
        </w:rPr>
        <w:t>har en felles forankring i Grun</w:t>
      </w:r>
      <w:r>
        <w:rPr>
          <w:rFonts w:cs="Times New Roman"/>
          <w:szCs w:val="24"/>
        </w:rPr>
        <w:t xml:space="preserve">nloven § 16. </w:t>
      </w:r>
      <w:r w:rsidR="00944062" w:rsidRPr="005B2689">
        <w:rPr>
          <w:rFonts w:cs="Times New Roman"/>
          <w:szCs w:val="24"/>
        </w:rPr>
        <w:t>Paragrafen inneholder for det første bestemmelsen om religionsfrihet, den gir for det andre særlige bestemmelser om Den norske kirke og den uttaler for det tredje at alle tros- og livssynssamfunn skal understøttes på lik linje.</w:t>
      </w:r>
    </w:p>
    <w:p w:rsidR="00944062" w:rsidRDefault="00944062" w:rsidP="00944062">
      <w:pPr>
        <w:rPr>
          <w:rFonts w:cs="Times New Roman"/>
          <w:szCs w:val="24"/>
        </w:rPr>
      </w:pPr>
      <w:r>
        <w:rPr>
          <w:rFonts w:cs="Times New Roman"/>
          <w:szCs w:val="24"/>
        </w:rPr>
        <w:t>Bestemmelsen om religionsfrihet følger allerede av internasjonale konvensjoner som Norge er bundet av. De sentrale bestemmelsen</w:t>
      </w:r>
      <w:r w:rsidR="00444C63">
        <w:rPr>
          <w:rFonts w:cs="Times New Roman"/>
          <w:szCs w:val="24"/>
        </w:rPr>
        <w:t>e i denne sammenheng er gitt i D</w:t>
      </w:r>
      <w:r>
        <w:rPr>
          <w:rFonts w:cs="Times New Roman"/>
          <w:szCs w:val="24"/>
        </w:rPr>
        <w:t>en europeiske menneskerettskonvensjonen</w:t>
      </w:r>
      <w:r w:rsidR="00444C63">
        <w:rPr>
          <w:rFonts w:cs="Times New Roman"/>
          <w:szCs w:val="24"/>
        </w:rPr>
        <w:t xml:space="preserve"> (EMK)</w:t>
      </w:r>
      <w:r>
        <w:rPr>
          <w:rFonts w:cs="Times New Roman"/>
          <w:szCs w:val="24"/>
        </w:rPr>
        <w:t xml:space="preserve"> og i FN-konvensjonen </w:t>
      </w:r>
      <w:r w:rsidRPr="00BA769A">
        <w:rPr>
          <w:rFonts w:cs="Times New Roman"/>
          <w:szCs w:val="24"/>
        </w:rPr>
        <w:t>om økonomiske, sosiale og kulturelle rettigheter</w:t>
      </w:r>
      <w:r w:rsidR="00444C63">
        <w:rPr>
          <w:rFonts w:cs="Times New Roman"/>
          <w:szCs w:val="24"/>
        </w:rPr>
        <w:t xml:space="preserve"> (SP)</w:t>
      </w:r>
      <w:r>
        <w:rPr>
          <w:rFonts w:cs="Times New Roman"/>
          <w:szCs w:val="24"/>
        </w:rPr>
        <w:t xml:space="preserve">. Ved lov 9. mai 2014 nr. 14 om </w:t>
      </w:r>
      <w:r w:rsidRPr="00BA769A">
        <w:rPr>
          <w:rFonts w:cs="Times New Roman"/>
          <w:szCs w:val="24"/>
        </w:rPr>
        <w:t>styrking av menneskerettighetenes stilling i norsk rett (menneskerettsloven)</w:t>
      </w:r>
      <w:r>
        <w:rPr>
          <w:rFonts w:cs="Times New Roman"/>
          <w:szCs w:val="24"/>
        </w:rPr>
        <w:t xml:space="preserve"> er disse konvensjonene gjort gjeldende som norsk lov, og går ved motstrid foran b</w:t>
      </w:r>
      <w:r w:rsidR="00444C63">
        <w:rPr>
          <w:rFonts w:cs="Times New Roman"/>
          <w:szCs w:val="24"/>
        </w:rPr>
        <w:t>estemmelser i annen lovgivning</w:t>
      </w:r>
      <w:r>
        <w:rPr>
          <w:rFonts w:cs="Times New Roman"/>
          <w:szCs w:val="24"/>
        </w:rPr>
        <w:t>.</w:t>
      </w:r>
    </w:p>
    <w:p w:rsidR="00444C63" w:rsidRPr="005B2689" w:rsidRDefault="00444C63" w:rsidP="00944062">
      <w:pPr>
        <w:rPr>
          <w:rFonts w:cs="Times New Roman"/>
          <w:szCs w:val="24"/>
        </w:rPr>
      </w:pPr>
      <w:r>
        <w:rPr>
          <w:rFonts w:cs="Times New Roman"/>
          <w:szCs w:val="24"/>
        </w:rPr>
        <w:t>Grunnloven § 16 og relevante internasjonale konvensjonsbestemmelser er nærmere</w:t>
      </w:r>
      <w:r w:rsidR="00A91680">
        <w:rPr>
          <w:rFonts w:cs="Times New Roman"/>
          <w:szCs w:val="24"/>
        </w:rPr>
        <w:t xml:space="preserve"> behandlet nedenfor i kapittel 6</w:t>
      </w:r>
      <w:r>
        <w:rPr>
          <w:rFonts w:cs="Times New Roman"/>
          <w:szCs w:val="24"/>
        </w:rPr>
        <w:t xml:space="preserve">. </w:t>
      </w:r>
    </w:p>
    <w:p w:rsidR="00944062" w:rsidRPr="005B2689" w:rsidRDefault="00944062" w:rsidP="00944062">
      <w:pPr>
        <w:pStyle w:val="Overskrift2"/>
      </w:pPr>
      <w:bookmarkStart w:id="308" w:name="_Toc476320903"/>
      <w:bookmarkStart w:id="309" w:name="_Toc477277200"/>
      <w:bookmarkStart w:id="310" w:name="_Toc477535499"/>
      <w:bookmarkStart w:id="311" w:name="_Toc477630632"/>
      <w:bookmarkStart w:id="312" w:name="_Toc477693596"/>
      <w:bookmarkStart w:id="313" w:name="_Toc477703962"/>
      <w:bookmarkStart w:id="314" w:name="_Toc477799167"/>
      <w:bookmarkStart w:id="315" w:name="_Toc477805769"/>
      <w:bookmarkStart w:id="316" w:name="_Toc477878029"/>
      <w:bookmarkStart w:id="317" w:name="_Toc477881430"/>
      <w:bookmarkStart w:id="318" w:name="_Toc477885890"/>
      <w:bookmarkStart w:id="319" w:name="_Toc478131308"/>
      <w:bookmarkStart w:id="320" w:name="_Toc478138692"/>
      <w:bookmarkStart w:id="321" w:name="_Toc478232207"/>
      <w:bookmarkStart w:id="322" w:name="_Toc478237191"/>
      <w:bookmarkStart w:id="323" w:name="_Toc481761743"/>
      <w:bookmarkStart w:id="324" w:name="_Toc492900396"/>
      <w:r w:rsidRPr="005B2689">
        <w:t>Kirkeloven</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D15724" w:rsidRDefault="00944062" w:rsidP="00944062">
      <w:pPr>
        <w:rPr>
          <w:rFonts w:cs="Times New Roman"/>
          <w:szCs w:val="24"/>
        </w:rPr>
      </w:pPr>
      <w:r>
        <w:rPr>
          <w:rFonts w:cs="Times New Roman"/>
          <w:szCs w:val="24"/>
        </w:rPr>
        <w:t xml:space="preserve">Særlige bestemmelser om Den norske kirke er gitt i lov 7. juni </w:t>
      </w:r>
      <w:r w:rsidR="004742C1">
        <w:rPr>
          <w:rFonts w:cs="Times New Roman"/>
          <w:szCs w:val="24"/>
        </w:rPr>
        <w:t>199</w:t>
      </w:r>
      <w:r>
        <w:rPr>
          <w:rFonts w:cs="Times New Roman"/>
          <w:szCs w:val="24"/>
        </w:rPr>
        <w:t xml:space="preserve">6 nr. 31 om Den norske kirke (kirkeloven). </w:t>
      </w:r>
    </w:p>
    <w:p w:rsidR="00944062" w:rsidRDefault="000D63A8" w:rsidP="00944062">
      <w:pPr>
        <w:rPr>
          <w:rFonts w:cs="Times New Roman"/>
          <w:szCs w:val="24"/>
        </w:rPr>
      </w:pPr>
      <w:r>
        <w:rPr>
          <w:rFonts w:cs="Times New Roman"/>
          <w:szCs w:val="24"/>
        </w:rPr>
        <w:t>Loven inneholder</w:t>
      </w:r>
      <w:r w:rsidR="00944062">
        <w:rPr>
          <w:rFonts w:cs="Times New Roman"/>
          <w:szCs w:val="24"/>
        </w:rPr>
        <w:t xml:space="preserve"> forholdsvis omfattende bestemmelser om Den norske</w:t>
      </w:r>
      <w:r>
        <w:rPr>
          <w:rFonts w:cs="Times New Roman"/>
          <w:szCs w:val="24"/>
        </w:rPr>
        <w:t xml:space="preserve"> kirkes organisering og </w:t>
      </w:r>
      <w:r w:rsidR="00944062">
        <w:rPr>
          <w:rFonts w:cs="Times New Roman"/>
          <w:szCs w:val="24"/>
        </w:rPr>
        <w:t>organer.</w:t>
      </w:r>
      <w:r w:rsidR="00360E88">
        <w:rPr>
          <w:rFonts w:cs="Times New Roman"/>
          <w:szCs w:val="24"/>
        </w:rPr>
        <w:t xml:space="preserve"> På flere områder er det overlatt til kirke</w:t>
      </w:r>
      <w:r w:rsidR="00AF609D">
        <w:rPr>
          <w:rFonts w:cs="Times New Roman"/>
          <w:szCs w:val="24"/>
        </w:rPr>
        <w:t>lige organer</w:t>
      </w:r>
      <w:r w:rsidR="00360E88">
        <w:rPr>
          <w:rFonts w:cs="Times New Roman"/>
          <w:szCs w:val="24"/>
        </w:rPr>
        <w:t>, hovedsakelig Kirkemøtet, å gi nærmere regler i medhold av loven. Dette gjelder bla</w:t>
      </w:r>
      <w:r w:rsidR="00913FC0">
        <w:rPr>
          <w:rFonts w:cs="Times New Roman"/>
          <w:szCs w:val="24"/>
        </w:rPr>
        <w:t xml:space="preserve">nt annet </w:t>
      </w:r>
      <w:r w:rsidR="00360E88">
        <w:rPr>
          <w:rFonts w:cs="Times New Roman"/>
          <w:szCs w:val="24"/>
        </w:rPr>
        <w:t>bestemmelser om myndighetsforholdene mellom de ulike kirkelige organene, om organenes sammensetning, oppgaver og virkemåte, om stemmerett og valg</w:t>
      </w:r>
      <w:r w:rsidR="00747069">
        <w:rPr>
          <w:rFonts w:cs="Times New Roman"/>
          <w:szCs w:val="24"/>
        </w:rPr>
        <w:t>,</w:t>
      </w:r>
      <w:r w:rsidR="00747069" w:rsidRPr="00747069">
        <w:rPr>
          <w:rFonts w:cs="Times New Roman"/>
          <w:szCs w:val="24"/>
        </w:rPr>
        <w:t xml:space="preserve"> </w:t>
      </w:r>
      <w:r w:rsidR="00747069">
        <w:rPr>
          <w:rFonts w:cs="Times New Roman"/>
          <w:szCs w:val="24"/>
        </w:rPr>
        <w:t>fremgangsmåten ved inn- og utmelding</w:t>
      </w:r>
      <w:r w:rsidR="00360E88">
        <w:rPr>
          <w:rFonts w:cs="Times New Roman"/>
          <w:szCs w:val="24"/>
        </w:rPr>
        <w:t xml:space="preserve"> m.m. </w:t>
      </w:r>
      <w:r w:rsidR="00747069">
        <w:rPr>
          <w:rFonts w:cs="Times New Roman"/>
          <w:szCs w:val="24"/>
        </w:rPr>
        <w:t>Bestemmelser og avgjørelser som gjelder kirkelig inndeling og kirkebygg, og som har direkte følger for kommunens finansieringsansvar, gis imidlertid av departementet.</w:t>
      </w:r>
    </w:p>
    <w:p w:rsidR="00944062" w:rsidRDefault="00944062" w:rsidP="000D63A8">
      <w:pPr>
        <w:rPr>
          <w:rFonts w:cs="Times New Roman"/>
          <w:szCs w:val="24"/>
        </w:rPr>
      </w:pPr>
      <w:r>
        <w:rPr>
          <w:rFonts w:cs="Times New Roman"/>
          <w:szCs w:val="24"/>
        </w:rPr>
        <w:t xml:space="preserve">Soknet (menigheten) er etter loven den grunnleggende enheten i Den norske kirke og et selvstendig rettssubjekt. Det er menighetsrådet, og på nærmere angitte områder </w:t>
      </w:r>
      <w:r w:rsidR="0014556E">
        <w:rPr>
          <w:rFonts w:cs="Times New Roman"/>
          <w:szCs w:val="24"/>
        </w:rPr>
        <w:t xml:space="preserve">det kirkelige fellesrådet (fellesorgan for soknene i en kommune) </w:t>
      </w:r>
      <w:r>
        <w:rPr>
          <w:rFonts w:cs="Times New Roman"/>
          <w:szCs w:val="24"/>
        </w:rPr>
        <w:t xml:space="preserve">som opptrer på vegne av soknet. </w:t>
      </w:r>
      <w:r w:rsidR="000D63A8">
        <w:rPr>
          <w:rFonts w:cs="Times New Roman"/>
          <w:szCs w:val="24"/>
        </w:rPr>
        <w:t>Soknet kan ikke løses fra Den norske kirke.</w:t>
      </w:r>
    </w:p>
    <w:p w:rsidR="00944062" w:rsidRDefault="00944062" w:rsidP="00944062">
      <w:pPr>
        <w:rPr>
          <w:rFonts w:cs="Times New Roman"/>
          <w:szCs w:val="24"/>
        </w:rPr>
      </w:pPr>
      <w:r>
        <w:rPr>
          <w:rFonts w:cs="Times New Roman"/>
          <w:szCs w:val="24"/>
        </w:rPr>
        <w:t>Den norske kirke, som representeres av kirkens nasjonale og regionale organer</w:t>
      </w:r>
      <w:r w:rsidR="000D63A8">
        <w:rPr>
          <w:rFonts w:cs="Times New Roman"/>
          <w:szCs w:val="24"/>
        </w:rPr>
        <w:t>,</w:t>
      </w:r>
      <w:r>
        <w:rPr>
          <w:rFonts w:cs="Times New Roman"/>
          <w:szCs w:val="24"/>
        </w:rPr>
        <w:t xml:space="preserve"> er også et selvstendig rettssubjekt. </w:t>
      </w:r>
    </w:p>
    <w:p w:rsidR="00944062" w:rsidRDefault="00944062" w:rsidP="00944062">
      <w:pPr>
        <w:rPr>
          <w:rFonts w:cs="Times New Roman"/>
          <w:szCs w:val="24"/>
        </w:rPr>
      </w:pPr>
      <w:r>
        <w:rPr>
          <w:rFonts w:cs="Times New Roman"/>
          <w:szCs w:val="24"/>
        </w:rPr>
        <w:lastRenderedPageBreak/>
        <w:t xml:space="preserve">Den norske kirke </w:t>
      </w:r>
      <w:r w:rsidR="0014556E">
        <w:rPr>
          <w:rFonts w:cs="Times New Roman"/>
          <w:szCs w:val="24"/>
        </w:rPr>
        <w:t xml:space="preserve">nasjonalt </w:t>
      </w:r>
      <w:r>
        <w:rPr>
          <w:rFonts w:cs="Times New Roman"/>
          <w:szCs w:val="24"/>
        </w:rPr>
        <w:t>og regionalt er etter kirkeloven § 2 a finansiert ved tilskudd fra staten</w:t>
      </w:r>
      <w:r w:rsidR="00AF609D">
        <w:rPr>
          <w:rFonts w:cs="Times New Roman"/>
          <w:szCs w:val="24"/>
        </w:rPr>
        <w:t xml:space="preserve">. For 2017 er tilskuddet om </w:t>
      </w:r>
      <w:r w:rsidR="008A7E12">
        <w:rPr>
          <w:rFonts w:cs="Times New Roman"/>
          <w:szCs w:val="24"/>
        </w:rPr>
        <w:t>lag 2 mrd. kroner.</w:t>
      </w:r>
      <w:r>
        <w:rPr>
          <w:rFonts w:cs="Times New Roman"/>
          <w:szCs w:val="24"/>
        </w:rPr>
        <w:t xml:space="preserve"> Det omfatter i </w:t>
      </w:r>
      <w:r w:rsidR="00913FC0">
        <w:rPr>
          <w:rFonts w:cs="Times New Roman"/>
          <w:szCs w:val="24"/>
        </w:rPr>
        <w:t xml:space="preserve">første rekke tilskudd til </w:t>
      </w:r>
      <w:r>
        <w:rPr>
          <w:rFonts w:cs="Times New Roman"/>
          <w:szCs w:val="24"/>
        </w:rPr>
        <w:t xml:space="preserve">prestetjenesten og </w:t>
      </w:r>
      <w:r w:rsidR="00913FC0">
        <w:rPr>
          <w:rFonts w:cs="Times New Roman"/>
          <w:szCs w:val="24"/>
        </w:rPr>
        <w:t xml:space="preserve">til </w:t>
      </w:r>
      <w:r>
        <w:rPr>
          <w:rFonts w:cs="Times New Roman"/>
          <w:szCs w:val="24"/>
        </w:rPr>
        <w:t>bispedømmerådenes, biskopen</w:t>
      </w:r>
      <w:r w:rsidR="00913FC0">
        <w:rPr>
          <w:rFonts w:cs="Times New Roman"/>
          <w:szCs w:val="24"/>
        </w:rPr>
        <w:t>e</w:t>
      </w:r>
      <w:r>
        <w:rPr>
          <w:rFonts w:cs="Times New Roman"/>
          <w:szCs w:val="24"/>
        </w:rPr>
        <w:t>s, Kirkerådets og Kirkemøtets virksomhet</w:t>
      </w:r>
      <w:r w:rsidR="00913FC0">
        <w:rPr>
          <w:rFonts w:cs="Times New Roman"/>
          <w:szCs w:val="24"/>
        </w:rPr>
        <w:t xml:space="preserve">, men staten </w:t>
      </w:r>
      <w:r>
        <w:rPr>
          <w:rFonts w:cs="Times New Roman"/>
          <w:szCs w:val="24"/>
        </w:rPr>
        <w:t>gir også tilskudd til andre kirkelige formål</w:t>
      </w:r>
      <w:r w:rsidR="00913FC0">
        <w:rPr>
          <w:rFonts w:cs="Times New Roman"/>
          <w:szCs w:val="24"/>
        </w:rPr>
        <w:t>, særlig til kirkens trosopplæring</w:t>
      </w:r>
      <w:r>
        <w:rPr>
          <w:rFonts w:cs="Times New Roman"/>
          <w:szCs w:val="24"/>
        </w:rPr>
        <w:t xml:space="preserve">. Kirkemøtet bestemmer fordelingen av statens rammetilskudd på formål og oppgaver. Ansvaret for den videre budsjett- og økonomioppfølgingen ligger til Kirkerådet. </w:t>
      </w:r>
    </w:p>
    <w:p w:rsidR="00944062" w:rsidRPr="005B2689" w:rsidRDefault="00444C63" w:rsidP="00944062">
      <w:pPr>
        <w:rPr>
          <w:rFonts w:cs="Times New Roman"/>
          <w:szCs w:val="24"/>
        </w:rPr>
      </w:pPr>
      <w:r>
        <w:rPr>
          <w:rFonts w:cs="Times New Roman"/>
          <w:szCs w:val="24"/>
        </w:rPr>
        <w:t>Virksomheten i soknene</w:t>
      </w:r>
      <w:r w:rsidR="00944062">
        <w:rPr>
          <w:rFonts w:cs="Times New Roman"/>
          <w:szCs w:val="24"/>
        </w:rPr>
        <w:t xml:space="preserve"> er i hovedsak finansiert av kommunen. Finansieringsansvaret er regulert i kirkeloven § 15 og omfatter utgifter til bygging, drift og vedlikehold av kirker, lokalkirkelige sti</w:t>
      </w:r>
      <w:r>
        <w:rPr>
          <w:rFonts w:cs="Times New Roman"/>
          <w:szCs w:val="24"/>
        </w:rPr>
        <w:t>llinger, og administrative kost</w:t>
      </w:r>
      <w:r w:rsidR="00944062">
        <w:rPr>
          <w:rFonts w:cs="Times New Roman"/>
          <w:szCs w:val="24"/>
        </w:rPr>
        <w:t>n</w:t>
      </w:r>
      <w:r>
        <w:rPr>
          <w:rFonts w:cs="Times New Roman"/>
          <w:szCs w:val="24"/>
        </w:rPr>
        <w:t>a</w:t>
      </w:r>
      <w:r w:rsidR="00944062">
        <w:rPr>
          <w:rFonts w:cs="Times New Roman"/>
          <w:szCs w:val="24"/>
        </w:rPr>
        <w:t>der knyttet til soknets organer og deres virksomhet.</w:t>
      </w:r>
      <w:r w:rsidR="003D01CF">
        <w:rPr>
          <w:rFonts w:cs="Times New Roman"/>
          <w:szCs w:val="24"/>
        </w:rPr>
        <w:t xml:space="preserve"> </w:t>
      </w:r>
      <w:r w:rsidR="00944062">
        <w:rPr>
          <w:rFonts w:cs="Times New Roman"/>
          <w:szCs w:val="24"/>
        </w:rPr>
        <w:t xml:space="preserve">Også gravplassvirksomheten er finansiert av kommunen, se </w:t>
      </w:r>
      <w:r w:rsidR="000D63A8">
        <w:rPr>
          <w:rFonts w:cs="Times New Roman"/>
          <w:szCs w:val="24"/>
        </w:rPr>
        <w:t xml:space="preserve">punkt </w:t>
      </w:r>
      <w:r w:rsidR="00BA48FA">
        <w:rPr>
          <w:rFonts w:cs="Times New Roman"/>
          <w:szCs w:val="24"/>
        </w:rPr>
        <w:t>4.7</w:t>
      </w:r>
      <w:r w:rsidR="00944062">
        <w:rPr>
          <w:rFonts w:cs="Times New Roman"/>
          <w:szCs w:val="24"/>
        </w:rPr>
        <w:t>.</w:t>
      </w:r>
    </w:p>
    <w:p w:rsidR="005375D1" w:rsidRPr="005B2689" w:rsidRDefault="005375D1" w:rsidP="00944062">
      <w:pPr>
        <w:rPr>
          <w:rFonts w:cs="Times New Roman"/>
          <w:szCs w:val="24"/>
        </w:rPr>
      </w:pPr>
      <w:bookmarkStart w:id="325" w:name="_Toc476320904"/>
      <w:r>
        <w:rPr>
          <w:rFonts w:cs="Times New Roman"/>
          <w:szCs w:val="24"/>
        </w:rPr>
        <w:t>De samlede overføringene fra kommunene til Den norske kirke utgjorde i 201</w:t>
      </w:r>
      <w:r w:rsidR="00642343">
        <w:rPr>
          <w:rFonts w:cs="Times New Roman"/>
          <w:szCs w:val="24"/>
        </w:rPr>
        <w:t>6</w:t>
      </w:r>
      <w:r>
        <w:rPr>
          <w:rFonts w:cs="Times New Roman"/>
          <w:szCs w:val="24"/>
        </w:rPr>
        <w:t xml:space="preserve"> om lag 3</w:t>
      </w:r>
      <w:r w:rsidR="00913FC0">
        <w:rPr>
          <w:rFonts w:cs="Times New Roman"/>
          <w:szCs w:val="24"/>
        </w:rPr>
        <w:t>,</w:t>
      </w:r>
      <w:r w:rsidR="003944CF">
        <w:rPr>
          <w:rFonts w:cs="Times New Roman"/>
          <w:szCs w:val="24"/>
        </w:rPr>
        <w:t>7</w:t>
      </w:r>
      <w:r>
        <w:rPr>
          <w:rFonts w:cs="Times New Roman"/>
          <w:szCs w:val="24"/>
        </w:rPr>
        <w:t xml:space="preserve"> mrd. kroner.</w:t>
      </w:r>
    </w:p>
    <w:p w:rsidR="00944062" w:rsidRPr="005B2689" w:rsidRDefault="00BC39C4" w:rsidP="00944062">
      <w:pPr>
        <w:pStyle w:val="Overskrift2"/>
      </w:pPr>
      <w:bookmarkStart w:id="326" w:name="_Toc477277201"/>
      <w:bookmarkStart w:id="327" w:name="_Toc477535500"/>
      <w:bookmarkStart w:id="328" w:name="_Toc477630633"/>
      <w:bookmarkStart w:id="329" w:name="_Toc477693597"/>
      <w:bookmarkStart w:id="330" w:name="_Toc477703963"/>
      <w:bookmarkStart w:id="331" w:name="_Toc477799168"/>
      <w:bookmarkStart w:id="332" w:name="_Toc477805770"/>
      <w:bookmarkStart w:id="333" w:name="_Toc477878030"/>
      <w:bookmarkStart w:id="334" w:name="_Toc477881431"/>
      <w:bookmarkStart w:id="335" w:name="_Toc477885891"/>
      <w:bookmarkStart w:id="336" w:name="_Toc478131309"/>
      <w:bookmarkStart w:id="337" w:name="_Toc478138693"/>
      <w:bookmarkStart w:id="338" w:name="_Toc478232208"/>
      <w:bookmarkStart w:id="339" w:name="_Toc478237192"/>
      <w:bookmarkStart w:id="340" w:name="_Toc481761744"/>
      <w:bookmarkStart w:id="341" w:name="_Toc492900397"/>
      <w:r>
        <w:t>Lov om O</w:t>
      </w:r>
      <w:r w:rsidR="00944062" w:rsidRPr="005B2689">
        <w:t>pplysningsvesenets fond</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0D63A8" w:rsidRDefault="00944062" w:rsidP="00944062">
      <w:pPr>
        <w:rPr>
          <w:rFonts w:cs="Times New Roman"/>
          <w:szCs w:val="24"/>
        </w:rPr>
      </w:pPr>
      <w:r>
        <w:rPr>
          <w:rFonts w:cs="Times New Roman"/>
          <w:szCs w:val="24"/>
        </w:rPr>
        <w:t>Eiendommer som fra gammelt av har tilhørt det enkelte presteembete – prestegårdene – ble etter reformasjonen og helt fram t</w:t>
      </w:r>
      <w:r w:rsidR="0014556E">
        <w:rPr>
          <w:rFonts w:cs="Times New Roman"/>
          <w:szCs w:val="24"/>
        </w:rPr>
        <w:t>il nyere tid beholdt som inntek</w:t>
      </w:r>
      <w:r>
        <w:rPr>
          <w:rFonts w:cs="Times New Roman"/>
          <w:szCs w:val="24"/>
        </w:rPr>
        <w:t>t</w:t>
      </w:r>
      <w:r w:rsidR="0014556E">
        <w:rPr>
          <w:rFonts w:cs="Times New Roman"/>
          <w:szCs w:val="24"/>
        </w:rPr>
        <w:t>s</w:t>
      </w:r>
      <w:r>
        <w:rPr>
          <w:rFonts w:cs="Times New Roman"/>
          <w:szCs w:val="24"/>
        </w:rPr>
        <w:t xml:space="preserve">grunnlag for prestene. I 1814 fikk denne eiendomsmassen et særskilt vern i Grunnloven. Bestemmelser om dette er gitt i Grunnloven § 116 første punktum: </w:t>
      </w:r>
    </w:p>
    <w:p w:rsidR="00944062" w:rsidRPr="00D93AC6" w:rsidRDefault="00944062" w:rsidP="00856E3F">
      <w:pPr>
        <w:pStyle w:val="blokksit"/>
        <w:rPr>
          <w:rStyle w:val="kursiv"/>
        </w:rPr>
      </w:pPr>
      <w:r w:rsidRPr="00D93AC6">
        <w:rPr>
          <w:rStyle w:val="kursiv"/>
        </w:rPr>
        <w:t xml:space="preserve">Så vel kjøpesummer som inntekter av det gods som er benefisert geistligheten, skal bare anvendes til geistlighetens beste og til opplysningens fremme. </w:t>
      </w:r>
    </w:p>
    <w:p w:rsidR="00944062" w:rsidRDefault="00944062" w:rsidP="00944062">
      <w:pPr>
        <w:rPr>
          <w:rFonts w:cs="Times New Roman"/>
          <w:szCs w:val="24"/>
        </w:rPr>
      </w:pPr>
      <w:r>
        <w:rPr>
          <w:rFonts w:cs="Times New Roman"/>
          <w:szCs w:val="24"/>
        </w:rPr>
        <w:t>Den eiendomsmassen som er omtalt i grunnlovsbestemmelsen</w:t>
      </w:r>
      <w:r w:rsidR="000D63A8">
        <w:rPr>
          <w:rFonts w:cs="Times New Roman"/>
          <w:szCs w:val="24"/>
        </w:rPr>
        <w:t>,</w:t>
      </w:r>
      <w:r>
        <w:rPr>
          <w:rFonts w:cs="Times New Roman"/>
          <w:szCs w:val="24"/>
        </w:rPr>
        <w:t xml:space="preserve"> ble ved lovregulering i 1821 organisert so</w:t>
      </w:r>
      <w:r w:rsidR="00E96B67">
        <w:rPr>
          <w:rFonts w:cs="Times New Roman"/>
          <w:szCs w:val="24"/>
        </w:rPr>
        <w:t>m Opplysningsvesenets fond</w:t>
      </w:r>
      <w:r w:rsidR="00913FC0">
        <w:rPr>
          <w:rFonts w:cs="Times New Roman"/>
          <w:szCs w:val="24"/>
        </w:rPr>
        <w:t xml:space="preserve">. Fondet </w:t>
      </w:r>
      <w:r w:rsidR="001C7EC2">
        <w:rPr>
          <w:rFonts w:cs="Times New Roman"/>
          <w:szCs w:val="24"/>
        </w:rPr>
        <w:t>e</w:t>
      </w:r>
      <w:r>
        <w:rPr>
          <w:rFonts w:cs="Times New Roman"/>
          <w:szCs w:val="24"/>
        </w:rPr>
        <w:t>r nå nærmere regulert i</w:t>
      </w:r>
      <w:r w:rsidR="000D63A8">
        <w:rPr>
          <w:rFonts w:cs="Times New Roman"/>
          <w:szCs w:val="24"/>
        </w:rPr>
        <w:t xml:space="preserve"> l</w:t>
      </w:r>
      <w:r>
        <w:rPr>
          <w:rFonts w:cs="Times New Roman"/>
          <w:szCs w:val="24"/>
        </w:rPr>
        <w:t xml:space="preserve">ov 7. juni 1996 nr. </w:t>
      </w:r>
      <w:r w:rsidR="00E96B67">
        <w:rPr>
          <w:rFonts w:cs="Times New Roman"/>
          <w:szCs w:val="24"/>
        </w:rPr>
        <w:t>33 om Opplysningsvesenets fond. L</w:t>
      </w:r>
      <w:r>
        <w:rPr>
          <w:rFonts w:cs="Times New Roman"/>
          <w:szCs w:val="24"/>
        </w:rPr>
        <w:t xml:space="preserve">oven </w:t>
      </w:r>
      <w:r w:rsidRPr="00F20E59">
        <w:rPr>
          <w:rFonts w:cs="Times New Roman"/>
          <w:szCs w:val="24"/>
        </w:rPr>
        <w:t>skal sikre at fondet k</w:t>
      </w:r>
      <w:r>
        <w:rPr>
          <w:rFonts w:cs="Times New Roman"/>
          <w:szCs w:val="24"/>
        </w:rPr>
        <w:t xml:space="preserve">ommer </w:t>
      </w:r>
      <w:r w:rsidRPr="00F20E59">
        <w:rPr>
          <w:rFonts w:cs="Times New Roman"/>
          <w:szCs w:val="24"/>
        </w:rPr>
        <w:t>Den norske k</w:t>
      </w:r>
      <w:r>
        <w:rPr>
          <w:rFonts w:cs="Times New Roman"/>
          <w:szCs w:val="24"/>
        </w:rPr>
        <w:t>irke til gode</w:t>
      </w:r>
      <w:r w:rsidR="000D63A8">
        <w:rPr>
          <w:rFonts w:cs="Times New Roman"/>
          <w:szCs w:val="24"/>
        </w:rPr>
        <w:t>,</w:t>
      </w:r>
      <w:r>
        <w:rPr>
          <w:rFonts w:cs="Times New Roman"/>
          <w:szCs w:val="24"/>
        </w:rPr>
        <w:t xml:space="preserve"> og at verdiene blir bevart</w:t>
      </w:r>
      <w:r w:rsidRPr="00F20E59">
        <w:rPr>
          <w:rFonts w:cs="Times New Roman"/>
          <w:szCs w:val="24"/>
        </w:rPr>
        <w:t xml:space="preserve"> og gir av</w:t>
      </w:r>
      <w:r>
        <w:rPr>
          <w:rFonts w:cs="Times New Roman"/>
          <w:szCs w:val="24"/>
        </w:rPr>
        <w:t>kastning i samsvar med Grunnlovens bestemmelse</w:t>
      </w:r>
      <w:r w:rsidRPr="00F20E59">
        <w:rPr>
          <w:rFonts w:cs="Times New Roman"/>
          <w:szCs w:val="24"/>
        </w:rPr>
        <w:t>.</w:t>
      </w:r>
      <w:r>
        <w:rPr>
          <w:rFonts w:cs="Times New Roman"/>
          <w:szCs w:val="24"/>
        </w:rPr>
        <w:t xml:space="preserve"> Fondet er et selvstendig rettssubjekt og blir etter loven forvaltet av Kongen, som fastsetter hvordan det skal organiseres og avgjør rettslige disposisjoner av fondets eiendommer.</w:t>
      </w:r>
    </w:p>
    <w:p w:rsidR="00944062" w:rsidRDefault="00E96B67" w:rsidP="00944062">
      <w:pPr>
        <w:rPr>
          <w:rFonts w:cs="Times New Roman"/>
          <w:szCs w:val="24"/>
        </w:rPr>
      </w:pPr>
      <w:r>
        <w:rPr>
          <w:rFonts w:cs="Times New Roman"/>
          <w:szCs w:val="24"/>
        </w:rPr>
        <w:t xml:space="preserve">Fondsforvaltningen er i </w:t>
      </w:r>
      <w:r w:rsidR="00944062">
        <w:rPr>
          <w:rFonts w:cs="Times New Roman"/>
          <w:szCs w:val="24"/>
        </w:rPr>
        <w:t xml:space="preserve">dag </w:t>
      </w:r>
      <w:r>
        <w:rPr>
          <w:rFonts w:cs="Times New Roman"/>
          <w:szCs w:val="24"/>
        </w:rPr>
        <w:t>lagt til</w:t>
      </w:r>
      <w:r w:rsidR="00944062">
        <w:rPr>
          <w:rFonts w:cs="Times New Roman"/>
          <w:szCs w:val="24"/>
        </w:rPr>
        <w:t xml:space="preserve"> et </w:t>
      </w:r>
      <w:r w:rsidR="0014556E">
        <w:rPr>
          <w:rFonts w:cs="Times New Roman"/>
          <w:szCs w:val="24"/>
        </w:rPr>
        <w:t xml:space="preserve">statlig </w:t>
      </w:r>
      <w:r w:rsidR="00944062">
        <w:rPr>
          <w:rFonts w:cs="Times New Roman"/>
          <w:szCs w:val="24"/>
        </w:rPr>
        <w:t>forvaltnin</w:t>
      </w:r>
      <w:r>
        <w:rPr>
          <w:rFonts w:cs="Times New Roman"/>
          <w:szCs w:val="24"/>
        </w:rPr>
        <w:t>gsorgan</w:t>
      </w:r>
      <w:r w:rsidR="0014556E">
        <w:rPr>
          <w:rFonts w:cs="Times New Roman"/>
          <w:szCs w:val="24"/>
        </w:rPr>
        <w:t xml:space="preserve"> under Kulturdepart</w:t>
      </w:r>
      <w:r w:rsidR="003944CF">
        <w:rPr>
          <w:rFonts w:cs="Times New Roman"/>
          <w:szCs w:val="24"/>
        </w:rPr>
        <w:t>e</w:t>
      </w:r>
      <w:r w:rsidR="0014556E">
        <w:rPr>
          <w:rFonts w:cs="Times New Roman"/>
          <w:szCs w:val="24"/>
        </w:rPr>
        <w:t>mentet</w:t>
      </w:r>
      <w:r>
        <w:rPr>
          <w:rFonts w:cs="Times New Roman"/>
          <w:szCs w:val="24"/>
        </w:rPr>
        <w:t>. Forvaltningsorganet h</w:t>
      </w:r>
      <w:r w:rsidR="0014556E">
        <w:rPr>
          <w:rFonts w:cs="Times New Roman"/>
          <w:szCs w:val="24"/>
        </w:rPr>
        <w:t>a</w:t>
      </w:r>
      <w:r>
        <w:rPr>
          <w:rFonts w:cs="Times New Roman"/>
          <w:szCs w:val="24"/>
        </w:rPr>
        <w:t>r egne ansatte og et eget styre oppnevnt</w:t>
      </w:r>
      <w:r w:rsidR="00944062">
        <w:rPr>
          <w:rFonts w:cs="Times New Roman"/>
          <w:szCs w:val="24"/>
        </w:rPr>
        <w:t xml:space="preserve"> </w:t>
      </w:r>
      <w:r>
        <w:rPr>
          <w:rFonts w:cs="Times New Roman"/>
          <w:szCs w:val="24"/>
        </w:rPr>
        <w:t>av departementet. Driftsutgiftene</w:t>
      </w:r>
      <w:r w:rsidR="00944062">
        <w:rPr>
          <w:rFonts w:cs="Times New Roman"/>
          <w:szCs w:val="24"/>
        </w:rPr>
        <w:t xml:space="preserve"> dekkes av fondet. Departementet har fastsatt bestemmelser om forvaltningen i </w:t>
      </w:r>
      <w:r>
        <w:rPr>
          <w:rFonts w:cs="Times New Roman"/>
          <w:szCs w:val="24"/>
        </w:rPr>
        <w:t xml:space="preserve">en egen </w:t>
      </w:r>
      <w:r w:rsidR="00944062">
        <w:rPr>
          <w:rFonts w:cs="Times New Roman"/>
          <w:szCs w:val="24"/>
        </w:rPr>
        <w:t>instruks.</w:t>
      </w:r>
      <w:r w:rsidR="00132FC7">
        <w:rPr>
          <w:rFonts w:cs="Times New Roman"/>
          <w:szCs w:val="24"/>
        </w:rPr>
        <w:t xml:space="preserve"> Det vises ellers til nærmere omtale i kapittel 12 nedenfor.</w:t>
      </w:r>
    </w:p>
    <w:p w:rsidR="00944062" w:rsidRPr="005B2689" w:rsidRDefault="00944062" w:rsidP="00944062">
      <w:pPr>
        <w:pStyle w:val="Overskrift2"/>
      </w:pPr>
      <w:bookmarkStart w:id="342" w:name="_Toc476320905"/>
      <w:bookmarkStart w:id="343" w:name="_Toc477277202"/>
      <w:bookmarkStart w:id="344" w:name="_Toc477535501"/>
      <w:bookmarkStart w:id="345" w:name="_Toc477630634"/>
      <w:bookmarkStart w:id="346" w:name="_Toc477693598"/>
      <w:bookmarkStart w:id="347" w:name="_Toc477703964"/>
      <w:bookmarkStart w:id="348" w:name="_Toc477799169"/>
      <w:bookmarkStart w:id="349" w:name="_Toc477805771"/>
      <w:bookmarkStart w:id="350" w:name="_Toc477878031"/>
      <w:bookmarkStart w:id="351" w:name="_Toc477881432"/>
      <w:bookmarkStart w:id="352" w:name="_Toc477885892"/>
      <w:bookmarkStart w:id="353" w:name="_Toc478131310"/>
      <w:bookmarkStart w:id="354" w:name="_Toc478138694"/>
      <w:bookmarkStart w:id="355" w:name="_Toc478232209"/>
      <w:bookmarkStart w:id="356" w:name="_Toc478237193"/>
      <w:bookmarkStart w:id="357" w:name="_Toc481761745"/>
      <w:bookmarkStart w:id="358" w:name="_Toc492900398"/>
      <w:r w:rsidRPr="005B2689">
        <w:t xml:space="preserve">Trossamfunnsloven og lov om </w:t>
      </w:r>
      <w:r w:rsidR="00E96B67">
        <w:t>tilskot</w:t>
      </w:r>
      <w:r w:rsidR="00B77287">
        <w:t>t</w:t>
      </w:r>
      <w:r w:rsidRPr="005B2689">
        <w:t xml:space="preserve"> til livssynssamfunn</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562DA" w:rsidRDefault="002834ED" w:rsidP="00944062">
      <w:pPr>
        <w:rPr>
          <w:rFonts w:cs="Times New Roman"/>
          <w:szCs w:val="24"/>
        </w:rPr>
      </w:pPr>
      <w:r>
        <w:rPr>
          <w:rFonts w:cs="Times New Roman"/>
          <w:szCs w:val="24"/>
        </w:rPr>
        <w:t>Lov 12. juni 1981</w:t>
      </w:r>
      <w:r w:rsidR="00B77287">
        <w:rPr>
          <w:rFonts w:cs="Times New Roman"/>
          <w:szCs w:val="24"/>
        </w:rPr>
        <w:t xml:space="preserve"> nr. 64 om tilskott til livssynssamfunn </w:t>
      </w:r>
      <w:r w:rsidR="00BA48FA">
        <w:rPr>
          <w:rFonts w:cs="Times New Roman"/>
          <w:szCs w:val="24"/>
        </w:rPr>
        <w:t>(</w:t>
      </w:r>
      <w:r w:rsidR="001C7EC2">
        <w:rPr>
          <w:rFonts w:cs="Times New Roman"/>
          <w:szCs w:val="24"/>
        </w:rPr>
        <w:t xml:space="preserve">i dette høringsnotatet omtalt som </w:t>
      </w:r>
      <w:r w:rsidR="00BA48FA">
        <w:rPr>
          <w:rFonts w:cs="Times New Roman"/>
          <w:szCs w:val="24"/>
        </w:rPr>
        <w:t xml:space="preserve">livssynssamfunnsloven) </w:t>
      </w:r>
      <w:r w:rsidR="00B77287">
        <w:rPr>
          <w:rFonts w:cs="Times New Roman"/>
          <w:szCs w:val="24"/>
        </w:rPr>
        <w:t xml:space="preserve">er en kortfattet lov </w:t>
      </w:r>
      <w:r w:rsidR="002562DA">
        <w:rPr>
          <w:rFonts w:cs="Times New Roman"/>
          <w:szCs w:val="24"/>
        </w:rPr>
        <w:t xml:space="preserve">som i all hovedsak gir regler om utmåling av støtte fra stat og kommune og hvilke vilkår som må være oppfylt for å kunne få offentlig støtte som livssynssamfunn. </w:t>
      </w:r>
    </w:p>
    <w:p w:rsidR="00944062" w:rsidRDefault="002562DA" w:rsidP="00944062">
      <w:pPr>
        <w:rPr>
          <w:rFonts w:cs="Times New Roman"/>
          <w:szCs w:val="24"/>
        </w:rPr>
      </w:pPr>
      <w:r>
        <w:rPr>
          <w:rFonts w:cs="Times New Roman"/>
          <w:szCs w:val="24"/>
        </w:rPr>
        <w:t>Lov 13. juni 1969 nr. 25 om trudomssamfunn og ymist anna (</w:t>
      </w:r>
      <w:r w:rsidR="001C7EC2">
        <w:rPr>
          <w:rFonts w:cs="Times New Roman"/>
          <w:szCs w:val="24"/>
        </w:rPr>
        <w:t xml:space="preserve">i dette høringsnotatet omtalt som </w:t>
      </w:r>
      <w:r>
        <w:rPr>
          <w:rFonts w:cs="Times New Roman"/>
          <w:szCs w:val="24"/>
        </w:rPr>
        <w:t xml:space="preserve">trossamfunnloven) er også en tilskuddslov, men gir i tillegg mer omfattende bestemmelser om det å tilhøre et trossamfunn og hvilke rettigheter og plikter som følger av dette. </w:t>
      </w:r>
    </w:p>
    <w:p w:rsidR="00944062" w:rsidRDefault="00944062" w:rsidP="00944062">
      <w:pPr>
        <w:rPr>
          <w:rFonts w:cs="Times New Roman"/>
          <w:szCs w:val="24"/>
        </w:rPr>
      </w:pPr>
      <w:r>
        <w:rPr>
          <w:rFonts w:cs="Times New Roman"/>
          <w:szCs w:val="24"/>
        </w:rPr>
        <w:t xml:space="preserve">Lovens første kapittel gir bestemmelser som skal sikre trosfriheten. Her gis også regler om medlemskap og tilhørighet til trossamfunn. Formålet med tilhørighetsbestemmelsene er </w:t>
      </w:r>
      <w:r w:rsidR="00E96B67">
        <w:rPr>
          <w:rFonts w:cs="Times New Roman"/>
          <w:szCs w:val="24"/>
        </w:rPr>
        <w:t>først og fremst å legge grunnlag</w:t>
      </w:r>
      <w:r>
        <w:rPr>
          <w:rFonts w:cs="Times New Roman"/>
          <w:szCs w:val="24"/>
        </w:rPr>
        <w:t xml:space="preserve"> for beregning av tilskudd til trossamfunn utenom Den norske </w:t>
      </w:r>
      <w:r>
        <w:rPr>
          <w:rFonts w:cs="Times New Roman"/>
          <w:szCs w:val="24"/>
        </w:rPr>
        <w:lastRenderedPageBreak/>
        <w:t>kirke. Bestemmelsen i lovens første kapittel gjelder også for Den norske kirke, når ikke annet er sagt i trossamfunnsloven eller i kirkeloven.</w:t>
      </w:r>
    </w:p>
    <w:p w:rsidR="00944062" w:rsidRDefault="00944062" w:rsidP="00944062">
      <w:pPr>
        <w:rPr>
          <w:rFonts w:cs="Times New Roman"/>
          <w:szCs w:val="24"/>
        </w:rPr>
      </w:pPr>
      <w:r>
        <w:rPr>
          <w:rFonts w:cs="Times New Roman"/>
          <w:szCs w:val="24"/>
        </w:rPr>
        <w:t xml:space="preserve">Lovens annet kapittel retter seg utelukkende mot trossamfunn utenom Den norske kirke. Her fastsettes en ordning </w:t>
      </w:r>
      <w:r w:rsidR="00E96B67">
        <w:rPr>
          <w:rFonts w:cs="Times New Roman"/>
          <w:szCs w:val="24"/>
        </w:rPr>
        <w:t>for registrering av trossamfunn</w:t>
      </w:r>
      <w:r>
        <w:rPr>
          <w:rFonts w:cs="Times New Roman"/>
          <w:szCs w:val="24"/>
        </w:rPr>
        <w:t xml:space="preserve"> og hvilke rettigheter og plikter som er knyttet til statusen som registrert trossamfunn</w:t>
      </w:r>
      <w:r w:rsidR="006B2BD2">
        <w:rPr>
          <w:rFonts w:cs="Times New Roman"/>
          <w:szCs w:val="24"/>
        </w:rPr>
        <w:t>, blant annet rett</w:t>
      </w:r>
      <w:r w:rsidR="003D01CF">
        <w:rPr>
          <w:rFonts w:cs="Times New Roman"/>
          <w:szCs w:val="24"/>
        </w:rPr>
        <w:t>en</w:t>
      </w:r>
      <w:r w:rsidR="006B2BD2">
        <w:rPr>
          <w:rFonts w:cs="Times New Roman"/>
          <w:szCs w:val="24"/>
        </w:rPr>
        <w:t xml:space="preserve"> til å kreve tilskudd.</w:t>
      </w:r>
      <w:r>
        <w:rPr>
          <w:rFonts w:cs="Times New Roman"/>
          <w:szCs w:val="24"/>
        </w:rPr>
        <w:t xml:space="preserve"> </w:t>
      </w:r>
    </w:p>
    <w:p w:rsidR="00EF282F" w:rsidRDefault="00EF282F" w:rsidP="00B77287">
      <w:pPr>
        <w:rPr>
          <w:rFonts w:cs="Times New Roman"/>
          <w:szCs w:val="24"/>
        </w:rPr>
      </w:pPr>
      <w:r>
        <w:rPr>
          <w:rFonts w:cs="Times New Roman"/>
          <w:szCs w:val="24"/>
        </w:rPr>
        <w:t xml:space="preserve">Det er videre tatt inn en bestemmelse om at retten til tilskudd også omfatter "andre organiserte trudomssamfunn", dvs såkalte uregistrerte trossamfunn. </w:t>
      </w:r>
    </w:p>
    <w:p w:rsidR="00B77287" w:rsidRDefault="00B77287" w:rsidP="00B77287">
      <w:pPr>
        <w:rPr>
          <w:rFonts w:cs="Times New Roman"/>
          <w:szCs w:val="24"/>
        </w:rPr>
      </w:pPr>
      <w:r>
        <w:rPr>
          <w:rFonts w:cs="Times New Roman"/>
          <w:szCs w:val="24"/>
        </w:rPr>
        <w:t>Trossamfunnsloven inneholder også bestemmelser om rett til fri fra arbeid</w:t>
      </w:r>
      <w:r w:rsidR="008D3130">
        <w:rPr>
          <w:rFonts w:cs="Times New Roman"/>
          <w:szCs w:val="24"/>
        </w:rPr>
        <w:t>, skolegang mv.</w:t>
      </w:r>
      <w:r>
        <w:rPr>
          <w:rFonts w:cs="Times New Roman"/>
          <w:szCs w:val="24"/>
        </w:rPr>
        <w:t xml:space="preserve"> ved religiøse høytider.</w:t>
      </w:r>
    </w:p>
    <w:p w:rsidR="00944062" w:rsidRDefault="003E2830" w:rsidP="00944062">
      <w:pPr>
        <w:rPr>
          <w:rFonts w:cs="Times New Roman"/>
          <w:szCs w:val="24"/>
        </w:rPr>
      </w:pPr>
      <w:r>
        <w:rPr>
          <w:rFonts w:cs="Times New Roman"/>
          <w:szCs w:val="24"/>
        </w:rPr>
        <w:t>Trossamfunn</w:t>
      </w:r>
      <w:r w:rsidR="00BA48FA">
        <w:rPr>
          <w:rFonts w:cs="Times New Roman"/>
          <w:szCs w:val="24"/>
        </w:rPr>
        <w:t>s</w:t>
      </w:r>
      <w:r>
        <w:rPr>
          <w:rFonts w:cs="Times New Roman"/>
          <w:szCs w:val="24"/>
        </w:rPr>
        <w:t xml:space="preserve">loven og </w:t>
      </w:r>
      <w:r w:rsidR="00BA48FA">
        <w:rPr>
          <w:rFonts w:cs="Times New Roman"/>
          <w:szCs w:val="24"/>
        </w:rPr>
        <w:t>livssynssamfunnsloven</w:t>
      </w:r>
      <w:r>
        <w:rPr>
          <w:rFonts w:cs="Times New Roman"/>
          <w:szCs w:val="24"/>
        </w:rPr>
        <w:t xml:space="preserve"> gir </w:t>
      </w:r>
      <w:r w:rsidR="006B2BD2">
        <w:rPr>
          <w:rFonts w:cs="Times New Roman"/>
          <w:szCs w:val="24"/>
        </w:rPr>
        <w:t>tros- og livssyns</w:t>
      </w:r>
      <w:r>
        <w:rPr>
          <w:rFonts w:cs="Times New Roman"/>
          <w:szCs w:val="24"/>
        </w:rPr>
        <w:t>samfunn en</w:t>
      </w:r>
      <w:r w:rsidR="00944062">
        <w:rPr>
          <w:rFonts w:cs="Times New Roman"/>
          <w:szCs w:val="24"/>
        </w:rPr>
        <w:t xml:space="preserve"> lovbestemt rett til </w:t>
      </w:r>
      <w:r w:rsidR="006B2BD2">
        <w:rPr>
          <w:rFonts w:cs="Times New Roman"/>
          <w:szCs w:val="24"/>
        </w:rPr>
        <w:t>å kreve</w:t>
      </w:r>
      <w:r w:rsidR="00944062">
        <w:rPr>
          <w:rFonts w:cs="Times New Roman"/>
          <w:szCs w:val="24"/>
        </w:rPr>
        <w:t xml:space="preserve"> tilskudd fra både stat og kommune. Tilskuddet skal være så stort at det "etter måten svarar om lag" til det som henholdsvis staten og kommunen har budsjettert til Den norske kirke</w:t>
      </w:r>
      <w:r w:rsidR="003944CF">
        <w:rPr>
          <w:rFonts w:cs="Times New Roman"/>
          <w:szCs w:val="24"/>
        </w:rPr>
        <w:t xml:space="preserve">. </w:t>
      </w:r>
      <w:r w:rsidR="003A319E">
        <w:rPr>
          <w:rFonts w:cs="Times New Roman"/>
          <w:szCs w:val="24"/>
        </w:rPr>
        <w:t>T</w:t>
      </w:r>
      <w:r w:rsidR="00B11A85">
        <w:rPr>
          <w:rFonts w:cs="Times New Roman"/>
          <w:szCs w:val="24"/>
        </w:rPr>
        <w:t xml:space="preserve">ros- og livssynssamfunn utenom Den norske kirke </w:t>
      </w:r>
      <w:r w:rsidR="003A319E">
        <w:rPr>
          <w:rFonts w:cs="Times New Roman"/>
          <w:szCs w:val="24"/>
        </w:rPr>
        <w:t xml:space="preserve">får etter dette et </w:t>
      </w:r>
      <w:r w:rsidR="00B11A85">
        <w:rPr>
          <w:rFonts w:cs="Times New Roman"/>
          <w:szCs w:val="24"/>
        </w:rPr>
        <w:t xml:space="preserve">tilskudd per medlem som svarer til </w:t>
      </w:r>
      <w:r w:rsidR="003944CF">
        <w:rPr>
          <w:rFonts w:cs="Times New Roman"/>
          <w:szCs w:val="24"/>
        </w:rPr>
        <w:t>de bevilgninger Den norske kirke mottar fra stat og kommune per kirkemedlem</w:t>
      </w:r>
      <w:r w:rsidR="003A319E">
        <w:rPr>
          <w:rFonts w:cs="Times New Roman"/>
          <w:szCs w:val="24"/>
        </w:rPr>
        <w:t xml:space="preserve">, med </w:t>
      </w:r>
      <w:r w:rsidR="00111D53">
        <w:rPr>
          <w:rFonts w:cs="Times New Roman"/>
          <w:szCs w:val="24"/>
        </w:rPr>
        <w:t xml:space="preserve">enkelte </w:t>
      </w:r>
      <w:r w:rsidR="003A319E">
        <w:rPr>
          <w:rFonts w:cs="Times New Roman"/>
          <w:szCs w:val="24"/>
        </w:rPr>
        <w:t>unntak</w:t>
      </w:r>
      <w:r w:rsidR="00111D53">
        <w:rPr>
          <w:rFonts w:cs="Times New Roman"/>
          <w:szCs w:val="24"/>
        </w:rPr>
        <w:t>. Blant annet skal u</w:t>
      </w:r>
      <w:r w:rsidR="003A319E">
        <w:rPr>
          <w:rFonts w:cs="Times New Roman"/>
          <w:szCs w:val="24"/>
        </w:rPr>
        <w:t>tgifter til Den norske kirke som gjelder alle</w:t>
      </w:r>
      <w:r w:rsidR="00111D53">
        <w:rPr>
          <w:rFonts w:cs="Times New Roman"/>
          <w:szCs w:val="24"/>
        </w:rPr>
        <w:t xml:space="preserve"> innbyggere,</w:t>
      </w:r>
      <w:r w:rsidR="003A319E">
        <w:rPr>
          <w:rFonts w:cs="Times New Roman"/>
          <w:szCs w:val="24"/>
        </w:rPr>
        <w:t xml:space="preserve"> ikke medregnes</w:t>
      </w:r>
      <w:r w:rsidR="00111D53">
        <w:rPr>
          <w:rFonts w:cs="Times New Roman"/>
          <w:szCs w:val="24"/>
        </w:rPr>
        <w:t xml:space="preserve"> i tilskuddet til andre tros- og livssynssamfunn</w:t>
      </w:r>
      <w:r w:rsidR="003A319E">
        <w:rPr>
          <w:rFonts w:cs="Times New Roman"/>
          <w:szCs w:val="24"/>
        </w:rPr>
        <w:t>.</w:t>
      </w:r>
      <w:r w:rsidR="00944062">
        <w:rPr>
          <w:rFonts w:cs="Times New Roman"/>
          <w:szCs w:val="24"/>
        </w:rPr>
        <w:t xml:space="preserve"> </w:t>
      </w:r>
    </w:p>
    <w:p w:rsidR="00944062" w:rsidRDefault="00944062" w:rsidP="00CC2F78">
      <w:r>
        <w:t>I medhold av trossamfunnsloven er det i forskrift 19. april 2005 nr. 345 om registrerte og uregistrerte trossamfunn gitt nærmere regler blant annet om tildeling av</w:t>
      </w:r>
      <w:r w:rsidR="00CC2F78">
        <w:t xml:space="preserve"> tilskudd. Det er overlatt til F</w:t>
      </w:r>
      <w:r>
        <w:t>ylkesmannen å utbetale statstilskudd etter lov</w:t>
      </w:r>
      <w:r w:rsidR="00CC2F78">
        <w:t>en. Det er med hjemmel i lov</w:t>
      </w:r>
      <w:r>
        <w:t xml:space="preserve"> fastsatt en ordning som innebærer at Brønnøysundregistrene kontrollerer innsendte medlemslister</w:t>
      </w:r>
      <w:r w:rsidR="00CC2F78">
        <w:t xml:space="preserve"> fra tros- og livssynssamfunn,</w:t>
      </w:r>
      <w:r>
        <w:t xml:space="preserve"> b</w:t>
      </w:r>
      <w:r w:rsidR="00CC2F78">
        <w:t>lant annet for</w:t>
      </w:r>
      <w:r>
        <w:t xml:space="preserve"> </w:t>
      </w:r>
      <w:r w:rsidR="00E4622B">
        <w:t>dobbeltmedlem</w:t>
      </w:r>
      <w:r>
        <w:t>skap. Når den årli</w:t>
      </w:r>
      <w:r w:rsidRPr="004A448E">
        <w:t>ge kontrollen er gjenn</w:t>
      </w:r>
      <w:r>
        <w:t>omført, skal Brønnøysundregistrene</w:t>
      </w:r>
      <w:r w:rsidR="00CC2F78">
        <w:t xml:space="preserve"> og F</w:t>
      </w:r>
      <w:r w:rsidRPr="004A448E">
        <w:t>ylkesmannen fysisk s</w:t>
      </w:r>
      <w:r>
        <w:t>lette alle oversikter som inneho</w:t>
      </w:r>
      <w:r w:rsidRPr="004A448E">
        <w:t>ld</w:t>
      </w:r>
      <w:r>
        <w:t>er</w:t>
      </w:r>
      <w:r w:rsidRPr="004A448E">
        <w:t xml:space="preserve"> fødselsnum</w:t>
      </w:r>
      <w:r>
        <w:t>mer, og stadfeste dette skriftli</w:t>
      </w:r>
      <w:r w:rsidRPr="004A448E">
        <w:t>g overfor Kulturdepartementet</w:t>
      </w:r>
      <w:r w:rsidR="00CC2F78">
        <w:t xml:space="preserve">. </w:t>
      </w:r>
      <w:r>
        <w:t>Tilsvarende bestemmelser</w:t>
      </w:r>
      <w:r w:rsidR="000D63A8">
        <w:t xml:space="preserve"> er gitt for livssynssamfunn i f</w:t>
      </w:r>
      <w:r>
        <w:t>orskrift 19. april 2005 nr. 346 om tilskot til livssynssamfunn.</w:t>
      </w:r>
    </w:p>
    <w:p w:rsidR="00944062" w:rsidRPr="005B2689" w:rsidRDefault="00944062" w:rsidP="00CC2F78">
      <w:r w:rsidRPr="00012B88">
        <w:t xml:space="preserve">Kulturdepartementet </w:t>
      </w:r>
      <w:r>
        <w:t xml:space="preserve">meddeler </w:t>
      </w:r>
      <w:r w:rsidRPr="00012B88">
        <w:t>hvert år i rundskriv til fylkesmennene hvilken sats som skal brukes ved utregningen av statstilskuddet til tros</w:t>
      </w:r>
      <w:r>
        <w:t>- og livssyns</w:t>
      </w:r>
      <w:r w:rsidRPr="00012B88">
        <w:t>samfunn. Samtidig gis en redegjørelse for beregningen av den fastsatte tilskuddssats</w:t>
      </w:r>
      <w:r>
        <w:t>en</w:t>
      </w:r>
      <w:r w:rsidRPr="00012B88">
        <w:t>.</w:t>
      </w:r>
    </w:p>
    <w:p w:rsidR="00944062" w:rsidRPr="005B2689" w:rsidRDefault="00944062" w:rsidP="00944062">
      <w:pPr>
        <w:pStyle w:val="Overskrift2"/>
      </w:pPr>
      <w:bookmarkStart w:id="359" w:name="_Toc476320906"/>
      <w:bookmarkStart w:id="360" w:name="_Toc477277203"/>
      <w:bookmarkStart w:id="361" w:name="_Toc477535502"/>
      <w:bookmarkStart w:id="362" w:name="_Toc477630635"/>
      <w:bookmarkStart w:id="363" w:name="_Toc477693599"/>
      <w:bookmarkStart w:id="364" w:name="_Toc477703965"/>
      <w:bookmarkStart w:id="365" w:name="_Toc477799170"/>
      <w:bookmarkStart w:id="366" w:name="_Toc477805772"/>
      <w:bookmarkStart w:id="367" w:name="_Toc477878032"/>
      <w:bookmarkStart w:id="368" w:name="_Toc477881433"/>
      <w:bookmarkStart w:id="369" w:name="_Toc477885893"/>
      <w:bookmarkStart w:id="370" w:name="_Toc478131311"/>
      <w:bookmarkStart w:id="371" w:name="_Toc478138695"/>
      <w:bookmarkStart w:id="372" w:name="_Toc478232210"/>
      <w:bookmarkStart w:id="373" w:name="_Toc478237194"/>
      <w:bookmarkStart w:id="374" w:name="_Toc481761746"/>
      <w:bookmarkStart w:id="375" w:name="_Toc492900399"/>
      <w:r>
        <w:t>E</w:t>
      </w:r>
      <w:r w:rsidRPr="005B2689">
        <w:t>kteskapsloven</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944062" w:rsidRPr="00D0552B" w:rsidRDefault="001C7EC2" w:rsidP="00944062">
      <w:pPr>
        <w:rPr>
          <w:rFonts w:cs="Times New Roman"/>
          <w:szCs w:val="24"/>
        </w:rPr>
      </w:pPr>
      <w:r>
        <w:rPr>
          <w:rFonts w:cs="Times New Roman"/>
          <w:szCs w:val="24"/>
        </w:rPr>
        <w:t xml:space="preserve">Bestemmelser om ekteskap er gitt i lov </w:t>
      </w:r>
      <w:r w:rsidR="00C44C56">
        <w:rPr>
          <w:rFonts w:cs="Times New Roman"/>
          <w:szCs w:val="24"/>
        </w:rPr>
        <w:t>7. april 1991 nr. 47 om ektesk</w:t>
      </w:r>
      <w:r>
        <w:rPr>
          <w:rFonts w:cs="Times New Roman"/>
          <w:szCs w:val="24"/>
        </w:rPr>
        <w:t>ap</w:t>
      </w:r>
      <w:r w:rsidR="00C44C56">
        <w:rPr>
          <w:rFonts w:cs="Times New Roman"/>
          <w:szCs w:val="24"/>
        </w:rPr>
        <w:t xml:space="preserve"> (ekteskapsloven). Nærmere r</w:t>
      </w:r>
      <w:r w:rsidR="00944062" w:rsidRPr="00D0552B">
        <w:rPr>
          <w:rFonts w:cs="Times New Roman"/>
          <w:szCs w:val="24"/>
        </w:rPr>
        <w:t xml:space="preserve">egulering av vigselsordningene for Den norske kirke og de øvrige tros- og livssynssamfunnene er i </w:t>
      </w:r>
      <w:r w:rsidR="00C44C56">
        <w:rPr>
          <w:rFonts w:cs="Times New Roman"/>
          <w:szCs w:val="24"/>
        </w:rPr>
        <w:t xml:space="preserve">tillegg til </w:t>
      </w:r>
      <w:r w:rsidR="00944062" w:rsidRPr="00D0552B">
        <w:rPr>
          <w:rFonts w:cs="Times New Roman"/>
          <w:szCs w:val="24"/>
        </w:rPr>
        <w:t xml:space="preserve">ekteskapsloven </w:t>
      </w:r>
      <w:r w:rsidR="00CC2F78">
        <w:rPr>
          <w:rFonts w:cs="Times New Roman"/>
          <w:szCs w:val="24"/>
        </w:rPr>
        <w:t>plassert i</w:t>
      </w:r>
      <w:r w:rsidR="00944062" w:rsidRPr="00D0552B">
        <w:rPr>
          <w:rFonts w:cs="Times New Roman"/>
          <w:szCs w:val="24"/>
        </w:rPr>
        <w:t xml:space="preserve"> kirkeloven, trossamfunnsloven og livssynssamfunn</w:t>
      </w:r>
      <w:r w:rsidR="00BA48FA">
        <w:rPr>
          <w:rFonts w:cs="Times New Roman"/>
          <w:szCs w:val="24"/>
        </w:rPr>
        <w:t>sloven</w:t>
      </w:r>
      <w:r w:rsidR="00944062" w:rsidRPr="00D0552B">
        <w:rPr>
          <w:rFonts w:cs="Times New Roman"/>
          <w:szCs w:val="24"/>
        </w:rPr>
        <w:t xml:space="preserve">. </w:t>
      </w:r>
      <w:r w:rsidR="00461431">
        <w:rPr>
          <w:rFonts w:cs="Times New Roman"/>
          <w:szCs w:val="24"/>
        </w:rPr>
        <w:t>A</w:t>
      </w:r>
      <w:r w:rsidR="00944062" w:rsidRPr="00D0552B">
        <w:rPr>
          <w:rFonts w:cs="Times New Roman"/>
          <w:szCs w:val="24"/>
        </w:rPr>
        <w:t xml:space="preserve">nsvaret for regelverket er </w:t>
      </w:r>
      <w:r w:rsidR="00461431">
        <w:rPr>
          <w:rFonts w:cs="Times New Roman"/>
          <w:szCs w:val="24"/>
        </w:rPr>
        <w:t xml:space="preserve">dermed </w:t>
      </w:r>
      <w:r w:rsidR="00944062" w:rsidRPr="00D0552B">
        <w:rPr>
          <w:rFonts w:cs="Times New Roman"/>
          <w:szCs w:val="24"/>
        </w:rPr>
        <w:t>fordelt på Kulturdepartementet og Barne- og likestillingsdepartementet.</w:t>
      </w:r>
    </w:p>
    <w:p w:rsidR="00944062" w:rsidRPr="00D0552B" w:rsidRDefault="00944062" w:rsidP="00944062">
      <w:pPr>
        <w:rPr>
          <w:rFonts w:cs="Times New Roman"/>
          <w:szCs w:val="24"/>
        </w:rPr>
      </w:pPr>
      <w:r w:rsidRPr="00D0552B">
        <w:rPr>
          <w:rFonts w:cs="Times New Roman"/>
          <w:szCs w:val="24"/>
        </w:rPr>
        <w:t>Etter ekteskapsloven § 6 er det folkeregistermyndigheten som har ansvar for å prøve om ekteskapsvilkårene etter loven er oppfylt. Vilkårene, og hvilke bevis som skal legges fram om at de er oppfylt, er nærmere beskrevet i lovens kapittel 2.</w:t>
      </w:r>
    </w:p>
    <w:p w:rsidR="00944062" w:rsidRPr="00D0552B" w:rsidRDefault="00944062" w:rsidP="00944062">
      <w:pPr>
        <w:rPr>
          <w:rFonts w:cs="Times New Roman"/>
          <w:szCs w:val="24"/>
        </w:rPr>
      </w:pPr>
      <w:r w:rsidRPr="00D0552B">
        <w:rPr>
          <w:rFonts w:cs="Times New Roman"/>
          <w:szCs w:val="24"/>
        </w:rPr>
        <w:t>Det framgår av ekteskapsloven § 12</w:t>
      </w:r>
      <w:r>
        <w:rPr>
          <w:rFonts w:cs="Times New Roman"/>
          <w:szCs w:val="24"/>
        </w:rPr>
        <w:t xml:space="preserve"> a</w:t>
      </w:r>
      <w:r w:rsidRPr="00D0552B">
        <w:rPr>
          <w:rFonts w:cs="Times New Roman"/>
          <w:szCs w:val="24"/>
        </w:rPr>
        <w:t xml:space="preserve"> at</w:t>
      </w:r>
      <w:r>
        <w:rPr>
          <w:rFonts w:cs="Times New Roman"/>
          <w:szCs w:val="24"/>
        </w:rPr>
        <w:t>, i tillegg til notarius publicus og norske utenriksstasjoner, kan følgende utføre vigsler: "</w:t>
      </w:r>
      <w:r w:rsidRPr="00D0552B">
        <w:rPr>
          <w:rFonts w:cs="Times New Roman"/>
          <w:szCs w:val="24"/>
        </w:rPr>
        <w:t>prest i Den norske kirke, og prest eller forstander i et registrert trossamfunn, eller seremonileder eller tilsvarende i livssynssamfunn som mottar tilskudd etter lov 12. juni 1981 nr. 64 om tilskott til livssynssamfunn når Kongen har godkjent formen for inngåelse av ekteskap</w:t>
      </w:r>
      <w:r>
        <w:rPr>
          <w:rFonts w:cs="Times New Roman"/>
          <w:szCs w:val="24"/>
        </w:rPr>
        <w:t>"</w:t>
      </w:r>
      <w:r w:rsidRPr="00D0552B">
        <w:rPr>
          <w:rFonts w:cs="Times New Roman"/>
          <w:szCs w:val="24"/>
        </w:rPr>
        <w:t>.</w:t>
      </w:r>
    </w:p>
    <w:p w:rsidR="00944062" w:rsidRPr="00D0552B" w:rsidRDefault="00944062" w:rsidP="00944062">
      <w:pPr>
        <w:rPr>
          <w:rFonts w:cs="Times New Roman"/>
          <w:szCs w:val="24"/>
        </w:rPr>
      </w:pPr>
      <w:r w:rsidRPr="00D0552B">
        <w:rPr>
          <w:rFonts w:cs="Times New Roman"/>
          <w:szCs w:val="24"/>
        </w:rPr>
        <w:lastRenderedPageBreak/>
        <w:t>Hvem som er «prest i Den norske kirke»</w:t>
      </w:r>
      <w:r w:rsidR="00CC2F78">
        <w:rPr>
          <w:rFonts w:cs="Times New Roman"/>
          <w:szCs w:val="24"/>
        </w:rPr>
        <w:t>,</w:t>
      </w:r>
      <w:r w:rsidRPr="00D0552B">
        <w:rPr>
          <w:rFonts w:cs="Times New Roman"/>
          <w:szCs w:val="24"/>
        </w:rPr>
        <w:t xml:space="preserve"> følger av kirkeloven og bestemmelser gitt i medhold av denne. Hvilke samfunn som er «registrert trossamfunn» eller «livssynssamfunn som mottar tilskudd», og hvem som er «prest eller forstander» eller «seremonileder eller tilsvarende» i disse, avgjøres etter henholdsvis trossamfunnsloven, lov om tilskott til livssynssamfunn og ekteskapsloven.</w:t>
      </w:r>
    </w:p>
    <w:p w:rsidR="00944062" w:rsidRPr="00D0552B" w:rsidRDefault="00944062" w:rsidP="00944062">
      <w:pPr>
        <w:rPr>
          <w:rFonts w:cs="Times New Roman"/>
          <w:szCs w:val="24"/>
        </w:rPr>
      </w:pPr>
      <w:r w:rsidRPr="00D0552B">
        <w:rPr>
          <w:rFonts w:cs="Times New Roman"/>
          <w:szCs w:val="24"/>
        </w:rPr>
        <w:t xml:space="preserve">Regler om forstandere </w:t>
      </w:r>
      <w:r>
        <w:rPr>
          <w:rFonts w:cs="Times New Roman"/>
          <w:szCs w:val="24"/>
        </w:rPr>
        <w:t xml:space="preserve">og deres oppgaver </w:t>
      </w:r>
      <w:r w:rsidRPr="00D0552B">
        <w:rPr>
          <w:rFonts w:cs="Times New Roman"/>
          <w:szCs w:val="24"/>
        </w:rPr>
        <w:t>er gitt i trossamfunnsloven</w:t>
      </w:r>
      <w:r>
        <w:rPr>
          <w:rFonts w:cs="Times New Roman"/>
          <w:szCs w:val="24"/>
        </w:rPr>
        <w:t xml:space="preserve">. Regler om </w:t>
      </w:r>
      <w:r w:rsidRPr="00D0552B">
        <w:rPr>
          <w:rFonts w:cs="Times New Roman"/>
          <w:szCs w:val="24"/>
        </w:rPr>
        <w:t>vigselsrett for seremonileder elle</w:t>
      </w:r>
      <w:r w:rsidR="00CC2F78">
        <w:rPr>
          <w:rFonts w:cs="Times New Roman"/>
          <w:szCs w:val="24"/>
        </w:rPr>
        <w:t>r tilsvarende i livssynssamfunn</w:t>
      </w:r>
      <w:r w:rsidRPr="00D0552B">
        <w:rPr>
          <w:rFonts w:cs="Times New Roman"/>
          <w:szCs w:val="24"/>
        </w:rPr>
        <w:t xml:space="preserve"> </w:t>
      </w:r>
      <w:r>
        <w:rPr>
          <w:rFonts w:cs="Times New Roman"/>
          <w:szCs w:val="24"/>
        </w:rPr>
        <w:t>er gitt i</w:t>
      </w:r>
      <w:r w:rsidRPr="00D0552B">
        <w:rPr>
          <w:rFonts w:cs="Times New Roman"/>
          <w:szCs w:val="24"/>
        </w:rPr>
        <w:t xml:space="preserve"> forskrift </w:t>
      </w:r>
      <w:r>
        <w:rPr>
          <w:rFonts w:cs="Times New Roman"/>
          <w:szCs w:val="24"/>
        </w:rPr>
        <w:t xml:space="preserve">med hjemmel i </w:t>
      </w:r>
      <w:r w:rsidRPr="00D0552B">
        <w:rPr>
          <w:rFonts w:cs="Times New Roman"/>
          <w:szCs w:val="24"/>
        </w:rPr>
        <w:t>ekteskapsloven § 12 annet ledd</w:t>
      </w:r>
      <w:r>
        <w:rPr>
          <w:rFonts w:cs="Times New Roman"/>
          <w:szCs w:val="24"/>
        </w:rPr>
        <w:t>.</w:t>
      </w:r>
    </w:p>
    <w:p w:rsidR="00944062" w:rsidRPr="00D0552B" w:rsidRDefault="00944062" w:rsidP="00944062">
      <w:pPr>
        <w:rPr>
          <w:rFonts w:cs="Times New Roman"/>
          <w:szCs w:val="24"/>
        </w:rPr>
      </w:pPr>
      <w:r w:rsidRPr="00D0552B">
        <w:rPr>
          <w:rFonts w:cs="Times New Roman"/>
          <w:szCs w:val="24"/>
        </w:rPr>
        <w:t xml:space="preserve">Etter ekteskapsloven § 12 er det et vilkår for </w:t>
      </w:r>
      <w:r w:rsidR="00CC2F78">
        <w:rPr>
          <w:rFonts w:cs="Times New Roman"/>
          <w:szCs w:val="24"/>
        </w:rPr>
        <w:t xml:space="preserve">vigsel </w:t>
      </w:r>
      <w:r w:rsidRPr="00D0552B">
        <w:rPr>
          <w:rFonts w:cs="Times New Roman"/>
          <w:szCs w:val="24"/>
        </w:rPr>
        <w:t>at «Kongen har godkjent formen for inngåelse av ekteskap». Kongens myndighet er delegert til Barne-, ungdoms- og familiedirektoratet (Bufdir). Den norske kirkes vigselsritual har vært fastsatt av Kongen, i senere år og fram til 2012 av Kirkemøt</w:t>
      </w:r>
      <w:r>
        <w:rPr>
          <w:rFonts w:cs="Times New Roman"/>
          <w:szCs w:val="24"/>
        </w:rPr>
        <w:t>et etter delegasjon fra Kongen.</w:t>
      </w:r>
    </w:p>
    <w:p w:rsidR="00944062" w:rsidRPr="005B2689" w:rsidRDefault="00944062" w:rsidP="00944062">
      <w:pPr>
        <w:pStyle w:val="Overskrift2"/>
      </w:pPr>
      <w:bookmarkStart w:id="376" w:name="_Toc476320907"/>
      <w:bookmarkStart w:id="377" w:name="_Toc477277204"/>
      <w:bookmarkStart w:id="378" w:name="_Toc477535503"/>
      <w:bookmarkStart w:id="379" w:name="_Toc477630636"/>
      <w:bookmarkStart w:id="380" w:name="_Toc477693600"/>
      <w:bookmarkStart w:id="381" w:name="_Toc477703966"/>
      <w:bookmarkStart w:id="382" w:name="_Toc477799171"/>
      <w:bookmarkStart w:id="383" w:name="_Toc477805773"/>
      <w:bookmarkStart w:id="384" w:name="_Toc477878033"/>
      <w:bookmarkStart w:id="385" w:name="_Toc477881434"/>
      <w:bookmarkStart w:id="386" w:name="_Toc477885894"/>
      <w:bookmarkStart w:id="387" w:name="_Toc478131312"/>
      <w:bookmarkStart w:id="388" w:name="_Toc478138696"/>
      <w:bookmarkStart w:id="389" w:name="_Toc478232211"/>
      <w:bookmarkStart w:id="390" w:name="_Toc478237195"/>
      <w:bookmarkStart w:id="391" w:name="_Toc481761747"/>
      <w:bookmarkStart w:id="392" w:name="_Toc492900400"/>
      <w:r w:rsidRPr="005B2689">
        <w:t>Gravferdsloven</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944062" w:rsidRDefault="00944062" w:rsidP="00944062">
      <w:pPr>
        <w:rPr>
          <w:rFonts w:cs="Times New Roman"/>
          <w:szCs w:val="24"/>
        </w:rPr>
      </w:pPr>
      <w:r w:rsidRPr="00003739">
        <w:rPr>
          <w:rFonts w:cs="Times New Roman"/>
          <w:szCs w:val="24"/>
        </w:rPr>
        <w:t>Grav</w:t>
      </w:r>
      <w:r>
        <w:rPr>
          <w:rFonts w:cs="Times New Roman"/>
          <w:szCs w:val="24"/>
        </w:rPr>
        <w:t>plass</w:t>
      </w:r>
      <w:r w:rsidRPr="00003739">
        <w:rPr>
          <w:rFonts w:cs="Times New Roman"/>
          <w:szCs w:val="24"/>
        </w:rPr>
        <w:t xml:space="preserve">forvaltningen </w:t>
      </w:r>
      <w:r>
        <w:rPr>
          <w:rFonts w:cs="Times New Roman"/>
          <w:szCs w:val="24"/>
        </w:rPr>
        <w:t>er regulert i lov 7. juni 1996 nr. 32 om gravplasser, kremasjon og gravferd</w:t>
      </w:r>
      <w:r w:rsidR="00BA48FA">
        <w:rPr>
          <w:rFonts w:cs="Times New Roman"/>
          <w:szCs w:val="24"/>
        </w:rPr>
        <w:t xml:space="preserve"> (gravferdsloven)</w:t>
      </w:r>
      <w:r>
        <w:rPr>
          <w:rFonts w:cs="Times New Roman"/>
          <w:szCs w:val="24"/>
        </w:rPr>
        <w:t xml:space="preserve">, og i tilhørende forskrift 22. januar 2014 nr. 41. </w:t>
      </w:r>
    </w:p>
    <w:p w:rsidR="00944062" w:rsidRDefault="00944062" w:rsidP="00944062">
      <w:pPr>
        <w:rPr>
          <w:rFonts w:cs="Times New Roman"/>
          <w:szCs w:val="24"/>
        </w:rPr>
      </w:pPr>
      <w:r>
        <w:rPr>
          <w:rFonts w:cs="Times New Roman"/>
          <w:szCs w:val="24"/>
        </w:rPr>
        <w:t>I lovgivningen er det blant annet gitt bestemmelser om gravplasser og krematorier, om gravlegging og kremasjon, gravminner, feste av grav og spredning av aske.</w:t>
      </w:r>
    </w:p>
    <w:p w:rsidR="00944062" w:rsidRDefault="00944062" w:rsidP="00944062">
      <w:pPr>
        <w:rPr>
          <w:rFonts w:cs="Times New Roman"/>
          <w:szCs w:val="24"/>
        </w:rPr>
      </w:pPr>
      <w:r>
        <w:rPr>
          <w:rFonts w:cs="Times New Roman"/>
          <w:szCs w:val="24"/>
        </w:rPr>
        <w:t xml:space="preserve">Den grunnleggende bestemmelsen er at ansvaret for forvaltningen og driften av de offentlige gravplassene er tillagt kirkelig fellesråd. Gravlegging skal som hovedregel skje på </w:t>
      </w:r>
      <w:r w:rsidR="00CC2F78">
        <w:rPr>
          <w:rFonts w:cs="Times New Roman"/>
          <w:szCs w:val="24"/>
        </w:rPr>
        <w:t xml:space="preserve">en </w:t>
      </w:r>
      <w:r w:rsidR="003F03ED">
        <w:rPr>
          <w:rFonts w:cs="Times New Roman"/>
          <w:szCs w:val="24"/>
        </w:rPr>
        <w:t>slik offentlig gravplass. D</w:t>
      </w:r>
      <w:r>
        <w:rPr>
          <w:rFonts w:cs="Times New Roman"/>
          <w:szCs w:val="24"/>
        </w:rPr>
        <w:t>en skal gjennomføres med respekt for avdødes religion eller livssyn. Utformingen av religiøse eller livs</w:t>
      </w:r>
      <w:r w:rsidR="003D01CF">
        <w:rPr>
          <w:rFonts w:cs="Times New Roman"/>
          <w:szCs w:val="24"/>
        </w:rPr>
        <w:t>s</w:t>
      </w:r>
      <w:r>
        <w:rPr>
          <w:rFonts w:cs="Times New Roman"/>
          <w:szCs w:val="24"/>
        </w:rPr>
        <w:t>ynsbaserte seremonier</w:t>
      </w:r>
      <w:r w:rsidRPr="00EF6017">
        <w:rPr>
          <w:rFonts w:cs="Times New Roman"/>
          <w:szCs w:val="24"/>
        </w:rPr>
        <w:t xml:space="preserve"> </w:t>
      </w:r>
      <w:r>
        <w:rPr>
          <w:rFonts w:cs="Times New Roman"/>
          <w:szCs w:val="24"/>
        </w:rPr>
        <w:t xml:space="preserve">ved gravferd er ikke lovregulerte spørsmål. </w:t>
      </w:r>
    </w:p>
    <w:p w:rsidR="00944062" w:rsidRDefault="00944062" w:rsidP="00944062">
      <w:pPr>
        <w:rPr>
          <w:rFonts w:cs="Times New Roman"/>
          <w:szCs w:val="24"/>
        </w:rPr>
      </w:pPr>
      <w:r w:rsidRPr="00003739">
        <w:rPr>
          <w:rFonts w:cs="Times New Roman"/>
          <w:szCs w:val="24"/>
        </w:rPr>
        <w:t>Avdøde personer har etter § 6 første ledd rett til fri grav på gravplass i bostedskommunen.</w:t>
      </w:r>
    </w:p>
    <w:p w:rsidR="00944062" w:rsidRDefault="00944062" w:rsidP="00944062">
      <w:pPr>
        <w:rPr>
          <w:rFonts w:cs="Times New Roman"/>
          <w:szCs w:val="24"/>
        </w:rPr>
      </w:pPr>
      <w:r w:rsidRPr="00003739">
        <w:rPr>
          <w:rFonts w:cs="Times New Roman"/>
          <w:szCs w:val="24"/>
        </w:rPr>
        <w:t xml:space="preserve">Gravplassene er </w:t>
      </w:r>
      <w:r>
        <w:rPr>
          <w:rFonts w:cs="Times New Roman"/>
          <w:szCs w:val="24"/>
        </w:rPr>
        <w:t xml:space="preserve">etter </w:t>
      </w:r>
      <w:r w:rsidRPr="00003739">
        <w:rPr>
          <w:rFonts w:cs="Times New Roman"/>
          <w:szCs w:val="24"/>
        </w:rPr>
        <w:t xml:space="preserve">gravferdsloven § 1 fjerde ledd soknets eiendom, med mindre annet følger av </w:t>
      </w:r>
      <w:r>
        <w:rPr>
          <w:rFonts w:cs="Times New Roman"/>
          <w:szCs w:val="24"/>
        </w:rPr>
        <w:t>særskilt</w:t>
      </w:r>
      <w:r w:rsidRPr="00003739">
        <w:rPr>
          <w:rFonts w:cs="Times New Roman"/>
          <w:szCs w:val="24"/>
        </w:rPr>
        <w:t xml:space="preserve"> rettsgrunnlag. </w:t>
      </w:r>
    </w:p>
    <w:p w:rsidR="00944062" w:rsidRDefault="00944062" w:rsidP="00944062">
      <w:pPr>
        <w:rPr>
          <w:rFonts w:cs="Times New Roman"/>
          <w:szCs w:val="24"/>
        </w:rPr>
      </w:pPr>
      <w:r w:rsidRPr="00003739">
        <w:rPr>
          <w:rFonts w:cs="Times New Roman"/>
          <w:szCs w:val="24"/>
        </w:rPr>
        <w:t xml:space="preserve">Kommunen har etter gravferdsloven § 3 annet ledd og kirkeloven § 15 første ledd bokstav b ansvar for å utrede utgiftene til drift og forvaltning av gravplassene. </w:t>
      </w:r>
      <w:r>
        <w:rPr>
          <w:rFonts w:cs="Times New Roman"/>
          <w:szCs w:val="24"/>
        </w:rPr>
        <w:t>Det er kommunen som fastsetter avgifter for bruk av gravkapell, kremasjon og feste av grav etter forslag fra fellesrådet. Kommunen avgjør også ved uenighet hvem det er som sørger for, og beslutter om, gravferden. Dersom ingen sørger for gravferden, skal den besørges av avdødes bostedskommune.</w:t>
      </w:r>
    </w:p>
    <w:p w:rsidR="00944062" w:rsidRPr="00003739" w:rsidRDefault="00944062" w:rsidP="00944062">
      <w:pPr>
        <w:rPr>
          <w:rFonts w:cs="Times New Roman"/>
          <w:szCs w:val="24"/>
        </w:rPr>
      </w:pPr>
      <w:r w:rsidRPr="00003739">
        <w:rPr>
          <w:rFonts w:cs="Times New Roman"/>
          <w:szCs w:val="24"/>
        </w:rPr>
        <w:t>Etter kirkeloven § 15 fjerde ledd kan kommunal tjenesteyting tre i stedet for særskilt bevilgning</w:t>
      </w:r>
      <w:r w:rsidR="003F03ED">
        <w:rPr>
          <w:rFonts w:cs="Times New Roman"/>
          <w:szCs w:val="24"/>
        </w:rPr>
        <w:t xml:space="preserve"> </w:t>
      </w:r>
      <w:r w:rsidR="003F03ED" w:rsidRPr="00003739">
        <w:rPr>
          <w:rFonts w:cs="Times New Roman"/>
          <w:szCs w:val="24"/>
        </w:rPr>
        <w:t>etter avtale med kirkelig fellesråd</w:t>
      </w:r>
      <w:r w:rsidR="003F03ED">
        <w:rPr>
          <w:rFonts w:cs="Times New Roman"/>
          <w:szCs w:val="24"/>
        </w:rPr>
        <w:t>.</w:t>
      </w:r>
      <w:r>
        <w:rPr>
          <w:rFonts w:cs="Times New Roman"/>
          <w:szCs w:val="24"/>
        </w:rPr>
        <w:t xml:space="preserve"> Det innebærer at kommunen i stedet for å </w:t>
      </w:r>
      <w:r w:rsidR="00132FC7">
        <w:rPr>
          <w:rFonts w:cs="Times New Roman"/>
          <w:szCs w:val="24"/>
        </w:rPr>
        <w:t>overføre budsjett</w:t>
      </w:r>
      <w:r>
        <w:rPr>
          <w:rFonts w:cs="Times New Roman"/>
          <w:szCs w:val="24"/>
        </w:rPr>
        <w:t>midler</w:t>
      </w:r>
      <w:r w:rsidR="00132FC7">
        <w:rPr>
          <w:rFonts w:cs="Times New Roman"/>
          <w:szCs w:val="24"/>
        </w:rPr>
        <w:t xml:space="preserve"> til fellesrådet</w:t>
      </w:r>
      <w:r>
        <w:rPr>
          <w:rFonts w:cs="Times New Roman"/>
          <w:szCs w:val="24"/>
        </w:rPr>
        <w:t>, selv kan ivareta deler av dri</w:t>
      </w:r>
      <w:r w:rsidR="003F03ED">
        <w:rPr>
          <w:rFonts w:cs="Times New Roman"/>
          <w:szCs w:val="24"/>
        </w:rPr>
        <w:t>fts- og vedlikeholdsarbeidet gjennom</w:t>
      </w:r>
      <w:r>
        <w:rPr>
          <w:rFonts w:cs="Times New Roman"/>
          <w:szCs w:val="24"/>
        </w:rPr>
        <w:t xml:space="preserve"> </w:t>
      </w:r>
      <w:r w:rsidR="00132FC7">
        <w:rPr>
          <w:rFonts w:cs="Times New Roman"/>
          <w:szCs w:val="24"/>
        </w:rPr>
        <w:t>kommunens</w:t>
      </w:r>
      <w:r>
        <w:rPr>
          <w:rFonts w:cs="Times New Roman"/>
          <w:szCs w:val="24"/>
        </w:rPr>
        <w:t xml:space="preserve"> </w:t>
      </w:r>
      <w:r w:rsidR="00132FC7">
        <w:rPr>
          <w:rFonts w:cs="Times New Roman"/>
          <w:szCs w:val="24"/>
        </w:rPr>
        <w:t xml:space="preserve">egne </w:t>
      </w:r>
      <w:r>
        <w:rPr>
          <w:rFonts w:cs="Times New Roman"/>
          <w:szCs w:val="24"/>
        </w:rPr>
        <w:t xml:space="preserve">ansatte. </w:t>
      </w:r>
    </w:p>
    <w:p w:rsidR="00944062" w:rsidRDefault="00944062" w:rsidP="00944062">
      <w:pPr>
        <w:rPr>
          <w:rFonts w:cs="Times New Roman"/>
          <w:szCs w:val="24"/>
        </w:rPr>
      </w:pPr>
      <w:r w:rsidRPr="00003739">
        <w:rPr>
          <w:rFonts w:cs="Times New Roman"/>
          <w:szCs w:val="24"/>
        </w:rPr>
        <w:t xml:space="preserve">Fellesrådets ansvar </w:t>
      </w:r>
      <w:r>
        <w:rPr>
          <w:rFonts w:cs="Times New Roman"/>
          <w:szCs w:val="24"/>
        </w:rPr>
        <w:t xml:space="preserve">og myndighet </w:t>
      </w:r>
      <w:r w:rsidRPr="00003739">
        <w:rPr>
          <w:rFonts w:cs="Times New Roman"/>
          <w:szCs w:val="24"/>
        </w:rPr>
        <w:t xml:space="preserve">etter gravferdsloven kan i medhold av </w:t>
      </w:r>
      <w:r>
        <w:rPr>
          <w:rFonts w:cs="Times New Roman"/>
          <w:szCs w:val="24"/>
        </w:rPr>
        <w:t xml:space="preserve">gravferdsloven </w:t>
      </w:r>
      <w:r w:rsidRPr="00003739">
        <w:rPr>
          <w:rFonts w:cs="Times New Roman"/>
          <w:szCs w:val="24"/>
        </w:rPr>
        <w:t xml:space="preserve">§ 23 etter avtale mellom fellesrådet og kommunen, og med departementets godkjenning, overføres til kommunen. </w:t>
      </w:r>
      <w:r>
        <w:rPr>
          <w:rFonts w:cs="Times New Roman"/>
          <w:szCs w:val="24"/>
        </w:rPr>
        <w:t>Slik avtale er inngått i fem av landets kommuner.</w:t>
      </w:r>
    </w:p>
    <w:p w:rsidR="00944062" w:rsidRPr="00003739" w:rsidRDefault="00944062" w:rsidP="00944062">
      <w:pPr>
        <w:rPr>
          <w:rFonts w:cs="Times New Roman"/>
          <w:szCs w:val="24"/>
        </w:rPr>
      </w:pPr>
      <w:r w:rsidRPr="00003739">
        <w:rPr>
          <w:rFonts w:cs="Times New Roman"/>
          <w:szCs w:val="24"/>
        </w:rPr>
        <w:t xml:space="preserve">Enkeltvedtak </w:t>
      </w:r>
      <w:r w:rsidR="00132FC7">
        <w:rPr>
          <w:rFonts w:cs="Times New Roman"/>
          <w:szCs w:val="24"/>
        </w:rPr>
        <w:t xml:space="preserve">som </w:t>
      </w:r>
      <w:r w:rsidRPr="00003739">
        <w:rPr>
          <w:rFonts w:cs="Times New Roman"/>
          <w:szCs w:val="24"/>
        </w:rPr>
        <w:t>kirkelig fellesråd har truffet etter gravferdsloven</w:t>
      </w:r>
      <w:r w:rsidR="003F03ED">
        <w:rPr>
          <w:rFonts w:cs="Times New Roman"/>
          <w:szCs w:val="24"/>
        </w:rPr>
        <w:t>,</w:t>
      </w:r>
      <w:r w:rsidRPr="00003739">
        <w:rPr>
          <w:rFonts w:cs="Times New Roman"/>
          <w:szCs w:val="24"/>
        </w:rPr>
        <w:t xml:space="preserve"> kan påklages til bispedømmerådet, som også gir tillatelse til anlegg av ny </w:t>
      </w:r>
      <w:r>
        <w:rPr>
          <w:rFonts w:cs="Times New Roman"/>
          <w:szCs w:val="24"/>
        </w:rPr>
        <w:t>gravplass</w:t>
      </w:r>
      <w:r w:rsidRPr="00003739">
        <w:rPr>
          <w:rFonts w:cs="Times New Roman"/>
          <w:szCs w:val="24"/>
        </w:rPr>
        <w:t xml:space="preserve">, godkjenner plan for </w:t>
      </w:r>
      <w:r>
        <w:rPr>
          <w:rFonts w:cs="Times New Roman"/>
          <w:szCs w:val="24"/>
        </w:rPr>
        <w:t>gravplassen</w:t>
      </w:r>
      <w:r w:rsidRPr="00003739">
        <w:rPr>
          <w:rFonts w:cs="Times New Roman"/>
          <w:szCs w:val="24"/>
        </w:rPr>
        <w:t xml:space="preserve"> </w:t>
      </w:r>
      <w:r w:rsidR="003F03ED">
        <w:rPr>
          <w:rFonts w:cs="Times New Roman"/>
          <w:szCs w:val="24"/>
        </w:rPr>
        <w:t>mv. Denne myndighet</w:t>
      </w:r>
      <w:r w:rsidR="00461431">
        <w:rPr>
          <w:rFonts w:cs="Times New Roman"/>
          <w:szCs w:val="24"/>
        </w:rPr>
        <w:t>en</w:t>
      </w:r>
      <w:r w:rsidR="003F03ED">
        <w:rPr>
          <w:rFonts w:cs="Times New Roman"/>
          <w:szCs w:val="24"/>
        </w:rPr>
        <w:t xml:space="preserve"> ligger til F</w:t>
      </w:r>
      <w:r w:rsidRPr="00003739">
        <w:rPr>
          <w:rFonts w:cs="Times New Roman"/>
          <w:szCs w:val="24"/>
        </w:rPr>
        <w:t xml:space="preserve">ylkesmannen når </w:t>
      </w:r>
      <w:r>
        <w:rPr>
          <w:rFonts w:cs="Times New Roman"/>
          <w:szCs w:val="24"/>
        </w:rPr>
        <w:t>lokal grav</w:t>
      </w:r>
      <w:r w:rsidR="00132FC7">
        <w:rPr>
          <w:rFonts w:cs="Times New Roman"/>
          <w:szCs w:val="24"/>
        </w:rPr>
        <w:t>plass</w:t>
      </w:r>
      <w:r>
        <w:rPr>
          <w:rFonts w:cs="Times New Roman"/>
          <w:szCs w:val="24"/>
        </w:rPr>
        <w:t>myndighet etter avtale utøves</w:t>
      </w:r>
      <w:r w:rsidRPr="00003739">
        <w:rPr>
          <w:rFonts w:cs="Times New Roman"/>
          <w:szCs w:val="24"/>
        </w:rPr>
        <w:t xml:space="preserve"> av kommunen. Saker om a</w:t>
      </w:r>
      <w:r w:rsidR="003F03ED">
        <w:rPr>
          <w:rFonts w:cs="Times New Roman"/>
          <w:szCs w:val="24"/>
        </w:rPr>
        <w:t xml:space="preserve">skespredning og privat gravsted avgjøres i alle </w:t>
      </w:r>
      <w:r w:rsidR="003F03ED">
        <w:rPr>
          <w:rFonts w:cs="Times New Roman"/>
          <w:szCs w:val="24"/>
        </w:rPr>
        <w:lastRenderedPageBreak/>
        <w:t>tilfeller av F</w:t>
      </w:r>
      <w:r w:rsidRPr="00003739">
        <w:rPr>
          <w:rFonts w:cs="Times New Roman"/>
          <w:szCs w:val="24"/>
        </w:rPr>
        <w:t>ylkesmannen, jf. gravferdsloven § 20.</w:t>
      </w:r>
      <w:r w:rsidR="00A04232">
        <w:rPr>
          <w:rFonts w:cs="Times New Roman"/>
          <w:szCs w:val="24"/>
        </w:rPr>
        <w:t xml:space="preserve"> I </w:t>
      </w:r>
      <w:r w:rsidR="008E40C9">
        <w:rPr>
          <w:rFonts w:cs="Times New Roman"/>
          <w:szCs w:val="24"/>
        </w:rPr>
        <w:t>den prakt</w:t>
      </w:r>
      <w:r w:rsidR="00A04232">
        <w:rPr>
          <w:rFonts w:cs="Times New Roman"/>
          <w:szCs w:val="24"/>
        </w:rPr>
        <w:t>is</w:t>
      </w:r>
      <w:r w:rsidR="008E40C9">
        <w:rPr>
          <w:rFonts w:cs="Times New Roman"/>
          <w:szCs w:val="24"/>
        </w:rPr>
        <w:t>ke forvaltningen</w:t>
      </w:r>
      <w:r w:rsidR="00A04232">
        <w:rPr>
          <w:rFonts w:cs="Times New Roman"/>
          <w:szCs w:val="24"/>
        </w:rPr>
        <w:t xml:space="preserve"> er </w:t>
      </w:r>
      <w:r w:rsidR="00132FC7">
        <w:rPr>
          <w:rFonts w:cs="Times New Roman"/>
          <w:szCs w:val="24"/>
        </w:rPr>
        <w:t xml:space="preserve">den særskilte, nasjonale fagstillingen på </w:t>
      </w:r>
      <w:r w:rsidR="00A04232">
        <w:rPr>
          <w:rFonts w:cs="Times New Roman"/>
          <w:szCs w:val="24"/>
        </w:rPr>
        <w:t>gravplass</w:t>
      </w:r>
      <w:r w:rsidR="00132FC7">
        <w:rPr>
          <w:rFonts w:cs="Times New Roman"/>
          <w:szCs w:val="24"/>
        </w:rPr>
        <w:t>området (gravplassr</w:t>
      </w:r>
      <w:r w:rsidR="00CE22FE">
        <w:rPr>
          <w:rFonts w:cs="Times New Roman"/>
          <w:szCs w:val="24"/>
        </w:rPr>
        <w:t>å</w:t>
      </w:r>
      <w:r w:rsidR="00132FC7">
        <w:rPr>
          <w:rFonts w:cs="Times New Roman"/>
          <w:szCs w:val="24"/>
        </w:rPr>
        <w:t xml:space="preserve">dgiveren), </w:t>
      </w:r>
      <w:r w:rsidR="00A04232">
        <w:rPr>
          <w:rFonts w:cs="Times New Roman"/>
          <w:szCs w:val="24"/>
        </w:rPr>
        <w:t xml:space="preserve">som </w:t>
      </w:r>
      <w:r w:rsidR="00CE22FE">
        <w:rPr>
          <w:rFonts w:cs="Times New Roman"/>
          <w:szCs w:val="24"/>
        </w:rPr>
        <w:t>depart</w:t>
      </w:r>
      <w:r w:rsidR="008E40C9">
        <w:rPr>
          <w:rFonts w:cs="Times New Roman"/>
          <w:szCs w:val="24"/>
        </w:rPr>
        <w:t>e</w:t>
      </w:r>
      <w:r w:rsidR="00CE22FE">
        <w:rPr>
          <w:rFonts w:cs="Times New Roman"/>
          <w:szCs w:val="24"/>
        </w:rPr>
        <w:t xml:space="preserve">mentet har opprettet og </w:t>
      </w:r>
      <w:r w:rsidR="008E40C9">
        <w:rPr>
          <w:rFonts w:cs="Times New Roman"/>
          <w:szCs w:val="24"/>
        </w:rPr>
        <w:t xml:space="preserve">som </w:t>
      </w:r>
      <w:r w:rsidR="00CE22FE">
        <w:rPr>
          <w:rFonts w:cs="Times New Roman"/>
          <w:szCs w:val="24"/>
        </w:rPr>
        <w:t>er</w:t>
      </w:r>
      <w:r w:rsidR="00A04232">
        <w:rPr>
          <w:rFonts w:cs="Times New Roman"/>
          <w:szCs w:val="24"/>
        </w:rPr>
        <w:t xml:space="preserve"> tilknyttet ett av bispedømmerådene, en vesentlig faglig ressurs i enkeltsaker.</w:t>
      </w:r>
    </w:p>
    <w:p w:rsidR="00944062" w:rsidRPr="005B2689" w:rsidRDefault="00944062" w:rsidP="00944062">
      <w:pPr>
        <w:rPr>
          <w:rFonts w:cs="Times New Roman"/>
          <w:szCs w:val="24"/>
        </w:rPr>
      </w:pPr>
      <w:r w:rsidRPr="00003739">
        <w:rPr>
          <w:rFonts w:cs="Times New Roman"/>
          <w:szCs w:val="24"/>
        </w:rPr>
        <w:t xml:space="preserve">Etter </w:t>
      </w:r>
      <w:r w:rsidR="003215B6">
        <w:rPr>
          <w:rFonts w:cs="Times New Roman"/>
          <w:szCs w:val="24"/>
        </w:rPr>
        <w:t>trossamfunnsloven</w:t>
      </w:r>
      <w:r w:rsidRPr="00003739">
        <w:rPr>
          <w:rFonts w:cs="Times New Roman"/>
          <w:szCs w:val="24"/>
        </w:rPr>
        <w:t xml:space="preserve"> § 18 første ledd kan "Kongen eller den han gjer fullmakt, (-) samtykkja i at registerført trudomssamfunn får ha eigen gravplass og setja vilkår for dette", jf. gra</w:t>
      </w:r>
      <w:r>
        <w:rPr>
          <w:rFonts w:cs="Times New Roman"/>
          <w:szCs w:val="24"/>
        </w:rPr>
        <w:t>v</w:t>
      </w:r>
      <w:r w:rsidRPr="00003739">
        <w:rPr>
          <w:rFonts w:cs="Times New Roman"/>
          <w:szCs w:val="24"/>
        </w:rPr>
        <w:t>ferdsloven § 1 annet ledd.</w:t>
      </w:r>
      <w:r>
        <w:rPr>
          <w:rFonts w:cs="Times New Roman"/>
          <w:szCs w:val="24"/>
        </w:rPr>
        <w:t xml:space="preserve"> Det er svært få slike gravplasser</w:t>
      </w:r>
      <w:r w:rsidR="003F03ED">
        <w:rPr>
          <w:rFonts w:cs="Times New Roman"/>
          <w:szCs w:val="24"/>
        </w:rPr>
        <w:t xml:space="preserve"> i dag</w:t>
      </w:r>
      <w:r>
        <w:rPr>
          <w:rFonts w:cs="Times New Roman"/>
          <w:szCs w:val="24"/>
        </w:rPr>
        <w:t>.</w:t>
      </w:r>
    </w:p>
    <w:p w:rsidR="00A04232" w:rsidRDefault="00A04232" w:rsidP="00A04232">
      <w:pPr>
        <w:rPr>
          <w:rFonts w:cs="Times New Roman"/>
          <w:szCs w:val="24"/>
        </w:rPr>
      </w:pPr>
      <w:r w:rsidRPr="00C96BC7">
        <w:rPr>
          <w:rFonts w:cs="Times New Roman"/>
          <w:szCs w:val="24"/>
        </w:rPr>
        <w:t>Gravferdsloven ble sist endret i 2011 for bedre å ivareta minoriteten</w:t>
      </w:r>
      <w:r w:rsidR="00CA4BF5">
        <w:rPr>
          <w:rFonts w:cs="Times New Roman"/>
          <w:szCs w:val="24"/>
        </w:rPr>
        <w:t>e</w:t>
      </w:r>
      <w:r w:rsidRPr="00C96BC7">
        <w:rPr>
          <w:rFonts w:cs="Times New Roman"/>
          <w:szCs w:val="24"/>
        </w:rPr>
        <w:t>s behov ved gravferd, i samsvar med kirkeforlikets forutsetninger (St.meld.</w:t>
      </w:r>
      <w:r>
        <w:rPr>
          <w:rFonts w:cs="Times New Roman"/>
          <w:szCs w:val="24"/>
        </w:rPr>
        <w:t xml:space="preserve"> nr. 17 (2007–2008) side 108f). </w:t>
      </w:r>
      <w:r w:rsidRPr="00C96BC7">
        <w:rPr>
          <w:rFonts w:cs="Times New Roman"/>
          <w:szCs w:val="24"/>
        </w:rPr>
        <w:t>De endringene som da ble foreslått i Prop. 81 L (2010–2011), jf. Innst. 393 L (2010–2011)</w:t>
      </w:r>
      <w:r w:rsidR="00461431">
        <w:rPr>
          <w:rFonts w:cs="Times New Roman"/>
          <w:szCs w:val="24"/>
        </w:rPr>
        <w:t>,</w:t>
      </w:r>
      <w:r>
        <w:rPr>
          <w:rFonts w:cs="Times New Roman"/>
          <w:szCs w:val="24"/>
        </w:rPr>
        <w:t xml:space="preserve"> innebar i hovedsak </w:t>
      </w:r>
      <w:r w:rsidRPr="00C24CE8">
        <w:rPr>
          <w:rFonts w:cs="Times New Roman"/>
          <w:szCs w:val="24"/>
        </w:rPr>
        <w:t>at det ble tydeliggjor</w:t>
      </w:r>
      <w:r w:rsidR="00461431">
        <w:rPr>
          <w:rFonts w:cs="Times New Roman"/>
          <w:szCs w:val="24"/>
        </w:rPr>
        <w:t>t</w:t>
      </w:r>
      <w:r w:rsidRPr="00C24CE8">
        <w:rPr>
          <w:rFonts w:cs="Times New Roman"/>
          <w:szCs w:val="24"/>
        </w:rPr>
        <w:t xml:space="preserve"> at gravlegging skal skje med respekt for avdødes religion eller livssyn</w:t>
      </w:r>
      <w:r>
        <w:rPr>
          <w:rFonts w:cs="Times New Roman"/>
          <w:szCs w:val="24"/>
        </w:rPr>
        <w:t xml:space="preserve"> og </w:t>
      </w:r>
      <w:r w:rsidRPr="00C96BC7">
        <w:rPr>
          <w:rFonts w:cs="Times New Roman"/>
          <w:szCs w:val="24"/>
        </w:rPr>
        <w:t>at muligheten for gravlegging i særskilt tilrettelagt grav ble styrket</w:t>
      </w:r>
      <w:r>
        <w:rPr>
          <w:rFonts w:cs="Times New Roman"/>
          <w:szCs w:val="24"/>
        </w:rPr>
        <w:t>. T</w:t>
      </w:r>
      <w:r w:rsidRPr="00C24CE8">
        <w:rPr>
          <w:rFonts w:cs="Times New Roman"/>
          <w:szCs w:val="24"/>
        </w:rPr>
        <w:t>ros- og livssynssamfunn</w:t>
      </w:r>
      <w:r>
        <w:rPr>
          <w:rFonts w:cs="Times New Roman"/>
          <w:szCs w:val="24"/>
        </w:rPr>
        <w:t>ene</w:t>
      </w:r>
      <w:r w:rsidRPr="00C24CE8">
        <w:rPr>
          <w:rFonts w:cs="Times New Roman"/>
          <w:szCs w:val="24"/>
        </w:rPr>
        <w:t xml:space="preserve"> ble likestilt når det gjelder å gjennomføre seremonier ved åpning </w:t>
      </w:r>
      <w:r w:rsidR="00461431">
        <w:rPr>
          <w:rFonts w:cs="Times New Roman"/>
          <w:szCs w:val="24"/>
        </w:rPr>
        <w:t xml:space="preserve">av </w:t>
      </w:r>
      <w:r w:rsidR="00461431" w:rsidRPr="00C24CE8">
        <w:rPr>
          <w:rFonts w:cs="Times New Roman"/>
          <w:szCs w:val="24"/>
        </w:rPr>
        <w:t xml:space="preserve">gravfelt </w:t>
      </w:r>
      <w:r w:rsidR="00461431">
        <w:rPr>
          <w:rFonts w:cs="Times New Roman"/>
          <w:szCs w:val="24"/>
        </w:rPr>
        <w:t xml:space="preserve">eller </w:t>
      </w:r>
      <w:r w:rsidRPr="00C24CE8">
        <w:rPr>
          <w:rFonts w:cs="Times New Roman"/>
          <w:szCs w:val="24"/>
        </w:rPr>
        <w:t>ny gravplass</w:t>
      </w:r>
      <w:r>
        <w:rPr>
          <w:rFonts w:cs="Times New Roman"/>
          <w:szCs w:val="24"/>
        </w:rPr>
        <w:t xml:space="preserve">, og </w:t>
      </w:r>
      <w:r w:rsidRPr="00C96BC7">
        <w:rPr>
          <w:rFonts w:cs="Times New Roman"/>
          <w:szCs w:val="24"/>
        </w:rPr>
        <w:t>det ble etablert et kontaktforum vedrørende gravferd for de ulike tros- og livssynssamfunn</w:t>
      </w:r>
      <w:r w:rsidR="00CE22FE">
        <w:rPr>
          <w:rFonts w:cs="Times New Roman"/>
          <w:szCs w:val="24"/>
        </w:rPr>
        <w:t>ene</w:t>
      </w:r>
      <w:r w:rsidRPr="00C96BC7">
        <w:rPr>
          <w:rFonts w:cs="Times New Roman"/>
          <w:szCs w:val="24"/>
        </w:rPr>
        <w:t xml:space="preserve"> i den enkelte kommune.</w:t>
      </w:r>
    </w:p>
    <w:p w:rsidR="00A04232" w:rsidRPr="005B2689" w:rsidRDefault="00A04232" w:rsidP="00944062">
      <w:pPr>
        <w:rPr>
          <w:rFonts w:cs="Times New Roman"/>
          <w:szCs w:val="24"/>
        </w:rPr>
      </w:pPr>
    </w:p>
    <w:p w:rsidR="00944062" w:rsidRPr="00150737" w:rsidRDefault="00944062" w:rsidP="00944062">
      <w:pPr>
        <w:rPr>
          <w:rStyle w:val="halvfet"/>
        </w:rPr>
      </w:pPr>
      <w:r w:rsidRPr="00150737">
        <w:rPr>
          <w:rStyle w:val="halvfet"/>
        </w:rPr>
        <w:br w:type="page"/>
      </w:r>
    </w:p>
    <w:p w:rsidR="00944062" w:rsidRDefault="00944062" w:rsidP="00944062">
      <w:pPr>
        <w:pStyle w:val="Overskrift1"/>
      </w:pPr>
      <w:bookmarkStart w:id="393" w:name="_Toc477693601"/>
      <w:bookmarkStart w:id="394" w:name="_Toc477703967"/>
      <w:bookmarkStart w:id="395" w:name="_Toc477799172"/>
      <w:bookmarkStart w:id="396" w:name="_Toc477805774"/>
      <w:bookmarkStart w:id="397" w:name="_Toc477878034"/>
      <w:bookmarkStart w:id="398" w:name="_Toc477881435"/>
      <w:bookmarkStart w:id="399" w:name="_Toc477885895"/>
      <w:bookmarkStart w:id="400" w:name="_Toc477277205"/>
      <w:bookmarkStart w:id="401" w:name="_Toc477535504"/>
      <w:bookmarkStart w:id="402" w:name="_Toc477630637"/>
      <w:bookmarkStart w:id="403" w:name="_Toc478131313"/>
      <w:bookmarkStart w:id="404" w:name="_Toc478138697"/>
      <w:bookmarkStart w:id="405" w:name="_Toc478232212"/>
      <w:bookmarkStart w:id="406" w:name="_Toc478237196"/>
      <w:bookmarkStart w:id="407" w:name="_Toc481761748"/>
      <w:bookmarkStart w:id="408" w:name="_Toc492900401"/>
      <w:r>
        <w:lastRenderedPageBreak/>
        <w:t xml:space="preserve">Ordninger i andre </w:t>
      </w:r>
      <w:r w:rsidR="007F495F">
        <w:t xml:space="preserve">nordiske </w:t>
      </w:r>
      <w:r>
        <w:t>land</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6011F6" w:rsidRPr="00594B36" w:rsidRDefault="006011F6" w:rsidP="001E491E">
      <w:pPr>
        <w:pStyle w:val="Overskrift2"/>
      </w:pPr>
      <w:bookmarkStart w:id="409" w:name="_Toc477277206"/>
      <w:bookmarkStart w:id="410" w:name="_Toc477535505"/>
      <w:bookmarkStart w:id="411" w:name="_Toc477630638"/>
      <w:bookmarkStart w:id="412" w:name="_Toc477693602"/>
      <w:bookmarkStart w:id="413" w:name="_Toc477703968"/>
      <w:bookmarkStart w:id="414" w:name="_Toc477799173"/>
      <w:bookmarkStart w:id="415" w:name="_Toc477805775"/>
      <w:bookmarkStart w:id="416" w:name="_Toc477878035"/>
      <w:bookmarkStart w:id="417" w:name="_Toc477881436"/>
      <w:bookmarkStart w:id="418" w:name="_Toc477885896"/>
      <w:bookmarkStart w:id="419" w:name="_Toc478131314"/>
      <w:bookmarkStart w:id="420" w:name="_Toc478138698"/>
      <w:bookmarkStart w:id="421" w:name="_Toc478232213"/>
      <w:bookmarkStart w:id="422" w:name="_Toc478237197"/>
      <w:bookmarkStart w:id="423" w:name="_Toc481761749"/>
      <w:bookmarkStart w:id="424" w:name="_Toc492900402"/>
      <w:r w:rsidRPr="00594B36">
        <w:t>Sverige</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6011F6" w:rsidRPr="00050B82" w:rsidRDefault="006011F6" w:rsidP="006011F6">
      <w:pPr>
        <w:rPr>
          <w:rFonts w:cs="Times New Roman"/>
          <w:szCs w:val="24"/>
        </w:rPr>
      </w:pPr>
      <w:r w:rsidRPr="00050B82">
        <w:rPr>
          <w:rFonts w:cs="Times New Roman"/>
          <w:szCs w:val="24"/>
        </w:rPr>
        <w:t>Ved årtusenskiftet ble det gjennomført endringer i grunnlov, kirkelov og trossamfunnslov i Sverige som medførte endrede relasjoner mellom kirke og stat. Bakgrunnen for endringene var at Svenska kyrkan, dens menigheter og bispedømmer, hadde hatt beskatni</w:t>
      </w:r>
      <w:r>
        <w:rPr>
          <w:rFonts w:cs="Times New Roman"/>
          <w:szCs w:val="24"/>
        </w:rPr>
        <w:t>ngsrett som kirkelige «kommuner»</w:t>
      </w:r>
      <w:r w:rsidRPr="00050B82">
        <w:rPr>
          <w:rFonts w:cs="Times New Roman"/>
          <w:szCs w:val="24"/>
        </w:rPr>
        <w:t>, og at Kyrkomötet hadde vært tillagt formell lovgivningsmyndighet på det kirkelige området. Utgangspunktet for forslagene var prinsippbeslutning</w:t>
      </w:r>
      <w:r>
        <w:rPr>
          <w:rFonts w:cs="Times New Roman"/>
          <w:szCs w:val="24"/>
        </w:rPr>
        <w:t>en</w:t>
      </w:r>
      <w:r w:rsidRPr="00050B82">
        <w:rPr>
          <w:rFonts w:cs="Times New Roman"/>
          <w:szCs w:val="24"/>
        </w:rPr>
        <w:t xml:space="preserve"> om endrede relasjoner mellom staten og Svenska kyrkan som riksdagen fattet i 1995. </w:t>
      </w:r>
    </w:p>
    <w:p w:rsidR="006011F6" w:rsidRDefault="006011F6" w:rsidP="006011F6">
      <w:pPr>
        <w:rPr>
          <w:rFonts w:cs="Times New Roman"/>
          <w:szCs w:val="24"/>
        </w:rPr>
      </w:pPr>
      <w:r>
        <w:rPr>
          <w:rFonts w:cs="Times New Roman"/>
          <w:szCs w:val="24"/>
        </w:rPr>
        <w:t xml:space="preserve">Med </w:t>
      </w:r>
      <w:r w:rsidRPr="00050B82">
        <w:rPr>
          <w:rFonts w:cs="Times New Roman"/>
          <w:i/>
          <w:szCs w:val="24"/>
        </w:rPr>
        <w:t>Lag (1998:1593) om trossamfund</w:t>
      </w:r>
      <w:r w:rsidRPr="00050B82">
        <w:rPr>
          <w:rFonts w:cs="Times New Roman"/>
          <w:szCs w:val="24"/>
        </w:rPr>
        <w:t xml:space="preserve"> </w:t>
      </w:r>
      <w:r>
        <w:rPr>
          <w:rFonts w:cs="Times New Roman"/>
          <w:szCs w:val="24"/>
        </w:rPr>
        <w:t xml:space="preserve">ble det </w:t>
      </w:r>
      <w:r w:rsidRPr="00050B82">
        <w:rPr>
          <w:rFonts w:cs="Times New Roman"/>
          <w:szCs w:val="24"/>
        </w:rPr>
        <w:t xml:space="preserve">innført en </w:t>
      </w:r>
      <w:r>
        <w:rPr>
          <w:rFonts w:cs="Times New Roman"/>
          <w:szCs w:val="24"/>
        </w:rPr>
        <w:t>ny rettslig form eller status («associationsform») som benevnes «registrerat trossamfund»</w:t>
      </w:r>
      <w:r w:rsidRPr="00050B82">
        <w:rPr>
          <w:rFonts w:cs="Times New Roman"/>
          <w:szCs w:val="24"/>
        </w:rPr>
        <w:t xml:space="preserve">. </w:t>
      </w:r>
      <w:r>
        <w:rPr>
          <w:rFonts w:cs="Times New Roman"/>
          <w:szCs w:val="24"/>
        </w:rPr>
        <w:t xml:space="preserve">Med trossamfunn i lovens forstand menes «en gemenskap för religiös verksamhet, i vilken det ingår att anordna gudstjänst» (§ 2). </w:t>
      </w:r>
      <w:r w:rsidRPr="00EF5594">
        <w:rPr>
          <w:rFonts w:cs="Times New Roman"/>
          <w:szCs w:val="24"/>
        </w:rPr>
        <w:t xml:space="preserve">Sekulære </w:t>
      </w:r>
      <w:r>
        <w:rPr>
          <w:rFonts w:cs="Times New Roman"/>
          <w:szCs w:val="24"/>
        </w:rPr>
        <w:t xml:space="preserve">livssynsorganisasjoner, slik som Human-Etisk Forbunds søsterorganisasjon, </w:t>
      </w:r>
      <w:r w:rsidRPr="003E033A">
        <w:rPr>
          <w:rFonts w:cs="Times New Roman"/>
          <w:szCs w:val="24"/>
        </w:rPr>
        <w:t>Humanisterna</w:t>
      </w:r>
      <w:r>
        <w:rPr>
          <w:rFonts w:cs="Times New Roman"/>
          <w:szCs w:val="24"/>
        </w:rPr>
        <w:t>, kan ikke få status som registrert trossamfunn.</w:t>
      </w:r>
    </w:p>
    <w:p w:rsidR="006011F6" w:rsidRDefault="006011F6" w:rsidP="006011F6">
      <w:pPr>
        <w:rPr>
          <w:rFonts w:cs="Times New Roman"/>
          <w:szCs w:val="24"/>
        </w:rPr>
      </w:pPr>
      <w:r>
        <w:rPr>
          <w:rFonts w:cs="Times New Roman"/>
          <w:szCs w:val="24"/>
        </w:rPr>
        <w:t>Med registreringen følger blant annet s</w:t>
      </w:r>
      <w:r w:rsidR="002076BC">
        <w:rPr>
          <w:rFonts w:cs="Times New Roman"/>
          <w:szCs w:val="24"/>
        </w:rPr>
        <w:t>tatus som rettssubjekt: I loven</w:t>
      </w:r>
      <w:r>
        <w:rPr>
          <w:rFonts w:cs="Times New Roman"/>
          <w:szCs w:val="24"/>
        </w:rPr>
        <w:t xml:space="preserve"> § 9 heter det at </w:t>
      </w:r>
      <w:r w:rsidRPr="00BC5001">
        <w:rPr>
          <w:rFonts w:cs="Times New Roman"/>
          <w:szCs w:val="24"/>
        </w:rPr>
        <w:t>«[e]tt trossamfund som har registrerats enligt 7 § får förvärva rättigheter och ta på sig skyldigheter samt föra talan vid domstol och andra myndigheter»</w:t>
      </w:r>
      <w:r>
        <w:rPr>
          <w:rFonts w:cs="Times New Roman"/>
          <w:szCs w:val="24"/>
        </w:rPr>
        <w:t xml:space="preserve"> (ikke-registrerte trossamfunn som oppfyller de formelle kravene til organisasjonsdannelse, kan også få status som rettssubjekt, men ikke etter lag om trossamfund)</w:t>
      </w:r>
      <w:r w:rsidRPr="00BC5001">
        <w:rPr>
          <w:rFonts w:cs="Times New Roman"/>
          <w:szCs w:val="24"/>
        </w:rPr>
        <w:t>.</w:t>
      </w:r>
      <w:r>
        <w:rPr>
          <w:rFonts w:cs="Times New Roman"/>
          <w:szCs w:val="24"/>
        </w:rPr>
        <w:t xml:space="preserve"> </w:t>
      </w:r>
    </w:p>
    <w:p w:rsidR="006011F6" w:rsidRDefault="006011F6" w:rsidP="006011F6">
      <w:pPr>
        <w:rPr>
          <w:rFonts w:cs="Times New Roman"/>
          <w:szCs w:val="24"/>
        </w:rPr>
      </w:pPr>
      <w:r>
        <w:rPr>
          <w:rFonts w:cs="Times New Roman"/>
          <w:szCs w:val="24"/>
        </w:rPr>
        <w:t xml:space="preserve">Etter </w:t>
      </w:r>
      <w:r w:rsidR="003215B6">
        <w:rPr>
          <w:rFonts w:cs="Times New Roman"/>
          <w:szCs w:val="24"/>
        </w:rPr>
        <w:t>loven</w:t>
      </w:r>
      <w:r w:rsidRPr="00050B82">
        <w:rPr>
          <w:rFonts w:cs="Times New Roman"/>
          <w:szCs w:val="24"/>
        </w:rPr>
        <w:t xml:space="preserve"> § 5 er Svenska kyrkan og trossamfunn som registreres i samsvar med loven</w:t>
      </w:r>
      <w:r>
        <w:rPr>
          <w:rFonts w:cs="Times New Roman"/>
          <w:szCs w:val="24"/>
        </w:rPr>
        <w:t xml:space="preserve">, «registrerte trossamfunn». </w:t>
      </w:r>
      <w:r w:rsidRPr="00050B82">
        <w:rPr>
          <w:rFonts w:cs="Times New Roman"/>
          <w:szCs w:val="24"/>
        </w:rPr>
        <w:t xml:space="preserve">Selvstendige organisatoriske deler av </w:t>
      </w:r>
      <w:r>
        <w:rPr>
          <w:rFonts w:cs="Times New Roman"/>
          <w:szCs w:val="24"/>
        </w:rPr>
        <w:t xml:space="preserve">registrerte </w:t>
      </w:r>
      <w:r w:rsidRPr="00050B82">
        <w:rPr>
          <w:rFonts w:cs="Times New Roman"/>
          <w:szCs w:val="24"/>
        </w:rPr>
        <w:t xml:space="preserve">trossamfunn </w:t>
      </w:r>
      <w:r>
        <w:rPr>
          <w:rFonts w:cs="Times New Roman"/>
          <w:szCs w:val="24"/>
        </w:rPr>
        <w:t xml:space="preserve">kan også </w:t>
      </w:r>
      <w:r w:rsidRPr="00050B82">
        <w:rPr>
          <w:rFonts w:cs="Times New Roman"/>
          <w:szCs w:val="24"/>
        </w:rPr>
        <w:t>etter loven § 13 registreres og med det gis samme rettslige status. Svenska kyrkans menigheter, kyrkliga samfälligheter (sammenslutninger av</w:t>
      </w:r>
      <w:r>
        <w:rPr>
          <w:rFonts w:cs="Times New Roman"/>
          <w:szCs w:val="24"/>
        </w:rPr>
        <w:t xml:space="preserve"> menigheter) og bispedømmer er </w:t>
      </w:r>
      <w:r w:rsidRPr="00050B82">
        <w:rPr>
          <w:rFonts w:cs="Times New Roman"/>
          <w:szCs w:val="24"/>
        </w:rPr>
        <w:t xml:space="preserve">etter </w:t>
      </w:r>
      <w:r w:rsidR="003215B6">
        <w:rPr>
          <w:rFonts w:cs="Times New Roman"/>
          <w:szCs w:val="24"/>
        </w:rPr>
        <w:t>loven</w:t>
      </w:r>
      <w:r w:rsidRPr="00050B82">
        <w:rPr>
          <w:rFonts w:cs="Times New Roman"/>
          <w:szCs w:val="24"/>
        </w:rPr>
        <w:t xml:space="preserve"> § 13 organisatoriske deler av Svenska kyrkan. </w:t>
      </w:r>
    </w:p>
    <w:p w:rsidR="006011F6" w:rsidRPr="00001AC6" w:rsidRDefault="006011F6" w:rsidP="006011F6">
      <w:pPr>
        <w:rPr>
          <w:rFonts w:cs="Times New Roman"/>
          <w:szCs w:val="24"/>
        </w:rPr>
      </w:pPr>
      <w:r>
        <w:rPr>
          <w:rFonts w:cs="Times New Roman"/>
          <w:szCs w:val="24"/>
        </w:rPr>
        <w:t xml:space="preserve">For å bli registrert må trossamfunnet ha statutter med bestemmelser om dets formål og om hvordan det tas avgjørelser i samfunnet, </w:t>
      </w:r>
      <w:r w:rsidR="00CE22FE">
        <w:rPr>
          <w:rFonts w:cs="Times New Roman"/>
          <w:szCs w:val="24"/>
        </w:rPr>
        <w:t xml:space="preserve">samt </w:t>
      </w:r>
      <w:r>
        <w:rPr>
          <w:rFonts w:cs="Times New Roman"/>
          <w:szCs w:val="24"/>
        </w:rPr>
        <w:t xml:space="preserve">et styre eller tilsvarende organ. Videre må trossamfunnets navn være egnet til å skille virksomheten fra andres. Loven fastslår også at aksjeselskap, økonomiske foreninger og stiftelser ikke kan registreres etter loven. </w:t>
      </w:r>
      <w:r w:rsidRPr="00001AC6">
        <w:rPr>
          <w:rFonts w:cs="Times New Roman"/>
          <w:szCs w:val="24"/>
        </w:rPr>
        <w:t>Kammarkollegiet</w:t>
      </w:r>
      <w:r>
        <w:rPr>
          <w:rFonts w:cs="Times New Roman"/>
          <w:szCs w:val="24"/>
        </w:rPr>
        <w:t xml:space="preserve">, som er et forvaltningsorgan under Finansdepartementet, avgjør saker om registrering av trossamfunn og fører registeret over trossamfunn. </w:t>
      </w:r>
    </w:p>
    <w:p w:rsidR="006011F6" w:rsidRPr="00E5546F" w:rsidRDefault="006011F6" w:rsidP="006011F6">
      <w:pPr>
        <w:rPr>
          <w:rFonts w:cs="Times New Roman"/>
          <w:szCs w:val="24"/>
        </w:rPr>
      </w:pPr>
      <w:r>
        <w:rPr>
          <w:rFonts w:cs="Times New Roman"/>
          <w:szCs w:val="24"/>
        </w:rPr>
        <w:t>Det er videre</w:t>
      </w:r>
      <w:r w:rsidRPr="00050B82">
        <w:rPr>
          <w:rFonts w:cs="Times New Roman"/>
          <w:szCs w:val="24"/>
        </w:rPr>
        <w:t xml:space="preserve"> gitt en egen kortfattet rammelov om Svenska kyrkan. Hovedinnholdet i </w:t>
      </w:r>
      <w:r w:rsidRPr="00050B82">
        <w:rPr>
          <w:rFonts w:cs="Times New Roman"/>
          <w:i/>
          <w:szCs w:val="24"/>
        </w:rPr>
        <w:t>Lag (1998:1591) om Svenska kyrkan</w:t>
      </w:r>
      <w:r>
        <w:rPr>
          <w:rFonts w:cs="Times New Roman"/>
          <w:szCs w:val="24"/>
        </w:rPr>
        <w:t xml:space="preserve"> er at kirken og dens bispedømmer, </w:t>
      </w:r>
      <w:r w:rsidRPr="00050B82">
        <w:rPr>
          <w:rFonts w:cs="Times New Roman"/>
          <w:szCs w:val="24"/>
        </w:rPr>
        <w:t>menigheter</w:t>
      </w:r>
      <w:r>
        <w:rPr>
          <w:rFonts w:cs="Times New Roman"/>
          <w:szCs w:val="24"/>
        </w:rPr>
        <w:t xml:space="preserve"> og sammenslutninger av menigheter </w:t>
      </w:r>
      <w:r w:rsidRPr="00050B82">
        <w:rPr>
          <w:rFonts w:cs="Times New Roman"/>
          <w:szCs w:val="24"/>
        </w:rPr>
        <w:t>har selvstendig rettslig handleevne. Det er fa</w:t>
      </w:r>
      <w:r>
        <w:rPr>
          <w:rFonts w:cs="Times New Roman"/>
          <w:szCs w:val="24"/>
        </w:rPr>
        <w:t>stsatt at Svenska kyrkan er en «</w:t>
      </w:r>
      <w:r w:rsidRPr="00050B82">
        <w:rPr>
          <w:rFonts w:cs="Times New Roman"/>
          <w:szCs w:val="24"/>
        </w:rPr>
        <w:t>öppen folkkyrka, som i samverkan mellan en demokratisk organisation och kyrkans ämbete bedr</w:t>
      </w:r>
      <w:r>
        <w:rPr>
          <w:rFonts w:cs="Times New Roman"/>
          <w:szCs w:val="24"/>
        </w:rPr>
        <w:t>iver en rikstäckande verksamhet»</w:t>
      </w:r>
      <w:r w:rsidRPr="00050B82">
        <w:rPr>
          <w:rFonts w:cs="Times New Roman"/>
          <w:szCs w:val="24"/>
        </w:rPr>
        <w:t xml:space="preserve"> (2</w:t>
      </w:r>
      <w:r w:rsidR="00AF609D">
        <w:rPr>
          <w:rFonts w:cs="Times New Roman"/>
          <w:szCs w:val="24"/>
        </w:rPr>
        <w:t xml:space="preserve"> §</w:t>
      </w:r>
      <w:r w:rsidRPr="00050B82">
        <w:rPr>
          <w:rFonts w:cs="Times New Roman"/>
          <w:szCs w:val="24"/>
        </w:rPr>
        <w:t>)</w:t>
      </w:r>
      <w:r>
        <w:rPr>
          <w:rFonts w:cs="Times New Roman"/>
          <w:szCs w:val="24"/>
        </w:rPr>
        <w:t>.</w:t>
      </w:r>
      <w:r w:rsidRPr="00050B82">
        <w:rPr>
          <w:rFonts w:cs="Times New Roman"/>
          <w:szCs w:val="24"/>
        </w:rPr>
        <w:t xml:space="preserve"> Videre inneholder loven blant annet bestemmelser om grunnleggende organisatoriske forhold</w:t>
      </w:r>
      <w:r>
        <w:rPr>
          <w:rFonts w:cs="Times New Roman"/>
          <w:szCs w:val="24"/>
        </w:rPr>
        <w:t xml:space="preserve"> –</w:t>
      </w:r>
      <w:r w:rsidRPr="00050B82">
        <w:rPr>
          <w:rFonts w:cs="Times New Roman"/>
          <w:szCs w:val="24"/>
        </w:rPr>
        <w:t xml:space="preserve"> </w:t>
      </w:r>
      <w:r>
        <w:rPr>
          <w:rFonts w:cs="Times New Roman"/>
          <w:szCs w:val="24"/>
        </w:rPr>
        <w:t>om b</w:t>
      </w:r>
      <w:r w:rsidRPr="00050B82">
        <w:rPr>
          <w:rFonts w:cs="Times New Roman"/>
          <w:szCs w:val="24"/>
        </w:rPr>
        <w:t>ispedømmene og kirkemøtet, og om kirkelig eiendom.</w:t>
      </w:r>
      <w:r>
        <w:rPr>
          <w:rFonts w:cs="Times New Roman"/>
          <w:szCs w:val="24"/>
        </w:rPr>
        <w:t xml:space="preserve"> Loven fastslår også at den som tilhører kirken, skal betale lokal og regional </w:t>
      </w:r>
      <w:r>
        <w:rPr>
          <w:rFonts w:cs="Times New Roman"/>
          <w:i/>
          <w:szCs w:val="24"/>
        </w:rPr>
        <w:t>kyrkoavgift</w:t>
      </w:r>
      <w:r w:rsidR="004B48F2">
        <w:rPr>
          <w:rFonts w:cs="Times New Roman"/>
          <w:i/>
          <w:szCs w:val="24"/>
        </w:rPr>
        <w:t xml:space="preserve"> </w:t>
      </w:r>
      <w:r w:rsidR="004B48F2">
        <w:rPr>
          <w:rFonts w:cs="Times New Roman"/>
          <w:szCs w:val="24"/>
        </w:rPr>
        <w:t>(medlemsavgift)</w:t>
      </w:r>
      <w:r>
        <w:rPr>
          <w:rFonts w:cs="Times New Roman"/>
          <w:szCs w:val="24"/>
        </w:rPr>
        <w:t xml:space="preserve">. Beslutningsmyndigheten om lokal og regional avgift ligger etter loven hos henholdsvis menighetene og bispedømmene. </w:t>
      </w:r>
    </w:p>
    <w:p w:rsidR="003215B6" w:rsidRDefault="003215B6" w:rsidP="003215B6">
      <w:pPr>
        <w:rPr>
          <w:rFonts w:cs="Times New Roman"/>
          <w:szCs w:val="24"/>
        </w:rPr>
      </w:pPr>
      <w:r>
        <w:rPr>
          <w:rFonts w:cs="Times New Roman"/>
          <w:szCs w:val="24"/>
        </w:rPr>
        <w:t xml:space="preserve">Lag om trossamfund § 16 gir Svenska kyrkan </w:t>
      </w:r>
      <w:r w:rsidRPr="00050B82">
        <w:rPr>
          <w:rFonts w:cs="Times New Roman"/>
          <w:szCs w:val="24"/>
        </w:rPr>
        <w:t>rett til</w:t>
      </w:r>
      <w:r>
        <w:rPr>
          <w:rFonts w:cs="Times New Roman"/>
          <w:szCs w:val="24"/>
        </w:rPr>
        <w:t xml:space="preserve"> statlig hjelp med blant annet å fastsette og </w:t>
      </w:r>
      <w:r w:rsidRPr="00050B82">
        <w:rPr>
          <w:rFonts w:cs="Times New Roman"/>
          <w:szCs w:val="24"/>
        </w:rPr>
        <w:t xml:space="preserve">inndrive </w:t>
      </w:r>
      <w:r w:rsidRPr="004B48F2">
        <w:rPr>
          <w:rFonts w:cs="Times New Roman"/>
          <w:szCs w:val="24"/>
        </w:rPr>
        <w:t>kyrkoavgift</w:t>
      </w:r>
      <w:r w:rsidR="004B48F2">
        <w:rPr>
          <w:rFonts w:cs="Times New Roman"/>
          <w:szCs w:val="24"/>
        </w:rPr>
        <w:t>en</w:t>
      </w:r>
      <w:r w:rsidRPr="004B48F2">
        <w:rPr>
          <w:rFonts w:cs="Times New Roman"/>
          <w:szCs w:val="24"/>
        </w:rPr>
        <w:t xml:space="preserve"> </w:t>
      </w:r>
      <w:r>
        <w:rPr>
          <w:rFonts w:cs="Times New Roman"/>
          <w:szCs w:val="24"/>
        </w:rPr>
        <w:t xml:space="preserve">fra dem som tilhører kirken. Regjeringen kan beslutte at også andre registrerte trossamfunn skal få slik bistand. </w:t>
      </w:r>
    </w:p>
    <w:p w:rsidR="003215B6" w:rsidRPr="00E5546F" w:rsidRDefault="003215B6" w:rsidP="006011F6">
      <w:pPr>
        <w:rPr>
          <w:rFonts w:cs="Times New Roman"/>
          <w:szCs w:val="24"/>
        </w:rPr>
      </w:pPr>
    </w:p>
    <w:p w:rsidR="006011F6" w:rsidRDefault="006011F6" w:rsidP="006011F6">
      <w:pPr>
        <w:rPr>
          <w:rFonts w:cs="Times New Roman"/>
          <w:szCs w:val="24"/>
        </w:rPr>
      </w:pPr>
      <w:r w:rsidRPr="000744BB">
        <w:rPr>
          <w:rFonts w:cs="Times New Roman"/>
          <w:i/>
          <w:szCs w:val="24"/>
        </w:rPr>
        <w:lastRenderedPageBreak/>
        <w:t xml:space="preserve">Lag (1999:932) om stöd till trossamfund </w:t>
      </w:r>
      <w:r>
        <w:rPr>
          <w:rFonts w:cs="Times New Roman"/>
          <w:szCs w:val="24"/>
        </w:rPr>
        <w:t xml:space="preserve">har som formål å skape forutsetninger for at registrerte trossamfunn utenom Svenska kyrkan kan drive en aktiv og langsiktig religiøs virksomhet i form av gudstjenester, sjelesorg, undervisning og omsorg. </w:t>
      </w:r>
    </w:p>
    <w:p w:rsidR="006011F6" w:rsidRDefault="006011F6" w:rsidP="006011F6">
      <w:pPr>
        <w:rPr>
          <w:rFonts w:cs="Times New Roman"/>
          <w:szCs w:val="24"/>
        </w:rPr>
      </w:pPr>
      <w:r>
        <w:rPr>
          <w:rFonts w:cs="Times New Roman"/>
          <w:szCs w:val="24"/>
        </w:rPr>
        <w:t xml:space="preserve">I </w:t>
      </w:r>
      <w:r>
        <w:rPr>
          <w:rFonts w:cs="Times New Roman"/>
          <w:i/>
          <w:szCs w:val="24"/>
        </w:rPr>
        <w:t xml:space="preserve">Förordning </w:t>
      </w:r>
      <w:r w:rsidRPr="00B91C5B">
        <w:rPr>
          <w:rFonts w:cs="Times New Roman"/>
          <w:i/>
          <w:szCs w:val="24"/>
        </w:rPr>
        <w:t>om statsbidrag till trossamfund</w:t>
      </w:r>
      <w:r>
        <w:rPr>
          <w:rFonts w:cs="Times New Roman"/>
          <w:szCs w:val="24"/>
        </w:rPr>
        <w:t xml:space="preserve"> er trossamfunn definert som «</w:t>
      </w:r>
      <w:r w:rsidRPr="00080E50">
        <w:rPr>
          <w:rFonts w:cs="Times New Roman"/>
          <w:szCs w:val="24"/>
        </w:rPr>
        <w:t>en sammanslutning för religiös verksamhet i vilken det ingår att anordna gudstjänst, eller en grupp av samverkande församlingar eller trossamfund (samverkansorgan)</w:t>
      </w:r>
      <w:r>
        <w:rPr>
          <w:rFonts w:cs="Times New Roman"/>
          <w:szCs w:val="24"/>
        </w:rPr>
        <w:t xml:space="preserve">». </w:t>
      </w:r>
    </w:p>
    <w:p w:rsidR="006011F6" w:rsidRDefault="006011F6" w:rsidP="006011F6">
      <w:pPr>
        <w:rPr>
          <w:rFonts w:cs="Times New Roman"/>
          <w:szCs w:val="24"/>
        </w:rPr>
      </w:pPr>
      <w:r>
        <w:rPr>
          <w:rFonts w:cs="Times New Roman"/>
          <w:szCs w:val="24"/>
        </w:rPr>
        <w:t xml:space="preserve">Etter loven </w:t>
      </w:r>
      <w:r w:rsidR="003215B6">
        <w:rPr>
          <w:rFonts w:cs="Times New Roman"/>
          <w:szCs w:val="24"/>
        </w:rPr>
        <w:t>er det bare</w:t>
      </w:r>
      <w:r>
        <w:rPr>
          <w:rFonts w:cs="Times New Roman"/>
          <w:szCs w:val="24"/>
        </w:rPr>
        <w:t xml:space="preserve"> trossamfunn som bidrar til å opprettholde og styrke de grunnleggende verdiene som samfunnet hviler på, og som er stabilt og har en egen livskraft</w:t>
      </w:r>
      <w:r w:rsidR="003215B6">
        <w:rPr>
          <w:rFonts w:cs="Times New Roman"/>
          <w:szCs w:val="24"/>
        </w:rPr>
        <w:t>, som kan få statsstøtte.</w:t>
      </w:r>
      <w:r>
        <w:rPr>
          <w:rFonts w:cs="Times New Roman"/>
          <w:szCs w:val="24"/>
        </w:rPr>
        <w:t xml:space="preserve"> I </w:t>
      </w:r>
      <w:r>
        <w:rPr>
          <w:rFonts w:cs="Times New Roman"/>
          <w:i/>
          <w:szCs w:val="24"/>
        </w:rPr>
        <w:t xml:space="preserve">Tillämpningsföreskrifter för statsbidrag till trossamfund </w:t>
      </w:r>
      <w:r>
        <w:rPr>
          <w:rFonts w:cs="Times New Roman"/>
          <w:szCs w:val="24"/>
        </w:rPr>
        <w:t>er det fastsatt nærmere regler om vilkår for støtte, bla</w:t>
      </w:r>
      <w:r w:rsidR="00CE22FE">
        <w:rPr>
          <w:rFonts w:cs="Times New Roman"/>
          <w:szCs w:val="24"/>
        </w:rPr>
        <w:t xml:space="preserve">nt annet </w:t>
      </w:r>
      <w:r>
        <w:rPr>
          <w:rFonts w:cs="Times New Roman"/>
          <w:szCs w:val="24"/>
        </w:rPr>
        <w:t xml:space="preserve">må trossamfunnet ha </w:t>
      </w:r>
      <w:r w:rsidR="00CE22FE">
        <w:rPr>
          <w:rFonts w:cs="Times New Roman"/>
          <w:szCs w:val="24"/>
        </w:rPr>
        <w:t xml:space="preserve">hatt </w:t>
      </w:r>
      <w:r>
        <w:rPr>
          <w:rFonts w:cs="Times New Roman"/>
          <w:szCs w:val="24"/>
        </w:rPr>
        <w:t>virksomhet i Sverige i minst fem år, det må betjene</w:t>
      </w:r>
      <w:r w:rsidRPr="00437E6E">
        <w:rPr>
          <w:rFonts w:cs="Times New Roman"/>
          <w:szCs w:val="24"/>
        </w:rPr>
        <w:t xml:space="preserve"> minst 3000 personer</w:t>
      </w:r>
      <w:r>
        <w:rPr>
          <w:rFonts w:cs="Times New Roman"/>
          <w:szCs w:val="24"/>
        </w:rPr>
        <w:t xml:space="preserve"> (samfunn som er en del av et stort internasjonalt trossamfunn, kan få unntak fra kravet), virksomheten skal i hovedsak være finansiert av medlemmer som er bosatt i Sverige, og trossamfunnet må disponere lokaler for sin virksomhet. For at en person skal anses betjent av trossamfunnet og dermed som en «bidragsgrundande person» (tilskuddsutløsende person), stiller forskriftene krav om at vedkommende er et medlem som er innført i trossamfunnets register eller </w:t>
      </w:r>
      <w:r w:rsidR="002076BC">
        <w:rPr>
          <w:rFonts w:cs="Times New Roman"/>
          <w:szCs w:val="24"/>
        </w:rPr>
        <w:t xml:space="preserve">er </w:t>
      </w:r>
      <w:r>
        <w:rPr>
          <w:rFonts w:cs="Times New Roman"/>
          <w:szCs w:val="24"/>
        </w:rPr>
        <w:t xml:space="preserve">en registrert, jevnlig deltaker i trossamfunnets aktiviteter. </w:t>
      </w:r>
    </w:p>
    <w:p w:rsidR="006011F6" w:rsidRDefault="006011F6" w:rsidP="006011F6">
      <w:pPr>
        <w:rPr>
          <w:rFonts w:cs="Times New Roman"/>
          <w:szCs w:val="24"/>
        </w:rPr>
      </w:pPr>
      <w:r>
        <w:rPr>
          <w:rFonts w:cs="Times New Roman"/>
          <w:szCs w:val="24"/>
        </w:rPr>
        <w:t xml:space="preserve">Regjeringen avgjør hvilke trossamfunn og sammenslutninger som kan få statsstøtte. I dag er det 22 støtteberettigede trossamfunn og sammenslutninger av trossamfunn, som alle er listet opp i ovennevnte forordning. </w:t>
      </w:r>
    </w:p>
    <w:p w:rsidR="006011F6" w:rsidRDefault="006011F6" w:rsidP="006011F6">
      <w:pPr>
        <w:rPr>
          <w:rFonts w:cs="Times New Roman"/>
          <w:szCs w:val="24"/>
        </w:rPr>
      </w:pPr>
      <w:r>
        <w:rPr>
          <w:rFonts w:cs="Times New Roman"/>
          <w:szCs w:val="24"/>
        </w:rPr>
        <w:t xml:space="preserve">Statsstøtte kan etter loven gis i to former: som direkte tilskudd og som bistand til innkreving av medlemsavgift. Ved fordeling av direkte tilskudd skal det tas i betraktning om trossamfunnet får bistand til innkreving av medlemsavgift. </w:t>
      </w:r>
    </w:p>
    <w:p w:rsidR="006011F6" w:rsidRDefault="006011F6" w:rsidP="006011F6">
      <w:pPr>
        <w:rPr>
          <w:rFonts w:cs="Times New Roman"/>
          <w:szCs w:val="24"/>
        </w:rPr>
      </w:pPr>
      <w:r>
        <w:rPr>
          <w:rFonts w:cs="Times New Roman"/>
          <w:szCs w:val="24"/>
        </w:rPr>
        <w:t>For</w:t>
      </w:r>
      <w:r w:rsidR="006A429C">
        <w:rPr>
          <w:rFonts w:cs="Times New Roman"/>
          <w:szCs w:val="24"/>
        </w:rPr>
        <w:t>or</w:t>
      </w:r>
      <w:r>
        <w:rPr>
          <w:rFonts w:cs="Times New Roman"/>
          <w:szCs w:val="24"/>
        </w:rPr>
        <w:t xml:space="preserve">dningen om statstilskudd skiller mellom tre typer tilskudd: organisasjons-, virksomhets- og prosjekttilskudd. </w:t>
      </w:r>
    </w:p>
    <w:p w:rsidR="006011F6" w:rsidRDefault="006011F6" w:rsidP="006011F6">
      <w:pPr>
        <w:rPr>
          <w:rFonts w:cs="Times New Roman"/>
          <w:szCs w:val="24"/>
        </w:rPr>
      </w:pPr>
      <w:r w:rsidRPr="006A429C">
        <w:rPr>
          <w:rFonts w:cs="Times New Roman"/>
          <w:i/>
          <w:szCs w:val="24"/>
        </w:rPr>
        <w:t>Organisasjonstilskudd</w:t>
      </w:r>
      <w:r w:rsidRPr="00E9651A">
        <w:rPr>
          <w:rFonts w:cs="Times New Roman"/>
          <w:szCs w:val="24"/>
        </w:rPr>
        <w:t xml:space="preserve"> gis til trossamfunn</w:t>
      </w:r>
      <w:r>
        <w:rPr>
          <w:rFonts w:cs="Times New Roman"/>
          <w:szCs w:val="24"/>
        </w:rPr>
        <w:t xml:space="preserve"> og forsamlinger for at de skal kunne drive en aktiv og langsiktig innrettet religiøs virksomhet sentralt og lokalt. Formålet med tilskudd til lokal virksomhet er å sette forsamlinger i stand til å holde gudstjenester, gi sjelesorg samt drive undervisning og omsorg. Tilskudd til sentral virksomhet skal ikke overstige 10 </w:t>
      </w:r>
      <w:r w:rsidR="004B4097">
        <w:rPr>
          <w:rFonts w:cs="Times New Roman"/>
          <w:szCs w:val="24"/>
        </w:rPr>
        <w:t>pst.</w:t>
      </w:r>
      <w:r>
        <w:rPr>
          <w:rFonts w:cs="Times New Roman"/>
          <w:szCs w:val="24"/>
        </w:rPr>
        <w:t xml:space="preserve"> av trossamfunnets samlede organisasjonstilskudd i løpet av ett år. Mottar trossamfunnet statlig bistand til innkreving av medlemsavgift, skal statens kostnader ved innkrevingen trekkes fra organisasjonstilskuddet.   </w:t>
      </w:r>
    </w:p>
    <w:p w:rsidR="006011F6" w:rsidRDefault="006011F6" w:rsidP="006011F6">
      <w:pPr>
        <w:rPr>
          <w:rFonts w:cs="Times New Roman"/>
          <w:szCs w:val="24"/>
        </w:rPr>
      </w:pPr>
      <w:r w:rsidRPr="006A429C">
        <w:rPr>
          <w:rFonts w:cs="Times New Roman"/>
          <w:i/>
          <w:szCs w:val="24"/>
        </w:rPr>
        <w:t>Virksomhetstilskudd</w:t>
      </w:r>
      <w:r>
        <w:rPr>
          <w:rFonts w:cs="Times New Roman"/>
          <w:szCs w:val="24"/>
        </w:rPr>
        <w:t xml:space="preserve"> gis til bestemte teologiske utdanninger og til åndelig omsorg i</w:t>
      </w:r>
      <w:r w:rsidRPr="00E9651A">
        <w:rPr>
          <w:rFonts w:cs="Times New Roman"/>
          <w:szCs w:val="24"/>
        </w:rPr>
        <w:t xml:space="preserve"> sykehus</w:t>
      </w:r>
      <w:r>
        <w:rPr>
          <w:rFonts w:cs="Times New Roman"/>
          <w:szCs w:val="24"/>
        </w:rPr>
        <w:t xml:space="preserve">. </w:t>
      </w:r>
    </w:p>
    <w:p w:rsidR="006011F6" w:rsidRDefault="006011F6" w:rsidP="006011F6">
      <w:pPr>
        <w:rPr>
          <w:rFonts w:cs="Times New Roman"/>
          <w:szCs w:val="24"/>
        </w:rPr>
      </w:pPr>
      <w:r w:rsidRPr="006A429C">
        <w:rPr>
          <w:rFonts w:cs="Times New Roman"/>
          <w:i/>
          <w:szCs w:val="24"/>
        </w:rPr>
        <w:t>Prosjekttilskudd</w:t>
      </w:r>
      <w:r>
        <w:rPr>
          <w:rFonts w:cs="Times New Roman"/>
          <w:szCs w:val="24"/>
        </w:rPr>
        <w:t xml:space="preserve"> gis til forsamlinger som behøver midlene for å kunne holde lokaler</w:t>
      </w:r>
      <w:r w:rsidRPr="00E9651A">
        <w:rPr>
          <w:rFonts w:cs="Times New Roman"/>
          <w:szCs w:val="24"/>
        </w:rPr>
        <w:t xml:space="preserve"> </w:t>
      </w:r>
      <w:r>
        <w:rPr>
          <w:rFonts w:cs="Times New Roman"/>
          <w:szCs w:val="24"/>
        </w:rPr>
        <w:t xml:space="preserve">til religiøs virksomhet. Tilskudd til lokaler kan gis til anskaffelser gjennom nybygg eller kjøp av lokaler, til ombygging eller istandsetting av lokaler, til tilpassing for personer med nedsatt funksjonsevne, og til sikkerhetstiltak. </w:t>
      </w:r>
    </w:p>
    <w:p w:rsidR="006011F6" w:rsidRDefault="006011F6" w:rsidP="006011F6">
      <w:pPr>
        <w:rPr>
          <w:rFonts w:cs="Times New Roman"/>
          <w:szCs w:val="24"/>
        </w:rPr>
      </w:pPr>
      <w:r>
        <w:rPr>
          <w:rFonts w:cs="Times New Roman"/>
          <w:szCs w:val="24"/>
        </w:rPr>
        <w:t>Trossamfunn og forsamlinger som i hovedsak betjener innvandrere, kan få prosjekttilskudd i maksimum tre år for å bygge opp en sentral eller lokal virksomhet i Sverige. Videre kan det gis prosjekttilskudd til utdanning og videreutdanning av personell i trossamfunn som mangler utdanningsinstitusjoner i Sverige.</w:t>
      </w:r>
    </w:p>
    <w:p w:rsidR="007A1B45" w:rsidRDefault="007A1B45" w:rsidP="006011F6">
      <w:pPr>
        <w:rPr>
          <w:rFonts w:cs="Times New Roman"/>
          <w:szCs w:val="24"/>
        </w:rPr>
      </w:pPr>
      <w:r w:rsidRPr="007A1B45">
        <w:rPr>
          <w:rFonts w:cs="Times New Roman"/>
          <w:szCs w:val="24"/>
        </w:rPr>
        <w:t xml:space="preserve">Tilskuddsordningene for trossamfunnene utenom Svenska kyrkan ble inntil nylig forvaltet av en nemnd, Nämnden för statligt stöd till trossamfund (SST). Organisasjonsformen ble 1. juli 2017 endret fra nemnd til enrådighetsmyndighet (ledes av en direktør). Organet fikk samtidig et nytt navn: Myndigheten för stöd till trossamfund. I tillegg til å forvalte forannevnte </w:t>
      </w:r>
      <w:r w:rsidRPr="007A1B45">
        <w:rPr>
          <w:rFonts w:cs="Times New Roman"/>
          <w:szCs w:val="24"/>
        </w:rPr>
        <w:lastRenderedPageBreak/>
        <w:t xml:space="preserve">tilskuddsordninger skal organet være et ekspertorgan og fremme dialog mellom staten og trossamfunnene. </w:t>
      </w:r>
    </w:p>
    <w:p w:rsidR="006011F6" w:rsidRDefault="006011F6" w:rsidP="006011F6">
      <w:pPr>
        <w:rPr>
          <w:rFonts w:cs="Times New Roman"/>
          <w:szCs w:val="24"/>
        </w:rPr>
      </w:pPr>
      <w:r>
        <w:rPr>
          <w:rFonts w:cs="Times New Roman"/>
          <w:szCs w:val="24"/>
        </w:rPr>
        <w:t xml:space="preserve">Ifølge SST ble det i 2015 utbetalt totalt ca. 92,6 millioner svenske kroner i statstilskudd til trossamfunnene og sammenslutningene. Samlet var det </w:t>
      </w:r>
      <w:r w:rsidRPr="00E314DD">
        <w:rPr>
          <w:rFonts w:cs="Times New Roman"/>
          <w:szCs w:val="24"/>
        </w:rPr>
        <w:t>795</w:t>
      </w:r>
      <w:r>
        <w:rPr>
          <w:rFonts w:cs="Times New Roman"/>
          <w:szCs w:val="24"/>
        </w:rPr>
        <w:t xml:space="preserve"> 482 «bidragsgrundande personer». Den samlede statstilskuddet i 2015 tilsvarte dermed i snitt om lag 116 svenske kroner per tilskuddsutløsende person. </w:t>
      </w:r>
    </w:p>
    <w:p w:rsidR="006011F6" w:rsidRDefault="006011F6" w:rsidP="006011F6">
      <w:pPr>
        <w:rPr>
          <w:rFonts w:cs="Times New Roman"/>
          <w:szCs w:val="24"/>
        </w:rPr>
      </w:pPr>
      <w:r>
        <w:rPr>
          <w:rFonts w:cs="Times New Roman"/>
          <w:szCs w:val="24"/>
        </w:rPr>
        <w:t xml:space="preserve">På grunn av tilskuddsordningenes innretning får ikke samtlige trossamfunn det samme beløpet per tilskuddsutløsende person. Beløpene varierer også innen den enkelte tilskuddstypen. For eksempel mottok </w:t>
      </w:r>
      <w:r w:rsidRPr="00001AC6">
        <w:rPr>
          <w:rFonts w:cs="Times New Roman"/>
          <w:szCs w:val="24"/>
        </w:rPr>
        <w:t>Evangeliska Frikyrkan</w:t>
      </w:r>
      <w:r>
        <w:rPr>
          <w:rFonts w:cs="Times New Roman"/>
          <w:szCs w:val="24"/>
        </w:rPr>
        <w:t xml:space="preserve"> et organisasjonstilskudd på </w:t>
      </w:r>
      <w:r>
        <w:rPr>
          <w:rFonts w:cs="Times New Roman"/>
          <w:szCs w:val="24"/>
        </w:rPr>
        <w:br/>
        <w:t xml:space="preserve">3 518 544 svenske kroner i 2015, hvilket utgjorde 176 kroner per tilskuddsutløsende person. </w:t>
      </w:r>
      <w:r w:rsidRPr="00001AC6">
        <w:rPr>
          <w:rFonts w:cs="Times New Roman"/>
          <w:szCs w:val="24"/>
        </w:rPr>
        <w:t xml:space="preserve">Pingströrelsens </w:t>
      </w:r>
      <w:r>
        <w:rPr>
          <w:rFonts w:cs="Times New Roman"/>
          <w:szCs w:val="24"/>
        </w:rPr>
        <w:t>organisasjonstilskudd var til sammenligning på 77 kroner per tilskuddsutløsende person.</w:t>
      </w:r>
    </w:p>
    <w:p w:rsidR="006011F6" w:rsidRDefault="006011F6" w:rsidP="006011F6">
      <w:pPr>
        <w:rPr>
          <w:rFonts w:cs="Times New Roman"/>
          <w:szCs w:val="24"/>
        </w:rPr>
      </w:pPr>
      <w:r>
        <w:rPr>
          <w:rFonts w:cs="Times New Roman"/>
          <w:szCs w:val="24"/>
        </w:rPr>
        <w:t xml:space="preserve">Statlig bistand til innkreving av medlemsavgift i Svenska kyrkan og andre registrerte trossamfunn er særskilt regulert i </w:t>
      </w:r>
      <w:r>
        <w:rPr>
          <w:rFonts w:cs="Times New Roman"/>
          <w:i/>
          <w:szCs w:val="24"/>
        </w:rPr>
        <w:t>Lag (1999:291) om avgift till registrerat trossamfund</w:t>
      </w:r>
      <w:r>
        <w:rPr>
          <w:rFonts w:cs="Times New Roman"/>
          <w:szCs w:val="24"/>
        </w:rPr>
        <w:t xml:space="preserve">. </w:t>
      </w:r>
    </w:p>
    <w:p w:rsidR="006011F6" w:rsidRPr="007F33F6" w:rsidRDefault="006011F6" w:rsidP="006011F6">
      <w:pPr>
        <w:rPr>
          <w:rFonts w:cs="Times New Roman"/>
          <w:szCs w:val="24"/>
        </w:rPr>
      </w:pPr>
      <w:r>
        <w:rPr>
          <w:rFonts w:cs="Times New Roman"/>
          <w:szCs w:val="24"/>
        </w:rPr>
        <w:t>Flere av</w:t>
      </w:r>
      <w:r w:rsidR="006A429C">
        <w:rPr>
          <w:rFonts w:cs="Times New Roman"/>
          <w:szCs w:val="24"/>
        </w:rPr>
        <w:t xml:space="preserve"> de</w:t>
      </w:r>
      <w:r>
        <w:rPr>
          <w:rFonts w:cs="Times New Roman"/>
          <w:szCs w:val="24"/>
        </w:rPr>
        <w:t xml:space="preserve"> tilskuddsberettigede </w:t>
      </w:r>
      <w:r w:rsidRPr="00E9651A">
        <w:rPr>
          <w:rFonts w:cs="Times New Roman"/>
          <w:szCs w:val="24"/>
        </w:rPr>
        <w:t xml:space="preserve">trossamfunnene er omfattet av ordningen med statlig innkreving av medlemsavgiften. Medlemsavgiften fastsettes av de enkelte trossamfunnene og betales fullt ut av de enkelte medlemmene. Vanligvis velger trossamfunnene samme prosentsats som Svenska kyrkan, det vil si 1 </w:t>
      </w:r>
      <w:r w:rsidR="004B4097">
        <w:rPr>
          <w:rFonts w:cs="Times New Roman"/>
          <w:szCs w:val="24"/>
        </w:rPr>
        <w:t>pst.</w:t>
      </w:r>
      <w:r w:rsidRPr="00E9651A">
        <w:rPr>
          <w:rFonts w:cs="Times New Roman"/>
          <w:szCs w:val="24"/>
        </w:rPr>
        <w:t xml:space="preserve"> av inntekten. De statlige skattemyndighetene sørger for at medlemsavgiften blir innkrevd, og dekker utgiftene i den forbindelse.</w:t>
      </w:r>
      <w:r>
        <w:rPr>
          <w:rFonts w:cs="Times New Roman"/>
          <w:szCs w:val="24"/>
        </w:rPr>
        <w:t xml:space="preserve"> Andre registrerte trossamfunn enn Svenska kyrkan må fremlegge skriftlig samtykke fra personene medlemsav</w:t>
      </w:r>
      <w:r w:rsidR="006A429C">
        <w:rPr>
          <w:rFonts w:cs="Times New Roman"/>
          <w:szCs w:val="24"/>
        </w:rPr>
        <w:t>g</w:t>
      </w:r>
      <w:r>
        <w:rPr>
          <w:rFonts w:cs="Times New Roman"/>
          <w:szCs w:val="24"/>
        </w:rPr>
        <w:t xml:space="preserve">iften skal innkreves fra. Samtykket skal både gjelde plikten til å betale avgiften og at staten skal innkreve den. Inneholder trossamfunnets statutter regler om plikt til å betale avgift til trossamfunnet under ordningen som gjelder for skatter og avgifter etter </w:t>
      </w:r>
      <w:r w:rsidRPr="007F33F6">
        <w:rPr>
          <w:rFonts w:cs="Times New Roman"/>
          <w:i/>
          <w:szCs w:val="24"/>
        </w:rPr>
        <w:t>skattef</w:t>
      </w:r>
      <w:r>
        <w:rPr>
          <w:rFonts w:cs="Times New Roman"/>
          <w:i/>
          <w:szCs w:val="24"/>
        </w:rPr>
        <w:t>örfarandelagen</w:t>
      </w:r>
      <w:r>
        <w:rPr>
          <w:rFonts w:cs="Times New Roman"/>
          <w:szCs w:val="24"/>
        </w:rPr>
        <w:t xml:space="preserve">, anses medlemmet å ha samtykket. Svenska kyrkan og de øvrige trossamfunnene må hvert år innlevere til Skatteverket opplysningene som er nødvendige for innkrevingen, dvs. hvem som er forpliktet til å betale </w:t>
      </w:r>
      <w:r>
        <w:rPr>
          <w:rFonts w:cs="Times New Roman"/>
          <w:i/>
          <w:szCs w:val="24"/>
        </w:rPr>
        <w:t xml:space="preserve">kyrkoavgift </w:t>
      </w:r>
      <w:r>
        <w:rPr>
          <w:rFonts w:cs="Times New Roman"/>
          <w:szCs w:val="24"/>
        </w:rPr>
        <w:t>etter loven om Svenska kyrkan, eller som har eller anses å ha samtykket til å betale medlemsavgift til trossamfunnet, på et medium for automatisk databehandling.</w:t>
      </w:r>
    </w:p>
    <w:p w:rsidR="006011F6" w:rsidRDefault="006011F6" w:rsidP="006011F6">
      <w:pPr>
        <w:rPr>
          <w:rFonts w:cs="Times New Roman"/>
          <w:szCs w:val="24"/>
        </w:rPr>
      </w:pPr>
      <w:r>
        <w:rPr>
          <w:rFonts w:cs="Times New Roman"/>
          <w:szCs w:val="24"/>
        </w:rPr>
        <w:t xml:space="preserve">Rettstvist om statens avslag på Jehovas Vitners søknad om støtte har vært ført fram til Sveriges høyeste forvaltningsdomstol. Blant annet på bakgrunn av dette ble det 30. juni 2016 iverksatt et arbeid for utrede et nytt regelverk om statstøtte til trossamfunn med «förtydligade krav på demokratiske värderingar». Utredningen skal legges fram i januar 2018. </w:t>
      </w:r>
    </w:p>
    <w:p w:rsidR="006011F6" w:rsidRPr="00594B36" w:rsidRDefault="006011F6" w:rsidP="001E491E">
      <w:pPr>
        <w:pStyle w:val="Overskrift2"/>
      </w:pPr>
      <w:bookmarkStart w:id="425" w:name="_Toc477277207"/>
      <w:bookmarkStart w:id="426" w:name="_Toc477535506"/>
      <w:bookmarkStart w:id="427" w:name="_Toc477630639"/>
      <w:bookmarkStart w:id="428" w:name="_Toc477693603"/>
      <w:bookmarkStart w:id="429" w:name="_Toc477703969"/>
      <w:bookmarkStart w:id="430" w:name="_Toc477799174"/>
      <w:bookmarkStart w:id="431" w:name="_Toc477805776"/>
      <w:bookmarkStart w:id="432" w:name="_Toc477878036"/>
      <w:bookmarkStart w:id="433" w:name="_Toc477881437"/>
      <w:bookmarkStart w:id="434" w:name="_Toc477885897"/>
      <w:bookmarkStart w:id="435" w:name="_Toc478131315"/>
      <w:bookmarkStart w:id="436" w:name="_Toc478138699"/>
      <w:bookmarkStart w:id="437" w:name="_Toc478232214"/>
      <w:bookmarkStart w:id="438" w:name="_Toc478237198"/>
      <w:bookmarkStart w:id="439" w:name="_Toc481761750"/>
      <w:bookmarkStart w:id="440" w:name="_Toc492900403"/>
      <w:r w:rsidRPr="00594B36">
        <w:t>Finland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6011F6" w:rsidRDefault="006011F6" w:rsidP="006011F6">
      <w:pPr>
        <w:rPr>
          <w:rFonts w:cs="Times New Roman"/>
          <w:szCs w:val="24"/>
        </w:rPr>
      </w:pPr>
      <w:r>
        <w:rPr>
          <w:rFonts w:cs="Times New Roman"/>
          <w:szCs w:val="24"/>
        </w:rPr>
        <w:t>Grunnloven fastslår i § 11 at enhver har religionsfrihet, og at friheten innbefatter «</w:t>
      </w:r>
      <w:r w:rsidRPr="002F0202">
        <w:rPr>
          <w:rFonts w:cs="Times New Roman"/>
          <w:szCs w:val="24"/>
        </w:rPr>
        <w:t>rätten att bekänna sig till och utöva en religion, rätten att ge uttryck för sin övertygelse och rätten att höra till eller inte höra till ett religiöst samfund</w:t>
      </w:r>
      <w:r>
        <w:rPr>
          <w:rFonts w:cs="Times New Roman"/>
          <w:szCs w:val="24"/>
        </w:rPr>
        <w:t>»</w:t>
      </w:r>
      <w:r w:rsidRPr="002F0202">
        <w:rPr>
          <w:rFonts w:cs="Times New Roman"/>
          <w:szCs w:val="24"/>
        </w:rPr>
        <w:t xml:space="preserve">. </w:t>
      </w:r>
      <w:r>
        <w:rPr>
          <w:rFonts w:cs="Times New Roman"/>
          <w:szCs w:val="24"/>
        </w:rPr>
        <w:t>Videre heter det at «[i]</w:t>
      </w:r>
      <w:r w:rsidRPr="002F0202">
        <w:rPr>
          <w:rFonts w:cs="Times New Roman"/>
          <w:szCs w:val="24"/>
        </w:rPr>
        <w:t>ngen är skyldig att mot sin övertygelse ta del i religionsutövning</w:t>
      </w:r>
      <w:r>
        <w:rPr>
          <w:rFonts w:cs="Times New Roman"/>
          <w:szCs w:val="24"/>
        </w:rPr>
        <w:t xml:space="preserve">». </w:t>
      </w:r>
    </w:p>
    <w:p w:rsidR="006011F6" w:rsidRDefault="006011F6" w:rsidP="006011F6">
      <w:pPr>
        <w:rPr>
          <w:rFonts w:cs="Times New Roman"/>
          <w:szCs w:val="24"/>
        </w:rPr>
      </w:pPr>
      <w:r>
        <w:rPr>
          <w:rFonts w:cs="Times New Roman"/>
          <w:szCs w:val="24"/>
        </w:rPr>
        <w:t xml:space="preserve">To kirker har tradisjonelt </w:t>
      </w:r>
      <w:r w:rsidRPr="00050B82">
        <w:rPr>
          <w:rFonts w:cs="Times New Roman"/>
          <w:szCs w:val="24"/>
        </w:rPr>
        <w:t>hatt en særlig stilling</w:t>
      </w:r>
      <w:r>
        <w:rPr>
          <w:rFonts w:cs="Times New Roman"/>
          <w:szCs w:val="24"/>
        </w:rPr>
        <w:t xml:space="preserve"> og</w:t>
      </w:r>
      <w:r w:rsidRPr="00050B82">
        <w:rPr>
          <w:rFonts w:cs="Times New Roman"/>
          <w:szCs w:val="24"/>
        </w:rPr>
        <w:t xml:space="preserve"> </w:t>
      </w:r>
      <w:r>
        <w:rPr>
          <w:rFonts w:cs="Times New Roman"/>
          <w:szCs w:val="24"/>
        </w:rPr>
        <w:t>kan betegnes som Finlands folkekirker: Den evangelisk-lutherska kyrkan og O</w:t>
      </w:r>
      <w:r w:rsidRPr="00D3078C">
        <w:rPr>
          <w:rFonts w:cs="Times New Roman"/>
          <w:szCs w:val="24"/>
        </w:rPr>
        <w:t>rtodoxa kyrkosamfundet</w:t>
      </w:r>
      <w:r>
        <w:rPr>
          <w:rFonts w:cs="Times New Roman"/>
          <w:szCs w:val="24"/>
        </w:rPr>
        <w:t xml:space="preserve">. Nær 75 </w:t>
      </w:r>
      <w:r w:rsidR="004B4097">
        <w:rPr>
          <w:rFonts w:cs="Times New Roman"/>
          <w:szCs w:val="24"/>
        </w:rPr>
        <w:t>pst.</w:t>
      </w:r>
      <w:r>
        <w:rPr>
          <w:rFonts w:cs="Times New Roman"/>
          <w:szCs w:val="24"/>
        </w:rPr>
        <w:t xml:space="preserve"> av befolkningen tilhører førstnevnte, mens ca. 1 </w:t>
      </w:r>
      <w:r w:rsidR="004B4097">
        <w:rPr>
          <w:rFonts w:cs="Times New Roman"/>
          <w:szCs w:val="24"/>
        </w:rPr>
        <w:t>pst.</w:t>
      </w:r>
      <w:r>
        <w:rPr>
          <w:rFonts w:cs="Times New Roman"/>
          <w:szCs w:val="24"/>
        </w:rPr>
        <w:t xml:space="preserve"> tilhører sistnevnte (2015). Grunnloven og annen lovgivning gir de to kirkene en særskilt tilknytning til staten ved at de har offentligrettslig status (øvrige trossamfunn kan kun oppnå privatrettslig status).</w:t>
      </w:r>
    </w:p>
    <w:p w:rsidR="006011F6" w:rsidRDefault="006011F6" w:rsidP="006011F6">
      <w:pPr>
        <w:rPr>
          <w:rFonts w:cs="Times New Roman"/>
          <w:szCs w:val="24"/>
        </w:rPr>
      </w:pPr>
      <w:r w:rsidRPr="00050B82">
        <w:rPr>
          <w:rFonts w:cs="Times New Roman"/>
          <w:szCs w:val="24"/>
        </w:rPr>
        <w:t>Etter den fin</w:t>
      </w:r>
      <w:r>
        <w:rPr>
          <w:rFonts w:cs="Times New Roman"/>
          <w:szCs w:val="24"/>
        </w:rPr>
        <w:t>ske grunnloven § 76 fastsettes «</w:t>
      </w:r>
      <w:r w:rsidRPr="00050B82">
        <w:rPr>
          <w:rFonts w:cs="Times New Roman"/>
          <w:szCs w:val="24"/>
        </w:rPr>
        <w:t>bestämmelser om den evangelisk-lutherska kyrka</w:t>
      </w:r>
      <w:r>
        <w:rPr>
          <w:rFonts w:cs="Times New Roman"/>
          <w:szCs w:val="24"/>
        </w:rPr>
        <w:t>ns organisation och förvaltning»</w:t>
      </w:r>
      <w:r w:rsidRPr="00050B82">
        <w:rPr>
          <w:rFonts w:cs="Times New Roman"/>
          <w:szCs w:val="24"/>
        </w:rPr>
        <w:t xml:space="preserve"> i kyrkolagen. </w:t>
      </w:r>
      <w:r>
        <w:rPr>
          <w:rFonts w:cs="Times New Roman"/>
          <w:szCs w:val="24"/>
        </w:rPr>
        <w:t xml:space="preserve">Kirkeloven er omfattende, men gir kirken </w:t>
      </w:r>
      <w:r>
        <w:rPr>
          <w:rFonts w:cs="Times New Roman"/>
          <w:szCs w:val="24"/>
        </w:rPr>
        <w:lastRenderedPageBreak/>
        <w:t xml:space="preserve">stor grad av selvstyre. </w:t>
      </w:r>
      <w:r w:rsidRPr="00050B82">
        <w:rPr>
          <w:rFonts w:cs="Times New Roman"/>
          <w:szCs w:val="24"/>
        </w:rPr>
        <w:t xml:space="preserve">Kirkemøtet </w:t>
      </w:r>
      <w:r>
        <w:rPr>
          <w:rFonts w:cs="Times New Roman"/>
          <w:szCs w:val="24"/>
        </w:rPr>
        <w:t xml:space="preserve">har </w:t>
      </w:r>
      <w:r w:rsidRPr="00050B82">
        <w:rPr>
          <w:rFonts w:cs="Times New Roman"/>
          <w:szCs w:val="24"/>
        </w:rPr>
        <w:t xml:space="preserve">initiativrett når det gjelder endring i </w:t>
      </w:r>
      <w:r>
        <w:rPr>
          <w:rFonts w:cs="Times New Roman"/>
          <w:szCs w:val="24"/>
        </w:rPr>
        <w:t>kirke</w:t>
      </w:r>
      <w:r w:rsidRPr="00050B82">
        <w:rPr>
          <w:rFonts w:cs="Times New Roman"/>
          <w:szCs w:val="24"/>
        </w:rPr>
        <w:t xml:space="preserve">loven. Det innebærer at riksdagen bare kan slutte seg til eller avvise de endringsforslag som kirkemøtet vedtar. </w:t>
      </w:r>
      <w:r>
        <w:rPr>
          <w:rFonts w:cs="Times New Roman"/>
          <w:szCs w:val="24"/>
        </w:rPr>
        <w:t>F</w:t>
      </w:r>
      <w:r w:rsidRPr="00050B82">
        <w:rPr>
          <w:rFonts w:cs="Times New Roman"/>
          <w:szCs w:val="24"/>
        </w:rPr>
        <w:t>insk</w:t>
      </w:r>
      <w:r>
        <w:rPr>
          <w:rFonts w:cs="Times New Roman"/>
          <w:szCs w:val="24"/>
        </w:rPr>
        <w:t xml:space="preserve"> kirkerett</w:t>
      </w:r>
      <w:r w:rsidRPr="00050B82">
        <w:rPr>
          <w:rFonts w:cs="Times New Roman"/>
          <w:szCs w:val="24"/>
        </w:rPr>
        <w:t xml:space="preserve"> har samme inndeling s</w:t>
      </w:r>
      <w:r>
        <w:rPr>
          <w:rFonts w:cs="Times New Roman"/>
          <w:szCs w:val="24"/>
        </w:rPr>
        <w:t xml:space="preserve">om den svenske med en kirkelov </w:t>
      </w:r>
      <w:r w:rsidRPr="00050B82">
        <w:rPr>
          <w:rFonts w:cs="Times New Roman"/>
          <w:szCs w:val="24"/>
        </w:rPr>
        <w:t xml:space="preserve">og en mer indrekirkelig </w:t>
      </w:r>
      <w:r>
        <w:rPr>
          <w:rFonts w:cs="Times New Roman"/>
          <w:szCs w:val="24"/>
        </w:rPr>
        <w:t>kirkeordning</w:t>
      </w:r>
      <w:r w:rsidRPr="00050B82">
        <w:rPr>
          <w:rFonts w:cs="Times New Roman"/>
          <w:szCs w:val="24"/>
        </w:rPr>
        <w:t>. Vesentlig p</w:t>
      </w:r>
      <w:r w:rsidR="00CE22FE">
        <w:rPr>
          <w:rFonts w:cs="Times New Roman"/>
          <w:szCs w:val="24"/>
        </w:rPr>
        <w:t xml:space="preserve">å grunn av </w:t>
      </w:r>
      <w:r w:rsidRPr="00050B82">
        <w:rPr>
          <w:rFonts w:cs="Times New Roman"/>
          <w:szCs w:val="24"/>
        </w:rPr>
        <w:t xml:space="preserve">den omtalte initiativretten, er </w:t>
      </w:r>
      <w:r>
        <w:rPr>
          <w:rFonts w:cs="Times New Roman"/>
          <w:szCs w:val="24"/>
        </w:rPr>
        <w:t>imidlertid den finske kirkeloven</w:t>
      </w:r>
      <w:r w:rsidRPr="00050B82">
        <w:rPr>
          <w:rFonts w:cs="Times New Roman"/>
          <w:szCs w:val="24"/>
        </w:rPr>
        <w:t xml:space="preserve"> </w:t>
      </w:r>
      <w:r>
        <w:rPr>
          <w:rFonts w:cs="Times New Roman"/>
          <w:szCs w:val="24"/>
        </w:rPr>
        <w:t>betydelig</w:t>
      </w:r>
      <w:r w:rsidRPr="00050B82">
        <w:rPr>
          <w:rFonts w:cs="Times New Roman"/>
          <w:szCs w:val="24"/>
        </w:rPr>
        <w:t xml:space="preserve"> større og mer detaljert enn den svenske.</w:t>
      </w:r>
      <w:r>
        <w:rPr>
          <w:rFonts w:cs="Times New Roman"/>
          <w:szCs w:val="24"/>
        </w:rPr>
        <w:t xml:space="preserve"> Den evangelisk-lutherske kirken </w:t>
      </w:r>
      <w:r w:rsidRPr="00050B82">
        <w:rPr>
          <w:rFonts w:cs="Times New Roman"/>
          <w:szCs w:val="24"/>
        </w:rPr>
        <w:t>har beskatningsrett</w:t>
      </w:r>
      <w:r>
        <w:rPr>
          <w:rFonts w:cs="Times New Roman"/>
          <w:szCs w:val="24"/>
        </w:rPr>
        <w:t xml:space="preserve"> hjemlet i kirkeloven. Lignende lovgivning finnes også for den ortodokse kirken, men ikke med tilsvarende initiativrett. </w:t>
      </w:r>
    </w:p>
    <w:p w:rsidR="006011F6" w:rsidRDefault="006011F6" w:rsidP="006011F6">
      <w:pPr>
        <w:rPr>
          <w:rFonts w:cs="Times New Roman"/>
          <w:szCs w:val="24"/>
        </w:rPr>
      </w:pPr>
      <w:r>
        <w:rPr>
          <w:rFonts w:cs="Times New Roman"/>
          <w:szCs w:val="24"/>
        </w:rPr>
        <w:t xml:space="preserve">Medlemmene i de to folkekirkene betaler en </w:t>
      </w:r>
      <w:r w:rsidRPr="00C31D23">
        <w:rPr>
          <w:rFonts w:cs="Times New Roman"/>
          <w:i/>
          <w:szCs w:val="24"/>
        </w:rPr>
        <w:t>kyrkoskatt</w:t>
      </w:r>
      <w:r>
        <w:rPr>
          <w:rFonts w:cs="Times New Roman"/>
          <w:szCs w:val="24"/>
        </w:rPr>
        <w:t xml:space="preserve"> på 1–2 </w:t>
      </w:r>
      <w:r w:rsidR="004B4097">
        <w:rPr>
          <w:rFonts w:cs="Times New Roman"/>
          <w:szCs w:val="24"/>
        </w:rPr>
        <w:t>pst.</w:t>
      </w:r>
      <w:r>
        <w:rPr>
          <w:rFonts w:cs="Times New Roman"/>
          <w:szCs w:val="24"/>
        </w:rPr>
        <w:t xml:space="preserve"> av inntekten (skattesatsens størrelse varierer menighetene imellom), som staten krever inn sammen med inntektsskatten. En liten del av kirkeskatten går til dekning av statens innkrevingskostnader. For å slippe skatten må en melde seg ut av kirken.</w:t>
      </w:r>
    </w:p>
    <w:p w:rsidR="006011F6" w:rsidRDefault="006011F6" w:rsidP="006011F6">
      <w:pPr>
        <w:rPr>
          <w:rFonts w:cs="Times New Roman"/>
          <w:szCs w:val="24"/>
        </w:rPr>
      </w:pPr>
      <w:r w:rsidRPr="00050B82">
        <w:rPr>
          <w:rFonts w:cs="Times New Roman"/>
          <w:szCs w:val="24"/>
        </w:rPr>
        <w:t xml:space="preserve">I forbindelse med grunnlovsreformen i år 2000 ble det gjort endringer i bestemmelsene </w:t>
      </w:r>
      <w:r>
        <w:rPr>
          <w:rFonts w:cs="Times New Roman"/>
          <w:szCs w:val="24"/>
        </w:rPr>
        <w:t>om</w:t>
      </w:r>
      <w:r w:rsidRPr="00050B82">
        <w:rPr>
          <w:rFonts w:cs="Times New Roman"/>
          <w:szCs w:val="24"/>
        </w:rPr>
        <w:t xml:space="preserve"> kirker og trossamfunn. Presidenten utnevner ikke lenger biskoper. Religionslovgivningen ble endret slik at det ble gjennomført større grad av likebehandling av alle trossamfunn. </w:t>
      </w:r>
    </w:p>
    <w:p w:rsidR="006011F6" w:rsidRDefault="006011F6" w:rsidP="006011F6">
      <w:pPr>
        <w:rPr>
          <w:rFonts w:cs="Times New Roman"/>
          <w:szCs w:val="24"/>
        </w:rPr>
      </w:pPr>
      <w:r>
        <w:rPr>
          <w:rFonts w:cs="Times New Roman"/>
          <w:szCs w:val="24"/>
        </w:rPr>
        <w:t>Formålet med religionsfrihetslagen er å «</w:t>
      </w:r>
      <w:r w:rsidRPr="004E38B6">
        <w:rPr>
          <w:rFonts w:cs="Times New Roman"/>
          <w:szCs w:val="24"/>
        </w:rPr>
        <w:t>trygga utövandet av den religionsfrihet som föreskrivs i grundlagen</w:t>
      </w:r>
      <w:r>
        <w:rPr>
          <w:rFonts w:cs="Times New Roman"/>
          <w:szCs w:val="24"/>
        </w:rPr>
        <w:t>»</w:t>
      </w:r>
      <w:r w:rsidRPr="004E38B6">
        <w:rPr>
          <w:rFonts w:cs="Times New Roman"/>
          <w:szCs w:val="24"/>
        </w:rPr>
        <w:t xml:space="preserve">. </w:t>
      </w:r>
      <w:r>
        <w:rPr>
          <w:rFonts w:cs="Times New Roman"/>
          <w:szCs w:val="24"/>
        </w:rPr>
        <w:t xml:space="preserve">Etter loven kan andre trossamfunn enn folkekirkene søke om å bli registrert og dermed få adgang til å søke om vigselsmyndighet og økonomisk støtte fra staten. Støtten beregnes på grunnlag av trossamfunnets medlemstall. Ikke-religiøse livssynssamfunn kan ikke bli registrert etter loven. </w:t>
      </w:r>
    </w:p>
    <w:p w:rsidR="006011F6" w:rsidRDefault="006011F6" w:rsidP="006011F6">
      <w:pPr>
        <w:rPr>
          <w:rFonts w:cs="Times New Roman"/>
          <w:szCs w:val="24"/>
        </w:rPr>
      </w:pPr>
      <w:r>
        <w:rPr>
          <w:rFonts w:cs="Times New Roman"/>
          <w:szCs w:val="24"/>
        </w:rPr>
        <w:t>Loven stiller krav til registrerte trossamfunns formål, som skal være å «</w:t>
      </w:r>
      <w:r w:rsidRPr="00A935F9">
        <w:rPr>
          <w:rFonts w:cs="Times New Roman"/>
          <w:szCs w:val="24"/>
        </w:rPr>
        <w:t>ordna och stöda den individuella, gruppbaserade samt offentliga verksamhet som hör till bekännandet och utövandet av religion och som baserar sig på trosbekännelse, skrifter som betraktas som heliga eller på andra sådana särskilt angivna inarbetade grunder för verksamheten som betraktas som heliga</w:t>
      </w:r>
      <w:r>
        <w:rPr>
          <w:rFonts w:cs="Times New Roman"/>
          <w:szCs w:val="24"/>
        </w:rPr>
        <w:t>».Videre heter det i loven at trossamfunnet skal realisere formålet «</w:t>
      </w:r>
      <w:r w:rsidRPr="00A935F9">
        <w:rPr>
          <w:rFonts w:cs="Times New Roman"/>
          <w:szCs w:val="24"/>
        </w:rPr>
        <w:t>med respekt för de grundläggande fri- och rättigheterna och de mänskliga rättigheterna</w:t>
      </w:r>
      <w:r>
        <w:rPr>
          <w:rFonts w:cs="Times New Roman"/>
          <w:szCs w:val="24"/>
        </w:rPr>
        <w:t xml:space="preserve">». Trossamfunnet kan ikke ha økonomisk vinning som formål eller i hovedsak drive økonomisk virksomhet. </w:t>
      </w:r>
    </w:p>
    <w:p w:rsidR="006011F6" w:rsidRDefault="006011F6" w:rsidP="006011F6">
      <w:pPr>
        <w:rPr>
          <w:rFonts w:cs="Times New Roman"/>
          <w:szCs w:val="24"/>
        </w:rPr>
      </w:pPr>
      <w:r>
        <w:rPr>
          <w:rFonts w:cs="Times New Roman"/>
          <w:szCs w:val="24"/>
        </w:rPr>
        <w:t xml:space="preserve">For å bli registrert må trossamfunnet ha minst 20 medlemmer over 18 år og </w:t>
      </w:r>
      <w:proofErr w:type="gramStart"/>
      <w:r>
        <w:rPr>
          <w:rFonts w:cs="Times New Roman"/>
          <w:szCs w:val="24"/>
        </w:rPr>
        <w:t xml:space="preserve">en  </w:t>
      </w:r>
      <w:r>
        <w:rPr>
          <w:rFonts w:cs="Times New Roman"/>
          <w:i/>
          <w:szCs w:val="24"/>
        </w:rPr>
        <w:t>samfundsordning</w:t>
      </w:r>
      <w:proofErr w:type="gramEnd"/>
      <w:r>
        <w:rPr>
          <w:rFonts w:cs="Times New Roman"/>
          <w:i/>
          <w:szCs w:val="24"/>
        </w:rPr>
        <w:t xml:space="preserve"> </w:t>
      </w:r>
      <w:r>
        <w:rPr>
          <w:rFonts w:cs="Times New Roman"/>
          <w:szCs w:val="24"/>
        </w:rPr>
        <w:t xml:space="preserve">(vedtekter/statutter). Loven stiller spesifikke krav til hva statuttene skal inneholde eller omhandle, deriblant trossamfunnets formål og virksomhet, hvordan medlemmer opptas, utøvelse av beslutningsmyndighet i trossamfunnet, antall styremedlemmer, plikt til å betale medlemsavgift, statuttendringer og oppløsning. </w:t>
      </w:r>
    </w:p>
    <w:p w:rsidR="006011F6" w:rsidRDefault="006011F6" w:rsidP="006011F6">
      <w:pPr>
        <w:rPr>
          <w:rFonts w:cs="Times New Roman"/>
          <w:szCs w:val="24"/>
        </w:rPr>
      </w:pPr>
      <w:r>
        <w:rPr>
          <w:rFonts w:cs="Times New Roman"/>
          <w:szCs w:val="24"/>
        </w:rPr>
        <w:t xml:space="preserve">Trossamfunnet må også ha </w:t>
      </w:r>
      <w:r w:rsidRPr="0032341F">
        <w:rPr>
          <w:rFonts w:cs="Times New Roman"/>
          <w:szCs w:val="24"/>
        </w:rPr>
        <w:t xml:space="preserve">en </w:t>
      </w:r>
      <w:r>
        <w:rPr>
          <w:rFonts w:cs="Times New Roman"/>
          <w:szCs w:val="24"/>
        </w:rPr>
        <w:t>«</w:t>
      </w:r>
      <w:r w:rsidRPr="0032341F">
        <w:rPr>
          <w:rFonts w:cs="Times New Roman"/>
          <w:szCs w:val="24"/>
        </w:rPr>
        <w:t>styrelse med en eller flera medlemmar</w:t>
      </w:r>
      <w:r>
        <w:rPr>
          <w:rFonts w:cs="Times New Roman"/>
          <w:szCs w:val="24"/>
        </w:rPr>
        <w:t>»</w:t>
      </w:r>
      <w:r w:rsidRPr="0032341F">
        <w:rPr>
          <w:rFonts w:cs="Times New Roman"/>
          <w:szCs w:val="24"/>
        </w:rPr>
        <w:t xml:space="preserve">. </w:t>
      </w:r>
      <w:r>
        <w:rPr>
          <w:rFonts w:cs="Times New Roman"/>
          <w:szCs w:val="24"/>
        </w:rPr>
        <w:t>Loven stiller flere formelle krav til styringsorganet: «</w:t>
      </w:r>
      <w:r w:rsidRPr="0032341F">
        <w:rPr>
          <w:rFonts w:cs="Times New Roman"/>
          <w:szCs w:val="24"/>
        </w:rPr>
        <w:t>Den som är omyndig eller försatt i konkurs kan inte vara styrelsemedlem. Styrelsen har en ordförande. Ordföranden och minst hälften av styrelsens övriga medlemmar skall ha hemort i Finland, om inte undervisningsministeriet beviljar tillstånd att avvika från detta.</w:t>
      </w:r>
      <w:r>
        <w:rPr>
          <w:rFonts w:cs="Times New Roman"/>
          <w:szCs w:val="24"/>
        </w:rPr>
        <w:t xml:space="preserve">» Det er også et registreringsvilkår at trossamfunnets navn klart skiller seg fra navnene til trossamfunn som allerede er registrert, og at navnet ikke er misvisende. </w:t>
      </w:r>
    </w:p>
    <w:p w:rsidR="006011F6" w:rsidRDefault="006011F6" w:rsidP="006011F6">
      <w:pPr>
        <w:rPr>
          <w:rFonts w:cs="Times New Roman"/>
          <w:szCs w:val="24"/>
        </w:rPr>
      </w:pPr>
      <w:r w:rsidRPr="0032341F">
        <w:rPr>
          <w:rFonts w:cs="Times New Roman"/>
          <w:szCs w:val="24"/>
        </w:rPr>
        <w:t>Patent- och registerstyrelsen</w:t>
      </w:r>
      <w:r>
        <w:rPr>
          <w:rFonts w:cs="Times New Roman"/>
          <w:szCs w:val="24"/>
        </w:rPr>
        <w:t xml:space="preserve"> avgjør saker om registrering av trossamfunn og fører registeret over trossamfunn. Før Patent- och registerstyrelsen fatter vedtak om registrering, skal det innhentes en uttalelse fra en sakkyndig nemnd nedsatt av Undervisningsministeriet. Nemnden, som består av tre medlemmer, skal uttale seg om hvorvidt formålet og virksomheten er i tråd med lovens krav. Blant nemndsmedlemmene skal det være «</w:t>
      </w:r>
      <w:r w:rsidRPr="00C4760E">
        <w:rPr>
          <w:rFonts w:cs="Times New Roman"/>
          <w:szCs w:val="24"/>
        </w:rPr>
        <w:t>sakkunskap i fråga om religioner samt en samhällelig och en juridisk sakkunskap</w:t>
      </w:r>
      <w:r>
        <w:rPr>
          <w:rFonts w:cs="Times New Roman"/>
          <w:szCs w:val="24"/>
        </w:rPr>
        <w:t>»</w:t>
      </w:r>
      <w:r w:rsidRPr="00C4760E">
        <w:rPr>
          <w:rFonts w:cs="Times New Roman"/>
          <w:szCs w:val="24"/>
        </w:rPr>
        <w:t xml:space="preserve">. </w:t>
      </w:r>
      <w:r>
        <w:rPr>
          <w:rFonts w:cs="Times New Roman"/>
          <w:szCs w:val="24"/>
        </w:rPr>
        <w:t xml:space="preserve">Nemnden har et sekretariat bestående av tjenestemenn utpekt av Undervisningsministeriet. </w:t>
      </w:r>
    </w:p>
    <w:p w:rsidR="006011F6" w:rsidRDefault="006011F6" w:rsidP="006011F6">
      <w:pPr>
        <w:rPr>
          <w:rFonts w:cs="Times New Roman"/>
          <w:szCs w:val="24"/>
        </w:rPr>
      </w:pPr>
      <w:r>
        <w:rPr>
          <w:rFonts w:cs="Times New Roman"/>
          <w:szCs w:val="24"/>
        </w:rPr>
        <w:lastRenderedPageBreak/>
        <w:t>Med registreringen følger status som rettssubjekt: Ifølge lovens § 17 kan et registrert trossamfunn «</w:t>
      </w:r>
      <w:r w:rsidRPr="00637AB7">
        <w:rPr>
          <w:rFonts w:cs="Times New Roman"/>
          <w:szCs w:val="24"/>
        </w:rPr>
        <w:t>förvärva rättigheter och ingå förbindelser samt uppträda som part vid domstol och hos andra myndigheter</w:t>
      </w:r>
      <w:r>
        <w:rPr>
          <w:rFonts w:cs="Times New Roman"/>
          <w:szCs w:val="24"/>
        </w:rPr>
        <w:t>»</w:t>
      </w:r>
      <w:r w:rsidRPr="00637AB7">
        <w:rPr>
          <w:rFonts w:cs="Times New Roman"/>
          <w:szCs w:val="24"/>
        </w:rPr>
        <w:t>.</w:t>
      </w:r>
    </w:p>
    <w:p w:rsidR="006011F6" w:rsidRDefault="006011F6" w:rsidP="006011F6">
      <w:pPr>
        <w:rPr>
          <w:rFonts w:cs="Times New Roman"/>
          <w:szCs w:val="24"/>
        </w:rPr>
      </w:pPr>
      <w:r>
        <w:rPr>
          <w:rFonts w:cs="Times New Roman"/>
          <w:szCs w:val="24"/>
        </w:rPr>
        <w:t>Registrerte trossamfunn kan søke om årlige statstilskudd til sin virksomhet. Tilskuddet beregnes på grunnlag av medlemstall. Undervisnings- og kultu</w:t>
      </w:r>
      <w:r w:rsidR="006A429C">
        <w:rPr>
          <w:rFonts w:cs="Times New Roman"/>
          <w:szCs w:val="24"/>
        </w:rPr>
        <w:t>r</w:t>
      </w:r>
      <w:r w:rsidR="00CE22FE">
        <w:rPr>
          <w:rFonts w:cs="Times New Roman"/>
          <w:szCs w:val="24"/>
        </w:rPr>
        <w:t>ministeriet opplyser bl</w:t>
      </w:r>
      <w:r>
        <w:rPr>
          <w:rFonts w:cs="Times New Roman"/>
          <w:szCs w:val="24"/>
        </w:rPr>
        <w:t>a</w:t>
      </w:r>
      <w:r w:rsidR="00CE22FE">
        <w:rPr>
          <w:rFonts w:cs="Times New Roman"/>
          <w:szCs w:val="24"/>
        </w:rPr>
        <w:t xml:space="preserve">nt annet </w:t>
      </w:r>
      <w:r>
        <w:rPr>
          <w:rFonts w:cs="Times New Roman"/>
          <w:szCs w:val="24"/>
        </w:rPr>
        <w:t>følgende om tilskuddet:</w:t>
      </w:r>
    </w:p>
    <w:p w:rsidR="006011F6" w:rsidRPr="00D93AC6" w:rsidRDefault="006011F6" w:rsidP="00856E3F">
      <w:pPr>
        <w:pStyle w:val="blokksit"/>
        <w:rPr>
          <w:rStyle w:val="kursiv"/>
        </w:rPr>
      </w:pPr>
      <w:r w:rsidRPr="00D93AC6">
        <w:rPr>
          <w:rStyle w:val="kursiv"/>
        </w:rPr>
        <w:t>Understöd beviljas registrerade religionssamfund på kalkylmässiga grunder som baserar sig på medlemsantalet. Bidrag beviljas dock inte till sådana samfund som de facto inte har någon verksamhet eller bedriver verksamhet i synnerligen liten skala.</w:t>
      </w:r>
    </w:p>
    <w:p w:rsidR="006011F6" w:rsidRPr="00D93AC6" w:rsidRDefault="006011F6" w:rsidP="00856E3F">
      <w:pPr>
        <w:pStyle w:val="blokksit"/>
        <w:rPr>
          <w:rStyle w:val="kursiv"/>
        </w:rPr>
      </w:pPr>
      <w:r w:rsidRPr="00D93AC6">
        <w:rPr>
          <w:rStyle w:val="kursiv"/>
        </w:rPr>
        <w:t xml:space="preserve">Statsunderstödet får inte vara samfundets enda eller huvudsakliga finansieringskälla. Största delen av finansieringen bör komma från andra källor, till exempel från medlemsavgifter, donationer eller egen medelanskaffning.  </w:t>
      </w:r>
    </w:p>
    <w:p w:rsidR="006011F6" w:rsidRDefault="006011F6" w:rsidP="006011F6">
      <w:pPr>
        <w:rPr>
          <w:rFonts w:cs="Times New Roman"/>
          <w:szCs w:val="24"/>
        </w:rPr>
      </w:pPr>
      <w:r>
        <w:rPr>
          <w:rFonts w:cs="Times New Roman"/>
          <w:szCs w:val="24"/>
        </w:rPr>
        <w:t>23 trossamfunn fikk tilskudd i 2016. Tilskuddene utgjorde til sammen 532 000 euro eller ca. 5 millioner norske kroner. Beløpet tilsvarer ca. 6 kroner per medlem (i 2015).</w:t>
      </w:r>
    </w:p>
    <w:p w:rsidR="006011F6" w:rsidRPr="00050B82" w:rsidRDefault="006011F6" w:rsidP="006011F6">
      <w:pPr>
        <w:rPr>
          <w:rFonts w:cs="Times New Roman"/>
          <w:szCs w:val="24"/>
        </w:rPr>
      </w:pPr>
      <w:r>
        <w:rPr>
          <w:rFonts w:cs="Times New Roman"/>
          <w:szCs w:val="24"/>
        </w:rPr>
        <w:t xml:space="preserve">Etter religionsfrihetslagen er det forbudt å være medlem i flere registrerte trossamfunn samtidig, og opplysninger om medlemskap i trossamfunn registreres i folkeregisteret. Medlemsregisterføring i folkekirkene og i de registrerte trossamfunnene er regulert i en egen lov, </w:t>
      </w:r>
      <w:r>
        <w:rPr>
          <w:rFonts w:cs="Times New Roman"/>
          <w:i/>
          <w:szCs w:val="24"/>
        </w:rPr>
        <w:t>L</w:t>
      </w:r>
      <w:r w:rsidRPr="004E4164">
        <w:rPr>
          <w:rFonts w:cs="Times New Roman"/>
          <w:i/>
          <w:szCs w:val="24"/>
        </w:rPr>
        <w:t>ag om trossamfundens medlemsregister</w:t>
      </w:r>
      <w:r>
        <w:rPr>
          <w:rFonts w:cs="Times New Roman"/>
          <w:szCs w:val="24"/>
        </w:rPr>
        <w:t>.</w:t>
      </w:r>
    </w:p>
    <w:p w:rsidR="006011F6" w:rsidRPr="00CC7EAB" w:rsidRDefault="006011F6" w:rsidP="001E491E">
      <w:pPr>
        <w:pStyle w:val="Overskrift2"/>
      </w:pPr>
      <w:bookmarkStart w:id="441" w:name="_Toc477277208"/>
      <w:bookmarkStart w:id="442" w:name="_Toc477535507"/>
      <w:bookmarkStart w:id="443" w:name="_Toc477630640"/>
      <w:bookmarkStart w:id="444" w:name="_Toc477693604"/>
      <w:bookmarkStart w:id="445" w:name="_Toc477703970"/>
      <w:bookmarkStart w:id="446" w:name="_Toc477799175"/>
      <w:bookmarkStart w:id="447" w:name="_Toc477805777"/>
      <w:bookmarkStart w:id="448" w:name="_Toc477878037"/>
      <w:bookmarkStart w:id="449" w:name="_Toc477881438"/>
      <w:bookmarkStart w:id="450" w:name="_Toc477885898"/>
      <w:bookmarkStart w:id="451" w:name="_Toc478131316"/>
      <w:bookmarkStart w:id="452" w:name="_Toc478138700"/>
      <w:bookmarkStart w:id="453" w:name="_Toc478232215"/>
      <w:bookmarkStart w:id="454" w:name="_Toc478237199"/>
      <w:bookmarkStart w:id="455" w:name="_Toc481761751"/>
      <w:bookmarkStart w:id="456" w:name="_Toc492900404"/>
      <w:r w:rsidRPr="00CC7EAB">
        <w:t>Danmark</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6011F6" w:rsidRDefault="006011F6" w:rsidP="006011F6">
      <w:pPr>
        <w:rPr>
          <w:rFonts w:cs="Times New Roman"/>
          <w:szCs w:val="24"/>
        </w:rPr>
      </w:pPr>
      <w:r w:rsidRPr="00050B82">
        <w:rPr>
          <w:rFonts w:cs="Times New Roman"/>
          <w:szCs w:val="24"/>
        </w:rPr>
        <w:t>Ette</w:t>
      </w:r>
      <w:r>
        <w:rPr>
          <w:rFonts w:cs="Times New Roman"/>
          <w:szCs w:val="24"/>
        </w:rPr>
        <w:t>r den danske grunnloven § 4 er «</w:t>
      </w:r>
      <w:r w:rsidRPr="00050B82">
        <w:rPr>
          <w:rFonts w:cs="Times New Roman"/>
          <w:szCs w:val="24"/>
        </w:rPr>
        <w:t xml:space="preserve">Den evangelisk-lutherske kirke </w:t>
      </w:r>
      <w:r>
        <w:rPr>
          <w:rFonts w:cs="Times New Roman"/>
          <w:szCs w:val="24"/>
        </w:rPr>
        <w:t>[…]</w:t>
      </w:r>
      <w:r w:rsidRPr="00050B82">
        <w:rPr>
          <w:rFonts w:cs="Times New Roman"/>
          <w:szCs w:val="24"/>
        </w:rPr>
        <w:t xml:space="preserve"> den danske folkekirke og understøttes som sådan af staten</w:t>
      </w:r>
      <w:r>
        <w:rPr>
          <w:rFonts w:cs="Times New Roman"/>
          <w:szCs w:val="24"/>
        </w:rPr>
        <w:t>».</w:t>
      </w:r>
      <w:r w:rsidRPr="00050B82">
        <w:rPr>
          <w:rFonts w:cs="Times New Roman"/>
          <w:szCs w:val="24"/>
        </w:rPr>
        <w:t xml:space="preserve"> Etter § 66 or</w:t>
      </w:r>
      <w:r>
        <w:rPr>
          <w:rFonts w:cs="Times New Roman"/>
          <w:szCs w:val="24"/>
        </w:rPr>
        <w:t>dnes «Folkekirkens forfatning […] ved lov»</w:t>
      </w:r>
      <w:r w:rsidRPr="00050B82">
        <w:rPr>
          <w:rFonts w:cs="Times New Roman"/>
          <w:szCs w:val="24"/>
        </w:rPr>
        <w:t xml:space="preserve">. Denne bestemmelsen har ikke ledet til at det ved lovgivning er etablert egne organer for ledelse av kirken på nasjonalt nivå. De alminnelige øverste statsorganene er derfor også de øverste myndigheter i kirkelige anliggender. </w:t>
      </w:r>
      <w:r>
        <w:rPr>
          <w:rFonts w:cs="Times New Roman"/>
          <w:szCs w:val="24"/>
        </w:rPr>
        <w:t>Danmark har ikke en kirkelov; folkekirkens forhold reguleres i alminnelig rett og ved 17 særlige lover.</w:t>
      </w:r>
    </w:p>
    <w:p w:rsidR="006011F6" w:rsidRDefault="006011F6" w:rsidP="006011F6">
      <w:pPr>
        <w:rPr>
          <w:rFonts w:cs="Times New Roman"/>
          <w:szCs w:val="24"/>
        </w:rPr>
      </w:pPr>
      <w:r>
        <w:rPr>
          <w:rFonts w:cs="Times New Roman"/>
          <w:szCs w:val="24"/>
        </w:rPr>
        <w:t>Grunnloven § 67 slår fast at borgerne har rett til «at forene sig i samfund for at dyrke gud på den måde, der stemmer med deres overbevisning, dog at intet læres eller foretages som strider mod sædeligheden eller den offentlige orden». Etter grunnloven § 69 ordnes de «fra folkekirken afvigende trossamfunds forhold […] ved lov». Slik lovgivning foreligger ikke, men regler for andre trossamfunn er utformet gjennom retningslinjer fra Kirkeministeriet og gjennom religionspolitisk praksis.</w:t>
      </w:r>
    </w:p>
    <w:p w:rsidR="006011F6" w:rsidRDefault="006011F6" w:rsidP="006011F6">
      <w:pPr>
        <w:rPr>
          <w:rFonts w:cs="Times New Roman"/>
          <w:szCs w:val="24"/>
        </w:rPr>
      </w:pPr>
      <w:r>
        <w:rPr>
          <w:rFonts w:cs="Times New Roman"/>
          <w:szCs w:val="24"/>
        </w:rPr>
        <w:t xml:space="preserve">Etter grunnlovens § 68 er ingen «pligtige at yde personlige bidrag til nogen anden gudsdyrkelse end den, som er hans egen». </w:t>
      </w:r>
    </w:p>
    <w:p w:rsidR="006011F6" w:rsidRDefault="006011F6" w:rsidP="006011F6">
      <w:pPr>
        <w:rPr>
          <w:rFonts w:cs="Times New Roman"/>
          <w:szCs w:val="24"/>
        </w:rPr>
      </w:pPr>
      <w:r>
        <w:rPr>
          <w:rFonts w:cs="Times New Roman"/>
          <w:szCs w:val="24"/>
        </w:rPr>
        <w:t>Folkek</w:t>
      </w:r>
      <w:r w:rsidRPr="00050B82">
        <w:rPr>
          <w:rFonts w:cs="Times New Roman"/>
          <w:szCs w:val="24"/>
        </w:rPr>
        <w:t xml:space="preserve">irkens utgifter dekkes </w:t>
      </w:r>
      <w:r>
        <w:rPr>
          <w:rFonts w:cs="Times New Roman"/>
          <w:szCs w:val="24"/>
        </w:rPr>
        <w:t xml:space="preserve">gjennom skattlegging av kirkens medlemmer </w:t>
      </w:r>
      <w:r w:rsidRPr="00050B82">
        <w:rPr>
          <w:rFonts w:cs="Times New Roman"/>
          <w:szCs w:val="24"/>
        </w:rPr>
        <w:t>og ved statstilskudd</w:t>
      </w:r>
      <w:r>
        <w:rPr>
          <w:rFonts w:cs="Times New Roman"/>
          <w:szCs w:val="24"/>
        </w:rPr>
        <w:t xml:space="preserve"> (til lønn, pensjon og bevaringsverdige kirker). Utgiftene til innkrevingen av kirkeskatt dekkes av staten. </w:t>
      </w:r>
      <w:r w:rsidRPr="00050B82">
        <w:rPr>
          <w:rFonts w:cs="Times New Roman"/>
          <w:szCs w:val="24"/>
        </w:rPr>
        <w:t>Den kirkelige beskatningen består dels av landsligning, dels av lokal lignin</w:t>
      </w:r>
      <w:r>
        <w:rPr>
          <w:rFonts w:cs="Times New Roman"/>
          <w:szCs w:val="24"/>
        </w:rPr>
        <w:t>g. Ved overføringer til og fra «fællesfondet»</w:t>
      </w:r>
      <w:r w:rsidRPr="00050B82">
        <w:rPr>
          <w:rFonts w:cs="Times New Roman"/>
          <w:szCs w:val="24"/>
        </w:rPr>
        <w:t xml:space="preserve"> og ved fordelingen av statstilskuddet utjevnes de økonomiske forskjellene mellom lokalmenighetene.</w:t>
      </w:r>
      <w:r>
        <w:rPr>
          <w:rFonts w:cs="Times New Roman"/>
          <w:szCs w:val="24"/>
        </w:rPr>
        <w:t xml:space="preserve"> </w:t>
      </w:r>
    </w:p>
    <w:p w:rsidR="006011F6" w:rsidRDefault="006011F6" w:rsidP="006011F6">
      <w:pPr>
        <w:rPr>
          <w:rFonts w:cs="Times New Roman"/>
          <w:szCs w:val="24"/>
        </w:rPr>
      </w:pPr>
      <w:r>
        <w:rPr>
          <w:rFonts w:cs="Times New Roman"/>
          <w:szCs w:val="24"/>
        </w:rPr>
        <w:t xml:space="preserve">Andre trossamfunn enn folkekirken får verken støtte til innkreving av medlemsavgift eller direkte statstilskudd. </w:t>
      </w:r>
      <w:r w:rsidR="00B70E0C">
        <w:rPr>
          <w:rFonts w:cs="Times New Roman"/>
          <w:szCs w:val="24"/>
        </w:rPr>
        <w:t xml:space="preserve">«[E]n gruppe af myndige borgere (dvs. over 18 år), som tilhører en bestemt religion», kan </w:t>
      </w:r>
      <w:r w:rsidR="00C8688C">
        <w:rPr>
          <w:rFonts w:cs="Times New Roman"/>
          <w:szCs w:val="24"/>
        </w:rPr>
        <w:t xml:space="preserve">imidlertid </w:t>
      </w:r>
      <w:r w:rsidR="00B70E0C">
        <w:rPr>
          <w:rFonts w:cs="Times New Roman"/>
          <w:szCs w:val="24"/>
        </w:rPr>
        <w:t xml:space="preserve">søke om godkjenning som trossamfunn og dermed </w:t>
      </w:r>
      <w:r>
        <w:rPr>
          <w:rFonts w:cs="Times New Roman"/>
          <w:szCs w:val="24"/>
        </w:rPr>
        <w:t>få tildelt visse oppgaver og rettigheter</w:t>
      </w:r>
      <w:r w:rsidR="00B70E0C">
        <w:rPr>
          <w:rFonts w:cs="Times New Roman"/>
          <w:szCs w:val="24"/>
        </w:rPr>
        <w:t xml:space="preserve">. </w:t>
      </w:r>
      <w:r>
        <w:rPr>
          <w:rFonts w:cs="Times New Roman"/>
          <w:szCs w:val="24"/>
        </w:rPr>
        <w:t xml:space="preserve">Det gjelder vigselsmyndighet, fritak for selskaps- og eiendomsskatt, skattefradrag for medlemmer som betaler til trossamfunnet, og </w:t>
      </w:r>
      <w:r>
        <w:rPr>
          <w:rFonts w:cs="Times New Roman"/>
          <w:szCs w:val="24"/>
        </w:rPr>
        <w:lastRenderedPageBreak/>
        <w:t xml:space="preserve">innreisetillatelse for utenlandske forkynnere. Søknadene avgjøres av Kirkeministeriet. </w:t>
      </w:r>
      <w:r w:rsidR="001A3FF9">
        <w:rPr>
          <w:rFonts w:cs="Times New Roman"/>
          <w:szCs w:val="24"/>
        </w:rPr>
        <w:t>Rundt 16</w:t>
      </w:r>
      <w:r w:rsidR="00B70E0C">
        <w:rPr>
          <w:rFonts w:cs="Times New Roman"/>
          <w:szCs w:val="24"/>
        </w:rPr>
        <w:t>0 trossamfunn har statlig godkjenning.</w:t>
      </w:r>
    </w:p>
    <w:p w:rsidR="006011F6" w:rsidRDefault="006011F6" w:rsidP="006011F6">
      <w:pPr>
        <w:rPr>
          <w:rFonts w:cs="Times New Roman"/>
          <w:szCs w:val="24"/>
        </w:rPr>
      </w:pPr>
      <w:r>
        <w:rPr>
          <w:rFonts w:cs="Times New Roman"/>
          <w:szCs w:val="24"/>
        </w:rPr>
        <w:t xml:space="preserve">Trossamfunn som ønsker godkjenning, må fylle </w:t>
      </w:r>
      <w:r w:rsidR="006A429C">
        <w:rPr>
          <w:rFonts w:cs="Times New Roman"/>
          <w:szCs w:val="24"/>
        </w:rPr>
        <w:t xml:space="preserve">en </w:t>
      </w:r>
      <w:r>
        <w:rPr>
          <w:rFonts w:cs="Times New Roman"/>
          <w:szCs w:val="24"/>
        </w:rPr>
        <w:t>rekke vilkår. Vilkårene, som opprinnelig ble fastlagt i forabeidene til ekteskapsloven, er nedfelt i retningslinjer utarbeidet av Det Rågiv</w:t>
      </w:r>
      <w:r w:rsidR="00B70E0C">
        <w:rPr>
          <w:rFonts w:cs="Times New Roman"/>
          <w:szCs w:val="24"/>
        </w:rPr>
        <w:t xml:space="preserve">ende Udvalg vedr. Trossamfund. </w:t>
      </w:r>
      <w:r>
        <w:rPr>
          <w:rFonts w:cs="Times New Roman"/>
          <w:szCs w:val="24"/>
        </w:rPr>
        <w:t>I retningslinjene heter det at «[b]</w:t>
      </w:r>
      <w:r w:rsidRPr="001B6CA9">
        <w:rPr>
          <w:rFonts w:cs="Times New Roman"/>
          <w:szCs w:val="24"/>
        </w:rPr>
        <w:t xml:space="preserve">egrebet ‘trossamfund’ består </w:t>
      </w:r>
      <w:r>
        <w:rPr>
          <w:rFonts w:cs="Times New Roman"/>
          <w:szCs w:val="24"/>
        </w:rPr>
        <w:t>[…]</w:t>
      </w:r>
      <w:r w:rsidRPr="001B6CA9">
        <w:rPr>
          <w:rFonts w:cs="Times New Roman"/>
          <w:szCs w:val="24"/>
        </w:rPr>
        <w:t xml:space="preserve"> af to dele, nemlig ‘tro’, som er specificeret som ‘gudsdyrkelse ... efter en nærmere udformet lære’ og ‘samfund’, som er nærmere bestemt som en sammenslutning eller forsamling (og hverken en ‘bevægelse’ eller ‘filosofisk forening’), hvis primære formål er ‘gudsdyrkelse (kult) efter en nærmere udformet lære og ritus’</w:t>
      </w:r>
      <w:r>
        <w:rPr>
          <w:rFonts w:cs="Times New Roman"/>
          <w:szCs w:val="24"/>
        </w:rPr>
        <w:t>»</w:t>
      </w:r>
      <w:r w:rsidR="002A733C">
        <w:rPr>
          <w:rFonts w:cs="Times New Roman"/>
          <w:szCs w:val="24"/>
        </w:rPr>
        <w:t>.</w:t>
      </w:r>
      <w:r>
        <w:rPr>
          <w:rFonts w:cs="Times New Roman"/>
          <w:szCs w:val="24"/>
        </w:rPr>
        <w:t xml:space="preserve"> </w:t>
      </w:r>
    </w:p>
    <w:p w:rsidR="006011F6" w:rsidRDefault="006011F6" w:rsidP="006011F6">
      <w:pPr>
        <w:rPr>
          <w:rFonts w:cs="Times New Roman"/>
          <w:szCs w:val="24"/>
        </w:rPr>
      </w:pPr>
      <w:r>
        <w:rPr>
          <w:rFonts w:cs="Times New Roman"/>
          <w:szCs w:val="24"/>
        </w:rPr>
        <w:t>Ifølge retningslinjene innebærer definisjonen bla</w:t>
      </w:r>
      <w:r w:rsidR="00CE22FE">
        <w:rPr>
          <w:rFonts w:cs="Times New Roman"/>
          <w:szCs w:val="24"/>
        </w:rPr>
        <w:t>nt annet</w:t>
      </w:r>
      <w:r>
        <w:rPr>
          <w:rFonts w:cs="Times New Roman"/>
          <w:szCs w:val="24"/>
        </w:rPr>
        <w:t xml:space="preserve"> at det må foreligge en trosbekjennelse eller annen tekst som oppsummerer eller henviser til religionens læregrunnlag og/eller -tradisjon, og at det må være snakk om en felles tro som gir retningslinjer for menneskers handlinger, og som utrykkes gjennom ritualer. Videre må samfunnet ha en «</w:t>
      </w:r>
      <w:r w:rsidRPr="00BC3C5A">
        <w:rPr>
          <w:rFonts w:cs="Times New Roman"/>
          <w:szCs w:val="24"/>
        </w:rPr>
        <w:t>en sådan organisatorisk struktur, at det kan danne et tilgængeligt grundlag for offentlig kontrol og godkendelse</w:t>
      </w:r>
      <w:r>
        <w:rPr>
          <w:rFonts w:cs="Times New Roman"/>
          <w:szCs w:val="24"/>
        </w:rPr>
        <w:t>»</w:t>
      </w:r>
      <w:r w:rsidRPr="00BC3C5A">
        <w:rPr>
          <w:rFonts w:cs="Times New Roman"/>
          <w:szCs w:val="24"/>
        </w:rPr>
        <w:t xml:space="preserve">. </w:t>
      </w:r>
      <w:r>
        <w:rPr>
          <w:rFonts w:cs="Times New Roman"/>
          <w:szCs w:val="24"/>
        </w:rPr>
        <w:t>Det skal foreligge vedtekter som «</w:t>
      </w:r>
      <w:r w:rsidRPr="00BC3C5A">
        <w:rPr>
          <w:rFonts w:cs="Times New Roman"/>
          <w:szCs w:val="24"/>
        </w:rPr>
        <w:t>kan gøres til genstand for vurdering efter dansk retsopfattelse</w:t>
      </w:r>
      <w:r>
        <w:rPr>
          <w:rFonts w:cs="Times New Roman"/>
          <w:szCs w:val="24"/>
        </w:rPr>
        <w:t>», og «</w:t>
      </w:r>
      <w:r w:rsidRPr="00BC3C5A">
        <w:rPr>
          <w:rFonts w:cs="Times New Roman"/>
          <w:szCs w:val="24"/>
        </w:rPr>
        <w:t>vedtægtsmæssigt udpegede repræsentanter, som kan stå til ansvar over for myndighederne</w:t>
      </w:r>
      <w:r>
        <w:rPr>
          <w:rFonts w:cs="Times New Roman"/>
          <w:szCs w:val="24"/>
        </w:rPr>
        <w:t>»</w:t>
      </w:r>
      <w:r w:rsidRPr="00BC3C5A">
        <w:rPr>
          <w:rFonts w:cs="Times New Roman"/>
          <w:szCs w:val="24"/>
        </w:rPr>
        <w:t>.</w:t>
      </w:r>
      <w:r>
        <w:rPr>
          <w:rFonts w:cs="Times New Roman"/>
          <w:szCs w:val="24"/>
        </w:rPr>
        <w:t xml:space="preserve"> Samfunnet må også ha «</w:t>
      </w:r>
      <w:r w:rsidRPr="00BC3C5A">
        <w:rPr>
          <w:rFonts w:cs="Times New Roman"/>
          <w:szCs w:val="24"/>
        </w:rPr>
        <w:t>formelt medlemskab med retningslinjer for såvel optagelse af medlemmer som for såvel frivilligt som ufrivilligt ophør af medlemskab</w:t>
      </w:r>
      <w:r>
        <w:rPr>
          <w:rFonts w:cs="Times New Roman"/>
          <w:szCs w:val="24"/>
        </w:rPr>
        <w:t>»</w:t>
      </w:r>
      <w:r w:rsidRPr="00BC3C5A">
        <w:rPr>
          <w:rFonts w:cs="Times New Roman"/>
          <w:szCs w:val="24"/>
        </w:rPr>
        <w:t>.</w:t>
      </w:r>
      <w:r>
        <w:rPr>
          <w:rFonts w:cs="Times New Roman"/>
          <w:szCs w:val="24"/>
        </w:rPr>
        <w:t xml:space="preserve"> </w:t>
      </w:r>
    </w:p>
    <w:p w:rsidR="006011F6" w:rsidRDefault="006011F6" w:rsidP="006011F6">
      <w:pPr>
        <w:rPr>
          <w:rFonts w:cs="Times New Roman"/>
          <w:szCs w:val="24"/>
        </w:rPr>
      </w:pPr>
      <w:r>
        <w:rPr>
          <w:rFonts w:cs="Times New Roman"/>
          <w:szCs w:val="24"/>
        </w:rPr>
        <w:t>Videre betraktes det som en forutsetning at godkjente trossamfunn «</w:t>
      </w:r>
      <w:r w:rsidRPr="00E629A6">
        <w:rPr>
          <w:rFonts w:cs="Times New Roman"/>
          <w:szCs w:val="24"/>
        </w:rPr>
        <w:t xml:space="preserve">respekterer </w:t>
      </w:r>
      <w:r w:rsidRPr="00E629A6">
        <w:rPr>
          <w:rFonts w:cs="Times New Roman"/>
          <w:i/>
          <w:szCs w:val="24"/>
        </w:rPr>
        <w:t>menneskerettighederne</w:t>
      </w:r>
      <w:r w:rsidRPr="00E629A6">
        <w:rPr>
          <w:rFonts w:cs="Times New Roman"/>
          <w:szCs w:val="24"/>
        </w:rPr>
        <w:t>, navnlig religions- og trosfrihed, herunder retten til at skifte religion eller til at fravælge religiøs tilknytning</w:t>
      </w:r>
      <w:r>
        <w:rPr>
          <w:rFonts w:cs="Times New Roman"/>
          <w:szCs w:val="24"/>
        </w:rPr>
        <w:t>»</w:t>
      </w:r>
      <w:r w:rsidRPr="00E629A6">
        <w:rPr>
          <w:rFonts w:cs="Times New Roman"/>
          <w:szCs w:val="24"/>
        </w:rPr>
        <w:t>.</w:t>
      </w:r>
      <w:r>
        <w:rPr>
          <w:rFonts w:cs="Times New Roman"/>
          <w:szCs w:val="24"/>
        </w:rPr>
        <w:t xml:space="preserve"> </w:t>
      </w:r>
    </w:p>
    <w:p w:rsidR="006011F6" w:rsidRDefault="006011F6" w:rsidP="006011F6">
      <w:pPr>
        <w:rPr>
          <w:rFonts w:cs="Times New Roman"/>
          <w:szCs w:val="24"/>
        </w:rPr>
      </w:pPr>
      <w:r>
        <w:rPr>
          <w:rFonts w:cs="Times New Roman"/>
          <w:szCs w:val="24"/>
        </w:rPr>
        <w:t>Trossamfunn må ha minst 150 myndige medlemmer (over 18 år) for å bli godkjent. Grupper innen verdensreligionene, dvs. kristendom, jødedom, hinduisme, buddhisme og islam, kan søke om godkjenning som menighet. En menighet må bestå av minst 50 myndige medlemmer, men det kan gjøres unntak for menigheter i tynt befolke</w:t>
      </w:r>
      <w:r w:rsidR="002076BC">
        <w:rPr>
          <w:rFonts w:cs="Times New Roman"/>
          <w:szCs w:val="24"/>
        </w:rPr>
        <w:t>te</w:t>
      </w:r>
      <w:r>
        <w:rPr>
          <w:rFonts w:cs="Times New Roman"/>
          <w:szCs w:val="24"/>
        </w:rPr>
        <w:t xml:space="preserve"> områder.</w:t>
      </w:r>
    </w:p>
    <w:p w:rsidR="006011F6" w:rsidRDefault="006011F6" w:rsidP="006011F6">
      <w:pPr>
        <w:rPr>
          <w:rFonts w:cs="Times New Roman"/>
          <w:szCs w:val="24"/>
        </w:rPr>
      </w:pPr>
      <w:r>
        <w:rPr>
          <w:rFonts w:cs="Times New Roman"/>
          <w:szCs w:val="24"/>
        </w:rPr>
        <w:t>Kirkeministeriet videresender søknader om godkjenning av trossamfunn og menigheter til Det Rågivende Udvalg vedr. Trossamfund. Utvalget vurderer søknadene og gir en innstilling om utfallet til ministeriet, som deretter treffer en avgjørelse. Det rådgivende utvalget har fire medlemmer som er «</w:t>
      </w:r>
      <w:r w:rsidRPr="004D6451">
        <w:rPr>
          <w:rFonts w:cs="Times New Roman"/>
          <w:szCs w:val="24"/>
        </w:rPr>
        <w:t>uvildige og sagkyndige og repræsenterer ikke noget bestemt trossamfund, ej heller den danske folkekirke</w:t>
      </w:r>
      <w:r>
        <w:rPr>
          <w:rFonts w:cs="Times New Roman"/>
          <w:szCs w:val="24"/>
        </w:rPr>
        <w:t>». Utvalgsmedlemmene er sakkyndige innenfor religionsvitenskap, teologi og rettsvitenskap.</w:t>
      </w:r>
    </w:p>
    <w:p w:rsidR="001A3FF9" w:rsidRPr="001A3FF9" w:rsidRDefault="001A3FF9" w:rsidP="001A3FF9">
      <w:pPr>
        <w:rPr>
          <w:rFonts w:cs="Times New Roman"/>
          <w:szCs w:val="24"/>
        </w:rPr>
      </w:pPr>
      <w:r w:rsidRPr="001A3FF9">
        <w:rPr>
          <w:rFonts w:cs="Times New Roman"/>
          <w:szCs w:val="24"/>
        </w:rPr>
        <w:t xml:space="preserve">I desember 2014 ble det nedsatt et offentlig utvalg, </w:t>
      </w:r>
      <w:r w:rsidRPr="001A3FF9">
        <w:rPr>
          <w:rFonts w:cs="Times New Roman"/>
          <w:i/>
          <w:szCs w:val="24"/>
        </w:rPr>
        <w:t>Trossamfundsudvalget</w:t>
      </w:r>
      <w:r w:rsidRPr="001A3FF9">
        <w:rPr>
          <w:rFonts w:cs="Times New Roman"/>
          <w:szCs w:val="24"/>
        </w:rPr>
        <w:t xml:space="preserve">, som fikk i mandat å utrede en «sammenhængende lovregulering af forholdene for andre trossamfund end folkekirken». Utredningen ble avgitt i mars 2017. Utvalget la fram forslag til en ny lov, </w:t>
      </w:r>
      <w:r w:rsidRPr="001A3FF9">
        <w:rPr>
          <w:rFonts w:cs="Times New Roman"/>
          <w:i/>
          <w:szCs w:val="24"/>
        </w:rPr>
        <w:t>Lov om trossamfund uden for folkekirken</w:t>
      </w:r>
      <w:r w:rsidRPr="001A3FF9">
        <w:rPr>
          <w:rFonts w:cs="Times New Roman"/>
          <w:szCs w:val="24"/>
        </w:rPr>
        <w:t>. Lovforslaget inneholder en definisjon av begrepet trossamfunn samt regler om blant annet trossamfunnenes grunnleggende friheter og rettigheter, statlig godkjenning av trossamfunn, tilsyn og tilbakalling av godkjenning, vigselsmyndighet, fradragsrett for gaver til trossamfunn og oppholdstillatelse for utenlandske forkynnere. Utvalget foreslo følgende vilkår for å få status som godkjent trossamfunn:</w:t>
      </w:r>
    </w:p>
    <w:p w:rsidR="001A3FF9" w:rsidRPr="0080554F" w:rsidRDefault="001A3FF9" w:rsidP="0080554F">
      <w:pPr>
        <w:pStyle w:val="blokksit"/>
        <w:rPr>
          <w:rStyle w:val="kursiv"/>
        </w:rPr>
      </w:pPr>
      <w:r w:rsidRPr="0080554F">
        <w:rPr>
          <w:rStyle w:val="kursiv"/>
        </w:rPr>
        <w:t>Et trossamfund registreres som anerkendt trossamfund, såfremt det:</w:t>
      </w:r>
    </w:p>
    <w:p w:rsidR="001A3FF9" w:rsidRPr="0080554F" w:rsidRDefault="001A3FF9" w:rsidP="002834ED">
      <w:pPr>
        <w:pStyle w:val="Nummerertliste2"/>
        <w:numPr>
          <w:ilvl w:val="1"/>
          <w:numId w:val="32"/>
        </w:numPr>
        <w:rPr>
          <w:rStyle w:val="kursiv"/>
        </w:rPr>
      </w:pPr>
      <w:r w:rsidRPr="0080554F">
        <w:rPr>
          <w:rStyle w:val="kursiv"/>
        </w:rPr>
        <w:t>Har mindst 50 myndige medlemmer, der enten har fast bopæl i Danmark eller dansk indfødsret,</w:t>
      </w:r>
    </w:p>
    <w:p w:rsidR="001A3FF9" w:rsidRPr="0080554F" w:rsidRDefault="001A3FF9" w:rsidP="00EB0E5E">
      <w:pPr>
        <w:pStyle w:val="Nummerertliste2"/>
        <w:rPr>
          <w:rStyle w:val="kursiv"/>
        </w:rPr>
      </w:pPr>
      <w:r w:rsidRPr="0080554F">
        <w:rPr>
          <w:rStyle w:val="kursiv"/>
        </w:rPr>
        <w:t>ikke opfordrer til eller foretager noget, der strider mod bestemmelser i lov eller bestemmelser fastsat i medfør af lov, og</w:t>
      </w:r>
    </w:p>
    <w:p w:rsidR="001A3FF9" w:rsidRPr="0080554F" w:rsidRDefault="001A3FF9" w:rsidP="00EB0E5E">
      <w:pPr>
        <w:pStyle w:val="Nummerertliste2"/>
        <w:rPr>
          <w:rStyle w:val="kursiv"/>
        </w:rPr>
      </w:pPr>
      <w:r w:rsidRPr="0080554F">
        <w:rPr>
          <w:rStyle w:val="kursiv"/>
        </w:rPr>
        <w:lastRenderedPageBreak/>
        <w:t>er organiseret i overensstemmelse med principper om medlemsdemokrati og ligebehandling, herunder ligestilling mellem kønnene.</w:t>
      </w:r>
    </w:p>
    <w:p w:rsidR="006011F6" w:rsidRDefault="006011F6" w:rsidP="001E491E">
      <w:pPr>
        <w:pStyle w:val="Overskrift2"/>
      </w:pPr>
      <w:bookmarkStart w:id="457" w:name="_Toc477277209"/>
      <w:bookmarkStart w:id="458" w:name="_Toc477535508"/>
      <w:bookmarkStart w:id="459" w:name="_Toc477630641"/>
      <w:bookmarkStart w:id="460" w:name="_Toc477693605"/>
      <w:bookmarkStart w:id="461" w:name="_Toc477703971"/>
      <w:bookmarkStart w:id="462" w:name="_Toc477799176"/>
      <w:bookmarkStart w:id="463" w:name="_Toc477805778"/>
      <w:bookmarkStart w:id="464" w:name="_Toc477878038"/>
      <w:bookmarkStart w:id="465" w:name="_Toc477881439"/>
      <w:bookmarkStart w:id="466" w:name="_Toc477885899"/>
      <w:bookmarkStart w:id="467" w:name="_Toc478131317"/>
      <w:bookmarkStart w:id="468" w:name="_Toc478138701"/>
      <w:bookmarkStart w:id="469" w:name="_Toc478232216"/>
      <w:bookmarkStart w:id="470" w:name="_Toc478237200"/>
      <w:bookmarkStart w:id="471" w:name="_Toc481761752"/>
      <w:bookmarkStart w:id="472" w:name="_Toc492900405"/>
      <w:r>
        <w:t>I</w:t>
      </w:r>
      <w:r w:rsidRPr="00CC7EAB">
        <w:t>sland</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6011F6" w:rsidRDefault="006011F6" w:rsidP="006011F6">
      <w:pPr>
        <w:rPr>
          <w:rFonts w:cs="Times New Roman"/>
          <w:szCs w:val="24"/>
        </w:rPr>
      </w:pPr>
      <w:r>
        <w:rPr>
          <w:rFonts w:cs="Times New Roman"/>
          <w:szCs w:val="24"/>
        </w:rPr>
        <w:t>Den islandske grunnloven fastslår i artikkel 62 at Den evangelisk</w:t>
      </w:r>
      <w:r w:rsidR="00CE22FE">
        <w:rPr>
          <w:rFonts w:cs="Times New Roman"/>
          <w:szCs w:val="24"/>
        </w:rPr>
        <w:t>-</w:t>
      </w:r>
      <w:r>
        <w:rPr>
          <w:rFonts w:cs="Times New Roman"/>
          <w:szCs w:val="24"/>
        </w:rPr>
        <w:t xml:space="preserve">lutherske kirke skal være Islands folkekirke, og at den som sådan skal støttes og beskyttes av </w:t>
      </w:r>
      <w:r w:rsidRPr="00EE0E7F">
        <w:rPr>
          <w:rFonts w:cs="Times New Roman"/>
          <w:szCs w:val="24"/>
        </w:rPr>
        <w:t>state</w:t>
      </w:r>
      <w:r>
        <w:rPr>
          <w:rFonts w:cs="Times New Roman"/>
          <w:szCs w:val="24"/>
        </w:rPr>
        <w:t>n</w:t>
      </w:r>
      <w:r w:rsidRPr="00EE0E7F">
        <w:rPr>
          <w:rFonts w:cs="Times New Roman"/>
          <w:szCs w:val="24"/>
        </w:rPr>
        <w:t xml:space="preserve">. </w:t>
      </w:r>
      <w:r>
        <w:rPr>
          <w:rFonts w:cs="Times New Roman"/>
          <w:szCs w:val="24"/>
        </w:rPr>
        <w:t xml:space="preserve">I henhold </w:t>
      </w:r>
      <w:r w:rsidR="006A429C">
        <w:rPr>
          <w:rFonts w:cs="Times New Roman"/>
          <w:szCs w:val="24"/>
        </w:rPr>
        <w:t xml:space="preserve">til </w:t>
      </w:r>
      <w:r>
        <w:rPr>
          <w:rFonts w:cs="Times New Roman"/>
          <w:szCs w:val="24"/>
        </w:rPr>
        <w:t xml:space="preserve">artikkelens andre ledd kan dette endres ved lov. Det er imidlertid fastsatt i artikkel 79 at en slik lovendring skal gjøres til gjenstand for folkeavstemning. </w:t>
      </w:r>
    </w:p>
    <w:p w:rsidR="006011F6" w:rsidRDefault="006011F6" w:rsidP="006011F6">
      <w:pPr>
        <w:rPr>
          <w:rFonts w:cs="Times New Roman"/>
          <w:szCs w:val="24"/>
        </w:rPr>
      </w:pPr>
      <w:r>
        <w:rPr>
          <w:rFonts w:cs="Times New Roman"/>
          <w:szCs w:val="24"/>
        </w:rPr>
        <w:t xml:space="preserve">Retten til religionsfrihet er nedfelt i grunnlovens artikler 63 og 64. Artikkel 63 gir alle rett til å danne religiøse foreninger og til å utøve sin religion. I artikkel 64 er det blant annet fastslått at enhver er fri til å stå utenfor religiøse foreninger, og at ingen skal være forpliktet til å gi noen form for personlig støtte til en religiøs forening som </w:t>
      </w:r>
      <w:r w:rsidR="006A429C">
        <w:rPr>
          <w:rFonts w:cs="Times New Roman"/>
          <w:szCs w:val="24"/>
        </w:rPr>
        <w:t xml:space="preserve">vedkommende </w:t>
      </w:r>
      <w:r>
        <w:rPr>
          <w:rFonts w:cs="Times New Roman"/>
          <w:szCs w:val="24"/>
        </w:rPr>
        <w:t>ikke er medlem av.</w:t>
      </w:r>
    </w:p>
    <w:p w:rsidR="006011F6" w:rsidRDefault="006011F6" w:rsidP="006011F6">
      <w:pPr>
        <w:rPr>
          <w:rFonts w:cs="Times New Roman"/>
          <w:szCs w:val="24"/>
        </w:rPr>
      </w:pPr>
      <w:r>
        <w:rPr>
          <w:rFonts w:cs="Times New Roman"/>
          <w:szCs w:val="24"/>
        </w:rPr>
        <w:t xml:space="preserve">Kirkeloven </w:t>
      </w:r>
      <w:r w:rsidRPr="00EE0E7F">
        <w:rPr>
          <w:rFonts w:cs="Times New Roman"/>
          <w:szCs w:val="24"/>
        </w:rPr>
        <w:t>er omfattende, men anses</w:t>
      </w:r>
      <w:r>
        <w:rPr>
          <w:rFonts w:cs="Times New Roman"/>
          <w:szCs w:val="24"/>
        </w:rPr>
        <w:t xml:space="preserve"> likevel</w:t>
      </w:r>
      <w:r w:rsidRPr="00EE0E7F">
        <w:rPr>
          <w:rFonts w:cs="Times New Roman"/>
          <w:szCs w:val="24"/>
        </w:rPr>
        <w:t xml:space="preserve"> som en rammelov</w:t>
      </w:r>
      <w:r>
        <w:rPr>
          <w:rFonts w:cs="Times New Roman"/>
          <w:szCs w:val="24"/>
        </w:rPr>
        <w:t>. Lovgivningen definerer Den evangelisk</w:t>
      </w:r>
      <w:r w:rsidR="002076BC">
        <w:rPr>
          <w:rFonts w:cs="Times New Roman"/>
          <w:szCs w:val="24"/>
        </w:rPr>
        <w:t>-</w:t>
      </w:r>
      <w:r>
        <w:rPr>
          <w:rFonts w:cs="Times New Roman"/>
          <w:szCs w:val="24"/>
        </w:rPr>
        <w:t xml:space="preserve">lutherske kirke </w:t>
      </w:r>
      <w:r w:rsidRPr="00EE0E7F">
        <w:rPr>
          <w:rFonts w:cs="Times New Roman"/>
          <w:szCs w:val="24"/>
        </w:rPr>
        <w:t xml:space="preserve">som et selvstendig trossamfunn og som en egen juridisk enhet med eiendomsrett. </w:t>
      </w:r>
      <w:r>
        <w:rPr>
          <w:rFonts w:cs="Times New Roman"/>
          <w:szCs w:val="24"/>
        </w:rPr>
        <w:t>Det årlige k</w:t>
      </w:r>
      <w:r w:rsidRPr="00EE0E7F">
        <w:rPr>
          <w:rFonts w:cs="Times New Roman"/>
          <w:szCs w:val="24"/>
        </w:rPr>
        <w:t xml:space="preserve">irketinget </w:t>
      </w:r>
      <w:r>
        <w:rPr>
          <w:rFonts w:cs="Times New Roman"/>
          <w:szCs w:val="24"/>
        </w:rPr>
        <w:t xml:space="preserve">er ifølge loven </w:t>
      </w:r>
      <w:r w:rsidRPr="00EE0E7F">
        <w:rPr>
          <w:rFonts w:cs="Times New Roman"/>
          <w:szCs w:val="24"/>
        </w:rPr>
        <w:t>den øverste kirkelige myndig</w:t>
      </w:r>
      <w:r>
        <w:rPr>
          <w:rFonts w:cs="Times New Roman"/>
          <w:szCs w:val="24"/>
        </w:rPr>
        <w:t>het, noe Alltinget var tidligere</w:t>
      </w:r>
      <w:r w:rsidRPr="00EE0E7F">
        <w:rPr>
          <w:rFonts w:cs="Times New Roman"/>
          <w:szCs w:val="24"/>
        </w:rPr>
        <w:t xml:space="preserve">. </w:t>
      </w:r>
    </w:p>
    <w:p w:rsidR="006011F6" w:rsidRDefault="006011F6" w:rsidP="006011F6">
      <w:pPr>
        <w:rPr>
          <w:rFonts w:cs="Times New Roman"/>
          <w:color w:val="000000"/>
          <w:szCs w:val="24"/>
        </w:rPr>
      </w:pPr>
      <w:r>
        <w:rPr>
          <w:rFonts w:cs="Times New Roman"/>
          <w:szCs w:val="24"/>
        </w:rPr>
        <w:t>Den evangelisk</w:t>
      </w:r>
      <w:r w:rsidR="00CE22FE">
        <w:rPr>
          <w:rFonts w:cs="Times New Roman"/>
          <w:szCs w:val="24"/>
        </w:rPr>
        <w:t>-</w:t>
      </w:r>
      <w:r>
        <w:rPr>
          <w:rFonts w:cs="Times New Roman"/>
          <w:szCs w:val="24"/>
        </w:rPr>
        <w:t>lutherske kirke og andre, registrerte tros- og livssynssamfunn får et årlig statstilskudd beregnet ut fra antall medlemmer over 16 år (den religiøse myndighetsalderen på Island). En andel av inntektsskatten til medlemmene over 16 år (s</w:t>
      </w:r>
      <w:r w:rsidRPr="003D1B58">
        <w:rPr>
          <w:rFonts w:cs="Times New Roman"/>
          <w:szCs w:val="24"/>
        </w:rPr>
        <w:t>amme</w:t>
      </w:r>
      <w:r>
        <w:rPr>
          <w:rFonts w:cs="Times New Roman"/>
          <w:szCs w:val="24"/>
        </w:rPr>
        <w:t xml:space="preserve"> sum for alle) fordeles videre som tilskudd. </w:t>
      </w:r>
      <w:r>
        <w:rPr>
          <w:rFonts w:cs="Times New Roman"/>
          <w:color w:val="000000"/>
          <w:szCs w:val="24"/>
        </w:rPr>
        <w:t xml:space="preserve">I 2016 var beløpet på 898 islandske kroner per måned, hvilket tilsvarer ca. 792 norske kroner i året. </w:t>
      </w:r>
    </w:p>
    <w:p w:rsidR="006011F6" w:rsidRPr="00887198" w:rsidRDefault="006011F6" w:rsidP="006011F6">
      <w:pPr>
        <w:rPr>
          <w:rFonts w:cs="Times New Roman"/>
          <w:szCs w:val="24"/>
        </w:rPr>
      </w:pPr>
      <w:r>
        <w:rPr>
          <w:rFonts w:cs="Times New Roman"/>
          <w:szCs w:val="24"/>
        </w:rPr>
        <w:t>Staten yter i tillegg en særskilt økonomisk støtte til folkekirken. Den evangelisk</w:t>
      </w:r>
      <w:r w:rsidR="00CE22FE">
        <w:rPr>
          <w:rFonts w:cs="Times New Roman"/>
          <w:szCs w:val="24"/>
        </w:rPr>
        <w:t>-</w:t>
      </w:r>
      <w:r>
        <w:rPr>
          <w:rFonts w:cs="Times New Roman"/>
          <w:szCs w:val="24"/>
        </w:rPr>
        <w:t xml:space="preserve">lutherske kirke mottar blant annet statlige midler via to fond. Fondsmidlene utgjør ca. 30 </w:t>
      </w:r>
      <w:r w:rsidR="004B4097">
        <w:rPr>
          <w:rFonts w:cs="Times New Roman"/>
          <w:szCs w:val="24"/>
        </w:rPr>
        <w:t>pst.</w:t>
      </w:r>
      <w:r>
        <w:rPr>
          <w:rFonts w:cs="Times New Roman"/>
          <w:szCs w:val="24"/>
        </w:rPr>
        <w:t xml:space="preserve"> av tilskuddet til kirken under ovennevnte, generelle ordning. Fra fondet for kirkelige anliggender får kirken midler til kirketinget, kirkerådet, bispegården, kirkens familierådgivning, koraktiviteter, musikkutdanning m.m. Fra fondet for utjevning mellom so</w:t>
      </w:r>
      <w:r w:rsidR="002076BC">
        <w:rPr>
          <w:rFonts w:cs="Times New Roman"/>
          <w:szCs w:val="24"/>
        </w:rPr>
        <w:t>k</w:t>
      </w:r>
      <w:r>
        <w:rPr>
          <w:rFonts w:cs="Times New Roman"/>
          <w:szCs w:val="24"/>
        </w:rPr>
        <w:t>nene får kirken midler som skal jevne ut forholdet mellom ulike kirkeso</w:t>
      </w:r>
      <w:r w:rsidR="00CE22FE">
        <w:rPr>
          <w:rFonts w:cs="Times New Roman"/>
          <w:szCs w:val="24"/>
        </w:rPr>
        <w:t>k</w:t>
      </w:r>
      <w:r>
        <w:rPr>
          <w:rFonts w:cs="Times New Roman"/>
          <w:szCs w:val="24"/>
        </w:rPr>
        <w:t>n og tilrettelegge for etablering av nye so</w:t>
      </w:r>
      <w:r w:rsidR="00CE22FE">
        <w:rPr>
          <w:rFonts w:cs="Times New Roman"/>
          <w:szCs w:val="24"/>
        </w:rPr>
        <w:t>k</w:t>
      </w:r>
      <w:r>
        <w:rPr>
          <w:rFonts w:cs="Times New Roman"/>
          <w:szCs w:val="24"/>
        </w:rPr>
        <w:t>n. Mange a</w:t>
      </w:r>
      <w:r w:rsidRPr="00204557">
        <w:rPr>
          <w:rFonts w:cs="Times New Roman"/>
          <w:color w:val="000000"/>
          <w:szCs w:val="24"/>
        </w:rPr>
        <w:t>v folkekirkens prester er statsansatte med lønn betalt direkte fra staten.</w:t>
      </w:r>
      <w:r>
        <w:rPr>
          <w:rFonts w:cs="Times New Roman"/>
          <w:color w:val="000000"/>
          <w:szCs w:val="24"/>
        </w:rPr>
        <w:t xml:space="preserve"> </w:t>
      </w:r>
    </w:p>
    <w:p w:rsidR="006011F6" w:rsidRDefault="006011F6" w:rsidP="006011F6">
      <w:pPr>
        <w:rPr>
          <w:rFonts w:cs="Times New Roman"/>
          <w:color w:val="000000"/>
          <w:szCs w:val="24"/>
        </w:rPr>
      </w:pPr>
      <w:r>
        <w:rPr>
          <w:rFonts w:cs="Times New Roman"/>
          <w:color w:val="000000"/>
          <w:szCs w:val="24"/>
        </w:rPr>
        <w:t>For å komme inn under ovennevnte ordning med statstilskudd etter medlemstall</w:t>
      </w:r>
      <w:r w:rsidRPr="00204557">
        <w:rPr>
          <w:rFonts w:cs="Times New Roman"/>
          <w:color w:val="000000"/>
          <w:szCs w:val="24"/>
        </w:rPr>
        <w:t>, og for å kunne søke om vigselsmyndighet, må andre tros</w:t>
      </w:r>
      <w:r>
        <w:rPr>
          <w:rFonts w:cs="Times New Roman"/>
          <w:color w:val="000000"/>
          <w:szCs w:val="24"/>
        </w:rPr>
        <w:t xml:space="preserve">- og livssynssamfunn enn folkekirken være registrert </w:t>
      </w:r>
      <w:r>
        <w:rPr>
          <w:rFonts w:cs="Times New Roman"/>
          <w:szCs w:val="24"/>
        </w:rPr>
        <w:t xml:space="preserve">etter </w:t>
      </w:r>
      <w:r w:rsidRPr="005772DA">
        <w:rPr>
          <w:rFonts w:cs="Times New Roman"/>
          <w:i/>
          <w:szCs w:val="24"/>
        </w:rPr>
        <w:t>Lög um skráð trúfélög og lífsskoðunarfélög</w:t>
      </w:r>
      <w:r>
        <w:rPr>
          <w:rFonts w:cs="Times New Roman"/>
          <w:szCs w:val="24"/>
        </w:rPr>
        <w:t xml:space="preserve"> (lov om registrerte trossamfunn og livssynssamfunn)</w:t>
      </w:r>
      <w:r w:rsidRPr="003D1B58">
        <w:rPr>
          <w:rFonts w:cs="Times New Roman"/>
          <w:szCs w:val="24"/>
        </w:rPr>
        <w:t>.</w:t>
      </w:r>
      <w:r w:rsidRPr="00204557">
        <w:rPr>
          <w:rFonts w:cs="Times New Roman"/>
          <w:color w:val="000000"/>
          <w:szCs w:val="24"/>
        </w:rPr>
        <w:t xml:space="preserve"> </w:t>
      </w:r>
    </w:p>
    <w:p w:rsidR="006011F6" w:rsidRDefault="006011F6" w:rsidP="006011F6">
      <w:pPr>
        <w:rPr>
          <w:rFonts w:cs="Times New Roman"/>
          <w:color w:val="000000"/>
          <w:szCs w:val="24"/>
        </w:rPr>
      </w:pPr>
      <w:r>
        <w:rPr>
          <w:rFonts w:cs="Times New Roman"/>
          <w:color w:val="000000"/>
          <w:szCs w:val="24"/>
        </w:rPr>
        <w:t xml:space="preserve">Lenge var det bare trossamfunn (religiøse) som kunne bli registrert, men ved en lovendring i 2013 ble den utvidet til også å omfatte livssynssamfunn (sekulære). </w:t>
      </w:r>
    </w:p>
    <w:p w:rsidR="006011F6" w:rsidRDefault="006011F6" w:rsidP="006011F6">
      <w:pPr>
        <w:rPr>
          <w:rFonts w:cs="Times New Roman"/>
          <w:color w:val="000000"/>
          <w:szCs w:val="24"/>
        </w:rPr>
      </w:pPr>
      <w:r>
        <w:rPr>
          <w:rFonts w:cs="Times New Roman"/>
          <w:color w:val="000000"/>
          <w:szCs w:val="24"/>
        </w:rPr>
        <w:t xml:space="preserve">Loven oppstiller flere vilkår for registrering. </w:t>
      </w:r>
      <w:r w:rsidRPr="00204557">
        <w:rPr>
          <w:rFonts w:cs="Times New Roman"/>
          <w:color w:val="000000"/>
          <w:szCs w:val="24"/>
        </w:rPr>
        <w:t>Tros</w:t>
      </w:r>
      <w:r>
        <w:rPr>
          <w:rFonts w:cs="Times New Roman"/>
          <w:color w:val="000000"/>
          <w:szCs w:val="24"/>
        </w:rPr>
        <w:t>- eller livssynssamfunnet må være veletablert, aktivt og stabilt. Det kan ikke ha et formål som er lovstridig eller skadelig for god moral eller offentlig orden. Samfunnet må videre ha en kjerne av medlemmer som deltar i dets aktiviteter og støtter dets verdier. Loven forutsetter også at tros- eller livssyns</w:t>
      </w:r>
      <w:r w:rsidR="002076BC">
        <w:rPr>
          <w:rFonts w:cs="Times New Roman"/>
          <w:color w:val="000000"/>
          <w:szCs w:val="24"/>
        </w:rPr>
        <w:t>s</w:t>
      </w:r>
      <w:r>
        <w:rPr>
          <w:rFonts w:cs="Times New Roman"/>
          <w:color w:val="000000"/>
          <w:szCs w:val="24"/>
        </w:rPr>
        <w:t>amfunnet utfører visse handlinger, for eksempel begravelser, vigsler, dåp, konfirmasjon, navnefest eller lignende. Det er i tillegg forskriftsfestet et krav om minst 25 medlemmer i samfunnet.</w:t>
      </w:r>
    </w:p>
    <w:p w:rsidR="006011F6" w:rsidRDefault="006011F6" w:rsidP="006011F6">
      <w:pPr>
        <w:rPr>
          <w:rFonts w:cs="Times New Roman"/>
          <w:color w:val="000000"/>
          <w:szCs w:val="24"/>
        </w:rPr>
      </w:pPr>
      <w:r>
        <w:rPr>
          <w:rFonts w:cs="Times New Roman"/>
          <w:color w:val="000000"/>
          <w:szCs w:val="24"/>
        </w:rPr>
        <w:t>Søknader om registrering av tros- og livssyn</w:t>
      </w:r>
      <w:r w:rsidR="002076BC">
        <w:rPr>
          <w:rFonts w:cs="Times New Roman"/>
          <w:color w:val="000000"/>
          <w:szCs w:val="24"/>
        </w:rPr>
        <w:t>s</w:t>
      </w:r>
      <w:r>
        <w:rPr>
          <w:rFonts w:cs="Times New Roman"/>
          <w:color w:val="000000"/>
          <w:szCs w:val="24"/>
        </w:rPr>
        <w:t xml:space="preserve">samfunn avgjøres av Innenriksdepartementet. Registreringssøknadene forelegges en rådgivende komite eller nemnd med fire medlemmer utnevnt av innenriksministeren etter nominasjoner fra det juridiske fakultetet, det samfunnsvitenskapelige og humanistiske fakultetet, det teologiske og religionsvitenskapelige fakultetet og fra </w:t>
      </w:r>
      <w:r w:rsidR="002076BC">
        <w:rPr>
          <w:rFonts w:cs="Times New Roman"/>
          <w:color w:val="000000"/>
          <w:szCs w:val="24"/>
        </w:rPr>
        <w:t xml:space="preserve">det </w:t>
      </w:r>
      <w:r>
        <w:rPr>
          <w:rFonts w:cs="Times New Roman"/>
          <w:color w:val="000000"/>
          <w:szCs w:val="24"/>
        </w:rPr>
        <w:t xml:space="preserve">historiske og filosofiske fakultetet ved Universitetet på Island. </w:t>
      </w:r>
      <w:r>
        <w:rPr>
          <w:rFonts w:cs="Times New Roman"/>
          <w:color w:val="000000"/>
          <w:szCs w:val="24"/>
        </w:rPr>
        <w:lastRenderedPageBreak/>
        <w:t xml:space="preserve">Medlemmet fra det juridiske fakultetet leder komiteen og har dobbeltstemme ved stemmelikhet. </w:t>
      </w:r>
    </w:p>
    <w:p w:rsidR="006011F6" w:rsidRDefault="006011F6" w:rsidP="006011F6">
      <w:pPr>
        <w:rPr>
          <w:rFonts w:cs="Times New Roman"/>
          <w:color w:val="000000"/>
          <w:szCs w:val="24"/>
        </w:rPr>
      </w:pPr>
      <w:r>
        <w:rPr>
          <w:rFonts w:cs="Times New Roman"/>
          <w:color w:val="000000"/>
          <w:szCs w:val="24"/>
        </w:rPr>
        <w:t>I 2015 utgjorde de samlede statlige overføringene til Den evangelisk</w:t>
      </w:r>
      <w:r w:rsidR="00CE22FE">
        <w:rPr>
          <w:rFonts w:cs="Times New Roman"/>
          <w:color w:val="000000"/>
          <w:szCs w:val="24"/>
        </w:rPr>
        <w:t>-</w:t>
      </w:r>
      <w:r>
        <w:rPr>
          <w:rFonts w:cs="Times New Roman"/>
          <w:color w:val="000000"/>
          <w:szCs w:val="24"/>
        </w:rPr>
        <w:t xml:space="preserve">lutherske kirke 5,11 milliarder islandske kroner, tilsvarende ca. 420 millioner norske kroner. Statens tilskudd til andre tros- og livssynssamfunn beløp seg til totalt 324 millioner islandske kroner (ca. 27 millioner norske kroner). </w:t>
      </w:r>
    </w:p>
    <w:p w:rsidR="006011F6" w:rsidRDefault="002076BC" w:rsidP="006011F6">
      <w:pPr>
        <w:rPr>
          <w:rFonts w:cs="Times New Roman"/>
          <w:color w:val="000000"/>
          <w:szCs w:val="24"/>
        </w:rPr>
      </w:pPr>
      <w:r>
        <w:rPr>
          <w:rFonts w:cs="Times New Roman"/>
          <w:color w:val="000000"/>
          <w:szCs w:val="24"/>
        </w:rPr>
        <w:t>Medlemskap i Den evangelisk-</w:t>
      </w:r>
      <w:r w:rsidR="006011F6">
        <w:rPr>
          <w:rFonts w:cs="Times New Roman"/>
          <w:color w:val="000000"/>
          <w:szCs w:val="24"/>
        </w:rPr>
        <w:t>lutherske kirke og registrerte tros- og livssynssamfunn registreres i det islandske folkeregisteret. Opplysningene danner grunnl</w:t>
      </w:r>
      <w:r w:rsidR="00442929">
        <w:rPr>
          <w:rFonts w:cs="Times New Roman"/>
          <w:color w:val="000000"/>
          <w:szCs w:val="24"/>
        </w:rPr>
        <w:t>ag for tildelingen av tilskudd til tros- og livssynssamfunnene</w:t>
      </w:r>
      <w:r w:rsidR="006011F6">
        <w:rPr>
          <w:rFonts w:cs="Times New Roman"/>
          <w:color w:val="000000"/>
          <w:szCs w:val="24"/>
        </w:rPr>
        <w:t>. Det er kun mulig å være registrert som medlem i ett tros- eller livssynssamfunn (</w:t>
      </w:r>
      <w:r w:rsidR="006A429C">
        <w:rPr>
          <w:rFonts w:cs="Times New Roman"/>
          <w:color w:val="000000"/>
          <w:szCs w:val="24"/>
        </w:rPr>
        <w:t>inkl</w:t>
      </w:r>
      <w:r w:rsidR="00CE22FE">
        <w:rPr>
          <w:rFonts w:cs="Times New Roman"/>
          <w:color w:val="000000"/>
          <w:szCs w:val="24"/>
        </w:rPr>
        <w:t>usive</w:t>
      </w:r>
      <w:r w:rsidR="006A429C">
        <w:rPr>
          <w:rFonts w:cs="Times New Roman"/>
          <w:color w:val="000000"/>
          <w:szCs w:val="24"/>
        </w:rPr>
        <w:t xml:space="preserve"> Den evangelisk</w:t>
      </w:r>
      <w:r w:rsidR="00CE22FE">
        <w:rPr>
          <w:rFonts w:cs="Times New Roman"/>
          <w:color w:val="000000"/>
          <w:szCs w:val="24"/>
        </w:rPr>
        <w:t>-</w:t>
      </w:r>
      <w:r w:rsidR="006A429C">
        <w:rPr>
          <w:rFonts w:cs="Times New Roman"/>
          <w:color w:val="000000"/>
          <w:szCs w:val="24"/>
        </w:rPr>
        <w:t>lutherske kirke</w:t>
      </w:r>
      <w:r w:rsidR="006011F6">
        <w:rPr>
          <w:rFonts w:cs="Times New Roman"/>
          <w:color w:val="000000"/>
          <w:szCs w:val="24"/>
        </w:rPr>
        <w:t>) om gangen. Det er mulig å melde seg inn i og ut av tros- og livssynssamfunn via folkeregisteret. På folkeregisterets nettsider er det lagt til rette for elektronisk inn- og utmelding.</w:t>
      </w:r>
    </w:p>
    <w:p w:rsidR="00190A8C" w:rsidRDefault="00190A8C">
      <w:pPr>
        <w:spacing w:after="0" w:line="240" w:lineRule="auto"/>
        <w:rPr>
          <w:rFonts w:eastAsiaTheme="majorEastAsia"/>
        </w:rPr>
      </w:pPr>
      <w:bookmarkStart w:id="473" w:name="_Toc476320908"/>
      <w:bookmarkStart w:id="474" w:name="_Toc473717575"/>
    </w:p>
    <w:p w:rsidR="00944062" w:rsidRPr="00247719" w:rsidRDefault="00944062" w:rsidP="00944062">
      <w:pPr>
        <w:rPr>
          <w:rFonts w:asciiTheme="majorHAnsi" w:eastAsiaTheme="majorEastAsia" w:hAnsiTheme="majorHAnsi" w:cstheme="majorBidi"/>
          <w:color w:val="2E74B5" w:themeColor="accent1" w:themeShade="BF"/>
          <w:sz w:val="32"/>
          <w:szCs w:val="32"/>
        </w:rPr>
      </w:pPr>
      <w:bookmarkStart w:id="475" w:name="_Toc477258525"/>
      <w:bookmarkStart w:id="476" w:name="_Toc477260795"/>
      <w:bookmarkStart w:id="477" w:name="_Toc477270216"/>
      <w:bookmarkStart w:id="478" w:name="_Toc477272188"/>
      <w:bookmarkStart w:id="479" w:name="_Toc477274368"/>
      <w:bookmarkStart w:id="480" w:name="_Toc477275085"/>
      <w:bookmarkStart w:id="481" w:name="_Toc477277210"/>
      <w:bookmarkStart w:id="482" w:name="_Toc477279329"/>
      <w:bookmarkStart w:id="483" w:name="_Toc477258526"/>
      <w:bookmarkStart w:id="484" w:name="_Toc477260796"/>
      <w:bookmarkStart w:id="485" w:name="_Toc477270217"/>
      <w:bookmarkStart w:id="486" w:name="_Toc477272189"/>
      <w:bookmarkStart w:id="487" w:name="_Toc477274369"/>
      <w:bookmarkStart w:id="488" w:name="_Toc477275086"/>
      <w:bookmarkStart w:id="489" w:name="_Toc477277211"/>
      <w:bookmarkStart w:id="490" w:name="_Toc477279330"/>
      <w:bookmarkEnd w:id="473"/>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247719">
        <w:rPr>
          <w:rFonts w:asciiTheme="minorHAnsi" w:eastAsiaTheme="minorEastAsia" w:hAnsiTheme="minorHAnsi"/>
          <w:sz w:val="20"/>
          <w:szCs w:val="20"/>
        </w:rPr>
        <w:br w:type="page"/>
      </w:r>
    </w:p>
    <w:p w:rsidR="00A62BB2" w:rsidRPr="005C2C65" w:rsidRDefault="00A62BB2" w:rsidP="005C2C65">
      <w:pPr>
        <w:pStyle w:val="Overskrift1"/>
        <w:rPr>
          <w:rFonts w:eastAsiaTheme="majorEastAsia"/>
        </w:rPr>
      </w:pPr>
      <w:bookmarkStart w:id="491" w:name="_Toc477696003"/>
      <w:bookmarkStart w:id="492" w:name="_Toc477702255"/>
      <w:bookmarkStart w:id="493" w:name="_Toc477703113"/>
      <w:bookmarkStart w:id="494" w:name="_Toc477703972"/>
      <w:bookmarkStart w:id="495" w:name="_Toc477704831"/>
      <w:bookmarkStart w:id="496" w:name="_Toc477789592"/>
      <w:bookmarkStart w:id="497" w:name="_Toc477793999"/>
      <w:bookmarkStart w:id="498" w:name="_Toc477796485"/>
      <w:bookmarkStart w:id="499" w:name="_Toc477797382"/>
      <w:bookmarkStart w:id="500" w:name="_Toc477798279"/>
      <w:bookmarkStart w:id="501" w:name="_Toc477799177"/>
      <w:bookmarkStart w:id="502" w:name="_Toc477802210"/>
      <w:bookmarkStart w:id="503" w:name="_Toc477803106"/>
      <w:bookmarkStart w:id="504" w:name="_Toc477804002"/>
      <w:bookmarkStart w:id="505" w:name="_Toc477804882"/>
      <w:bookmarkStart w:id="506" w:name="_Toc477805779"/>
      <w:bookmarkStart w:id="507" w:name="_Toc477809295"/>
      <w:bookmarkStart w:id="508" w:name="_Toc477856934"/>
      <w:bookmarkStart w:id="509" w:name="_Toc477859522"/>
      <w:bookmarkStart w:id="510" w:name="_Toc477857841"/>
      <w:bookmarkStart w:id="511" w:name="_Toc477861174"/>
      <w:bookmarkStart w:id="512" w:name="_Toc477863901"/>
      <w:bookmarkStart w:id="513" w:name="_Toc477865137"/>
      <w:bookmarkStart w:id="514" w:name="_Toc477866037"/>
      <w:bookmarkStart w:id="515" w:name="_Toc477866936"/>
      <w:bookmarkStart w:id="516" w:name="_Toc477867835"/>
      <w:bookmarkStart w:id="517" w:name="_Toc477868734"/>
      <w:bookmarkStart w:id="518" w:name="_Toc477869635"/>
      <w:bookmarkStart w:id="519" w:name="_Toc477870536"/>
      <w:bookmarkStart w:id="520" w:name="_Toc477871437"/>
      <w:bookmarkStart w:id="521" w:name="_Toc477869686"/>
      <w:bookmarkStart w:id="522" w:name="_Toc477873013"/>
      <w:bookmarkStart w:id="523" w:name="_Toc477873924"/>
      <w:bookmarkStart w:id="524" w:name="_Toc477875312"/>
      <w:bookmarkStart w:id="525" w:name="_Toc477876221"/>
      <w:bookmarkStart w:id="526" w:name="_Toc477877130"/>
      <w:bookmarkStart w:id="527" w:name="_Toc477878039"/>
      <w:bookmarkStart w:id="528" w:name="_Toc477876251"/>
      <w:bookmarkStart w:id="529" w:name="_Toc477879603"/>
      <w:bookmarkStart w:id="530" w:name="_Toc477880521"/>
      <w:bookmarkStart w:id="531" w:name="_Toc477881440"/>
      <w:bookmarkStart w:id="532" w:name="_Toc477885900"/>
      <w:bookmarkStart w:id="533" w:name="_Toc477890227"/>
      <w:bookmarkStart w:id="534" w:name="_Toc477936583"/>
      <w:bookmarkStart w:id="535" w:name="_Toc477937756"/>
      <w:bookmarkStart w:id="536" w:name="_Toc477277216"/>
      <w:bookmarkStart w:id="537" w:name="_Toc477535509"/>
      <w:bookmarkStart w:id="538" w:name="_Toc477630642"/>
      <w:bookmarkStart w:id="539" w:name="_Toc477693606"/>
      <w:bookmarkStart w:id="540" w:name="_Toc477703973"/>
      <w:bookmarkStart w:id="541" w:name="_Toc477799178"/>
      <w:bookmarkStart w:id="542" w:name="_Toc477805780"/>
      <w:bookmarkStart w:id="543" w:name="_Toc477878040"/>
      <w:bookmarkStart w:id="544" w:name="_Toc477881441"/>
      <w:bookmarkStart w:id="545" w:name="_Toc477885901"/>
      <w:bookmarkStart w:id="546" w:name="_Toc478131318"/>
      <w:bookmarkStart w:id="547" w:name="_Toc478138702"/>
      <w:bookmarkStart w:id="548" w:name="_Toc478232217"/>
      <w:bookmarkStart w:id="549" w:name="_Toc478237201"/>
      <w:bookmarkStart w:id="550" w:name="_Toc481761753"/>
      <w:bookmarkStart w:id="551" w:name="_Toc492900406"/>
      <w:bookmarkEnd w:id="474"/>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5C2C65">
        <w:rPr>
          <w:rFonts w:eastAsiaTheme="majorEastAsia"/>
        </w:rPr>
        <w:lastRenderedPageBreak/>
        <w:t>Grunnlag, rammer og mål for rettslig regulering og finansiering av tros- og livssynssamfunn</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A62BB2" w:rsidRDefault="00A62BB2" w:rsidP="002665BB">
      <w:pPr>
        <w:pStyle w:val="Overskrift2"/>
        <w:rPr>
          <w:rFonts w:eastAsiaTheme="minorEastAsia"/>
        </w:rPr>
      </w:pPr>
      <w:bookmarkStart w:id="552" w:name="_Toc476320913"/>
      <w:bookmarkStart w:id="553" w:name="_Toc477277217"/>
      <w:bookmarkStart w:id="554" w:name="_Toc477535510"/>
      <w:bookmarkStart w:id="555" w:name="_Toc477630643"/>
      <w:bookmarkStart w:id="556" w:name="_Toc477693607"/>
      <w:bookmarkStart w:id="557" w:name="_Toc477703974"/>
      <w:bookmarkStart w:id="558" w:name="_Toc477799179"/>
      <w:bookmarkStart w:id="559" w:name="_Toc477805781"/>
      <w:bookmarkStart w:id="560" w:name="_Toc477878041"/>
      <w:bookmarkStart w:id="561" w:name="_Toc477881442"/>
      <w:bookmarkStart w:id="562" w:name="_Toc477885902"/>
      <w:bookmarkStart w:id="563" w:name="_Toc478131319"/>
      <w:bookmarkStart w:id="564" w:name="_Toc478138703"/>
      <w:bookmarkStart w:id="565" w:name="_Toc478232218"/>
      <w:bookmarkStart w:id="566" w:name="_Toc478237202"/>
      <w:bookmarkStart w:id="567" w:name="_Toc481761754"/>
      <w:bookmarkStart w:id="568" w:name="_Toc492900407"/>
      <w:r>
        <w:rPr>
          <w:rFonts w:eastAsiaTheme="minorEastAsia"/>
        </w:rPr>
        <w:t>Innledning</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Pr>
          <w:rFonts w:eastAsiaTheme="minorEastAsia"/>
        </w:rPr>
        <w:t xml:space="preserve"> </w:t>
      </w:r>
    </w:p>
    <w:p w:rsidR="00A62BB2" w:rsidRDefault="00BA48FA" w:rsidP="00A62BB2">
      <w:r>
        <w:t>Som framstillingen i kapittel 3 har vist, er d</w:t>
      </w:r>
      <w:r w:rsidR="00A62BB2">
        <w:t xml:space="preserve">en rettslige reguleringen av tros- og livssynssamfunn i Norge </w:t>
      </w:r>
      <w:r w:rsidR="00C605E8">
        <w:t>utviklet over en lang periode, og d</w:t>
      </w:r>
      <w:r w:rsidR="00A62BB2">
        <w:t>e gjeldende ordningene har sin historisk</w:t>
      </w:r>
      <w:r w:rsidR="00C605E8">
        <w:t xml:space="preserve">e bakgrunn i </w:t>
      </w:r>
      <w:r w:rsidR="00987B74">
        <w:t>Grunnlovens opprinnelige statskirkesystem</w:t>
      </w:r>
      <w:r w:rsidR="00C605E8">
        <w:t xml:space="preserve">. </w:t>
      </w:r>
      <w:r w:rsidR="00A62BB2">
        <w:t xml:space="preserve">Også </w:t>
      </w:r>
      <w:r w:rsidR="00C605E8">
        <w:t>finansieringsordningene for</w:t>
      </w:r>
      <w:r w:rsidR="00A62BB2">
        <w:t xml:space="preserve"> Den norske kirke og andre tros- og livssynssamfunn er bygget på den t</w:t>
      </w:r>
      <w:r w:rsidR="00C605E8">
        <w:t>idligere statskirkeordningen, supplert med</w:t>
      </w:r>
      <w:r w:rsidR="00A62BB2">
        <w:t xml:space="preserve"> et prinsipp om likebehandling. </w:t>
      </w:r>
      <w:r w:rsidR="00987B74">
        <w:t>Det</w:t>
      </w:r>
      <w:r w:rsidR="00A62BB2">
        <w:t xml:space="preserve"> økonomiske støttesystemet til tros- og livssynssamfunn utenom Den norske kirke </w:t>
      </w:r>
      <w:r w:rsidR="006552EF">
        <w:t xml:space="preserve">som </w:t>
      </w:r>
      <w:r w:rsidR="00987B74">
        <w:t xml:space="preserve">vi har i dag, </w:t>
      </w:r>
      <w:r w:rsidR="00A62BB2">
        <w:t>ble innført i 1969 (og 1981) som kompensatorisk</w:t>
      </w:r>
      <w:r w:rsidR="00987B74">
        <w:t>e</w:t>
      </w:r>
      <w:r w:rsidR="00A62BB2">
        <w:t xml:space="preserve"> ordning</w:t>
      </w:r>
      <w:r w:rsidR="00987B74">
        <w:t>er</w:t>
      </w:r>
      <w:r w:rsidR="00A62BB2">
        <w:t xml:space="preserve">. Det er grunnlag for å si at det er lang tradisjon for offentlig finansiering av Den norske kirke og andre tros- og livssynssamfunn i Norge, og at de gjeldende finansieringsordningene er unike sammenlignet med situasjonen i andre land. </w:t>
      </w:r>
      <w:r w:rsidR="00C070D1">
        <w:t>Dette har dels sammenheng med</w:t>
      </w:r>
      <w:r w:rsidR="0037670E">
        <w:t xml:space="preserve"> at det i motsetning til de øvrige nordiske landene ikke er noen kirkeskattordning i Norge. Den statlige og kommunale finansieringen av Den norske kirke har sammen med </w:t>
      </w:r>
      <w:r w:rsidR="00AB5BD3">
        <w:t xml:space="preserve">ønsket om kompensatorisk </w:t>
      </w:r>
      <w:r w:rsidR="0037670E">
        <w:t>l</w:t>
      </w:r>
      <w:r w:rsidR="00AB5BD3">
        <w:t>ikebehandling ledet til en</w:t>
      </w:r>
      <w:r w:rsidR="0037670E">
        <w:t xml:space="preserve"> rettighetsregulering av tilskudd til andre tros- og livssyns</w:t>
      </w:r>
      <w:r w:rsidR="002076BC">
        <w:t>s</w:t>
      </w:r>
      <w:r w:rsidR="0037670E">
        <w:t>amfunn.</w:t>
      </w:r>
    </w:p>
    <w:p w:rsidR="00A62BB2" w:rsidRDefault="00A62BB2" w:rsidP="00A62BB2">
      <w:r>
        <w:t xml:space="preserve">Etter grunnlovsendringene i 2012, og etter at Den norske kirke er skilt ut fra staten som et selvstendig rettssubjekt fra 2017, er grunnlaget for statens </w:t>
      </w:r>
      <w:r w:rsidR="00C605E8">
        <w:t xml:space="preserve">regulering og </w:t>
      </w:r>
      <w:r>
        <w:t xml:space="preserve">finansiering av både Den norske kirke og andre tros- og livssynssamfunn prinsipielt endret. Den nye bestemmelsen i Grunnloven § 16 foreskriver kontinuitet, men legger samtidig et nytt rettslig grunnlag og nye rammer for </w:t>
      </w:r>
      <w:r w:rsidR="00987B74">
        <w:t>lovregulering</w:t>
      </w:r>
      <w:r w:rsidR="00C605E8">
        <w:t xml:space="preserve"> og finansiering</w:t>
      </w:r>
      <w:r>
        <w:t xml:space="preserve"> av tros- og livssynssamfunn. Den nye grunnlovsparagrafen signaliserer at statens fremste oppgave i tros- og livssynspolitikken fortsatt skal være å beskytte individuell og kollektiv tros- og livssynsfrihet. Ordlyden verner om "religionsutøvelse". Grunnlovsparagrafen er dessuten et uttrykk for at staten fortsatt har en aktivt støttende tros- og livssynspolitikk: Den norske kirke skal understøttes som folkekirke, og alle tros- og livssynssamfunn skal understøttes på lik linje.  </w:t>
      </w:r>
    </w:p>
    <w:p w:rsidR="00A62BB2" w:rsidRDefault="00A62BB2" w:rsidP="00A62BB2">
      <w:r>
        <w:t xml:space="preserve">I tråd med dette forutsetter regjeringens politiske plattform at det offentlige fremdeles skal gi økonomiske tilskudd til Den norske kirke og andre tros- og livssynssamfunn. Den politiske plattformen sier videre at de økonomiske tilskuddene skal være basert på prinsippet om likebehandling, og at staten ikke skal bruke økonomiske virkemidler for å styre lovlig aktivitet i regi av tros- og livssynssamfunn. </w:t>
      </w:r>
    </w:p>
    <w:p w:rsidR="00A62BB2" w:rsidRDefault="00A62BB2" w:rsidP="00A62BB2">
      <w:r>
        <w:t xml:space="preserve">I dette kapitlet gjennomgås det overordnede rettslige rammeverket som forslag til ny lovgivning om tros- og livssynssamfunn, herunder finansieringsordninger, må forholde seg til. Departementet drøfter dessuten mål for den aktivt støttende tros- og livssynspolitikken og hvordan slike mål bør søkes realisert gjennom rettslig regulering og finansiering av tros- og livssynssamfunn. </w:t>
      </w:r>
    </w:p>
    <w:p w:rsidR="00A62BB2" w:rsidRDefault="00A62BB2" w:rsidP="002665BB">
      <w:pPr>
        <w:pStyle w:val="Overskrift2"/>
        <w:rPr>
          <w:rFonts w:eastAsiaTheme="minorEastAsia"/>
        </w:rPr>
      </w:pPr>
      <w:bookmarkStart w:id="569" w:name="_Toc476320914"/>
      <w:bookmarkStart w:id="570" w:name="_Toc477277218"/>
      <w:bookmarkStart w:id="571" w:name="_Toc477535511"/>
      <w:bookmarkStart w:id="572" w:name="_Toc477630644"/>
      <w:bookmarkStart w:id="573" w:name="_Toc477693608"/>
      <w:bookmarkStart w:id="574" w:name="_Toc477703975"/>
      <w:bookmarkStart w:id="575" w:name="_Toc477799180"/>
      <w:bookmarkStart w:id="576" w:name="_Toc477805782"/>
      <w:bookmarkStart w:id="577" w:name="_Toc477871440"/>
      <w:bookmarkStart w:id="578" w:name="_Toc477878042"/>
      <w:bookmarkStart w:id="579" w:name="_Toc477881443"/>
      <w:bookmarkStart w:id="580" w:name="_Toc477885903"/>
      <w:bookmarkStart w:id="581" w:name="_Toc478131320"/>
      <w:bookmarkStart w:id="582" w:name="_Toc478138704"/>
      <w:bookmarkStart w:id="583" w:name="_Toc478232219"/>
      <w:bookmarkStart w:id="584" w:name="_Toc478237203"/>
      <w:bookmarkStart w:id="585" w:name="_Toc481761755"/>
      <w:bookmarkStart w:id="586" w:name="_Toc492900408"/>
      <w:r>
        <w:rPr>
          <w:rFonts w:eastAsiaTheme="minorEastAsia"/>
        </w:rPr>
        <w:t>Rettslig rammeverk for statens tros- og livssynspolitikk</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A62BB2" w:rsidRPr="00FE5260" w:rsidRDefault="00A62BB2" w:rsidP="005C2C65">
      <w:pPr>
        <w:pStyle w:val="Overskrift3"/>
        <w:rPr>
          <w:rFonts w:eastAsiaTheme="majorEastAsia"/>
        </w:rPr>
      </w:pPr>
      <w:bookmarkStart w:id="587" w:name="_Toc476320915"/>
      <w:bookmarkStart w:id="588" w:name="_Toc477277219"/>
      <w:bookmarkStart w:id="589" w:name="_Toc477535512"/>
      <w:bookmarkStart w:id="590" w:name="_Toc477630645"/>
      <w:bookmarkStart w:id="591" w:name="_Toc477693609"/>
      <w:bookmarkStart w:id="592" w:name="_Toc477703976"/>
      <w:bookmarkStart w:id="593" w:name="_Toc477799181"/>
      <w:bookmarkStart w:id="594" w:name="_Toc477805783"/>
      <w:bookmarkStart w:id="595" w:name="_Toc477878043"/>
      <w:bookmarkStart w:id="596" w:name="_Toc477881444"/>
      <w:bookmarkStart w:id="597" w:name="_Toc477885904"/>
      <w:bookmarkStart w:id="598" w:name="_Toc478131321"/>
      <w:bookmarkStart w:id="599" w:name="_Toc478138705"/>
      <w:bookmarkStart w:id="600" w:name="_Toc478232220"/>
      <w:bookmarkStart w:id="601" w:name="_Toc478237204"/>
      <w:bookmarkStart w:id="602" w:name="_Toc481761756"/>
      <w:bookmarkStart w:id="603" w:name="_Toc492900409"/>
      <w:r w:rsidRPr="00FE5260">
        <w:rPr>
          <w:rFonts w:eastAsiaTheme="majorEastAsia"/>
        </w:rPr>
        <w:t>Utgangspunkter</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A62BB2" w:rsidRDefault="00A62BB2" w:rsidP="00A62BB2">
      <w:r>
        <w:t>Prinsippet om tros- og livssynsfrihet (religions- eller trosfrihet), og andre tilknyttede rettigheter som f</w:t>
      </w:r>
      <w:r w:rsidR="003B7FFE">
        <w:t>or eksempel organisasjonsfrihet og</w:t>
      </w:r>
      <w:r>
        <w:t xml:space="preserve"> ytri</w:t>
      </w:r>
      <w:r w:rsidR="003B7FFE">
        <w:t>ngsfrihet</w:t>
      </w:r>
      <w:r>
        <w:t xml:space="preserve">, er omhandlet i flere av de internasjonale menneskerettskonvensjonene som Norge har sluttet seg til. Særlig sentralt </w:t>
      </w:r>
      <w:r>
        <w:lastRenderedPageBreak/>
        <w:t>står beskyttelsen av tanke-, samvittighets- og religionsfriheten i Den europeiske menneskerettskonvensjonen (EMK) artikkel 9 og FN-konvensjonen om sivile og politiske rettigheter (SP) artikkel 18. Av spesiell betydning for temaene i dette høringsnotatet er dessuten diskrimineringsvernet, som har rettslig grunnlag i flere konvensjoner, blant annet i EMK artikkel 14, SP artikkel 26 og FNs konvensjon om avskaffelse av alle former for diskriminering av kvinn</w:t>
      </w:r>
      <w:r w:rsidR="003B7FFE">
        <w:t>er (</w:t>
      </w:r>
      <w:r w:rsidR="006A6DF5">
        <w:t>KDK)</w:t>
      </w:r>
      <w:r w:rsidR="003B7FFE">
        <w:t xml:space="preserve">. EMK, </w:t>
      </w:r>
      <w:r>
        <w:t>SP</w:t>
      </w:r>
      <w:r w:rsidR="00987B74">
        <w:t xml:space="preserve">, </w:t>
      </w:r>
      <w:r w:rsidR="006A6DF5">
        <w:t>KDK</w:t>
      </w:r>
      <w:r w:rsidR="003B7FFE">
        <w:t xml:space="preserve"> og </w:t>
      </w:r>
      <w:r w:rsidR="00987B74">
        <w:t>dessuten Barnekonvensjonen (BK)</w:t>
      </w:r>
      <w:r>
        <w:t xml:space="preserve"> er dessuten gjort til intern rett med forrang gjennom lov 21. mai 1999 nr. 30 om styrking av menneskerettighetenes stilling i norsk rett (menneskerettsloven). </w:t>
      </w:r>
    </w:p>
    <w:p w:rsidR="00A62BB2" w:rsidRDefault="00A62BB2" w:rsidP="00A62BB2">
      <w:r>
        <w:t>Den sentrale, internrettslige rammebestemmelsen for statens tros- og livssynspolit</w:t>
      </w:r>
      <w:r w:rsidR="003B7FFE">
        <w:t>ikk er Grunnloven § 16</w:t>
      </w:r>
      <w:r w:rsidR="00796514">
        <w:t>.</w:t>
      </w:r>
    </w:p>
    <w:p w:rsidR="00A62BB2" w:rsidRDefault="00A62BB2" w:rsidP="00FE5260">
      <w:pPr>
        <w:pStyle w:val="Overskrift3"/>
        <w:rPr>
          <w:rFonts w:eastAsiaTheme="majorEastAsia"/>
        </w:rPr>
      </w:pPr>
      <w:bookmarkStart w:id="604" w:name="_Toc476320916"/>
      <w:bookmarkStart w:id="605" w:name="_Toc477277220"/>
      <w:bookmarkStart w:id="606" w:name="_Toc477535513"/>
      <w:bookmarkStart w:id="607" w:name="_Toc477630646"/>
      <w:bookmarkStart w:id="608" w:name="_Toc477693610"/>
      <w:bookmarkStart w:id="609" w:name="_Toc477703977"/>
      <w:bookmarkStart w:id="610" w:name="_Toc477799182"/>
      <w:bookmarkStart w:id="611" w:name="_Toc477805784"/>
      <w:bookmarkStart w:id="612" w:name="_Toc477878044"/>
      <w:bookmarkStart w:id="613" w:name="_Toc477881445"/>
      <w:bookmarkStart w:id="614" w:name="_Toc477885905"/>
      <w:bookmarkStart w:id="615" w:name="_Toc478131322"/>
      <w:bookmarkStart w:id="616" w:name="_Toc478138706"/>
      <w:bookmarkStart w:id="617" w:name="_Toc478232221"/>
      <w:bookmarkStart w:id="618" w:name="_Toc478237205"/>
      <w:bookmarkStart w:id="619" w:name="_Toc481761757"/>
      <w:bookmarkStart w:id="620" w:name="_Toc492900410"/>
      <w:r>
        <w:rPr>
          <w:rFonts w:eastAsiaTheme="majorEastAsia"/>
        </w:rPr>
        <w:t>Nærmere om relevante konvensjoner og konvensjonsbestemmelser</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eastAsiaTheme="majorEastAsia"/>
        </w:rPr>
        <w:t xml:space="preserve"> </w:t>
      </w:r>
    </w:p>
    <w:p w:rsidR="00A62BB2" w:rsidRDefault="00A62BB2" w:rsidP="00A62BB2">
      <w:r>
        <w:t xml:space="preserve">Den i vår sammenheng viktigste konvensjonsbestemmelsen om tros- og livssynsfrihet finnes i EMK artikkel 9, som i norsk oversettelse lyder: </w:t>
      </w:r>
    </w:p>
    <w:p w:rsidR="00A62BB2" w:rsidRPr="0080554F" w:rsidRDefault="00A62BB2" w:rsidP="00856E3F">
      <w:pPr>
        <w:pStyle w:val="blokksit"/>
        <w:rPr>
          <w:rStyle w:val="kursiv"/>
        </w:rPr>
      </w:pPr>
      <w:r w:rsidRPr="0080554F">
        <w:rPr>
          <w:rStyle w:val="kursiv"/>
        </w:rPr>
        <w:t>Art</w:t>
      </w:r>
      <w:r w:rsidR="00EF74F4" w:rsidRPr="0080554F">
        <w:rPr>
          <w:rStyle w:val="kursiv"/>
        </w:rPr>
        <w:t>ikkel</w:t>
      </w:r>
      <w:r w:rsidRPr="0080554F">
        <w:rPr>
          <w:rStyle w:val="kursiv"/>
        </w:rPr>
        <w:t xml:space="preserve"> 9. Tanke-, samvittighets- og religionsfrihet </w:t>
      </w:r>
    </w:p>
    <w:p w:rsidR="00A62BB2" w:rsidRPr="0080554F" w:rsidRDefault="00A62BB2" w:rsidP="00856E3F">
      <w:pPr>
        <w:pStyle w:val="blokksit"/>
        <w:rPr>
          <w:rStyle w:val="kursiv"/>
        </w:rPr>
      </w:pPr>
      <w:r w:rsidRPr="0080554F">
        <w:rPr>
          <w:rStyle w:val="kursiv"/>
        </w:rPr>
        <w:t xml:space="preserve">1. Enhver har rett til tankefrihet, samvittighetsfrihet og religionsfrihet; denne rett omfatter frihet til å skifte sin religion eller overbevisning, og frihet til enten alene eller sammen med andre og såvel offentlig som privat å gi uttrykk for sin religion eller overbevisning, ved tilbedelse, undervisning, praksis og etterlevelse. </w:t>
      </w:r>
    </w:p>
    <w:p w:rsidR="00A62BB2" w:rsidRPr="0080554F" w:rsidRDefault="00A62BB2" w:rsidP="00856E3F">
      <w:pPr>
        <w:pStyle w:val="blokksit"/>
        <w:rPr>
          <w:rStyle w:val="kursiv"/>
        </w:rPr>
      </w:pPr>
      <w:r w:rsidRPr="0080554F">
        <w:rPr>
          <w:rStyle w:val="kursiv"/>
        </w:rPr>
        <w:t>2. Frihet til å gi uttrykk for sin religion eller overbevisning skal bare bli undergitt slike begrensninger som er foreskrevet ved lov og er nødvendige i et demokratisk samfunn av hensyn til den offentlige trygghet, for å beskytte den offentlige orden, helse eller moral, eller for å beskytte andres rettigheter og friheter.</w:t>
      </w:r>
    </w:p>
    <w:p w:rsidR="00AA2AB4" w:rsidRDefault="00AA2AB4" w:rsidP="00AA2AB4">
      <w:r>
        <w:t xml:space="preserve">Den europeiske menneskerettsdomstolen (EMD) har i sin praksis framholdt at religionsfriheten, tankefriheten og samvittighetsfriheten er en forutsetning for et demokratisk samfunn, og at pluralismen som nødvendigvis må opptre i et demokratisk samfunn, er avhengig av denne rettigheten (se for eksempel Jehovas vitner i Moskva vs. Russland, dom 10.06.2010, avsnitt 99). </w:t>
      </w:r>
    </w:p>
    <w:p w:rsidR="00A62BB2" w:rsidRDefault="00A62BB2" w:rsidP="00A62BB2">
      <w:r>
        <w:t xml:space="preserve">Tros- og livssynsfrihet omfatter både religion og sekulære livssyn. Staten har plikt til å respektere og til en viss grad sikre tros- og livssynsfriheten til </w:t>
      </w:r>
      <w:r w:rsidR="00ED29DE">
        <w:t>alle som oppholder seg i landet</w:t>
      </w:r>
      <w:r>
        <w:t>. Tros- og livssynsfrihet innebærer både frihet fra tvang og frihet til religion. Den er også en kollektiv rettighet fordi tro og livssyn også er kollektive fenomener</w:t>
      </w:r>
      <w:r w:rsidR="00EF74F4">
        <w:t>,</w:t>
      </w:r>
      <w:r>
        <w:t xml:space="preserve"> ved at mennesker kommer sammen i fellesskap og handler sammen. Et tros- eller livssynssamfunn er dermed også beskyttet. </w:t>
      </w:r>
    </w:p>
    <w:p w:rsidR="00A62BB2" w:rsidRDefault="00A62BB2" w:rsidP="00A62BB2">
      <w:r>
        <w:t xml:space="preserve">EMK artikkel 9 krever at trossamfunn skal kunne organisere seg </w:t>
      </w:r>
      <w:r w:rsidR="00F419FF">
        <w:t>rettslig</w:t>
      </w:r>
      <w:r>
        <w:t xml:space="preserve"> for å kunne stifte rettigheter og plikter på vegne av fellesskapet. Staten kan</w:t>
      </w:r>
      <w:r w:rsidR="00ED29DE">
        <w:t xml:space="preserve"> likevel sette vilkår om at </w:t>
      </w:r>
      <w:r>
        <w:t xml:space="preserve">samfunnene må organisere seg på bestemte måter, for eksempel for å kunne få tildelt vigselsmyndighet eller motta økonomisk støtte. </w:t>
      </w:r>
    </w:p>
    <w:p w:rsidR="00A62BB2" w:rsidRDefault="00A62BB2" w:rsidP="00A62BB2">
      <w:r>
        <w:t xml:space="preserve">Verken EMK eller andre konvensjoner pålegger staten å føre en "aktivt støttende tros- og livssynspolitikk". Staten står fritt til å avgjøre om den skal støtte tros- og livssynssamfunn økonomisk, men støtten til ulike tros- og livssynssamfunn må oppfylle eventuelle krav til </w:t>
      </w:r>
      <w:r w:rsidR="00AA2AB4">
        <w:t xml:space="preserve">objektivitet eller </w:t>
      </w:r>
      <w:r>
        <w:t xml:space="preserve">ikke-diskriminering som måtte følge av EMK artikkel 9 og artikkel 9 sett i sammenheng med artikkel 14, se nærmere nedenfor. Det er ikke konvensjonsstridig at staten bruker alminnelige skatter til å støtte tros- og livssynssamfunn selv om skatteinntekter da brukes til å finansiere formål som vil være i strid med enkelte skattebetaleres overbevisning (se for eksempel EMD i saken </w:t>
      </w:r>
      <w:r>
        <w:rPr>
          <w:i/>
        </w:rPr>
        <w:t>C mot UK</w:t>
      </w:r>
      <w:r>
        <w:t xml:space="preserve">, 10358/83, avgjørelse 15.12.1983). </w:t>
      </w:r>
    </w:p>
    <w:p w:rsidR="00A62BB2" w:rsidRDefault="00A62BB2" w:rsidP="00A62BB2">
      <w:r>
        <w:lastRenderedPageBreak/>
        <w:t>Tros- og livssynsfriheten er ikke absolutt. Hovedregelen er at staten ikke skal gripe inn i trossamfunnenes indre organisering eller virksomhet, men staten kan gjøre inngrep i tros- og livssynsfriheten når andre tilstrekkelig tungtveiende hensyn gir grunn til det. Etter EMK artikkel 9 nr. 2 kan staten begrense friheten når det er nødvendig av hensyn til offentlig trygghet, offentlig orden</w:t>
      </w:r>
      <w:r w:rsidR="002A733C">
        <w:t>,</w:t>
      </w:r>
      <w:r>
        <w:t xml:space="preserve"> helse eller moral</w:t>
      </w:r>
      <w:r w:rsidR="002A733C">
        <w:t>, eller for å beskytte andres rettigheter og friheter.</w:t>
      </w:r>
      <w:r>
        <w:t xml:space="preserve"> Inngrep må ha hjemmel i lov eller forskrift, og dessuten må inngrep være nødvendige i et demokratisk samfunn. Dette siste er et krav om forholdsmessighet (proporsjonalitet) mellom mål og midler. I EMD-praksis finnes eksempler på tilfeller der statlige inngrep kan være berettiget, for eksempel </w:t>
      </w:r>
      <w:r w:rsidR="0024286C">
        <w:t>"</w:t>
      </w:r>
      <w:r w:rsidR="00B741FA">
        <w:t>polygamous or underage marriage … or a flagrant breach of gender equality" e</w:t>
      </w:r>
      <w:r>
        <w:t>ller handlinger som påtvinges medlemmer av et trossamfunn mot deres vilje (Jehovas vitner i Moskva vs. Russl</w:t>
      </w:r>
      <w:r w:rsidR="00ED29DE">
        <w:t xml:space="preserve">and, avsnitt </w:t>
      </w:r>
      <w:r>
        <w:t xml:space="preserve">119). </w:t>
      </w:r>
    </w:p>
    <w:p w:rsidR="00A62BB2" w:rsidRDefault="00A62BB2" w:rsidP="00A62BB2">
      <w:r>
        <w:t xml:space="preserve">Generelt er det lagt til grunn at en statskirkeordning ikke i seg selv er i strid med internasjonale menneskerettsbestemmelser som Norge er bundet av. Dette prinsippet ble senest bekreftet av Den europeiske menneskerettsdomstolen (EMD) i avvisningsavgjørelsen </w:t>
      </w:r>
      <w:r>
        <w:rPr>
          <w:i/>
        </w:rPr>
        <w:t>Ásatrúarfélagið mot Island</w:t>
      </w:r>
      <w:r>
        <w:t xml:space="preserve"> (snr. 22897/08, avgjørelse 18.9.2012). EMK er heller ikke til hinder for at staten kan ha et særlig forhold til ett eller flere trossamfunn, uten at dette </w:t>
      </w:r>
      <w:r w:rsidR="00EF74F4">
        <w:t>er karakterisert</w:t>
      </w:r>
      <w:r>
        <w:t xml:space="preserve"> som en "statskirkeordning". </w:t>
      </w:r>
      <w:r w:rsidR="00ED29DE">
        <w:t>Et slikt særlig forhold</w:t>
      </w:r>
      <w:r>
        <w:t xml:space="preserve"> kan for eksempel komme til uttrykk gjennom særskilte finansieringsordninger eller særskilt lovgivning. </w:t>
      </w:r>
    </w:p>
    <w:p w:rsidR="00A62BB2" w:rsidRDefault="00A62BB2" w:rsidP="00A62BB2">
      <w:r>
        <w:t xml:space="preserve">EMK artikkel 14 gir vern mot å bli diskriminert på bakgrunn av blant annet tro eller livssyn. Artikkelen har følgende ordlyd: </w:t>
      </w:r>
    </w:p>
    <w:p w:rsidR="00A62BB2" w:rsidRPr="00D93AC6" w:rsidRDefault="00A62BB2" w:rsidP="00856E3F">
      <w:pPr>
        <w:pStyle w:val="blokksit"/>
        <w:rPr>
          <w:rStyle w:val="kursiv"/>
        </w:rPr>
      </w:pPr>
      <w:r w:rsidRPr="00D93AC6">
        <w:rPr>
          <w:rStyle w:val="kursiv"/>
        </w:rPr>
        <w:t>Art</w:t>
      </w:r>
      <w:r w:rsidR="00EF74F4" w:rsidRPr="00D93AC6">
        <w:rPr>
          <w:rStyle w:val="kursiv"/>
        </w:rPr>
        <w:t>ikkel</w:t>
      </w:r>
      <w:r w:rsidRPr="00D93AC6">
        <w:rPr>
          <w:rStyle w:val="kursiv"/>
        </w:rPr>
        <w:t xml:space="preserve"> 14. Forbud mot diskriminering </w:t>
      </w:r>
    </w:p>
    <w:p w:rsidR="00A62BB2" w:rsidRPr="00D93AC6" w:rsidRDefault="00A62BB2" w:rsidP="00856E3F">
      <w:pPr>
        <w:pStyle w:val="blokksit"/>
        <w:rPr>
          <w:rStyle w:val="kursiv"/>
        </w:rPr>
      </w:pPr>
      <w:r w:rsidRPr="00D93AC6">
        <w:rPr>
          <w:rStyle w:val="kursiv"/>
        </w:rPr>
        <w:t>Utøvelsen av de rettigheter og friheter som er fastlagt i denne konvensjon skal bli sikret uten diskriminering på noe grunnlag slik som kjønn, rase, farge, språk, religion, politisk eller annen oppfatning, nasjonal eller sosial opprinnelse, tilknytning til en nasjonal minoritet, eiendom, fødsel eller annen status.</w:t>
      </w:r>
    </w:p>
    <w:p w:rsidR="00A62BB2" w:rsidRDefault="00A62BB2" w:rsidP="00A62BB2">
      <w:r>
        <w:t xml:space="preserve">Flere vilkår må </w:t>
      </w:r>
      <w:r w:rsidR="00F419FF">
        <w:t>alle</w:t>
      </w:r>
      <w:r>
        <w:t xml:space="preserve"> være oppfylt for at artikkel 14 skal komme til anvendelse, blant annet er inngangsvilkåret at forskjellsbehandlingen må gjelde en rettighet som er omhandlet i konvensjonen, </w:t>
      </w:r>
      <w:r w:rsidR="00907B13">
        <w:t>eksempelvis</w:t>
      </w:r>
      <w:r>
        <w:t xml:space="preserve"> artikkel 9. Det vil måtte vurderes konkret om for eksempel ulikheter i finanseringen av Den norske kirke og andre tros- og livssynssamfunn er forenlige med EMK artikkel 9 jf. artikkel 14. Departementet viser i denne forbindelsen til de to grundige uttalelsene fra Justis- og beredskapsdepartementets lovavdeling som er tatt inn i henholdsvis Prop. 12 L (2015–2016) s. 7 flg. og Prop. 9 L (2016–2017) s. 11 flg. </w:t>
      </w:r>
    </w:p>
    <w:p w:rsidR="00A62BB2" w:rsidRDefault="00A62BB2" w:rsidP="00A62BB2">
      <w:r>
        <w:t xml:space="preserve">Departementet legger til grunn at det for drøftelsene i dette høringsnotatet ikke er </w:t>
      </w:r>
      <w:r w:rsidR="00B1282C">
        <w:t>nødvendig</w:t>
      </w:r>
      <w:r>
        <w:t xml:space="preserve"> å gå nærmere inn i SP artiklene 18 og 26. </w:t>
      </w:r>
      <w:r w:rsidR="0017277F">
        <w:t xml:space="preserve">Det </w:t>
      </w:r>
      <w:r>
        <w:t>vise</w:t>
      </w:r>
      <w:r w:rsidR="0017277F">
        <w:t>s</w:t>
      </w:r>
      <w:r>
        <w:t xml:space="preserve"> ellers til de nevnte uttalelsene fra Lovavdelingen og Prop. 9 L (2016–2017) s. 40–41. </w:t>
      </w:r>
    </w:p>
    <w:p w:rsidR="00A62BB2" w:rsidRDefault="00A62BB2" w:rsidP="00A62BB2">
      <w:r>
        <w:t xml:space="preserve">Tros- og livssynsfrihet kan komme i konflikt med andre rettigheter som har vern etter andre konvensjonsbestemmelser. Diskrimineringsvernet er allerede nevnt, og i økende grad er det nødvendig å avveie den kollektive tros- og </w:t>
      </w:r>
      <w:r w:rsidR="00907B13">
        <w:t>livssyns</w:t>
      </w:r>
      <w:r>
        <w:t>friheten mot andre beskyttede rettigheter, for eksempel kvinners ret</w:t>
      </w:r>
      <w:r w:rsidR="00907B13">
        <w:t>t til vern mot diskriminering. Som nevnt har kvinner e</w:t>
      </w:r>
      <w:r w:rsidR="006A429C">
        <w:t>n</w:t>
      </w:r>
      <w:r>
        <w:t xml:space="preserve"> særlig beskyttelse</w:t>
      </w:r>
      <w:r w:rsidR="00907B13">
        <w:t xml:space="preserve"> mot diskriminering i</w:t>
      </w:r>
      <w:r>
        <w:t xml:space="preserve"> FNs kvinnekonvensjon. </w:t>
      </w:r>
      <w:r w:rsidR="004843D3">
        <w:t xml:space="preserve">Den norske lovgivningen om vern mot diskriminering på grunnlag av kjønn er også utformet innenfor rammen av forpliktelser etter EØS-avtalen. </w:t>
      </w:r>
      <w:r>
        <w:t xml:space="preserve">FNs </w:t>
      </w:r>
      <w:r w:rsidR="00907B13">
        <w:t>konvensjon om barnets rettigheter (</w:t>
      </w:r>
      <w:r w:rsidR="006A6DF5">
        <w:t>BK</w:t>
      </w:r>
      <w:r w:rsidR="00907B13">
        <w:t>)</w:t>
      </w:r>
      <w:r>
        <w:t xml:space="preserve"> gir barn og unge under 18 år et særlig menneskerettsvern. Barn har en selvstendig tros- og livssynsfrihet, men denne må blant annet avveies mot foreldreretten. </w:t>
      </w:r>
    </w:p>
    <w:p w:rsidR="00A62BB2" w:rsidRDefault="00A62BB2" w:rsidP="00A62BB2">
      <w:r>
        <w:t xml:space="preserve">Menneskerettighetene utgjør et sammenhengende system, og i ulike sammenhenger må en foreta vanskelige avveininger og vurdere ulike rettigheter og verdier opp mot hverandre. </w:t>
      </w:r>
      <w:r>
        <w:lastRenderedPageBreak/>
        <w:t xml:space="preserve">Internasjonale konvensjonsbestemmelser legger utvilsomt visse rammer for statens handlingsrom i slike avveiningsspørsmål. Men staten har en viss frihet (skjønnsmargin) til å regulere forholdet mellom stat og religion, mellom offentlige myndigheter og tros- og livssynssamfunn, og mellom ulike rettigheter og verdier. Dette betyr at menneskerettighetene ikke alltid gir klare svar i slike avveiningsspørsmål, og at det er rom for ulike politiske vurderinger innenfor rammen av menneskerettighetene. </w:t>
      </w:r>
    </w:p>
    <w:p w:rsidR="00A62BB2" w:rsidRDefault="00A62BB2" w:rsidP="00FE5260">
      <w:pPr>
        <w:pStyle w:val="Overskrift3"/>
        <w:rPr>
          <w:rFonts w:eastAsiaTheme="majorEastAsia"/>
        </w:rPr>
      </w:pPr>
      <w:bookmarkStart w:id="621" w:name="_Toc476320917"/>
      <w:bookmarkStart w:id="622" w:name="_Toc477277221"/>
      <w:bookmarkStart w:id="623" w:name="_Toc477535514"/>
      <w:bookmarkStart w:id="624" w:name="_Toc477630647"/>
      <w:bookmarkStart w:id="625" w:name="_Toc477693611"/>
      <w:bookmarkStart w:id="626" w:name="_Toc477703978"/>
      <w:bookmarkStart w:id="627" w:name="_Toc477799183"/>
      <w:bookmarkStart w:id="628" w:name="_Toc477805785"/>
      <w:bookmarkStart w:id="629" w:name="_Toc477878045"/>
      <w:bookmarkStart w:id="630" w:name="_Toc477881446"/>
      <w:bookmarkStart w:id="631" w:name="_Toc477885906"/>
      <w:bookmarkStart w:id="632" w:name="_Toc478131323"/>
      <w:bookmarkStart w:id="633" w:name="_Toc478138707"/>
      <w:bookmarkStart w:id="634" w:name="_Toc478232222"/>
      <w:bookmarkStart w:id="635" w:name="_Toc478237206"/>
      <w:bookmarkStart w:id="636" w:name="_Toc481761758"/>
      <w:bookmarkStart w:id="637" w:name="_Toc492900411"/>
      <w:r>
        <w:rPr>
          <w:rFonts w:eastAsiaTheme="majorEastAsia"/>
        </w:rPr>
        <w:t>Nærmere om Grunnloven § 16</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A62BB2" w:rsidRDefault="00A62BB2" w:rsidP="00FE5260">
      <w:pPr>
        <w:pStyle w:val="Overskrift4"/>
        <w:rPr>
          <w:rFonts w:eastAsiaTheme="majorEastAsia"/>
        </w:rPr>
      </w:pPr>
      <w:r>
        <w:rPr>
          <w:rFonts w:eastAsiaTheme="majorEastAsia"/>
        </w:rPr>
        <w:t>Utgangspunkter</w:t>
      </w:r>
    </w:p>
    <w:p w:rsidR="00A62BB2" w:rsidRDefault="00A62BB2" w:rsidP="00A62BB2">
      <w:r>
        <w:t xml:space="preserve">Grunnloven § 16 har følgende ordlyd: </w:t>
      </w:r>
    </w:p>
    <w:p w:rsidR="00A62BB2" w:rsidRPr="00D93AC6" w:rsidRDefault="00A62BB2" w:rsidP="00856E3F">
      <w:pPr>
        <w:pStyle w:val="blokksit"/>
        <w:rPr>
          <w:rStyle w:val="kursiv"/>
        </w:rPr>
      </w:pPr>
      <w:r w:rsidRPr="00D93AC6">
        <w:rPr>
          <w:rStyle w:val="kursiv"/>
        </w:rPr>
        <w:t>Alle innbyggere i riket har fri religionsutøvelse. Den norske kirke, en evangelisk-luthersk kirke, forblir Norges folkekirke og understøttes som sådan av staten. Nærmere bestemmelser om Kirkens ordning fastsettes ved Lov. Alle tros- og livssynssamfunn skal understøttes på lik linje.</w:t>
      </w:r>
    </w:p>
    <w:p w:rsidR="00A62BB2" w:rsidRDefault="00A62BB2" w:rsidP="00A62BB2">
      <w:r>
        <w:t xml:space="preserve">Paragrafen inneholder for det første bestemmelsen om religionsfrihet (tros- og livssynsfrihet). Denne bestemmelsen må tolkes i samsvar med blant annet EMK artikkel 9, og departementet viser til framstillingen ovenfor. For det andre gir § 16 særlige bestemmelser om Den norske kirke. Den norske kirke skal forbli "Norges folkekirke" og understøttes "som sådan" av staten. Nærmere bestemmelser om kirkens ordning skal fastsettes ved lov. For det tredje heter det at alle tros- og livssynssamfunn skal understøttes på lik linje. </w:t>
      </w:r>
    </w:p>
    <w:p w:rsidR="00A62BB2" w:rsidRDefault="00A62BB2" w:rsidP="00A62BB2">
      <w:r>
        <w:t xml:space="preserve">Som nevnt ble Grunnloven § 16 vedtatt i 2012, som en oppfølging av det såkalte "kirkeforliket" mellom alle de politiske partiene på Stortinget i 2008. Forhistorien og forarbeidene til grunnlovsbestemmelsen gir noe tolkningshjelp. Lovavdelingen har i to uttalelser, jf. ovenfor, gått grundig inn i tolkningen av først og fremst bestemmelsens fjerde punktum om understøttelse av tros- og livssynssamfunn "på lik linje". </w:t>
      </w:r>
    </w:p>
    <w:p w:rsidR="00A62BB2" w:rsidRDefault="00A62BB2" w:rsidP="00FE5260">
      <w:pPr>
        <w:pStyle w:val="Overskrift4"/>
        <w:rPr>
          <w:rFonts w:eastAsiaTheme="majorEastAsia"/>
        </w:rPr>
      </w:pPr>
      <w:r>
        <w:rPr>
          <w:rFonts w:eastAsiaTheme="majorEastAsia"/>
        </w:rPr>
        <w:t xml:space="preserve">Særlig understøttelse og lovregulering av Den norske kirke som folkekirke </w:t>
      </w:r>
    </w:p>
    <w:p w:rsidR="0066510F" w:rsidRDefault="00A62BB2" w:rsidP="00A62BB2">
      <w:r>
        <w:t xml:space="preserve">Statens plikt til å understøtte Den norske kirke som evangelisk-luthersk folkekirke må først og fremst være å legge de økonomiske, rettslige og organisatoriske forholdene til rette for at Den norske kirke "forblir" Norges folkekirke. Selv om statens plikt mot Den norske kirke må sees i sammenheng med bestemmelsens siste punktum om understøttelse av alle tros- og livssynssamfunn på lik linje, etablerer Grunnloven § 16 en særlig relasjon mellom staten og Den norske kirke. Staten har særskilte forventninger til Den norske kirke, og som en refleks av dette har staten også en særskilt understøttelsesplikt. </w:t>
      </w:r>
    </w:p>
    <w:p w:rsidR="00A62BB2" w:rsidRDefault="00A62BB2" w:rsidP="00A62BB2">
      <w:r>
        <w:t>Departementet legger til grunn at Grunnl</w:t>
      </w:r>
      <w:r w:rsidR="0066510F">
        <w:t xml:space="preserve">oven § 16 forplikter staten til understøttelse av Den norske kirke i form av </w:t>
      </w:r>
      <w:r>
        <w:t xml:space="preserve">offentlig </w:t>
      </w:r>
      <w:r w:rsidR="0066510F">
        <w:t>finansiering</w:t>
      </w:r>
      <w:r>
        <w:t xml:space="preserve">, men at det må være opp til nærmere lovgivning og statsbudsjettet </w:t>
      </w:r>
      <w:r w:rsidR="008B6120">
        <w:t>(</w:t>
      </w:r>
      <w:r w:rsidR="00E27F96">
        <w:t xml:space="preserve">og </w:t>
      </w:r>
      <w:r w:rsidR="008B6120">
        <w:t>kommunebudsjettene)</w:t>
      </w:r>
      <w:r>
        <w:t xml:space="preserve"> å konkretisere understøttelsens omfang og karakter, se nedenfor i punkt 6.3.4. </w:t>
      </w:r>
    </w:p>
    <w:p w:rsidR="00A62BB2" w:rsidRDefault="0066510F" w:rsidP="00A62BB2">
      <w:r>
        <w:t xml:space="preserve">Videre forutsetter </w:t>
      </w:r>
      <w:r w:rsidR="00A62BB2">
        <w:t xml:space="preserve">Grunnloven </w:t>
      </w:r>
      <w:r>
        <w:t xml:space="preserve">§ 16 tredje punktum </w:t>
      </w:r>
      <w:r w:rsidR="00A62BB2">
        <w:t>særskilt lovgivning om Den norske kirkes "ordning". Stortinget kan dermed gå lenger i å lovregulere Den norske kirke enn andre tros- og livssynssamfunn, men det vil være visse rammer for lovgivningsmyndigheten. Grunnloven § 16 setter selv opp en skranke gjennom den saklige angivelsen "ordning", dvs. kirkens ytre organisering. Dessuten vil tros- og livssynsfriheten, sammen med andre relevante, menneskerettslige normer, være en generell skranke</w:t>
      </w:r>
      <w:r>
        <w:t xml:space="preserve"> for lovgiveren. De rettslige g</w:t>
      </w:r>
      <w:r w:rsidR="00A62BB2">
        <w:t>rensene for Stortingets lovgivningsmyndighet, og for statens styring av Den nor</w:t>
      </w:r>
      <w:r>
        <w:t>ske kirke mer generelt, kan være vanskelige å bestemme presist</w:t>
      </w:r>
      <w:r w:rsidR="00A62BB2">
        <w:t>. Etter departementets syn er det blant annet i lys av tredje punktum i § 16 naturlig at den særlige lovgivningen om Den norske kirke bygg</w:t>
      </w:r>
      <w:r>
        <w:t xml:space="preserve">es </w:t>
      </w:r>
      <w:r>
        <w:lastRenderedPageBreak/>
        <w:t>ned i retning rammelovgivning</w:t>
      </w:r>
      <w:r w:rsidR="00A62BB2">
        <w:t>. På den andre siden kan hensyn</w:t>
      </w:r>
      <w:r w:rsidR="008614C4">
        <w:t>et</w:t>
      </w:r>
      <w:r w:rsidR="00A62BB2">
        <w:t xml:space="preserve"> til kontinuitet og stabilitet, som grunnlovsbestemmelsen selv vektlegger ved ordet "forblir", være et argument for fortsatt lovgivning av et visst omfang, eller </w:t>
      </w:r>
      <w:r w:rsidR="00BA3C90">
        <w:t xml:space="preserve">i alle fall </w:t>
      </w:r>
      <w:r w:rsidR="00A62BB2">
        <w:t xml:space="preserve">om visse saksforhold. Lovgivningen vil antakelig kunne gå noe lenger inn i kirkelige forhold dersom Den norske kirke selv ber om </w:t>
      </w:r>
      <w:r w:rsidR="00397975">
        <w:t xml:space="preserve">eller gir tilslutning til </w:t>
      </w:r>
      <w:r w:rsidR="00A62BB2">
        <w:t xml:space="preserve">konkret lovregulering. Utformingen av ny lovregulering for Den norske kirke må samtidig vurderes i lys av § 16 siste punktum om likebehandling (ikke-diskriminering). </w:t>
      </w:r>
    </w:p>
    <w:p w:rsidR="00A62BB2" w:rsidRDefault="00A62BB2" w:rsidP="00A62BB2">
      <w:pPr>
        <w:rPr>
          <w:u w:val="single"/>
        </w:rPr>
      </w:pPr>
      <w:r>
        <w:t xml:space="preserve">Grunnloven § 16 tredje punktum forutsetter ikke at lovbestemmelser om Den norske kirke nødvendigvis må plasseres i en egen lov, slik tilfellet er i dag. Etter departementets syn bør særlige lovbestemmelser om Den norske kirke heller inngå i en felles lov for alle tros- og livssynssamfunn. </w:t>
      </w:r>
    </w:p>
    <w:p w:rsidR="00A62BB2" w:rsidRDefault="00A62BB2" w:rsidP="00FE5260">
      <w:pPr>
        <w:pStyle w:val="Overskrift4"/>
        <w:rPr>
          <w:rFonts w:eastAsiaTheme="majorEastAsia"/>
        </w:rPr>
      </w:pPr>
      <w:r>
        <w:rPr>
          <w:rFonts w:eastAsiaTheme="majorEastAsia"/>
        </w:rPr>
        <w:t>Understøttelse av alle tros- og livssynssamfunn på lik linje</w:t>
      </w:r>
    </w:p>
    <w:p w:rsidR="00A62BB2" w:rsidRDefault="00A62BB2" w:rsidP="00A62BB2">
      <w:r>
        <w:t xml:space="preserve">Fra 2012 har Grunnloven inneholdt en bestemmelse som direkte angår statens forhold til andre tros- og livssynssamfunn enn Den norske kirke. Isolert sett gir ordlyden </w:t>
      </w:r>
      <w:r w:rsidR="00BA3C90">
        <w:t xml:space="preserve">i § 16 fjerde punktum </w:t>
      </w:r>
      <w:r>
        <w:t xml:space="preserve">staten en plikt til lik understøttelse av alle tros- og livssynssamfunn, men bestemmelsen må leses i forlengelsen av statens særlige plikter overfor Den norske kirke. Hva slags organisasjoner eller virksomheter som omfattes av uttrykket "tros- og livssynssamfunn", er ikke entydig. Departementet legger til grunn at det må være opp til den alminnelige lovgivningen å nærmere definere hva som skal regnes som et tros- eller livssynssamfunn, herunder om det skal settes vilkår for registrering, for økonomisk støtte eller lignende, jf. også ovenfor om EMK artikkel 9. </w:t>
      </w:r>
    </w:p>
    <w:p w:rsidR="00A62BB2" w:rsidRDefault="00A62BB2" w:rsidP="00A62BB2">
      <w:r>
        <w:t xml:space="preserve">Det framgår av forarbeidene (St.meld. nr. 17 (2007–2008) s. 73–74) at Grunnloven § 16 fjerde punktum skal understreke statens ansvar for å føre en aktivt støttende tros- og livssynspolitikk. Samtidig framheves det at bestemmelsen ikke er slik å forstå at den etablerer et grunnlovbeskyttet rettskrav på at finansieringsordningene i framtiden skal være som de var på tidspunktet for grunnlovsendringen. Lovavdelingen har blant annet uttalt følgende om hvordan bestemmelsen i § 16 fjerde punktum må tolkes (Prop. 9 L (2016–2017) s. 15): </w:t>
      </w:r>
    </w:p>
    <w:p w:rsidR="00A62BB2" w:rsidRPr="0080554F" w:rsidRDefault="00A62BB2" w:rsidP="00856E3F">
      <w:pPr>
        <w:pStyle w:val="blokksit"/>
        <w:rPr>
          <w:rStyle w:val="kursiv"/>
        </w:rPr>
      </w:pPr>
      <w:r w:rsidRPr="0080554F">
        <w:rPr>
          <w:rStyle w:val="kursiv"/>
        </w:rPr>
        <w:t xml:space="preserve">Det ligger i grunnlovsbestemmelsen, lest i lys av forarbeidene, at staten har et «ansvar» for å føre en aktivt støttende tros- og livssynspolitikk. Hva dette rettslig sett nærmere innebærer, kan være uklart. «Understøttelse» kan skje gjennom tildeling av materielle goder, herunder økonomisk støtte, men det kan også skje på andre måter. Det ligger nær å si at grunnlovsbestemmelsen, lest i lys av forarbeidene, bygger på en forutsetning om at staten ikke helt kan la være å bidra materielt, herunder i form av tilskudd, til de ulike tros- og livssynssamfunnenes virksomhet. På dette punktet kan Grunnloven § 16 sies å bygge på en annen tilnærming enn EMK artikkel 9. </w:t>
      </w:r>
    </w:p>
    <w:p w:rsidR="00A62BB2" w:rsidRPr="0080554F" w:rsidRDefault="00A62BB2" w:rsidP="00856E3F">
      <w:pPr>
        <w:pStyle w:val="blokksit"/>
        <w:rPr>
          <w:rStyle w:val="kursiv"/>
        </w:rPr>
      </w:pPr>
      <w:r w:rsidRPr="0080554F">
        <w:rPr>
          <w:rStyle w:val="kursiv"/>
        </w:rPr>
        <w:t xml:space="preserve">Slik vi ser det, fører ordlyden i § 16 fjerde punktum og forarbeidene videre til at staten i sin finansiering av ulike tros- og livssynssamfunn har plikt til å oppfylle visse grunnleggende krav til likebehandling av de ulike samfunnene. Dette kravet til likebehandling gjelder også for spørsmålet om tilskudd til ulike tros- og livssynssamfunn. Verken ordlyden i Grunnloven § 16 fjerde punktum eller forarbeidene sier noe mer konkret om hva som ligger i et slikt krav til likebehandling. Etter vårt syn følger det neppe mer av bestemmelsen enn at staten har et ansvar for ikke å diskriminere ulike tros- og livssynssamfunn. Dette må etter vårt syn blant annet innebære at forskjellsbehandling som forfølger lovlige formål og som har en objektiv og rimelig begrunnelse, normalt vil være forenlig med grunnlovsbestemmelsen. Bestemmelsen må dessuten ses i lys av de øvrige bestemmelsene som finnes i § 16 første til tredje punktum: dels et generelt utgangspunkt om religionsfrihet for alle, dels en anerkjennelse av at Den norske kirke fortsatt har en særlig stilling. På dette punktet har vi med andre ord vanskelig for å se at Grunnloven § 16 fjerde punktum, på det området den gjelder, bygger på en grunnleggende annen tilnærming enn det som følger av de internasjonale konvensjonene. Vi viser særlig til drøftelsen foran av EMK artikkel 9, samt artikkel 9 og artikkel 14 sett i sammenheng. … </w:t>
      </w:r>
    </w:p>
    <w:p w:rsidR="00A62BB2" w:rsidRPr="0080554F" w:rsidRDefault="00A62BB2" w:rsidP="00856E3F">
      <w:pPr>
        <w:pStyle w:val="blokksit"/>
        <w:rPr>
          <w:rStyle w:val="kursiv"/>
        </w:rPr>
      </w:pPr>
      <w:r w:rsidRPr="0080554F">
        <w:rPr>
          <w:rStyle w:val="kursiv"/>
        </w:rPr>
        <w:lastRenderedPageBreak/>
        <w:t xml:space="preserve">Forbudet mot diskriminering etter Grunnloven § 16 fjerde punktum gjelder ved «understøttelse» av tros- og livssynssamfunn, herunder gjennom tildeling av tilskudd. Hva begrepet «understøttelse» nærmere omfatter i rettslig sammenheng, er det ikke nødvendig å utdype her. Tildeling av økonomiske midler over statsbudsjettet vil uansett klart nok være omfattet. </w:t>
      </w:r>
    </w:p>
    <w:p w:rsidR="00A62BB2" w:rsidRPr="0080554F" w:rsidRDefault="00A62BB2" w:rsidP="00856E3F">
      <w:pPr>
        <w:pStyle w:val="blokksit"/>
        <w:rPr>
          <w:rStyle w:val="kursiv"/>
        </w:rPr>
      </w:pPr>
      <w:r w:rsidRPr="0080554F">
        <w:rPr>
          <w:rStyle w:val="kursiv"/>
        </w:rPr>
        <w:t xml:space="preserve">Det kravet til likebehandling (ikke-diskriminering) som Grunnlovens § 16 fjerde punktum oppstiller, må gjelde både i forholdet mellom Den norske kirke og de øvrige tros- og livssynssamfunnene, og mellom de øvrige tros- og livssynssamfunnene innbyrdes. Dette følger av ordlyden, og det kommer særskilt til uttrykk i St.meld. nr. 17 (2007–2008) s. 73 med sikte på relasjonen mellom Den norske kirke og de øvrige tros- og livssynssamfunnene. </w:t>
      </w:r>
    </w:p>
    <w:p w:rsidR="00A62BB2" w:rsidRDefault="00A62BB2" w:rsidP="00A62BB2">
      <w:r>
        <w:t>I tråd med dette legger departementet til grunn at staten etter Grunnloven § 16 er rettslig forpliktet til å materielt understøtte tros- og livssynssamfunnenes virksomhet, også med økonomisk støtte. Som det framgår av Lovavdelingens uttalelse, legger Grunnloven § 16 på dette punktet mer vidtgående plikter på staten enn det som følger av konvensjonsforpliktelsene. Samtidig vil departementet hevde at staten har et betydelig rom til å vurdere hvilket nivå den økonomisk</w:t>
      </w:r>
      <w:r w:rsidR="005B2209">
        <w:t>e</w:t>
      </w:r>
      <w:r>
        <w:t xml:space="preserve"> støtten skal ligge på, og hvordan støtten skal innrettes. </w:t>
      </w:r>
    </w:p>
    <w:p w:rsidR="00A62BB2" w:rsidRDefault="00A62BB2" w:rsidP="00A62BB2">
      <w:r>
        <w:t xml:space="preserve">Kravet om understøttelse på lik linje i § 16 fjerde punktum må, slik Lovavdelingen uttaler, forstås som et forbud mot diskriminering, både mellom Den norske kirke og øvrige tros- og livssynssamfunn og mellom de øvrige tros- og livssynssamfunnene. </w:t>
      </w:r>
      <w:r w:rsidR="008614C4">
        <w:t>D</w:t>
      </w:r>
      <w:r>
        <w:t xml:space="preserve">ette innebærer at staten må ivareta visse grunnleggende krav til likebehandling av ulike tros- og livssynssamfunn, slik at eventuell forskjellsbehandling av tros- og livssynssamfunn som "forfølger lovlige formål og som har en objektiv og rimelig begrunnelse, normalt vil være forenlig med grunnlovsbestemmelsen". I dette ligger blant annet at økonomisk likebehandling av tros- og livssynssamfunn ikke nødvendigvis må skje på den måten som er foreskrevet i dagens tilskuddsordninger </w:t>
      </w:r>
      <w:r w:rsidR="00E27F96">
        <w:t>for</w:t>
      </w:r>
      <w:r>
        <w:t xml:space="preserve"> Den norske kirke og andre tros- og livssynssamfunn, der medlemstall i Den norske kirke og i andre tros- og livssynssamfunn utgjør sentrale faktor</w:t>
      </w:r>
      <w:r w:rsidR="00E27F96">
        <w:t>er</w:t>
      </w:r>
      <w:r>
        <w:t xml:space="preserve">. Også andre kriterier vil kunne bringes inn i en vurdering av hva som er rimelig og legitim likebehandling. Dette gjelder både </w:t>
      </w:r>
      <w:r w:rsidR="00BA3C90">
        <w:t>når en skal ta stilling til hva som</w:t>
      </w:r>
      <w:r>
        <w:t xml:space="preserve"> er nødvendig likebehandling mellom Den norske kirke og andre tros- og livssynssamfunn, og når en skal vurdere kravet til likebehandling mellom de øvrige tros- og livssynssamfunnene innbyrdes. Lovavdelingen har for eksempel uttalt følgende (Prop. 9 L (2016–2017) s. 20): </w:t>
      </w:r>
    </w:p>
    <w:p w:rsidR="00A62BB2" w:rsidRPr="0080554F" w:rsidRDefault="00A62BB2" w:rsidP="00856E3F">
      <w:pPr>
        <w:pStyle w:val="blokksit"/>
        <w:rPr>
          <w:rStyle w:val="kursiv"/>
        </w:rPr>
      </w:pPr>
      <w:r w:rsidRPr="0080554F">
        <w:rPr>
          <w:rStyle w:val="kursiv"/>
        </w:rPr>
        <w:t>Vi kan ikke utelukke at en grunnleggende annen innretning av det samlede tilskuddssystemet i praksis kan føre til en annen forholdsmessig fordeling av tilskudd mellom ulike tros- og livssynssamfunn, og at ordningen vil kunne være fullt ut lovlig (grunnlovmessig). Det diskrimineringsforbudet som ligger i Grunnloven § 16 fjerde punktum kan åpne for ulike utfall i så måte.</w:t>
      </w:r>
    </w:p>
    <w:p w:rsidR="00A62BB2" w:rsidRDefault="00A62BB2" w:rsidP="002665BB">
      <w:pPr>
        <w:pStyle w:val="Overskrift2"/>
        <w:rPr>
          <w:rFonts w:eastAsiaTheme="minorEastAsia"/>
        </w:rPr>
      </w:pPr>
      <w:bookmarkStart w:id="638" w:name="_Toc476320918"/>
      <w:bookmarkStart w:id="639" w:name="_Toc477277222"/>
      <w:bookmarkStart w:id="640" w:name="_Toc477535515"/>
      <w:bookmarkStart w:id="641" w:name="_Toc477630648"/>
      <w:bookmarkStart w:id="642" w:name="_Toc477693612"/>
      <w:bookmarkStart w:id="643" w:name="_Toc477703979"/>
      <w:bookmarkStart w:id="644" w:name="_Toc477799184"/>
      <w:bookmarkStart w:id="645" w:name="_Toc477805786"/>
      <w:bookmarkStart w:id="646" w:name="_Toc477878046"/>
      <w:bookmarkStart w:id="647" w:name="_Toc477881447"/>
      <w:bookmarkStart w:id="648" w:name="_Toc477885907"/>
      <w:bookmarkStart w:id="649" w:name="_Toc478131324"/>
      <w:bookmarkStart w:id="650" w:name="_Toc478138708"/>
      <w:bookmarkStart w:id="651" w:name="_Toc478232223"/>
      <w:bookmarkStart w:id="652" w:name="_Toc478237207"/>
      <w:bookmarkStart w:id="653" w:name="_Toc481761759"/>
      <w:bookmarkStart w:id="654" w:name="_Toc492900412"/>
      <w:r>
        <w:rPr>
          <w:rFonts w:eastAsiaTheme="minorEastAsia"/>
        </w:rPr>
        <w:t>Mål for rettslig regulering og finansiering av tros- og livssynssamfunn</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rsidR="00A62BB2" w:rsidRDefault="00A62BB2" w:rsidP="001E491E">
      <w:pPr>
        <w:pStyle w:val="Overskrift3"/>
        <w:rPr>
          <w:rFonts w:eastAsiaTheme="majorEastAsia"/>
        </w:rPr>
      </w:pPr>
      <w:bookmarkStart w:id="655" w:name="_Toc476320919"/>
      <w:bookmarkStart w:id="656" w:name="_Toc477277223"/>
      <w:bookmarkStart w:id="657" w:name="_Toc477535516"/>
      <w:bookmarkStart w:id="658" w:name="_Toc477630649"/>
      <w:bookmarkStart w:id="659" w:name="_Toc477693613"/>
      <w:bookmarkStart w:id="660" w:name="_Toc477703980"/>
      <w:bookmarkStart w:id="661" w:name="_Toc477799185"/>
      <w:bookmarkStart w:id="662" w:name="_Toc477805787"/>
      <w:bookmarkStart w:id="663" w:name="_Toc477878047"/>
      <w:bookmarkStart w:id="664" w:name="_Toc477881448"/>
      <w:bookmarkStart w:id="665" w:name="_Toc477885908"/>
      <w:bookmarkStart w:id="666" w:name="_Toc478131325"/>
      <w:bookmarkStart w:id="667" w:name="_Toc478138709"/>
      <w:bookmarkStart w:id="668" w:name="_Toc478232224"/>
      <w:bookmarkStart w:id="669" w:name="_Toc478237208"/>
      <w:bookmarkStart w:id="670" w:name="_Toc481761760"/>
      <w:bookmarkStart w:id="671" w:name="_Toc492900413"/>
      <w:r>
        <w:rPr>
          <w:rFonts w:eastAsiaTheme="majorEastAsia"/>
        </w:rPr>
        <w:t>Innledning</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rsidR="00A62BB2" w:rsidRDefault="00A62BB2" w:rsidP="00A62BB2">
      <w:r>
        <w:t xml:space="preserve">Statens fremste oppgave i tros- og livssynspolitikken skal være å sikre individuell og kollektiv tros- og livssynsfrihet. Tros- og livssynsfriheten er ikke bare en rett til å ha en overbevisning, men også til å praktisere sin overbevisning individuelt eller i fellesskap med andre. </w:t>
      </w:r>
      <w:r w:rsidR="00000AB2">
        <w:t>Det betyr at o</w:t>
      </w:r>
      <w:r>
        <w:t xml:space="preserve">gså den rettslige reguleringen av tros- og livssynssamfunn </w:t>
      </w:r>
      <w:r w:rsidR="00F302A6">
        <w:t>skal bidra til</w:t>
      </w:r>
      <w:r>
        <w:t xml:space="preserve"> å beskytte og sikre tros- og livssynsfriheten. </w:t>
      </w:r>
    </w:p>
    <w:p w:rsidR="00A62BB2" w:rsidRDefault="00A62BB2" w:rsidP="00A62BB2">
      <w:r>
        <w:lastRenderedPageBreak/>
        <w:t>Som nevnt ovenfor, er den individuelle og kollektive tros- og livssynsfriheten ikke uten begrensninger. Tros- og livssynsfriheten kan kollidere med andre tungtveiende interesser, noen ganger også andre menneskerettsli</w:t>
      </w:r>
      <w:r w:rsidR="00000AB2">
        <w:t xml:space="preserve">g beskyttede rettigheter. </w:t>
      </w:r>
      <w:r>
        <w:t>Derfor må staten også veie ulike rettigheter og interesser mot hverandre i utformingen av regelverk for tros- og livssynssamfunn, og i annen relevant lovgivning, men terskelen for inngre</w:t>
      </w:r>
      <w:r w:rsidR="00000AB2">
        <w:t>p i tros- og livssynsfriheten skal være</w:t>
      </w:r>
      <w:r>
        <w:t xml:space="preserve"> høy. </w:t>
      </w:r>
    </w:p>
    <w:p w:rsidR="00A62BB2" w:rsidRDefault="00A62BB2" w:rsidP="00A62BB2">
      <w:r>
        <w:t xml:space="preserve">Gjennom Grunnloven § 16 har staten påtatt seg en forpliktelse til fortsatt positiv understøttelse av Den norske kirke og andre tros- og livssynssamfunn, blant annet gjennom offentlig finansiering. Offentlig støtte til Den norske kirke og andre tros- og livssynssamfunn har lang tradisjon i Norge, og grunnlovsbestemmelsen bekrefter at staten fortsatt skal ha en aktivt støttende tros- og livssynspolitikk. Grunnlovsbestemmelsen etablerer et særlig forhold mellom staten og Den norske kirke, og andre tros- og livssynssamfunn skal understøttes på lik linje. Både finansieringsordningene og den rettslige reguleringen av Den norske kirke og de andre tros- og livssynssamfunnene må dermed ivareta nødvendige hensyn til likebehandling. </w:t>
      </w:r>
    </w:p>
    <w:p w:rsidR="00A62BB2" w:rsidRDefault="00A62BB2" w:rsidP="00A62BB2">
      <w:r>
        <w:t xml:space="preserve">Statens aktivt støttende tros- og livssynspolitikk har først og fremst som formål å bidra til at tros- og livssynsfriheten skal kunne utøves i praksis. Økonomisk støtte fra det offentlige er med på å legge materielt til rette for individenes og tros- og livssynssamfunnenes religiøse og livssynsmessige praksis. </w:t>
      </w:r>
    </w:p>
    <w:p w:rsidR="00A62BB2" w:rsidRDefault="00A62BB2" w:rsidP="00A62BB2">
      <w:r>
        <w:t xml:space="preserve">Den offentlige finansieringen av Den norske kirke er i hovedsak innrettet som rammetilskudd, men med tilskuddene fra staten følger det visse målformuleringer. Både statens og kommunenes finansieringsansvar overfor Den norske kirke er knyttet til konkrete, lovregulerte formål. Dagens særlige støtteordning til andre tros- og livssynssamfunn fra stat og kommune har mindre tydelige føringer knyttet til seg, ut over at støtten skal finansiere tros- og livssynsmessig virksomhet, og slik bidra til å tilrettelegge for utøvelse av tro og livssyn i praksis. Målet med den særskilte støtteordningen strekker seg i og for seg ikke lenger enn til at tros- og livssynsmessig virksomhet skal finne sted (innenfor rammen av "rett og sømd"). Men dette hviler nødvendigvis på en forutsetning om at virksomheten generelt har positiv verdi for den enkelte og for samfunnet. </w:t>
      </w:r>
    </w:p>
    <w:p w:rsidR="00A62BB2" w:rsidRDefault="00A62BB2" w:rsidP="00A62BB2">
      <w:r>
        <w:t xml:space="preserve">Tros- og livssynssamfunn kan, i tillegg til midler fra den særlige tilskuddsordningen, få offentlig støtte gjennom en rekke andre ordninger for frivillige organisasjoner i Norge. Det finnes også </w:t>
      </w:r>
      <w:r w:rsidR="008D306B">
        <w:t>mange</w:t>
      </w:r>
      <w:r>
        <w:t xml:space="preserve"> tros- og livssynsbaserte organisasjoner, for eksempel barne- og ungdomsorganisasjoner, som har en mer eller </w:t>
      </w:r>
      <w:r w:rsidR="00F44E44">
        <w:t>mindre</w:t>
      </w:r>
      <w:r>
        <w:t xml:space="preserve"> klar forbindelse til ett eller flere tros- eller livssynssamfunn. Disse støtteordningene til frivillige organisasjoner i sivilsamfunnet varierer både med hensyn til støtteform – for eksempel skatte- og avgiftsfordeler, tillatelser til å drive spill og lotterier, infrastrukturstøtte, direkte støtteordninger mv. – og med hensyn til innretning og vilkår, for eksempel krav om et minste antall medlemmer, krav om geografisk utbredelse, grunnstøtte, vekting av medlemmer ut fra organisasjonens størrelse, vekting ut fra medlemmenes aldersfordeling, organisatoriske kjennetegn, aktivitetsbasert mv. Det varierer også mye mellom tros- og livssynssamfunnene hvor økonomisk avhengige de er av offentlige tilskudd gjennom den særlige støtteordningen og eventuelt andre ordninger. Departementet går ikke nærmere inn på de ulike støtteordningene i sivilsamfunnet her, men avgrenser framstillingen i det videre til å gjelde den særlige, offentlige finansieringen av Den norske kirke og andre tros- og livssynssamfunn. </w:t>
      </w:r>
    </w:p>
    <w:p w:rsidR="00F84DFA" w:rsidRDefault="00A62BB2" w:rsidP="00A62BB2">
      <w:r>
        <w:t xml:space="preserve">I samfunnsdebatten har legitimiteten til den særlige støtteordningen </w:t>
      </w:r>
      <w:r w:rsidR="00CA11CB">
        <w:t>for</w:t>
      </w:r>
      <w:r>
        <w:t xml:space="preserve"> tros- og livssynssamfunn i økende grad vært diskutert. Det har blant annet vært pekt på at det offentlige </w:t>
      </w:r>
      <w:r w:rsidR="003E6958">
        <w:t xml:space="preserve">ved denne ordningen </w:t>
      </w:r>
      <w:r>
        <w:t xml:space="preserve">kan bidra til finansiering av trossamfunn som i lære eller </w:t>
      </w:r>
      <w:r>
        <w:lastRenderedPageBreak/>
        <w:t>praksis bryter med sentrale verdier i det norske samfunnet, for eksempel når det gjelder kjønnslikestilling, barns rettigheter eller forebygging av radikalisering og ekstreme holdninger. Denne debatten har åpenbart berøringspunkter med blant annet barne- og likestillingspolitikken og integreringspolitikken</w:t>
      </w:r>
      <w:r w:rsidR="00F84DFA">
        <w:t>, og den aktualiserer spørsmål</w:t>
      </w:r>
      <w:r>
        <w:t xml:space="preserve"> om statens tros- og livssynspolitikk tydeligere enn i dag bør være instrumentell</w:t>
      </w:r>
      <w:r w:rsidR="008D306B">
        <w:t xml:space="preserve">, at den mer aktivt skal søke å realisere </w:t>
      </w:r>
      <w:r w:rsidR="00663343">
        <w:t xml:space="preserve">ulike </w:t>
      </w:r>
      <w:r w:rsidR="008D306B">
        <w:t>politiske målsettinger</w:t>
      </w:r>
      <w:r>
        <w:t xml:space="preserve">. </w:t>
      </w:r>
      <w:r w:rsidR="00F84DFA">
        <w:t xml:space="preserve">I sammenhengen her har slike spørsmål </w:t>
      </w:r>
      <w:r w:rsidR="00F44E44">
        <w:t>i første rekke</w:t>
      </w:r>
      <w:r w:rsidR="008D306B">
        <w:t xml:space="preserve"> betydning for </w:t>
      </w:r>
      <w:r w:rsidR="001D77DC">
        <w:t xml:space="preserve">den nærmere </w:t>
      </w:r>
      <w:r w:rsidR="00F84DFA">
        <w:t xml:space="preserve">utformingen av </w:t>
      </w:r>
      <w:r w:rsidR="003E6958">
        <w:t>finansierings</w:t>
      </w:r>
      <w:r w:rsidR="00F84DFA">
        <w:t>ordningen for tros- og livssynssamfunn.</w:t>
      </w:r>
      <w:r w:rsidR="00447F85">
        <w:t xml:space="preserve"> </w:t>
      </w:r>
    </w:p>
    <w:p w:rsidR="00A62BB2" w:rsidRDefault="00A62BB2" w:rsidP="00FE5260">
      <w:pPr>
        <w:pStyle w:val="Overskrift3"/>
        <w:rPr>
          <w:rFonts w:eastAsiaTheme="majorEastAsia"/>
        </w:rPr>
      </w:pPr>
      <w:bookmarkStart w:id="672" w:name="_Toc477693614"/>
      <w:bookmarkStart w:id="673" w:name="_Toc477703981"/>
      <w:bookmarkStart w:id="674" w:name="_Toc477799186"/>
      <w:bookmarkStart w:id="675" w:name="_Toc477805788"/>
      <w:bookmarkStart w:id="676" w:name="_Toc477878048"/>
      <w:bookmarkStart w:id="677" w:name="_Toc477881449"/>
      <w:bookmarkStart w:id="678" w:name="_Toc477885909"/>
      <w:bookmarkStart w:id="679" w:name="_Toc478131326"/>
      <w:bookmarkStart w:id="680" w:name="_Toc478138710"/>
      <w:bookmarkStart w:id="681" w:name="_Toc478232225"/>
      <w:bookmarkStart w:id="682" w:name="_Toc478237209"/>
      <w:bookmarkStart w:id="683" w:name="_Toc481761761"/>
      <w:bookmarkStart w:id="684" w:name="_Toc492900414"/>
      <w:bookmarkStart w:id="685" w:name="_Toc476320920"/>
      <w:bookmarkStart w:id="686" w:name="_Toc477277224"/>
      <w:bookmarkStart w:id="687" w:name="_Toc477535517"/>
      <w:bookmarkStart w:id="688" w:name="_Toc477630650"/>
      <w:r>
        <w:rPr>
          <w:rFonts w:eastAsiaTheme="majorEastAsia"/>
        </w:rPr>
        <w:t>Aktivt støttende tros- og livssynspolitikk</w:t>
      </w:r>
      <w:bookmarkEnd w:id="672"/>
      <w:bookmarkEnd w:id="673"/>
      <w:bookmarkEnd w:id="674"/>
      <w:bookmarkEnd w:id="675"/>
      <w:bookmarkEnd w:id="676"/>
      <w:bookmarkEnd w:id="677"/>
      <w:bookmarkEnd w:id="678"/>
      <w:bookmarkEnd w:id="679"/>
      <w:bookmarkEnd w:id="680"/>
      <w:bookmarkEnd w:id="681"/>
      <w:bookmarkEnd w:id="682"/>
      <w:bookmarkEnd w:id="683"/>
      <w:bookmarkEnd w:id="684"/>
      <w:r>
        <w:rPr>
          <w:rFonts w:eastAsiaTheme="majorEastAsia"/>
        </w:rPr>
        <w:t xml:space="preserve"> </w:t>
      </w:r>
      <w:bookmarkEnd w:id="685"/>
      <w:bookmarkEnd w:id="686"/>
      <w:bookmarkEnd w:id="687"/>
      <w:bookmarkEnd w:id="688"/>
    </w:p>
    <w:p w:rsidR="00A62BB2" w:rsidRDefault="00F44E44" w:rsidP="001E1D44">
      <w:pPr>
        <w:pStyle w:val="Overskrift4"/>
        <w:rPr>
          <w:rFonts w:eastAsiaTheme="majorEastAsia"/>
        </w:rPr>
      </w:pPr>
      <w:r>
        <w:rPr>
          <w:rFonts w:eastAsiaTheme="majorEastAsia"/>
        </w:rPr>
        <w:t xml:space="preserve">Bakgrunn </w:t>
      </w:r>
    </w:p>
    <w:p w:rsidR="00A62BB2" w:rsidRDefault="00A62BB2" w:rsidP="00A62BB2">
      <w:r>
        <w:t xml:space="preserve">Ovenfor er det slått fast at Grunnloven § 16 forplikter staten til å føre en aktivt støttende tros- og livssynspolitikk, men også at staten, både etter Grunnloven og konvensjonsbestemmelser, har en viss frihet til å nærmere utforme den konkrete politikken overfor Den norske kirke og andre tros- og livssynssamfunn. </w:t>
      </w:r>
    </w:p>
    <w:p w:rsidR="00A62BB2" w:rsidRDefault="00A62BB2" w:rsidP="00A62BB2">
      <w:r>
        <w:t xml:space="preserve">Betegnelsen 'aktivt støttende tros- og livssynspolitikk' er først blitt tatt i bruk de senere årene, men kan i og for seg sies også å uttrykke en politikk som, med bred oppslutning, har vært praktisert gjennom lang tid i Norge. Den nye betegnelsen ble lansert av det kirkelig oppnevnte Bakkevig-utvalget i 2002 (utredningen </w:t>
      </w:r>
      <w:r>
        <w:rPr>
          <w:i/>
        </w:rPr>
        <w:t>Samme kirke – ny ordning</w:t>
      </w:r>
      <w:r>
        <w:t>), og den er også brukt av Gjønnes-utvalget (NOU 2006: 2), i forarbeidene til Grunnloven § 16 (St.meld. nr. 17 (2007–2008)</w:t>
      </w:r>
      <w:r w:rsidR="00E27F96">
        <w:t>)</w:t>
      </w:r>
      <w:r>
        <w:t xml:space="preserve"> og i Stålsett-utvalgets utredning (NOU 2013: 1). </w:t>
      </w:r>
    </w:p>
    <w:p w:rsidR="00A62BB2" w:rsidRDefault="00A62BB2" w:rsidP="00A62BB2">
      <w:r>
        <w:t>At staten skal føre en aktivt støttende tros- og livssynspolitikk, betyr i denne sammenhengen at det offentlige fortsatt skal bidra med lovgivning om og finansiering av Den norske kirke og andre tros- og livssynssamfunn som understøtter utøvelse av religion og livssyn. Den nærmere innretningen av slik lovgivning og offentlig finansiering er hovedtemaet for dette høringsnotatet.</w:t>
      </w:r>
    </w:p>
    <w:p w:rsidR="00A62BB2" w:rsidRDefault="00A62BB2" w:rsidP="00FE5260">
      <w:pPr>
        <w:pStyle w:val="Overskrift4"/>
        <w:rPr>
          <w:rFonts w:eastAsiaTheme="majorEastAsia"/>
        </w:rPr>
      </w:pPr>
      <w:r>
        <w:rPr>
          <w:rFonts w:eastAsiaTheme="majorEastAsia"/>
        </w:rPr>
        <w:t>NOU 2013: 1 og statens aktivt støttende tros- og livssynspolitikk</w:t>
      </w:r>
    </w:p>
    <w:p w:rsidR="00A62BB2" w:rsidRDefault="00A62BB2" w:rsidP="00A62BB2">
      <w:r>
        <w:t xml:space="preserve">Statens aktivt støttende tros- og livssynspolitikk lå som en premiss i mandatet til Stålsett-utvalget, og utvalgets utredning har grundige drøftelser av denne betegnelsen og hvilke implikasjoner et slikt aktivt støttende ståsted bør ha for statens tros- og livssynspolitikk på ulike områder, blant annet for rettslig regulering og finansiering av tros- og livssynssamfunn, se særlig NOU 2013: 1 s. 108 flg. Flertallet i Stålsett-utvalget (13 medlemmer) la til grunn at staten fortsatt skal føre en aktivt støttende tros- og livssynspolitikk, mens et mindretall på to var prinsipielt uenig i dette.  </w:t>
      </w:r>
    </w:p>
    <w:p w:rsidR="00A62BB2" w:rsidRDefault="00A62BB2" w:rsidP="00A62BB2">
      <w:r>
        <w:t>Flertallet mente at den aktivt støttende politikken blant annet skulle gi seg utslag i økonomisk støtte til drift av tros- og livssynssamfunn. Utvalgsflertallet pekte på at staten bør bidra til å gi et materielt grunnlag for tros- og livssynsfriheten, og at tro og livssyn dessuten kan gi grunnlag for, og bidra til å videreutvikle, verdier som er av fundamental betydning for den enkelte og for hele samfunnet</w:t>
      </w:r>
      <w:r w:rsidR="005B2209" w:rsidRPr="005B2209">
        <w:t xml:space="preserve"> </w:t>
      </w:r>
      <w:r w:rsidR="005B2209">
        <w:t>(NOU 2013: 1 s.109)</w:t>
      </w:r>
      <w:r>
        <w:t xml:space="preserve">: </w:t>
      </w:r>
    </w:p>
    <w:p w:rsidR="00A62BB2" w:rsidRPr="002F269C" w:rsidRDefault="00A62BB2" w:rsidP="00DF5799">
      <w:pPr>
        <w:pStyle w:val="blokksit"/>
        <w:rPr>
          <w:rStyle w:val="kursiv"/>
        </w:rPr>
      </w:pPr>
      <w:r w:rsidRPr="002F269C">
        <w:rPr>
          <w:rStyle w:val="kursiv"/>
        </w:rPr>
        <w:t>Også bidrag til driften av et mangfold av tros- og livssynssamfunn bidrar til å sikre realiseringen av reell tros- og livssynsfrihet. Utvalget vil trekke en sammenlikning med offentlig støtte til kultur. Selv om et kulturliv kan overleve og blomstre uten offentlig støtte, kan offentlig støtte bidra til et jevnere og mer mangfoldig tilbud i hele landet. Utvalget vil understreke at tros- og livssynsaktivitet også er et viktig kulturelt uttrykk som bør sikres i hele landet. I en utviklet velferdsstat med ambisjoner om sosial utjevning og et mangfoldig kultur- og åndsliv er en aktiv og støttende tros- og livssynspolitikk et viktig element. …</w:t>
      </w:r>
    </w:p>
    <w:p w:rsidR="00A62BB2" w:rsidRPr="002F269C" w:rsidRDefault="00A62BB2" w:rsidP="00DF5799">
      <w:pPr>
        <w:pStyle w:val="blokksit"/>
        <w:rPr>
          <w:rStyle w:val="kursiv"/>
        </w:rPr>
      </w:pPr>
      <w:r w:rsidRPr="002F269C">
        <w:rPr>
          <w:rStyle w:val="kursiv"/>
        </w:rPr>
        <w:lastRenderedPageBreak/>
        <w:t>Utvalget mener at tros- og livssynssamfunnene kan ha positiv verdi for den enkelte og for storsamfunnet ved at de løfter fram spørsmål om mening i tilværelsen og motiverer til grunnleggende verdivalg. Tros- og livssynsmessig fellesskap gir mange identitet og tilhørighet og representerer en arena for å drøfte spørsmål om tro, tvil og etikk. Tros- og livssynssamfunnene forvalter dessuten ritualer i viktige faser av livet. Utvalget mener at dette er sentrale verdier for å skape fellesskap og tilhørighet, og som begrunner en aktiv og støttende tros- og livssynspolitikk. Dette har positiv betydning for samfunnet utover den enkelte borgers aktive deltakelse i disse fellesskapene. Et levende engasjement i og refleksjon om tros- og livssynsspørsmål kan gjøre at sentrale begreper og verdier brynes og holdes i hevd. Dette er i seg selv et viktig bidrag til en rikere offentlig samtale og et bedre samfunn. Menneskelivets ukrenkelighet, menneskets verdighet og ideen om at noe er hellig, er eksempler på begreper og verdier som har utviklet seg i en religiøs og/eller humanistisk tradisjon, og som danner grunnlag og motivasjon for sentrale fellesverdier som ivaretakelse av menneskerettigheter, demokrati og ansvar for fellesskapet. At slike fellesverdier videreutvikles i og utenfor tros- og livssynssamfunnene, har positiv betydning for samfunnet utover den enkelte borgers aktive deltakelse i disse fellesskapene. Utvalget mener dette kan beskrives som samfunnets verdimessige infrastruktur som er av felles verdi for alle, uavhengig av tro, livssyn, engasjement eller interesse. Det er derfor rimelig at alle bidrar gjennom skattefinansiering til å opprettholde slike viktige kvaliteter ved det norske samfunnet.</w:t>
      </w:r>
    </w:p>
    <w:p w:rsidR="00A62BB2" w:rsidRPr="002F269C" w:rsidRDefault="00A62BB2" w:rsidP="00DF5799">
      <w:pPr>
        <w:pStyle w:val="blokksit"/>
        <w:rPr>
          <w:rStyle w:val="kursiv"/>
        </w:rPr>
      </w:pPr>
      <w:r w:rsidRPr="002F269C">
        <w:rPr>
          <w:rStyle w:val="kursiv"/>
        </w:rPr>
        <w:t>Flertallet i</w:t>
      </w:r>
      <w:r w:rsidR="008614C4" w:rsidRPr="002F269C">
        <w:rPr>
          <w:rStyle w:val="kursiv"/>
        </w:rPr>
        <w:t xml:space="preserve"> utvalget pekte også på at det </w:t>
      </w:r>
      <w:r w:rsidRPr="002F269C">
        <w:rPr>
          <w:rStyle w:val="kursiv"/>
        </w:rPr>
        <w:t xml:space="preserve">kan reises innvendinger mot at staten skal ha en aktivt støttende rolle, og flertallet drøftet noen slike forhold (NOU 2013: 1 s. 110). Blant annet ble det pekt på at en aktiv stat kan få større utfordringer knyttet til likeverdig behandling av ulike tros- og livssynsretninger, for eksempel når en skal utforme finansieringsordninger for ulike tros- og livssynssamfunn, men framholdt at en "pragmatisk tilnærming og ikke finregnet nøyaktig økonomisk likebehandling vil </w:t>
      </w:r>
      <w:r w:rsidR="00B53F6A" w:rsidRPr="002F269C">
        <w:rPr>
          <w:rStyle w:val="kursiv"/>
        </w:rPr>
        <w:t>[</w:t>
      </w:r>
      <w:r w:rsidRPr="002F269C">
        <w:rPr>
          <w:rStyle w:val="kursiv"/>
        </w:rPr>
        <w:t>…</w:t>
      </w:r>
      <w:r w:rsidR="00B53F6A" w:rsidRPr="002F269C">
        <w:rPr>
          <w:rStyle w:val="kursiv"/>
        </w:rPr>
        <w:t>]</w:t>
      </w:r>
      <w:r w:rsidRPr="002F269C">
        <w:rPr>
          <w:rStyle w:val="kursiv"/>
        </w:rPr>
        <w:t xml:space="preserve"> være tilfredsstillende"</w:t>
      </w:r>
      <w:r w:rsidR="00B567B8" w:rsidRPr="002F269C">
        <w:rPr>
          <w:rStyle w:val="kursiv"/>
        </w:rPr>
        <w:t>.</w:t>
      </w:r>
      <w:r w:rsidRPr="002F269C">
        <w:rPr>
          <w:rStyle w:val="kursiv"/>
        </w:rPr>
        <w:t xml:space="preserve"> En annen innvending som ble tatt opp, var faren for inngrep i tros- og livssynssamfunnenes autonomi, men flertallet mente at det generelt vil være rimelig å kombinere støtte med en viss form for kontroll. Flertallet pekte dessuten på at offentlige midler kan bli brukt til å finansiere, og dermed legitimere, holdninger og praksis som oppfattes problematisk. Dette tilsier, ifølge flertallet, at det bør være visse grense</w:t>
      </w:r>
      <w:r w:rsidR="00B53F6A" w:rsidRPr="002F269C">
        <w:rPr>
          <w:rStyle w:val="kursiv"/>
        </w:rPr>
        <w:t>r</w:t>
      </w:r>
      <w:r w:rsidRPr="002F269C">
        <w:rPr>
          <w:rStyle w:val="kursiv"/>
        </w:rPr>
        <w:t xml:space="preserve"> for støtteverdig virksomhet, men flertallet framholdt at staten i et åpent og pluralistisk samfunn ikke fullt ut kan sikre at offentlig</w:t>
      </w:r>
      <w:r w:rsidR="00B567B8" w:rsidRPr="002F269C">
        <w:rPr>
          <w:rStyle w:val="kursiv"/>
        </w:rPr>
        <w:t>e</w:t>
      </w:r>
      <w:r w:rsidRPr="002F269C">
        <w:rPr>
          <w:rStyle w:val="kursiv"/>
        </w:rPr>
        <w:t xml:space="preserve"> midler ikke blir anvendt til ulike forhold og aktiviteter som det vil være delte meninger om.</w:t>
      </w:r>
    </w:p>
    <w:p w:rsidR="00A62BB2" w:rsidRPr="002F269C" w:rsidRDefault="00A62BB2" w:rsidP="00DF5799">
      <w:pPr>
        <w:pStyle w:val="blokksit"/>
        <w:rPr>
          <w:rStyle w:val="kursiv"/>
        </w:rPr>
      </w:pPr>
      <w:r w:rsidRPr="002F269C">
        <w:rPr>
          <w:rStyle w:val="kursiv"/>
        </w:rPr>
        <w:t>Mi</w:t>
      </w:r>
      <w:r w:rsidR="00B567B8" w:rsidRPr="002F269C">
        <w:rPr>
          <w:rStyle w:val="kursiv"/>
        </w:rPr>
        <w:t>ndretallet i utvalget var uenig</w:t>
      </w:r>
      <w:r w:rsidRPr="002F269C">
        <w:rPr>
          <w:rStyle w:val="kursiv"/>
        </w:rPr>
        <w:t xml:space="preserve"> i at staten skal føre en aktivt støttende tros- og livssynspolitikk og mente at staten heller skal innta en passiv, nøytral og beskyttende rolle, blant annet ved å avvikle den særskilte økonomiske støtteordningen </w:t>
      </w:r>
      <w:r w:rsidR="00CA11CB" w:rsidRPr="002F269C">
        <w:rPr>
          <w:rStyle w:val="kursiv"/>
        </w:rPr>
        <w:t>for</w:t>
      </w:r>
      <w:r w:rsidRPr="002F269C">
        <w:rPr>
          <w:rStyle w:val="kursiv"/>
        </w:rPr>
        <w:t xml:space="preserve"> tros- og livssynssamfunn (NOU 2013: 1 s. 111): </w:t>
      </w:r>
    </w:p>
    <w:p w:rsidR="00A62BB2" w:rsidRPr="002F269C" w:rsidRDefault="00A62BB2" w:rsidP="00DF5799">
      <w:pPr>
        <w:pStyle w:val="blokksit"/>
        <w:rPr>
          <w:rStyle w:val="kursiv"/>
        </w:rPr>
      </w:pPr>
      <w:r w:rsidRPr="002F269C">
        <w:rPr>
          <w:rStyle w:val="kursiv"/>
        </w:rPr>
        <w:t xml:space="preserve">En passiv og nøytral stat vil stå overfor færre utfordringer i likebehandlingen mellom Den norske kirke og andre tros- og livssynssamfunn, og når det gjelder interne og organisatoriske forhold i tros- og livssynssamfunn. Staten skal aktivt ivareta legale og menneskerettslige hensyn, men vise stor respekt for tros- og livssynssamfunnenes egenart og læremessige autonomi. </w:t>
      </w:r>
    </w:p>
    <w:p w:rsidR="00A62BB2" w:rsidRPr="002F269C" w:rsidRDefault="00A62BB2" w:rsidP="00DF5799">
      <w:pPr>
        <w:pStyle w:val="blokksit"/>
        <w:rPr>
          <w:rStyle w:val="kursiv"/>
        </w:rPr>
      </w:pPr>
      <w:r w:rsidRPr="002F269C">
        <w:rPr>
          <w:rStyle w:val="kursiv"/>
        </w:rPr>
        <w:t xml:space="preserve">I tråd med prinsippet om en nøytral beskyttende politikk tilrår disse medlemmene å avvikle den særskilte økonomiske støtteordningen for tros- og livssynssamfunn som sådanne. De må ha mulighet til å søke støtte og tilskudd på linje med, og på samme vilkår som, andre frivillige organisasjoner i det sivile samfunn. </w:t>
      </w:r>
    </w:p>
    <w:p w:rsidR="00A62BB2" w:rsidRDefault="00A62BB2" w:rsidP="00FE5260">
      <w:pPr>
        <w:pStyle w:val="Overskrift4"/>
        <w:rPr>
          <w:rFonts w:eastAsiaTheme="majorEastAsia"/>
        </w:rPr>
      </w:pPr>
      <w:r>
        <w:rPr>
          <w:rFonts w:eastAsiaTheme="majorEastAsia"/>
        </w:rPr>
        <w:t>Departementets vurderinger</w:t>
      </w:r>
    </w:p>
    <w:p w:rsidR="00A62BB2" w:rsidRDefault="00A62BB2" w:rsidP="00A62BB2">
      <w:r>
        <w:t xml:space="preserve">Grunnloven § 16 første punktum betyr at staten ikke selv skal krenke tros- og livssynsfriheten gjennom for eksempel lovgivning. </w:t>
      </w:r>
      <w:r w:rsidR="00B934FB">
        <w:t>S</w:t>
      </w:r>
      <w:r>
        <w:t>taten har</w:t>
      </w:r>
      <w:r w:rsidR="00B934FB">
        <w:t xml:space="preserve"> dessuten</w:t>
      </w:r>
      <w:r>
        <w:t xml:space="preserve">, også etter konvensjonsbestemmelsene, en begrenset plikt til positivt å sikre tros- og livssynsfrihet. Særlig er det viktig at medlemskap i tros- og livssynssamfunn er frivillig, og at det er reelt rom for å melde seg ut av tros- eller livssynssamfunn. </w:t>
      </w:r>
      <w:r w:rsidR="001E25F5">
        <w:t>Barns rettigheter må også ivaretas.</w:t>
      </w:r>
      <w:r>
        <w:t xml:space="preserve"> Dette er noe av bakgrunnen for at departementet foreslår noen lovbestemmelser om </w:t>
      </w:r>
      <w:r w:rsidR="001E25F5">
        <w:t xml:space="preserve">blant annet </w:t>
      </w:r>
      <w:r w:rsidR="00B934FB">
        <w:t>inn- og utmelding</w:t>
      </w:r>
      <w:r w:rsidR="001E25F5">
        <w:t xml:space="preserve"> og barns rett</w:t>
      </w:r>
      <w:r>
        <w:t xml:space="preserve"> til </w:t>
      </w:r>
      <w:r w:rsidR="001E25F5">
        <w:t>medbestemmelse</w:t>
      </w:r>
      <w:r>
        <w:t xml:space="preserve">, se nærmere nedenfor i </w:t>
      </w:r>
      <w:r w:rsidR="00B567B8">
        <w:t xml:space="preserve">kapittel </w:t>
      </w:r>
      <w:r w:rsidR="001E25F5">
        <w:t>18</w:t>
      </w:r>
      <w:r>
        <w:t>.</w:t>
      </w:r>
    </w:p>
    <w:p w:rsidR="00A62BB2" w:rsidRDefault="00A62BB2" w:rsidP="00A62BB2">
      <w:r>
        <w:t xml:space="preserve">Grunnloven § 16 pålegger staten en understøttelsesplikt som går lenger enn konvensjonsbestemmelsene om tros- og livssynsfrihet. Som nevnt har staten en særlig </w:t>
      </w:r>
      <w:r>
        <w:lastRenderedPageBreak/>
        <w:t xml:space="preserve">understøttelsesplikt overfor Den norske kirke som folkekirke og særlige forventninger </w:t>
      </w:r>
      <w:r w:rsidR="004270D9">
        <w:t xml:space="preserve">er </w:t>
      </w:r>
      <w:r>
        <w:t xml:space="preserve">rettet mot Den norske kirke. Understøttelsen av andre tros- og livssynsamfunn kan dels fortsatt sees som en kompensasjon for statens understøttelse av Den norske kirke, begrunnet i likebehandling. Men etter endringene i Grunnloven i 2012 har både statens særlige understøttelse av Den norske kirke som folkekirke og den generelle understøttelsen fått et nytt og felles </w:t>
      </w:r>
      <w:r w:rsidR="00B741FA">
        <w:t xml:space="preserve">rettslig </w:t>
      </w:r>
      <w:r>
        <w:t xml:space="preserve">grunnlag i prinsippet om en aktivt støttende tros- og livssynspolitikk. </w:t>
      </w:r>
    </w:p>
    <w:p w:rsidR="00982A0F" w:rsidRDefault="00982A0F" w:rsidP="00A62BB2">
      <w:r>
        <w:t>Formålet med understøttelsen av tros- og livssynssamfunn er først og fremst at staten skal bidra til at tros- og livssynsfriheten kan utøves i praksis. Staten vil positivt støtte tros- og livssynssamfunnenes virksomhet ved aktivt å legge til rette for at tros- og livssynsfriheten kan virkeliggjøres individuelt og kollektivt – privat og offentlig.</w:t>
      </w:r>
    </w:p>
    <w:p w:rsidR="00A62BB2" w:rsidRDefault="00A62BB2" w:rsidP="00A62BB2">
      <w:r>
        <w:t xml:space="preserve">Departementet deler </w:t>
      </w:r>
      <w:r w:rsidR="00982A0F">
        <w:t xml:space="preserve">dessuten </w:t>
      </w:r>
      <w:r>
        <w:t>Stålsett-utvalgets vurdering av at tros- og livssynsutøvelse kan ha positiv betydning for både den enkelte og for samfunnet. Tros- og livssynsfellesskap gir mening, tilhørighet og identitet til mange mennesker. Organisert tros- og livssynsutøvelse gir møteplasser som kan bidra til trivsel og læring, og samfunnene etablerer arenaer for samtaler omkring tro, tvil og etikk som er grunnleggende for den enkelte og for samfunnet. Mange tros- og livssynssamfunn bidrar med rammer for ritualer i viktige livsfaser. Tros- og livssynssamfunnene kan dessuten bidra til vedlikehold, debatt om og utvikling av sentrale verdier i og for samfunnet. Innsikt i og toleranse for mangfold er viktig kompetanse i vår tid, og mangfold gir mulighet for dialog om hvilke verdier som har preget og bør prege samfunnet. Økonomisk støtte til et mangfold av tros- og livssynssamfunn kan være med på å skape en bedre offentlig samtale om hva slags samfunn vi er og skal være. Som flertallet i Stålsett-utvalget framhever (NOU 2013: 1 s. 109), kan tros- og livssynssamfunn bidra til videreutvikling av en sammenbindende verdimessig infrastruktur, og dermed samhold og tillit, i samfunnet. Departementet vil imidlertid peke på at en ikke bare bør tilstrebe likhet og harmoni i verdispørsmål. Motsetninger og interessekamp har i alle tider vært med på å prege utviklingen av vårt samfunn. Også religiøse grupper som utfordrer etablerte strukturer og verdier</w:t>
      </w:r>
      <w:r w:rsidR="00E27F96">
        <w:t>,</w:t>
      </w:r>
      <w:r>
        <w:t xml:space="preserve"> må kunne inngå i den felles refleksjonen. Det er viktig at en tar opp verdikonflikter, og en mangfoldig, noen ganger motsetningsfylt, debatt kan ha stor verdi i seg selv – til tross for at den også kan oppleves ubehagelig. Etter departementets oppfatning er behovet for verdimessig refleksjon og brytning tydeligere til stede i dag enn tidligere, blant annet på grunn av globaliseringsutviklingen og det økte tros- og livssynsmessige og kulturelle mangfoldet i Norge. </w:t>
      </w:r>
    </w:p>
    <w:p w:rsidR="006651B9" w:rsidRDefault="006651B9" w:rsidP="006651B9">
      <w:r>
        <w:t xml:space="preserve">Det er åpenbart slik at tro og livssyn, og virksomheten til tros- og livssynssamfunn, også kan være konfliktskapende. Tros- eller livssynssamfunn kan bidra til svakere oppslutning om eller tillit til fellesskapets normer, eller de kan medvirke til polariseringstendenser. Virksomhet i regi av tros- og livssynssamfunn kan </w:t>
      </w:r>
      <w:r w:rsidR="005E576E">
        <w:t xml:space="preserve">i noen tilfeller også </w:t>
      </w:r>
      <w:r>
        <w:t xml:space="preserve">bidra til å aktivt fremme verdier eller praksiser som går på tvers av det staten ønsker å fremme. Etter departementets syn må en generelt akseptere at offentlige midler anvendes til formål som det vil være delte meninger om de etiske vurderingene av. Slik vil det også være på mange andre samfunnsområder, for eksempel på kulturfeltet. Offentlig finansiering trenger ikke nødvendigvis bety at staten i ett og alt står inne for aktiviteten som bedrives. </w:t>
      </w:r>
    </w:p>
    <w:p w:rsidR="0024599E" w:rsidRDefault="006651B9" w:rsidP="006651B9">
      <w:r>
        <w:t>En tilskuddsord</w:t>
      </w:r>
      <w:r w:rsidR="005E576E">
        <w:t>ning</w:t>
      </w:r>
      <w:r>
        <w:t xml:space="preserve"> kan være et vesentlig virkemiddel for å komme i dialog med tros- og livssynssamfunnene, og</w:t>
      </w:r>
      <w:r w:rsidR="005E576E">
        <w:t>så om spørsmål som ikke gjøres</w:t>
      </w:r>
      <w:r>
        <w:t xml:space="preserve"> til eksplisitte vilkår i</w:t>
      </w:r>
      <w:r w:rsidR="005E576E">
        <w:t xml:space="preserve"> støtteordningen. S</w:t>
      </w:r>
      <w:r>
        <w:t>tøtteordningen bidra</w:t>
      </w:r>
      <w:r w:rsidR="005E576E">
        <w:t>r</w:t>
      </w:r>
      <w:r>
        <w:t xml:space="preserve"> til kontakt og samhandling</w:t>
      </w:r>
      <w:r w:rsidR="005E576E">
        <w:t xml:space="preserve"> mellom staten og tros- og livssynssamfunnene</w:t>
      </w:r>
      <w:r>
        <w:t xml:space="preserve">. </w:t>
      </w:r>
      <w:r w:rsidR="005E576E">
        <w:t xml:space="preserve">Den kan bidra til innsyn i og åpenhet rundt tros- og livssynssamfunns virksomhet og økonomi, og den </w:t>
      </w:r>
      <w:r w:rsidR="0024599E">
        <w:t>gir staten mulighet for påvirkning</w:t>
      </w:r>
      <w:r w:rsidR="005E576E">
        <w:t xml:space="preserve">. </w:t>
      </w:r>
      <w:r w:rsidR="0024599E">
        <w:t xml:space="preserve">For enkelte trossamfunn </w:t>
      </w:r>
      <w:r w:rsidR="0024599E">
        <w:lastRenderedPageBreak/>
        <w:t xml:space="preserve">kan tilskuddsordningen i seg selv gi verdifull kontakt med og innsikt i offentlig virksomhet, den kan legge til rette for samfunnsdeltakelse, ansvarliggjøring og demokratibygging. </w:t>
      </w:r>
    </w:p>
    <w:p w:rsidR="006651B9" w:rsidRDefault="0024599E" w:rsidP="006651B9">
      <w:r>
        <w:t xml:space="preserve">Etter departementets syn </w:t>
      </w:r>
      <w:r w:rsidR="006651B9">
        <w:t xml:space="preserve">kan </w:t>
      </w:r>
      <w:r>
        <w:t xml:space="preserve">det </w:t>
      </w:r>
      <w:r w:rsidR="006651B9">
        <w:t>væ</w:t>
      </w:r>
      <w:r>
        <w:t>re en fordel for dialogen at den</w:t>
      </w:r>
      <w:r w:rsidR="006651B9">
        <w:t xml:space="preserve"> ikke er rammet inn av et </w:t>
      </w:r>
      <w:r w:rsidR="005E576E">
        <w:t xml:space="preserve">for </w:t>
      </w:r>
      <w:r w:rsidR="006651B9">
        <w:t>stramt sanksjonsregime. Inngripende vilkår for støtte kan bidra til tilbaketrekning</w:t>
      </w:r>
      <w:r w:rsidR="001E25F5">
        <w:t>,</w:t>
      </w:r>
      <w:r w:rsidR="006651B9">
        <w:t xml:space="preserve"> for </w:t>
      </w:r>
      <w:r w:rsidR="001E25F5">
        <w:t>eksempel slik</w:t>
      </w:r>
      <w:r w:rsidR="006651B9">
        <w:t xml:space="preserve"> at tros- og livssynssamfunn velge</w:t>
      </w:r>
      <w:r w:rsidR="00E27F96">
        <w:t>r</w:t>
      </w:r>
      <w:r w:rsidR="006651B9">
        <w:t xml:space="preserve"> å ikke benytte seg av tilskuddsordningen for å unngå kontroll mv</w:t>
      </w:r>
      <w:r w:rsidR="005E576E">
        <w:t>.</w:t>
      </w:r>
      <w:r w:rsidR="006651B9">
        <w:t xml:space="preserve"> og heller søke finansiering fra andre kilder i inn- og utland. Med en slik utvikling vil</w:t>
      </w:r>
      <w:r w:rsidR="005E576E">
        <w:t>le</w:t>
      </w:r>
      <w:r w:rsidR="006651B9">
        <w:t xml:space="preserve"> staten miste kontakten med og innblikket i tros- og livssynssamfunnene som tilskuddsordningen gir. Departementet vil også framheve at </w:t>
      </w:r>
      <w:r w:rsidR="002F1714">
        <w:t xml:space="preserve">en </w:t>
      </w:r>
      <w:r w:rsidR="006651B9">
        <w:t>tilskuddsordning</w:t>
      </w:r>
      <w:r w:rsidR="002F1714">
        <w:t xml:space="preserve"> som skal gjelde for alle</w:t>
      </w:r>
      <w:r w:rsidR="00E37A6B">
        <w:t>,</w:t>
      </w:r>
      <w:r w:rsidR="0026415E">
        <w:t xml:space="preserve"> ikke bør </w:t>
      </w:r>
      <w:r w:rsidR="002F1714">
        <w:t>utformes på en måte som primært sikter mot å</w:t>
      </w:r>
      <w:r w:rsidR="006651B9">
        <w:t xml:space="preserve"> motvirke uheldige praksiser etc. i små og marginale miljøer. Dersom tilskuddsordningen utformes for stramt, kan den i verste </w:t>
      </w:r>
      <w:r w:rsidR="00895B94">
        <w:t xml:space="preserve">fall </w:t>
      </w:r>
      <w:r w:rsidR="006651B9">
        <w:t xml:space="preserve">få uheldige konsekvenser for samfunnsmål tilskuddsvilkårene i utgangspunktet var ment å skulle ivareta. </w:t>
      </w:r>
    </w:p>
    <w:p w:rsidR="00A62BB2" w:rsidRDefault="00A62BB2" w:rsidP="00FE5260">
      <w:pPr>
        <w:pStyle w:val="Overskrift3"/>
      </w:pPr>
      <w:bookmarkStart w:id="689" w:name="_Toc477277225"/>
      <w:bookmarkStart w:id="690" w:name="_Toc477535518"/>
      <w:bookmarkStart w:id="691" w:name="_Toc477630651"/>
      <w:bookmarkStart w:id="692" w:name="_Toc477693615"/>
      <w:bookmarkStart w:id="693" w:name="_Toc477703982"/>
      <w:bookmarkStart w:id="694" w:name="_Toc477799187"/>
      <w:bookmarkStart w:id="695" w:name="_Toc477805789"/>
      <w:bookmarkStart w:id="696" w:name="_Toc477878049"/>
      <w:bookmarkStart w:id="697" w:name="_Toc477881450"/>
      <w:bookmarkStart w:id="698" w:name="_Toc477885910"/>
      <w:bookmarkStart w:id="699" w:name="_Toc478131327"/>
      <w:bookmarkStart w:id="700" w:name="_Toc478138711"/>
      <w:bookmarkStart w:id="701" w:name="_Toc478232226"/>
      <w:bookmarkStart w:id="702" w:name="_Toc478237210"/>
      <w:bookmarkStart w:id="703" w:name="_Toc481761762"/>
      <w:bookmarkStart w:id="704" w:name="_Toc492900415"/>
      <w:r>
        <w:t xml:space="preserve">Særlig om vilkår for tilskudd – departementets </w:t>
      </w:r>
      <w:r w:rsidR="003F4598">
        <w:t>prinsipielle</w:t>
      </w:r>
      <w:r w:rsidR="00A80D36">
        <w:t xml:space="preserve"> </w:t>
      </w:r>
      <w:r>
        <w:t>utgangspunkter</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A62BB2" w:rsidRDefault="0010151D" w:rsidP="00A62BB2">
      <w:r>
        <w:t xml:space="preserve">Tros- og livssynsfriheten er ikke prinsipielt til hinder for </w:t>
      </w:r>
      <w:r w:rsidR="001E25F5">
        <w:t xml:space="preserve">at staten </w:t>
      </w:r>
      <w:r>
        <w:t>kan knytte vilkår til eventuell økonomisk</w:t>
      </w:r>
      <w:r w:rsidR="00A62BB2">
        <w:t xml:space="preserve"> støtte </w:t>
      </w:r>
      <w:r>
        <w:t xml:space="preserve">til </w:t>
      </w:r>
      <w:r w:rsidR="00A62BB2">
        <w:t xml:space="preserve">tros- og livssynssamfunn. Slike vilkår kan gjelde både formelle og innholdsmessige forhold, for eksempel krav til organisering av et tros- eller livssynssamfunn eller regler om hva som skal regnes som </w:t>
      </w:r>
      <w:r w:rsidR="007D4819">
        <w:t xml:space="preserve">organisert </w:t>
      </w:r>
      <w:r w:rsidR="00A62BB2">
        <w:t xml:space="preserve">utøvelse av religion eller livssyn. Vilkår kan også knytte seg tydeligere til etisk innhold eller verdier i den religiøse eller livssynsmessige virksomheten som samfunnet utøver. </w:t>
      </w:r>
    </w:p>
    <w:p w:rsidR="00A62BB2" w:rsidRDefault="00A62BB2" w:rsidP="00A62BB2">
      <w:r>
        <w:t xml:space="preserve">De gjeldende tilskuddsordningene stiller </w:t>
      </w:r>
      <w:r w:rsidR="0010151D">
        <w:t xml:space="preserve">i praksis </w:t>
      </w:r>
      <w:r>
        <w:t>få og lite inngripende krav</w:t>
      </w:r>
      <w:r w:rsidR="0010151D">
        <w:t xml:space="preserve"> til </w:t>
      </w:r>
      <w:r w:rsidR="007A691D">
        <w:t>tros- og livssyns</w:t>
      </w:r>
      <w:r w:rsidR="0010151D">
        <w:t>samfunnene</w:t>
      </w:r>
      <w:r w:rsidR="007A691D">
        <w:t xml:space="preserve"> utenom Den norske kirke</w:t>
      </w:r>
      <w:r>
        <w:t xml:space="preserve">. Som nevnt stilles det flere </w:t>
      </w:r>
      <w:r w:rsidR="007A691D">
        <w:t xml:space="preserve">og mer konkrete </w:t>
      </w:r>
      <w:r>
        <w:t>krav til Den norske kirke</w:t>
      </w:r>
      <w:r w:rsidR="007232A8">
        <w:t>, se nærmere nedenfor i punkt 6.3.4</w:t>
      </w:r>
      <w:r>
        <w:t xml:space="preserve">. </w:t>
      </w:r>
    </w:p>
    <w:p w:rsidR="00A62BB2" w:rsidRDefault="00A62BB2" w:rsidP="00A62BB2">
      <w:r>
        <w:t>Stålsett</w:t>
      </w:r>
      <w:r w:rsidR="007D4819">
        <w:t>-</w:t>
      </w:r>
      <w:r>
        <w:t>utvalget framholdt bla</w:t>
      </w:r>
      <w:r w:rsidR="0017277F">
        <w:t>nt ann</w:t>
      </w:r>
      <w:r w:rsidR="008E7CB8">
        <w:t>e</w:t>
      </w:r>
      <w:r w:rsidR="0017277F">
        <w:t xml:space="preserve">t </w:t>
      </w:r>
      <w:r>
        <w:t>følgende i sine prinsipielle vurderinger om økonomisk støtte til tros- og livssynssamfunn (NOU 2013: 1 s. 331):</w:t>
      </w:r>
    </w:p>
    <w:p w:rsidR="00A62BB2" w:rsidRPr="002F269C" w:rsidRDefault="00A62BB2" w:rsidP="00DF5799">
      <w:pPr>
        <w:pStyle w:val="blokksit"/>
        <w:rPr>
          <w:rStyle w:val="kursiv"/>
        </w:rPr>
      </w:pPr>
      <w:r w:rsidRPr="002F269C">
        <w:rPr>
          <w:rStyle w:val="kursiv"/>
        </w:rPr>
        <w:t xml:space="preserve">Et viktig argument for å gi støtte til tros- og livssynssamfunn er at det er viktig å sikre livssynsfriheten. Vektleggingen av livssynsfriheten, blant annet muligheten til å uttrykke sitt livssyn i fellesskap med andre, tilsier at en ikke bør stille krav til tros- og livssynssamfunn knyttet til resultater og effekter på samfunnsverdier. Tros- og livssynssamfunnenes organisering og indre liv er i utgangspunktet beskyttet av menneskerettighetskonvensjonene, jf. drøfting i kapittel 8.3. Selv om tros- og livssynssamfunn ikke har rett til økonomisk støtte, og staten kan stille betingelser for å gi støtte (så lenge de ikke virker diskriminerende) uten at dette er inngrep i livssynsfriheten, mener utvalget at en bør anerkjenne tros- og livssynssamfunns indre autonomi og ikke sette resultatbaserte krav til den særlige støtteordningen for tros- og livssynssamfunn. </w:t>
      </w:r>
    </w:p>
    <w:p w:rsidR="00A62BB2" w:rsidRDefault="0010151D" w:rsidP="00A62BB2">
      <w:r>
        <w:t>Departementet er enig i dette, men vil presisere at tros- og livssynsfriheten innebærer en reell</w:t>
      </w:r>
      <w:r w:rsidR="00A62BB2">
        <w:t xml:space="preserve"> skranke for adgangen til å sette vilkår som kan påvirke tros- og livssynssamfunnenes indre forhold, også når det offentlige velger å gi økonomisk støtte til samfunnene. </w:t>
      </w:r>
      <w:r w:rsidR="007438EA">
        <w:t>Dette gjelder i særlig grad en generell tilskuddsordning som i utgangspunktet skal gjelde for alle tros- og livsynssamfunn på like linje.</w:t>
      </w:r>
    </w:p>
    <w:p w:rsidR="00A62BB2" w:rsidRDefault="00A62BB2" w:rsidP="00A62BB2">
      <w:r>
        <w:t xml:space="preserve">Av de tros- og livssynspolitiske målsettingene i regjeringens politiske plattform, jf. ovenfor i punkt 6.1, framgår </w:t>
      </w:r>
      <w:r w:rsidR="008614C4">
        <w:t xml:space="preserve">det </w:t>
      </w:r>
      <w:r>
        <w:t xml:space="preserve">at regjeringen vil være forsiktig med å styre i tros- og livssynssamfunnenes indre forhold. En lignende tilnærming har regjeringen også i sine mer generelle frivillighetspolitiske mål:  </w:t>
      </w:r>
    </w:p>
    <w:p w:rsidR="00A62BB2" w:rsidRPr="002F269C" w:rsidRDefault="00A62BB2" w:rsidP="00DF5799">
      <w:pPr>
        <w:pStyle w:val="blokksit"/>
        <w:rPr>
          <w:rStyle w:val="kursiv"/>
        </w:rPr>
      </w:pPr>
      <w:r w:rsidRPr="002F269C">
        <w:rPr>
          <w:rStyle w:val="kursiv"/>
        </w:rPr>
        <w:t>Regjeringen vil bidra til at frivilligheten vokser frem nedenfra, og blir friere fra politisk styring. Frivilligheten skal ha en selvstendig stilling i samfunnet. [...] Fradragsordningen for gaver til frivillige organisasjoner må styrkes, og byråkratiet overfor frivillige organisasjoner reduseres.</w:t>
      </w:r>
    </w:p>
    <w:p w:rsidR="005E5088" w:rsidRDefault="007232A8" w:rsidP="007232A8">
      <w:r>
        <w:lastRenderedPageBreak/>
        <w:t xml:space="preserve">Det vil være ulike syn på om det i den særlige tilskuddsordningen </w:t>
      </w:r>
      <w:r w:rsidR="00CA11CB">
        <w:t>for</w:t>
      </w:r>
      <w:r>
        <w:t xml:space="preserve"> tros- og livssynssamfunn bør stilles </w:t>
      </w:r>
      <w:r w:rsidR="007A691D">
        <w:t>klare</w:t>
      </w:r>
      <w:r>
        <w:t xml:space="preserve"> vilkår for støtten</w:t>
      </w:r>
      <w:r w:rsidR="007A691D">
        <w:t>, og hvilke vilkår som i tilfellet skal stilles</w:t>
      </w:r>
      <w:r>
        <w:t>. Departementet vil gjenta at hovedformålet med ordningen er å gi et materielt grunnlag for utøvelse av tro og livssyn, og departementet mener dette fortsatt bør være hovedtilnærmingen når tilskuddsordninge</w:t>
      </w:r>
      <w:r w:rsidR="007D4819">
        <w:t>n</w:t>
      </w:r>
      <w:r>
        <w:t xml:space="preserve"> skal utformes. Støtten skal primært bidra til </w:t>
      </w:r>
      <w:r w:rsidR="007F7BC9">
        <w:t xml:space="preserve">tros- og livssynsmessig virksomhet. </w:t>
      </w:r>
      <w:r>
        <w:t xml:space="preserve">Dette er også </w:t>
      </w:r>
      <w:r w:rsidR="007F7BC9">
        <w:t xml:space="preserve">perspektivet </w:t>
      </w:r>
      <w:r>
        <w:t>for noen av de statlige støtteordningene til frivillige organisasjoner, og det kan i og for seg sies å gjelde for støtte til kultur mer generelt, slik Stålsett-utvalget også påpekte (se sitatet ovenfor i punkt 6.3.2.2). Dette tilsier, etter departementets syn, at en i utgangspunktet bør være forsiktig med å stille inngripende krav til tros- og livssynssamfunnene</w:t>
      </w:r>
      <w:r w:rsidR="007A691D">
        <w:t>s virksomhet</w:t>
      </w:r>
      <w:r>
        <w:t xml:space="preserve"> gjennom tilskuddsordningen. Etter departementets oppfatning bør eventuelle statlige krav utformes i respekt for tros- og livssynssamfunnenes indre autonomi og hensynet til ikke-diskriminering mellom samfunnene. Departementet vil likevel understreke at det på dette feltet må gjøres vanskelige avveininger mellom ulike hensyn.</w:t>
      </w:r>
    </w:p>
    <w:p w:rsidR="00E747C3" w:rsidRDefault="00A62BB2" w:rsidP="00A62BB2">
      <w:r>
        <w:t xml:space="preserve">På denne bakgrunnen er departementet prinsipielt skeptisk til – og kan heller ikke se at det er påtrengende behov for – å innføre vesentlig skjerpede tilskuddsvilkår og en mer utstrakt lovregulering av aktivitetene i tros- og livssynssamfunn. </w:t>
      </w:r>
      <w:r w:rsidR="007D4819">
        <w:t>Likevel mener departementet det er grunn til å presisere de</w:t>
      </w:r>
      <w:r w:rsidR="00E262E2">
        <w:t>t</w:t>
      </w:r>
      <w:r w:rsidR="007D4819">
        <w:t xml:space="preserve"> grunnleggende vilkåret om å ikke krenke "rett og moral" eller "rett og sømd" som loven</w:t>
      </w:r>
      <w:r w:rsidR="00B851EC">
        <w:t>e</w:t>
      </w:r>
      <w:r w:rsidR="007D4819">
        <w:t xml:space="preserve"> i dag stiller.  </w:t>
      </w:r>
    </w:p>
    <w:p w:rsidR="00E747C3" w:rsidRDefault="005B4C46" w:rsidP="00A62BB2">
      <w:r>
        <w:t xml:space="preserve">Departementet mener </w:t>
      </w:r>
      <w:r w:rsidR="007D4819">
        <w:t xml:space="preserve">for det første </w:t>
      </w:r>
      <w:r>
        <w:t xml:space="preserve">at det grunnleggende vilkåret om </w:t>
      </w:r>
      <w:r w:rsidR="00C13B41">
        <w:t xml:space="preserve">at </w:t>
      </w:r>
      <w:r>
        <w:t>tros- og livssynssamfunnene</w:t>
      </w:r>
      <w:r w:rsidR="004E7B43">
        <w:t>s virksomhet</w:t>
      </w:r>
      <w:r>
        <w:t xml:space="preserve"> skal </w:t>
      </w:r>
      <w:r w:rsidR="00E262E2">
        <w:t xml:space="preserve">skje innenfor rammen av "rett", dvs. at samfunnene skal </w:t>
      </w:r>
      <w:r>
        <w:t>følge alminnelig lov</w:t>
      </w:r>
      <w:r w:rsidR="00C13B41">
        <w:t>,</w:t>
      </w:r>
      <w:r>
        <w:t xml:space="preserve"> bør tydeliggjøres. Kontrollen med og oppfølgingen av tros- og livssynssamfunnene bør skjerpes, og konsekvenser for tilskuddet </w:t>
      </w:r>
      <w:r w:rsidR="00E262E2">
        <w:t xml:space="preserve">av kvalifiserte </w:t>
      </w:r>
      <w:r>
        <w:t>lovbrudd i tros- og livssynssamfunn bør presiseres i loven</w:t>
      </w:r>
      <w:r w:rsidR="00E113D2">
        <w:t xml:space="preserve"> og eventuelt i forskrift</w:t>
      </w:r>
      <w:r>
        <w:t xml:space="preserve">. Etter departementets oppfatning er det </w:t>
      </w:r>
      <w:r w:rsidR="007D4819">
        <w:t>for det andre</w:t>
      </w:r>
      <w:r>
        <w:t xml:space="preserve"> </w:t>
      </w:r>
      <w:r w:rsidR="007D4819">
        <w:t xml:space="preserve">også </w:t>
      </w:r>
      <w:r>
        <w:t xml:space="preserve">behov for å tydeliggjøre vilkåret om å følge "moral" eller "sømd". Departementet mener det bør stilles mer presise verdimessige vilkår i tilskuddsordningen enn </w:t>
      </w:r>
      <w:r w:rsidR="00E113D2">
        <w:t>det som er gjort i dagens ordning.</w:t>
      </w:r>
      <w:r>
        <w:t xml:space="preserve"> </w:t>
      </w:r>
      <w:r w:rsidR="00E37BB1">
        <w:t xml:space="preserve">Også på dette punktet bør oppfølgingen av samfunnene styrkes og konsekvenser av vilkårsbrudd tydeliggjøres. </w:t>
      </w:r>
      <w:r>
        <w:t xml:space="preserve"> </w:t>
      </w:r>
    </w:p>
    <w:p w:rsidR="00A62BB2" w:rsidRDefault="005B4C46" w:rsidP="00A62BB2">
      <w:r>
        <w:t xml:space="preserve">Ovenfor har departementet pekt på at </w:t>
      </w:r>
      <w:r w:rsidR="00D87D22">
        <w:t>økonomisk støtte til tros- og livssynssamfunn kan bidra til refleksjon om verdier i samfunnet, og i alle fall indirekte, til å fremme vi</w:t>
      </w:r>
      <w:r w:rsidR="007232A8">
        <w:t>ktige fellesverdier i samfunnet</w:t>
      </w:r>
      <w:r w:rsidR="005E5088">
        <w:t xml:space="preserve">. </w:t>
      </w:r>
      <w:r w:rsidR="006651B9">
        <w:t xml:space="preserve">Selv om </w:t>
      </w:r>
      <w:r w:rsidR="00E37BB1">
        <w:t>slike hensyn</w:t>
      </w:r>
      <w:r w:rsidR="006651B9">
        <w:t xml:space="preserve"> inngår i grunnlaget for tilskuddsordningen, ser </w:t>
      </w:r>
      <w:r w:rsidR="005E5088">
        <w:t>depart</w:t>
      </w:r>
      <w:r w:rsidR="006651B9">
        <w:t>ementet</w:t>
      </w:r>
      <w:r w:rsidR="005E5088">
        <w:t xml:space="preserve"> ikke tilstrekkelig grunn til å stille eksplisitt </w:t>
      </w:r>
      <w:r w:rsidR="00A62BB2">
        <w:t xml:space="preserve">krav om </w:t>
      </w:r>
      <w:r w:rsidR="00A62BB2" w:rsidRPr="005E576E">
        <w:rPr>
          <w:i/>
        </w:rPr>
        <w:t>faktisk</w:t>
      </w:r>
      <w:r w:rsidR="00A62BB2">
        <w:t xml:space="preserve"> bidrag til verdidebatt, utvikling av fellesverdier etc. som vilkår for støtte. </w:t>
      </w:r>
      <w:r w:rsidR="005E576E">
        <w:t>Et slikt krav vil</w:t>
      </w:r>
      <w:r w:rsidR="00C13B41">
        <w:t>le</w:t>
      </w:r>
      <w:r w:rsidR="005E576E">
        <w:t xml:space="preserve"> i praksis </w:t>
      </w:r>
      <w:r w:rsidR="00C13B41">
        <w:t xml:space="preserve">kreve vanskelige vurderinger av grensene for </w:t>
      </w:r>
      <w:r w:rsidR="005E576E">
        <w:t>inngrep i religionsfriheten, og d</w:t>
      </w:r>
      <w:r w:rsidR="00A62BB2">
        <w:t>et vil</w:t>
      </w:r>
      <w:r w:rsidR="00C13B41">
        <w:t xml:space="preserve">le </w:t>
      </w:r>
      <w:r w:rsidR="00A62BB2">
        <w:t>være svær</w:t>
      </w:r>
      <w:r w:rsidR="00C13B41">
        <w:t>t krevende</w:t>
      </w:r>
      <w:r w:rsidR="00AF689A">
        <w:t xml:space="preserve"> å </w:t>
      </w:r>
      <w:r w:rsidR="00C13B41">
        <w:t>håndheve</w:t>
      </w:r>
      <w:r w:rsidR="00AF689A">
        <w:t xml:space="preserve"> </w:t>
      </w:r>
      <w:r w:rsidR="005E576E">
        <w:t>på en ikke-diskriminerende måte</w:t>
      </w:r>
      <w:r w:rsidR="00A62BB2">
        <w:t xml:space="preserve">. </w:t>
      </w:r>
      <w:r w:rsidR="005E5088">
        <w:t>E</w:t>
      </w:r>
      <w:r w:rsidR="005E576E">
        <w:t>tter departementets syn bør en</w:t>
      </w:r>
      <w:r w:rsidR="005E5088">
        <w:t xml:space="preserve"> i stedet vurdere vilkår som h</w:t>
      </w:r>
      <w:r w:rsidR="00AF689A">
        <w:t xml:space="preserve">andler </w:t>
      </w:r>
      <w:r w:rsidR="00A62BB2">
        <w:t>om at tros- o</w:t>
      </w:r>
      <w:r w:rsidR="00AF689A">
        <w:t xml:space="preserve">g livssynssamfunnene ikke </w:t>
      </w:r>
      <w:r w:rsidR="00447F85">
        <w:t xml:space="preserve">aktivt </w:t>
      </w:r>
      <w:r w:rsidR="00AF689A">
        <w:t>skal</w:t>
      </w:r>
      <w:r w:rsidR="00A62BB2">
        <w:t xml:space="preserve"> bidra til å </w:t>
      </w:r>
      <w:r w:rsidR="00A62BB2">
        <w:rPr>
          <w:i/>
        </w:rPr>
        <w:t>undergrave</w:t>
      </w:r>
      <w:r w:rsidR="00A62BB2">
        <w:t xml:space="preserve"> eller </w:t>
      </w:r>
      <w:r w:rsidR="00A62BB2">
        <w:rPr>
          <w:i/>
        </w:rPr>
        <w:t>svekke</w:t>
      </w:r>
      <w:r w:rsidR="00A62BB2">
        <w:t xml:space="preserve"> vi</w:t>
      </w:r>
      <w:r w:rsidR="00AF689A">
        <w:t>ktige fellesverdier i samfunnet</w:t>
      </w:r>
      <w:r w:rsidR="00A62BB2">
        <w:t>.</w:t>
      </w:r>
      <w:r w:rsidR="00AF689A">
        <w:t xml:space="preserve"> </w:t>
      </w:r>
      <w:r w:rsidR="00C31C82">
        <w:t xml:space="preserve">Dette er også tilnærmingen i gjeldende rett: Tros- og livssynssamfunn skal ikke </w:t>
      </w:r>
      <w:r w:rsidR="00C31C82" w:rsidRPr="001E491E">
        <w:rPr>
          <w:i/>
        </w:rPr>
        <w:t>krenke</w:t>
      </w:r>
      <w:r w:rsidR="00C31C82">
        <w:t xml:space="preserve"> "sømd" eller "moral". </w:t>
      </w:r>
      <w:r w:rsidR="00AF689A" w:rsidRPr="007F7BC9">
        <w:t>Av hensyn til likebehandling og forutsigbarhet bør slike vilkår utformes mest mulig presist, og de bør ikke overlate for stort rom for skjønnsutøvelse</w:t>
      </w:r>
      <w:r w:rsidR="005E5088" w:rsidRPr="007F7BC9">
        <w:t xml:space="preserve"> til tilskuddsforvalteren.</w:t>
      </w:r>
      <w:r w:rsidR="000151CF">
        <w:t xml:space="preserve"> </w:t>
      </w:r>
    </w:p>
    <w:p w:rsidR="00A62BB2" w:rsidRDefault="00AF689A" w:rsidP="00A62BB2">
      <w:r>
        <w:t xml:space="preserve">Departementet vil peke på at staten </w:t>
      </w:r>
      <w:r w:rsidR="00766685">
        <w:t>dessuten</w:t>
      </w:r>
      <w:r>
        <w:t xml:space="preserve"> </w:t>
      </w:r>
      <w:r w:rsidR="00A62BB2">
        <w:t xml:space="preserve">bør vurdere andre virkemidler </w:t>
      </w:r>
      <w:r w:rsidR="00766685">
        <w:t xml:space="preserve">enn </w:t>
      </w:r>
      <w:r w:rsidR="00766685" w:rsidRPr="00766685">
        <w:rPr>
          <w:i/>
        </w:rPr>
        <w:t>rettslige</w:t>
      </w:r>
      <w:r w:rsidR="005E5088">
        <w:t xml:space="preserve"> vilkår som knyttes til</w:t>
      </w:r>
      <w:r w:rsidR="00766685">
        <w:t xml:space="preserve"> den særlige støtteordningen</w:t>
      </w:r>
      <w:r w:rsidR="005E5088">
        <w:t>,</w:t>
      </w:r>
      <w:r w:rsidR="00766685">
        <w:t xml:space="preserve"> </w:t>
      </w:r>
      <w:r w:rsidR="00A62BB2">
        <w:t xml:space="preserve">for å påvirke tros- og livssynssamfunn. Positive tiltak for aktivisering kan </w:t>
      </w:r>
      <w:r w:rsidR="00766685">
        <w:t xml:space="preserve">ofte </w:t>
      </w:r>
      <w:r w:rsidR="00A62BB2">
        <w:t xml:space="preserve">egne seg bedre for å oppnå et resultat enn sanksjonerte vilkår. </w:t>
      </w:r>
      <w:r w:rsidR="0053263D">
        <w:t>F</w:t>
      </w:r>
      <w:r w:rsidR="00A62BB2">
        <w:t xml:space="preserve">or eksempel </w:t>
      </w:r>
      <w:r w:rsidR="0053263D">
        <w:t>kan</w:t>
      </w:r>
      <w:r w:rsidR="00A62BB2">
        <w:t xml:space="preserve"> dialog med tros- og livssynssamfunnene, selektiv tilleggsstøtte, krav til rapportering på konkrete områder mv.</w:t>
      </w:r>
      <w:r w:rsidR="0053263D">
        <w:t xml:space="preserve"> være mer effektive påvirkningsredskaper</w:t>
      </w:r>
      <w:r w:rsidR="00C13B41">
        <w:t xml:space="preserve"> i praksis</w:t>
      </w:r>
      <w:r w:rsidR="0053263D">
        <w:t>.</w:t>
      </w:r>
      <w:r w:rsidR="00A62BB2">
        <w:t xml:space="preserve"> </w:t>
      </w:r>
      <w:r w:rsidR="0024599E">
        <w:t>På områder der aktivitet i tros- og livssynssamfunn påvirker andres rettigheter</w:t>
      </w:r>
      <w:r w:rsidR="00C13B41">
        <w:t>,</w:t>
      </w:r>
      <w:r w:rsidR="0024599E">
        <w:t xml:space="preserve"> er det størst grunn til å vurdere andre tiltak</w:t>
      </w:r>
      <w:r w:rsidR="00C13B41">
        <w:t>. F</w:t>
      </w:r>
      <w:r w:rsidR="0024599E">
        <w:t xml:space="preserve">or eksempel bør staten ha </w:t>
      </w:r>
      <w:r w:rsidR="00A62BB2">
        <w:lastRenderedPageBreak/>
        <w:t xml:space="preserve">særlig oppmerksomhet rettet mot kvinners og barns </w:t>
      </w:r>
      <w:r w:rsidR="00C13B41">
        <w:t xml:space="preserve">situasjon, </w:t>
      </w:r>
      <w:r w:rsidR="00A62BB2">
        <w:t xml:space="preserve">rettigheter og interesser i tros- og livssynssamfunn. </w:t>
      </w:r>
      <w:r w:rsidR="00766685">
        <w:t>Men o</w:t>
      </w:r>
      <w:r w:rsidR="00A62BB2">
        <w:t xml:space="preserve">gså andre forhold, for eksempel bruk av tvang, tilbaketrekking fra alminnelig samfunnsliv osv., kan gis særlig oppmerksomhet og følges opp med særlige tiltak. </w:t>
      </w:r>
    </w:p>
    <w:p w:rsidR="00A62BB2" w:rsidRDefault="00A62BB2" w:rsidP="00A62BB2">
      <w:r>
        <w:t xml:space="preserve">Spørsmål om vilkår for tilskudd, </w:t>
      </w:r>
      <w:r w:rsidR="006651B9">
        <w:t>kontroll mv. e</w:t>
      </w:r>
      <w:r>
        <w:t xml:space="preserve">r </w:t>
      </w:r>
      <w:r w:rsidR="00E262E2">
        <w:t xml:space="preserve">nærmere </w:t>
      </w:r>
      <w:r>
        <w:t xml:space="preserve">behandlet nedenfor i </w:t>
      </w:r>
      <w:r w:rsidRPr="006B5702">
        <w:t>kapit</w:t>
      </w:r>
      <w:r w:rsidR="006651B9" w:rsidRPr="006B5702">
        <w:t xml:space="preserve">lene </w:t>
      </w:r>
      <w:r w:rsidR="006B5702" w:rsidRPr="006B5702">
        <w:t>15</w:t>
      </w:r>
      <w:r w:rsidR="006651B9" w:rsidRPr="006B5702">
        <w:t xml:space="preserve"> og </w:t>
      </w:r>
      <w:r w:rsidR="006B5702" w:rsidRPr="006B5702">
        <w:t>16</w:t>
      </w:r>
      <w:r>
        <w:t xml:space="preserve">.  </w:t>
      </w:r>
    </w:p>
    <w:p w:rsidR="00A62BB2" w:rsidRDefault="00A62BB2" w:rsidP="00FE5260">
      <w:pPr>
        <w:pStyle w:val="Overskrift3"/>
        <w:rPr>
          <w:rFonts w:eastAsiaTheme="majorEastAsia"/>
        </w:rPr>
      </w:pPr>
      <w:bookmarkStart w:id="705" w:name="_Toc476320921"/>
      <w:bookmarkStart w:id="706" w:name="_Toc477277226"/>
      <w:bookmarkStart w:id="707" w:name="_Toc477535519"/>
      <w:bookmarkStart w:id="708" w:name="_Toc477630652"/>
      <w:bookmarkStart w:id="709" w:name="_Toc477693616"/>
      <w:bookmarkStart w:id="710" w:name="_Toc477703983"/>
      <w:bookmarkStart w:id="711" w:name="_Toc477799188"/>
      <w:bookmarkStart w:id="712" w:name="_Toc477805790"/>
      <w:bookmarkStart w:id="713" w:name="_Toc477878050"/>
      <w:bookmarkStart w:id="714" w:name="_Toc477881451"/>
      <w:bookmarkStart w:id="715" w:name="_Toc477885911"/>
      <w:bookmarkStart w:id="716" w:name="_Toc478131328"/>
      <w:bookmarkStart w:id="717" w:name="_Toc478138712"/>
      <w:bookmarkStart w:id="718" w:name="_Toc478232227"/>
      <w:bookmarkStart w:id="719" w:name="_Toc478237211"/>
      <w:bookmarkStart w:id="720" w:name="_Toc481761763"/>
      <w:bookmarkStart w:id="721" w:name="_Toc492900416"/>
      <w:r>
        <w:rPr>
          <w:rFonts w:eastAsiaTheme="majorEastAsia"/>
        </w:rPr>
        <w:t>Særlig om understøttelse av Den norske kirke som folkekirke</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Pr>
          <w:rFonts w:eastAsiaTheme="majorEastAsia"/>
        </w:rPr>
        <w:t xml:space="preserve"> </w:t>
      </w:r>
    </w:p>
    <w:p w:rsidR="00A62BB2" w:rsidRDefault="00A62BB2" w:rsidP="00A62BB2">
      <w:r>
        <w:t xml:space="preserve">Ovenfor er det redegjort for at Grunnloven § 16 etablerer et fortsatt særlig forhold mellom staten og Den norske kirke. Staten har en særlig plikt til å understøtte Den norske kirke som folkekirke, og staten skal gi særlig lovgivning om Den norske kirke. En kan si at Grunnloven forplikter staten til en særlig, aktivt støttende politikk overfor Den norske kirke, slik at Den norske kirke "forblir Norges folkekirke". </w:t>
      </w:r>
    </w:p>
    <w:p w:rsidR="00A62BB2" w:rsidRDefault="008614C4" w:rsidP="00A62BB2">
      <w:r>
        <w:t>Betegnelsen "folkekirke"</w:t>
      </w:r>
      <w:r w:rsidR="00A62BB2">
        <w:t xml:space="preserve"> har i forskjellige sammenhenger vært brukt om Den norske kirke, også før folkekirkebetegnelsen kom inn i Grunnloven i 2012. Folkekirkekara</w:t>
      </w:r>
      <w:r w:rsidR="005B2209">
        <w:t>k</w:t>
      </w:r>
      <w:r w:rsidR="00A62BB2">
        <w:t>teristikken har ikke et klart definert innhold, og den har blitt brukt i ulike betydninger og med ulike siktemål. Ofte har folkekirkebetegnelsen påpekt både kvalitative og kvantitative kjennetegn ved Den norske kirke, for eksempel at Den norske kirke som folkekirke er landsdekkende, demokratisk, har dåpen som eneste medlemskriterium etc. Betegnelsen har også vist til kirkens rolle som særlig tradisjons- og verdiformidler. Den norske kirke formidler som folkekirke kunnskap, forståelse og også dannelse i en viss betydning av ordet. Dette skjer primært gjennom kirkens ordinære virksomhet nettopp som kirke, i gudstjenester og kirkelige handlinger og ved formidling av kristen kunnskap i forkynnelse, undervisning og sjelesorg. Det er altså ikke bare</w:t>
      </w:r>
      <w:r w:rsidR="008B6537">
        <w:t xml:space="preserve"> </w:t>
      </w:r>
      <w:r w:rsidR="00A62BB2">
        <w:t>som offentligrettslig regulert størrelse Den norske kirke framstår som særegen i sitt forhold til staten og det norske samfunnet. Det er snarere omvendt: Det er Den norske kirkes institusjonelle rolle som tradisjonsbærende folkekirke som gjør den støtteverdig ("understøttes som sådan")</w:t>
      </w:r>
      <w:r w:rsidR="00C13B41">
        <w:t>,</w:t>
      </w:r>
      <w:r w:rsidR="00A62BB2">
        <w:t xml:space="preserve"> og som også kan tilsi at den bør omfattes av en særbestemt regulering og finansiering. </w:t>
      </w:r>
    </w:p>
    <w:p w:rsidR="00A62BB2" w:rsidRDefault="00A62BB2" w:rsidP="00A62BB2">
      <w:r>
        <w:t xml:space="preserve">I et av forarbeidene til Grunnloven § 16 (St.meld. nr. 17 (2007–2008) s. 19) viste departementet til en målsetting om å sikre at </w:t>
      </w:r>
    </w:p>
    <w:p w:rsidR="00A62BB2" w:rsidRPr="002F269C" w:rsidRDefault="00A62BB2" w:rsidP="00DF5799">
      <w:pPr>
        <w:pStyle w:val="blokksit"/>
        <w:rPr>
          <w:rStyle w:val="kursiv"/>
        </w:rPr>
      </w:pPr>
      <w:r w:rsidRPr="002F269C">
        <w:rPr>
          <w:rStyle w:val="kursiv"/>
        </w:rPr>
        <w:t>Den norske kirke kan videreføres og styrkes som en åpen, inkluderende og landsdekkende folkekirke, med dåpen som eneste medlemskriterium, bred kontaktflate og rom for ulike grader av trosengasjement, ulike kulturer og tradisjoner og ulike teologiske retninger. Den norske kirke skal over hele landet kunne tilby kirkelig betjening, invitere folk til tro og fellesskap og være en verdibærer som bidrar til å styrke lokalsamfunn og storsamfunn, menneskeverd, miljøvern og internasjonal solidaritet.</w:t>
      </w:r>
    </w:p>
    <w:p w:rsidR="00A62BB2" w:rsidRDefault="00A62BB2" w:rsidP="00A62BB2">
      <w:r>
        <w:t xml:space="preserve">I Innst. 111 L (2015–2016) uttalte Stortingets kirke-, utdannings- og forskningskomite følgende:  </w:t>
      </w:r>
    </w:p>
    <w:p w:rsidR="00A62BB2" w:rsidRPr="002F269C" w:rsidRDefault="00A62BB2" w:rsidP="00DF5799">
      <w:pPr>
        <w:pStyle w:val="blokksit"/>
        <w:rPr>
          <w:rStyle w:val="kursiv"/>
        </w:rPr>
      </w:pPr>
      <w:r w:rsidRPr="002F269C">
        <w:rPr>
          <w:rStyle w:val="kursiv"/>
        </w:rPr>
        <w:t>Komiteen vil videre påpeke at prinsippet om likebehandling av trossamfunn er viktig i et pluralistisk demokrati. Komiteen vil samtidig understreke at både historisk og kulturelt står Den norske kirke i en særstilling i Norge. Gjennom grunnlovsendringene i 2012 ble det slått fast at den skal være Norges folkekirke. Komiteen vil påpeke at dette innebærer en forventning om at Den norske kirke formidler kristen kunnskap, ikke bare som et grunnlag for menneskers religiøse tro, men også fordi slik kunnskap inngår i en alminnelig dannelse ved siden av å være en kilde til å forstå norsk historie og kultur.</w:t>
      </w:r>
    </w:p>
    <w:p w:rsidR="007B0125" w:rsidRDefault="008E5D9A" w:rsidP="00A62BB2">
      <w:r>
        <w:t>Slike perspektiver</w:t>
      </w:r>
      <w:r w:rsidR="008B6537">
        <w:t xml:space="preserve"> på Den norske kirke var også vektlagt i NOU </w:t>
      </w:r>
      <w:r>
        <w:t xml:space="preserve">2013: 4 </w:t>
      </w:r>
      <w:r w:rsidRPr="001E491E">
        <w:rPr>
          <w:i/>
        </w:rPr>
        <w:t>Kulturutredningen 2014</w:t>
      </w:r>
      <w:r>
        <w:t xml:space="preserve">, jf. ovenfor i </w:t>
      </w:r>
      <w:r w:rsidR="0017277F">
        <w:t>kapittel</w:t>
      </w:r>
      <w:r w:rsidR="0017277F" w:rsidRPr="0017277F">
        <w:t xml:space="preserve"> </w:t>
      </w:r>
      <w:r w:rsidR="006B5702" w:rsidRPr="0017277F">
        <w:t>3.</w:t>
      </w:r>
      <w:r>
        <w:t xml:space="preserve"> Utvalget regnet Den norske kirke som del av </w:t>
      </w:r>
      <w:r w:rsidR="008B6537" w:rsidRPr="00555263">
        <w:rPr>
          <w:rFonts w:cs="Times New Roman"/>
          <w:szCs w:val="24"/>
        </w:rPr>
        <w:t>den kulturelle grunnmuren på grunn av sin rolle som mater</w:t>
      </w:r>
      <w:r>
        <w:rPr>
          <w:rFonts w:cs="Times New Roman"/>
          <w:szCs w:val="24"/>
        </w:rPr>
        <w:t>iell og immateriell kulturbærer, og u</w:t>
      </w:r>
      <w:r w:rsidR="008B6537" w:rsidRPr="00555263">
        <w:rPr>
          <w:rFonts w:cs="Times New Roman"/>
          <w:szCs w:val="24"/>
        </w:rPr>
        <w:t xml:space="preserve">tvalget </w:t>
      </w:r>
      <w:r>
        <w:rPr>
          <w:rFonts w:cs="Times New Roman"/>
          <w:szCs w:val="24"/>
        </w:rPr>
        <w:t xml:space="preserve">pekte </w:t>
      </w:r>
      <w:r>
        <w:rPr>
          <w:rFonts w:cs="Times New Roman"/>
          <w:szCs w:val="24"/>
        </w:rPr>
        <w:lastRenderedPageBreak/>
        <w:t>på at Den norske kirke, både</w:t>
      </w:r>
      <w:r w:rsidR="008B6537" w:rsidRPr="00555263">
        <w:rPr>
          <w:rFonts w:cs="Times New Roman"/>
          <w:szCs w:val="24"/>
        </w:rPr>
        <w:t xml:space="preserve"> gjennom sin historiske og nåværende funksjon </w:t>
      </w:r>
      <w:r>
        <w:rPr>
          <w:rFonts w:cs="Times New Roman"/>
          <w:szCs w:val="24"/>
        </w:rPr>
        <w:t xml:space="preserve">som folkekirke, har en særlig rolle </w:t>
      </w:r>
      <w:r w:rsidR="008B6537" w:rsidRPr="00555263">
        <w:rPr>
          <w:rFonts w:cs="Times New Roman"/>
          <w:szCs w:val="24"/>
        </w:rPr>
        <w:t>som formidle</w:t>
      </w:r>
      <w:r>
        <w:rPr>
          <w:rFonts w:cs="Times New Roman"/>
          <w:szCs w:val="24"/>
        </w:rPr>
        <w:t xml:space="preserve">r av kulturarven, slik denne blant annet er </w:t>
      </w:r>
      <w:r w:rsidR="008B6537" w:rsidRPr="00555263">
        <w:rPr>
          <w:rFonts w:cs="Times New Roman"/>
          <w:szCs w:val="24"/>
        </w:rPr>
        <w:t>innvevd i kirkebyggene og i m</w:t>
      </w:r>
      <w:r>
        <w:rPr>
          <w:rFonts w:cs="Times New Roman"/>
          <w:szCs w:val="24"/>
        </w:rPr>
        <w:t>enneskers livsriter, og i kirkens</w:t>
      </w:r>
      <w:r w:rsidR="008B6537" w:rsidRPr="00555263">
        <w:rPr>
          <w:rFonts w:cs="Times New Roman"/>
          <w:szCs w:val="24"/>
        </w:rPr>
        <w:t xml:space="preserve"> landsdekkende kulturelle infrastruktur.</w:t>
      </w:r>
    </w:p>
    <w:p w:rsidR="00843183" w:rsidRDefault="00843183" w:rsidP="00A62BB2">
      <w:r>
        <w:t>Den norske kirkes særlige rolle har også me</w:t>
      </w:r>
      <w:r w:rsidRPr="00843183">
        <w:t>dført at kirken i dag utfører oppgaver på vegne av staten eller samfunnet, som andre tros- og livssynsamfunn ikke er pålagt. Den lokale kirken har for eksempel ansvaret for forvaltningen av de felles gravplassene og mange kirkebygg som er viktige kulturminner.</w:t>
      </w:r>
    </w:p>
    <w:p w:rsidR="00745A6E" w:rsidRDefault="00745A6E" w:rsidP="00745A6E">
      <w:r>
        <w:t xml:space="preserve">Departementet legger til grunn at statens særlige forventninger og plikter som retter seg mot Den norske kirke, er begrunnet både i kirkens historiske og aktuelle rolle, og først og fremst at den skal føres videre som </w:t>
      </w:r>
      <w:r w:rsidR="00FB070E">
        <w:t>en</w:t>
      </w:r>
      <w:r>
        <w:t xml:space="preserve"> "folkekirke". Det betyr at </w:t>
      </w:r>
      <w:r w:rsidR="00A62BB2">
        <w:t xml:space="preserve">Grunnloven § 16 gir et grunnlag for at </w:t>
      </w:r>
      <w:r w:rsidR="00FB070E">
        <w:t xml:space="preserve">lovgivningen om og </w:t>
      </w:r>
      <w:r w:rsidR="00A62BB2">
        <w:t xml:space="preserve">finansieringsordningen for Den norske kirke til dels kan vurderes </w:t>
      </w:r>
      <w:r w:rsidR="00843183">
        <w:t xml:space="preserve">og utformes </w:t>
      </w:r>
      <w:r w:rsidR="00A62BB2">
        <w:t xml:space="preserve">ut fra andre hensyn enn ordningene for </w:t>
      </w:r>
      <w:r w:rsidR="00843183">
        <w:t>andre tros- og livssynssamfunn. Staten kan fortsatt stille særlige krav</w:t>
      </w:r>
      <w:r w:rsidR="00797C92">
        <w:t xml:space="preserve"> til Den norske kirke</w:t>
      </w:r>
      <w:r w:rsidR="00843183">
        <w:t xml:space="preserve">. </w:t>
      </w:r>
      <w:r w:rsidR="00CE02B2">
        <w:t xml:space="preserve">I statsbudsjettet for 2017, jf. Prop. 1 S (2016–2017) for Kulturdepartementet s. 123, er det for eksempel med utgangspunkt i Grunnloven § 16 utledet mer konkrete mål for tilskuddet til Den norske kirke, blant annet at Den norske kirke skal være landsdekkende og lokalt forankret, og at Den norske kirke skal være organisert i samsvar med demokratiske prinsipper og verdier. Den gjeldende kirkeloven legger klare føringer for hvordan Den norske kirke skal organisere og drive sin virksomhet. </w:t>
      </w:r>
    </w:p>
    <w:p w:rsidR="00A62BB2" w:rsidRDefault="00C91DA3" w:rsidP="00A62BB2">
      <w:r>
        <w:t xml:space="preserve">Etter departementets syn er det </w:t>
      </w:r>
      <w:r w:rsidR="00745A6E">
        <w:t xml:space="preserve">imidlertid </w:t>
      </w:r>
      <w:r>
        <w:t xml:space="preserve">behov for å vurdere </w:t>
      </w:r>
      <w:r w:rsidR="00745A6E">
        <w:t>på hvilken måte</w:t>
      </w:r>
      <w:r>
        <w:t xml:space="preserve"> den rettslige reguleringen og finansieringen av Den norske kirke bør endres for blant annet å gi Den norske kirke større myndighet til å organisere sin egen virksomhet. </w:t>
      </w:r>
    </w:p>
    <w:p w:rsidR="007B750F" w:rsidRDefault="00493F9F" w:rsidP="001E491E">
      <w:pPr>
        <w:pStyle w:val="Overskrift2"/>
      </w:pPr>
      <w:bookmarkStart w:id="722" w:name="_Toc477881452"/>
      <w:bookmarkStart w:id="723" w:name="_Toc477885912"/>
      <w:bookmarkStart w:id="724" w:name="_Toc478138713"/>
      <w:bookmarkStart w:id="725" w:name="_Toc478232228"/>
      <w:bookmarkStart w:id="726" w:name="_Toc478237212"/>
      <w:bookmarkStart w:id="727" w:name="_Toc481761764"/>
      <w:bookmarkStart w:id="728" w:name="_Toc492900417"/>
      <w:r>
        <w:t>Hovedi</w:t>
      </w:r>
      <w:r w:rsidR="002F7037">
        <w:t>nnretning</w:t>
      </w:r>
      <w:r w:rsidR="00E53F15">
        <w:t>en</w:t>
      </w:r>
      <w:r w:rsidR="002F7037">
        <w:t xml:space="preserve"> av departementets lovforslag</w:t>
      </w:r>
      <w:bookmarkStart w:id="729" w:name="_Toc477876264"/>
      <w:bookmarkStart w:id="730" w:name="_Toc477879616"/>
      <w:bookmarkStart w:id="731" w:name="_Toc477880534"/>
      <w:bookmarkStart w:id="732" w:name="_Toc477881453"/>
      <w:bookmarkStart w:id="733" w:name="_Toc477885913"/>
      <w:bookmarkStart w:id="734" w:name="_Toc477890240"/>
      <w:bookmarkStart w:id="735" w:name="_Toc477936596"/>
      <w:bookmarkStart w:id="736" w:name="_Toc477937769"/>
      <w:bookmarkStart w:id="737" w:name="_Toc478131329"/>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00E53F15">
        <w:t xml:space="preserve"> </w:t>
      </w:r>
    </w:p>
    <w:p w:rsidR="000F2561" w:rsidRDefault="00EB5958" w:rsidP="00EB5958">
      <w:r>
        <w:t>Ut fra hensyn til forenkling og likebehandling mener departementet at trossamfunnsloven, livssynssamfunn</w:t>
      </w:r>
      <w:r w:rsidR="00AD7FB3">
        <w:t>sloven</w:t>
      </w:r>
      <w:r>
        <w:t xml:space="preserve"> og kirkeloven bør slås sammen til én, felles lov om tros- og livssynssamfunn. Dette betyr at trossamfunnsloven, livssynssamfunnsloven og kirkeloven foreslås opphevet og erstattet a</w:t>
      </w:r>
      <w:r w:rsidR="000F2561">
        <w:t>v</w:t>
      </w:r>
      <w:r>
        <w:t xml:space="preserve"> en ny lov om tros- og livssynssamfunn. </w:t>
      </w:r>
    </w:p>
    <w:p w:rsidR="00FB7286" w:rsidRDefault="00D53FD9" w:rsidP="00EB5958">
      <w:r>
        <w:t xml:space="preserve">Departementet mener loven i hovedsak bør innrettes slik at den gjelder nettopp for tros- og livssynssamfunn. Lovens formål skal være å konkretisere og operasjonalisere statens grunnlovsforankrede plikt til å understøtte tros- og livssynssamfunn. </w:t>
      </w:r>
    </w:p>
    <w:p w:rsidR="00FB7286" w:rsidRDefault="00D53FD9" w:rsidP="00EB5958">
      <w:r>
        <w:t xml:space="preserve">Departementet legger til grunn at ordningen med offentlig finansiering av </w:t>
      </w:r>
      <w:r w:rsidR="00E53F15">
        <w:t xml:space="preserve">Den norske kirke og andre </w:t>
      </w:r>
      <w:r>
        <w:t>tros- og livssynssamfunn skal føres videre, men mener at tilskuddsordningen</w:t>
      </w:r>
      <w:r w:rsidR="00493F9F">
        <w:t>(e)</w:t>
      </w:r>
      <w:r>
        <w:t xml:space="preserve"> til tros- og livssynssamfunn </w:t>
      </w:r>
      <w:r w:rsidR="00493F9F">
        <w:t xml:space="preserve">utenom Den norske kirke </w:t>
      </w:r>
      <w:r>
        <w:t xml:space="preserve">bør </w:t>
      </w:r>
      <w:r w:rsidR="00493F9F">
        <w:t>innrettes annerledes enn i dag. Departementet mener blant annet at staten, for å oppnå forenkling, b</w:t>
      </w:r>
      <w:r w:rsidR="00FB7286">
        <w:t>ør overta kommunenes finansieringsansvar for de offentlige tilskuddene til tros- og livssynssamfunn utenom Den norske kirke</w:t>
      </w:r>
      <w:r w:rsidR="00493F9F">
        <w:t xml:space="preserve">. </w:t>
      </w:r>
      <w:r w:rsidR="00FB7286">
        <w:t xml:space="preserve">Dessuten ser departementet behov for å stille tydeligere vilkår for at et samfunn skal motta økonomisk støtte og </w:t>
      </w:r>
      <w:r w:rsidR="001B2EA4">
        <w:t xml:space="preserve">for å </w:t>
      </w:r>
      <w:r w:rsidR="00FB7286">
        <w:t xml:space="preserve">skjerpe kontrollen med samfunnenes virksomhet. </w:t>
      </w:r>
    </w:p>
    <w:p w:rsidR="00D22D60" w:rsidRDefault="00D22D60" w:rsidP="00D22D60">
      <w:r>
        <w:t>Departementet har særskilt vurdert spørsmålet om å innføre en form for pliktig livssynsavgift for alle skatt</w:t>
      </w:r>
      <w:r w:rsidR="00467092">
        <w:t>e</w:t>
      </w:r>
      <w:r>
        <w:t>ytere, uavhengig av deres medlemskap i et tros- eller livssynssamfunn. En slik avgift vil i så fall erstatte dagens finansieringsordning for Den norske kirke og andre tros- og livssynssamfunn. Etter en samlet vurdering har departementet ikke funnet grunn til å ta opp forslag om en slik finansieringsordning. I et eget kapittel i høringsnotatet</w:t>
      </w:r>
      <w:r w:rsidR="0017277F">
        <w:t>, jf. kapittel 21,</w:t>
      </w:r>
      <w:r>
        <w:t xml:space="preserve"> er det gitt en bred omtale og vurdering av livssynsavgift som finansieringsmodell. </w:t>
      </w:r>
    </w:p>
    <w:p w:rsidR="00AD7FB3" w:rsidRDefault="00FB7286" w:rsidP="00EB5958">
      <w:r>
        <w:t xml:space="preserve">I lys av Grunnloven § 16, og at Den norske kirke fra 2017 er etablert som et eget rettssubjekt, mener departementet at lovgivningen om Den norske kirke bør reduseres i </w:t>
      </w:r>
      <w:r>
        <w:lastRenderedPageBreak/>
        <w:t xml:space="preserve">omfang og innpasses i den felles loven om tros- og livssynssamfunn. Dette vil gi Den norske kirke større selvstendighet, og det vil bidra til tydeligere likebehandling av tros- og livssynssamfunn. Den nye lovgivningen </w:t>
      </w:r>
      <w:r w:rsidR="001B2EA4">
        <w:t>om Den norske kirke har likevel et særlig grunnlag i Grunnloven § 16, og den</w:t>
      </w:r>
      <w:r>
        <w:t xml:space="preserve"> skal </w:t>
      </w:r>
      <w:r w:rsidR="001B2EA4">
        <w:t>bidra til å understøtte Den norske kirke som "Norges folkekirke". Departementet drøfter</w:t>
      </w:r>
      <w:r w:rsidR="004C4EBB">
        <w:t>, ut fra statens særskilte understøttelsesplikt,</w:t>
      </w:r>
      <w:r w:rsidR="001B2EA4">
        <w:t xml:space="preserve"> også forslag om endringer i dagens finansieringsordninger for Den norske kirke, </w:t>
      </w:r>
      <w:r w:rsidR="004C4EBB">
        <w:t xml:space="preserve">blant annet i lys av </w:t>
      </w:r>
      <w:r w:rsidR="001B2EA4">
        <w:t xml:space="preserve">at Den norske kirke bør få myndighet til å fastsette kirkens organisering på et mer selvstendig grunnlag enn i dag. </w:t>
      </w:r>
    </w:p>
    <w:p w:rsidR="00E53F15" w:rsidRDefault="004C4EBB" w:rsidP="00E53F15">
      <w:r>
        <w:t>I de følgende kapitlene drøfter departementet hvordan lovgivningen om og finansieringen av Den norske kirke og andre tros- og livssynssamfunn nærmere bør innrettes i lys av disse hovedpremissene.</w:t>
      </w:r>
      <w:r w:rsidR="00E53F15">
        <w:t xml:space="preserve"> </w:t>
      </w:r>
    </w:p>
    <w:p w:rsidR="007B750F" w:rsidRPr="00150737" w:rsidRDefault="00381F4A" w:rsidP="001E491E">
      <w:pPr>
        <w:rPr>
          <w:rStyle w:val="halvfet"/>
        </w:rPr>
      </w:pPr>
      <w:r>
        <w:t xml:space="preserve">  </w:t>
      </w:r>
      <w:r w:rsidR="007B750F">
        <w:br w:type="page"/>
      </w:r>
    </w:p>
    <w:p w:rsidR="00825407" w:rsidRDefault="00B508AC" w:rsidP="007B750F">
      <w:pPr>
        <w:pStyle w:val="Overskrift1"/>
      </w:pPr>
      <w:bookmarkStart w:id="738" w:name="_Toc477630654"/>
      <w:bookmarkStart w:id="739" w:name="_Toc477693618"/>
      <w:bookmarkStart w:id="740" w:name="_Toc477703985"/>
      <w:bookmarkStart w:id="741" w:name="_Toc477799190"/>
      <w:bookmarkStart w:id="742" w:name="_Toc477805792"/>
      <w:bookmarkStart w:id="743" w:name="_Toc477878052"/>
      <w:bookmarkStart w:id="744" w:name="_Toc477881455"/>
      <w:bookmarkStart w:id="745" w:name="_Toc477885915"/>
      <w:bookmarkStart w:id="746" w:name="_Toc478131330"/>
      <w:bookmarkStart w:id="747" w:name="_Toc478138714"/>
      <w:bookmarkStart w:id="748" w:name="_Toc478232229"/>
      <w:bookmarkStart w:id="749" w:name="_Toc478237213"/>
      <w:bookmarkStart w:id="750" w:name="_Toc481761765"/>
      <w:bookmarkStart w:id="751" w:name="_Toc492900418"/>
      <w:r>
        <w:lastRenderedPageBreak/>
        <w:t>Lovens formål og virkeområde</w:t>
      </w:r>
      <w:bookmarkEnd w:id="738"/>
      <w:bookmarkEnd w:id="739"/>
      <w:bookmarkEnd w:id="740"/>
      <w:r w:rsidR="008B0225">
        <w:t xml:space="preserve">. </w:t>
      </w:r>
      <w:bookmarkEnd w:id="741"/>
      <w:bookmarkEnd w:id="742"/>
      <w:r w:rsidR="008B0225">
        <w:t>Registrering</w:t>
      </w:r>
      <w:r w:rsidR="00FB070E">
        <w:t xml:space="preserve"> av tros- og livssynssamfunn</w:t>
      </w:r>
      <w:bookmarkEnd w:id="743"/>
      <w:bookmarkEnd w:id="744"/>
      <w:bookmarkEnd w:id="745"/>
      <w:bookmarkEnd w:id="746"/>
      <w:bookmarkEnd w:id="747"/>
      <w:bookmarkEnd w:id="748"/>
      <w:bookmarkEnd w:id="749"/>
      <w:bookmarkEnd w:id="750"/>
      <w:bookmarkEnd w:id="751"/>
    </w:p>
    <w:p w:rsidR="004211DB" w:rsidRPr="00A427AA" w:rsidRDefault="004211DB" w:rsidP="001E491E">
      <w:pPr>
        <w:pStyle w:val="Overskrift2"/>
      </w:pPr>
      <w:bookmarkStart w:id="752" w:name="_Toc477703986"/>
      <w:bookmarkStart w:id="753" w:name="_Toc477799191"/>
      <w:bookmarkStart w:id="754" w:name="_Toc477805793"/>
      <w:bookmarkStart w:id="755" w:name="_Toc477878053"/>
      <w:bookmarkStart w:id="756" w:name="_Toc477881456"/>
      <w:bookmarkStart w:id="757" w:name="_Toc477885916"/>
      <w:bookmarkStart w:id="758" w:name="_Toc478131331"/>
      <w:bookmarkStart w:id="759" w:name="_Toc478138715"/>
      <w:bookmarkStart w:id="760" w:name="_Toc478232230"/>
      <w:bookmarkStart w:id="761" w:name="_Toc478237214"/>
      <w:bookmarkStart w:id="762" w:name="_Toc481761766"/>
      <w:bookmarkStart w:id="763" w:name="_Toc492900419"/>
      <w:r w:rsidRPr="00A427AA">
        <w:t>Innledning</w:t>
      </w:r>
      <w:bookmarkEnd w:id="752"/>
      <w:bookmarkEnd w:id="753"/>
      <w:bookmarkEnd w:id="754"/>
      <w:bookmarkEnd w:id="755"/>
      <w:bookmarkEnd w:id="756"/>
      <w:bookmarkEnd w:id="757"/>
      <w:bookmarkEnd w:id="758"/>
      <w:bookmarkEnd w:id="759"/>
      <w:bookmarkEnd w:id="760"/>
      <w:bookmarkEnd w:id="761"/>
      <w:bookmarkEnd w:id="762"/>
      <w:bookmarkEnd w:id="763"/>
    </w:p>
    <w:p w:rsidR="00797820" w:rsidRDefault="00AE2E9B" w:rsidP="001E491E">
      <w:r w:rsidRPr="00EE77CF">
        <w:t>I dette ka</w:t>
      </w:r>
      <w:r w:rsidR="00FB2912" w:rsidRPr="001E491E">
        <w:t xml:space="preserve">pitlet drøfter departementet </w:t>
      </w:r>
      <w:r w:rsidR="00EF282F">
        <w:t>hva som b</w:t>
      </w:r>
      <w:r w:rsidR="00D57269">
        <w:t>ø</w:t>
      </w:r>
      <w:r w:rsidR="00EF282F">
        <w:t>r være det</w:t>
      </w:r>
      <w:r w:rsidR="00FB2912" w:rsidRPr="001E491E">
        <w:t xml:space="preserve"> </w:t>
      </w:r>
      <w:r w:rsidR="006F4D12">
        <w:t xml:space="preserve">saklige </w:t>
      </w:r>
      <w:r w:rsidR="00FB2912" w:rsidRPr="001E491E">
        <w:t>virkeområ</w:t>
      </w:r>
      <w:r w:rsidR="00FB2912" w:rsidRPr="003D7E06">
        <w:t>de</w:t>
      </w:r>
      <w:r w:rsidR="00D57269">
        <w:t>t</w:t>
      </w:r>
      <w:r w:rsidR="00FB2912" w:rsidRPr="003D7E06">
        <w:t xml:space="preserve"> </w:t>
      </w:r>
      <w:r w:rsidR="00EF282F">
        <w:t xml:space="preserve">for ny lov om tros- og livssynssamfunn, </w:t>
      </w:r>
      <w:r w:rsidR="00FB2912" w:rsidRPr="003D7E06">
        <w:t xml:space="preserve">og </w:t>
      </w:r>
      <w:r w:rsidR="00FB2912" w:rsidRPr="00EE77CF">
        <w:t>om loven</w:t>
      </w:r>
      <w:r w:rsidRPr="00EE77CF">
        <w:t xml:space="preserve"> bør inneholde en formålsbestemmelse. </w:t>
      </w:r>
    </w:p>
    <w:p w:rsidR="00FE1273" w:rsidRDefault="00635D18" w:rsidP="001E491E">
      <w:r>
        <w:t xml:space="preserve">Departementet foreslår at registrering skal være et grunnvilkår for </w:t>
      </w:r>
      <w:r w:rsidR="00FB2912" w:rsidRPr="001E491E">
        <w:t>at et tros- eller livssynssamfunn kan kreve økonomisk tilskudd</w:t>
      </w:r>
      <w:r w:rsidR="006F4D12">
        <w:t>,</w:t>
      </w:r>
      <w:r w:rsidRPr="00EE77CF">
        <w:t xml:space="preserve"> og for </w:t>
      </w:r>
      <w:r>
        <w:t>at samfunnet skal</w:t>
      </w:r>
      <w:r w:rsidR="00FB2912" w:rsidRPr="001E491E">
        <w:t xml:space="preserve"> kunne få vigselsmyndighet. </w:t>
      </w:r>
      <w:r w:rsidR="00FE1273" w:rsidRPr="009B7145">
        <w:t>I forbindelse med dette drøfter d</w:t>
      </w:r>
      <w:r w:rsidR="00FE1273" w:rsidRPr="00EE77CF">
        <w:t xml:space="preserve">epartementet </w:t>
      </w:r>
      <w:r w:rsidR="00FE1273" w:rsidRPr="009B7145">
        <w:t xml:space="preserve">innholdsmessige og organisasjonsmessige krav som skal stilles til et tros- eller livssynssamfunn for at </w:t>
      </w:r>
      <w:r w:rsidR="00FE1273">
        <w:t>samfunnet skal kunne registreres.</w:t>
      </w:r>
      <w:r w:rsidR="00FB2912" w:rsidRPr="001E491E">
        <w:t xml:space="preserve"> </w:t>
      </w:r>
      <w:r w:rsidR="00706B5C">
        <w:t>For å kunne kreve tilskudd, og for å kunne få vigselsmyndighet, må samfunnet, etter departementets forslag, oppfylle flere vilkår</w:t>
      </w:r>
      <w:r w:rsidR="00FE1273">
        <w:t xml:space="preserve"> enn registrering</w:t>
      </w:r>
      <w:r w:rsidR="00706B5C">
        <w:t xml:space="preserve">. Slike vilkår drøftes nedenfor i </w:t>
      </w:r>
      <w:r w:rsidR="0003285D">
        <w:t xml:space="preserve">henholdsvis </w:t>
      </w:r>
      <w:r w:rsidR="00706B5C">
        <w:t xml:space="preserve">kapittel </w:t>
      </w:r>
      <w:r w:rsidR="00707CBE">
        <w:t>15</w:t>
      </w:r>
      <w:r w:rsidR="0003285D">
        <w:t xml:space="preserve"> og 19</w:t>
      </w:r>
      <w:r w:rsidR="00706B5C">
        <w:t xml:space="preserve">. </w:t>
      </w:r>
    </w:p>
    <w:p w:rsidR="003571FB" w:rsidRPr="00EE77CF" w:rsidRDefault="00FE1273" w:rsidP="001E491E">
      <w:r>
        <w:t xml:space="preserve">Departementet vil allerede her gjøre det klart at tros- og livssynssamfunn fritt kan etableres uten registrering. Men registrering vil altså være et </w:t>
      </w:r>
      <w:r w:rsidR="00B741FA">
        <w:t>grunn</w:t>
      </w:r>
      <w:r>
        <w:t xml:space="preserve">vilkår for at visse rettsvirkninger skal inntre. </w:t>
      </w:r>
    </w:p>
    <w:p w:rsidR="00A0389A" w:rsidRDefault="0092109A" w:rsidP="001E491E">
      <w:pPr>
        <w:pStyle w:val="Overskrift2"/>
      </w:pPr>
      <w:bookmarkStart w:id="764" w:name="_Toc477799192"/>
      <w:bookmarkStart w:id="765" w:name="_Toc477805794"/>
      <w:bookmarkStart w:id="766" w:name="_Toc477878054"/>
      <w:bookmarkStart w:id="767" w:name="_Toc477881457"/>
      <w:bookmarkStart w:id="768" w:name="_Toc477885917"/>
      <w:bookmarkStart w:id="769" w:name="_Toc478131332"/>
      <w:bookmarkStart w:id="770" w:name="_Toc478138716"/>
      <w:bookmarkStart w:id="771" w:name="_Toc478232231"/>
      <w:bookmarkStart w:id="772" w:name="_Toc478237215"/>
      <w:bookmarkStart w:id="773" w:name="_Toc481761767"/>
      <w:bookmarkStart w:id="774" w:name="_Toc492900420"/>
      <w:bookmarkStart w:id="775" w:name="_Toc477703987"/>
      <w:r>
        <w:t xml:space="preserve">Formålsbestemmelse </w:t>
      </w:r>
      <w:r w:rsidR="00E07136">
        <w:t>for loven</w:t>
      </w:r>
      <w:bookmarkEnd w:id="764"/>
      <w:bookmarkEnd w:id="765"/>
      <w:bookmarkEnd w:id="766"/>
      <w:bookmarkEnd w:id="767"/>
      <w:bookmarkEnd w:id="768"/>
      <w:bookmarkEnd w:id="769"/>
      <w:bookmarkEnd w:id="770"/>
      <w:bookmarkEnd w:id="771"/>
      <w:bookmarkEnd w:id="772"/>
      <w:bookmarkEnd w:id="773"/>
      <w:bookmarkEnd w:id="774"/>
    </w:p>
    <w:p w:rsidR="00FD4052" w:rsidRDefault="00DE3153" w:rsidP="001E491E">
      <w:pPr>
        <w:pStyle w:val="Overskrift3"/>
      </w:pPr>
      <w:bookmarkStart w:id="776" w:name="_Toc477703988"/>
      <w:bookmarkStart w:id="777" w:name="_Toc477799193"/>
      <w:bookmarkStart w:id="778" w:name="_Toc477805795"/>
      <w:bookmarkStart w:id="779" w:name="_Toc477878055"/>
      <w:bookmarkStart w:id="780" w:name="_Toc477881458"/>
      <w:bookmarkStart w:id="781" w:name="_Toc477885918"/>
      <w:bookmarkStart w:id="782" w:name="_Toc478131333"/>
      <w:bookmarkStart w:id="783" w:name="_Toc478138717"/>
      <w:bookmarkStart w:id="784" w:name="_Toc478232232"/>
      <w:bookmarkStart w:id="785" w:name="_Toc478237216"/>
      <w:bookmarkStart w:id="786" w:name="_Toc481761768"/>
      <w:bookmarkStart w:id="787" w:name="_Toc492900421"/>
      <w:bookmarkEnd w:id="775"/>
      <w:r>
        <w:t>Innledning</w:t>
      </w:r>
      <w:bookmarkEnd w:id="776"/>
      <w:bookmarkEnd w:id="777"/>
      <w:bookmarkEnd w:id="778"/>
      <w:bookmarkEnd w:id="779"/>
      <w:bookmarkEnd w:id="780"/>
      <w:bookmarkEnd w:id="781"/>
      <w:bookmarkEnd w:id="782"/>
      <w:bookmarkEnd w:id="783"/>
      <w:bookmarkEnd w:id="784"/>
      <w:bookmarkEnd w:id="785"/>
      <w:bookmarkEnd w:id="786"/>
      <w:bookmarkEnd w:id="787"/>
    </w:p>
    <w:p w:rsidR="00FD4052" w:rsidRDefault="00E07136" w:rsidP="001E491E">
      <w:r>
        <w:t>Verken trossamfunnsloven</w:t>
      </w:r>
      <w:r w:rsidR="00DE3153">
        <w:t xml:space="preserve"> eller </w:t>
      </w:r>
      <w:r>
        <w:t>loven om tilskott til livssynssamfunn</w:t>
      </w:r>
      <w:r w:rsidR="00DE3153">
        <w:t xml:space="preserve"> har i dag en tydelig formålsbestemmelse. Det har derimot kirkeloven. </w:t>
      </w:r>
    </w:p>
    <w:p w:rsidR="000B1FD6" w:rsidRDefault="00DE3153" w:rsidP="001E491E">
      <w:r>
        <w:t>Stålsett-ut</w:t>
      </w:r>
      <w:r w:rsidR="00E07136">
        <w:t>valgets lovforslag var rendyrket</w:t>
      </w:r>
      <w:r>
        <w:t xml:space="preserve"> til å omhandle </w:t>
      </w:r>
      <w:r w:rsidR="000B1FD6">
        <w:t xml:space="preserve">tilskudd til tros- og livssynssamfunn utenom Den norske kirke. Utvalget foreslo følgende formålsbestemmelse i loven: </w:t>
      </w:r>
    </w:p>
    <w:p w:rsidR="000B1FD6" w:rsidRPr="002F269C" w:rsidRDefault="000B1FD6" w:rsidP="00DF5799">
      <w:pPr>
        <w:pStyle w:val="blokksit"/>
        <w:rPr>
          <w:rStyle w:val="kursiv"/>
        </w:rPr>
      </w:pPr>
      <w:r w:rsidRPr="002F269C">
        <w:rPr>
          <w:rStyle w:val="kursiv"/>
        </w:rPr>
        <w:t xml:space="preserve">Formålet med denne loven er å sikre offentlig finansiering av tros- og livssynssamfunn på likeverdig nivå som Den norske kirke.  </w:t>
      </w:r>
    </w:p>
    <w:p w:rsidR="00DE3153" w:rsidRDefault="000B1FD6" w:rsidP="001E491E">
      <w:r>
        <w:t>Et mindretall i utvalget mente at loven dessuten skulle regulere spørsmål om utføring av vigsler i tros- og livssynssamfunn, og mindretallet foreslo at formålsbestemmelsen også skulle dekke dette</w:t>
      </w:r>
      <w:r w:rsidR="00E07136">
        <w:t xml:space="preserve"> ved et tillegg til formuleringen som er sitert ovenfor</w:t>
      </w:r>
      <w:r w:rsidR="000E4F21">
        <w:t>, om vigsel</w:t>
      </w:r>
      <w:r>
        <w:t xml:space="preserve"> (se lovforslaget i NOU 2013: 1 s. 422). </w:t>
      </w:r>
    </w:p>
    <w:p w:rsidR="000B1FD6" w:rsidRDefault="000B1FD6" w:rsidP="001E491E">
      <w:pPr>
        <w:pStyle w:val="Overskrift3"/>
      </w:pPr>
      <w:bookmarkStart w:id="788" w:name="_Toc477799194"/>
      <w:bookmarkStart w:id="789" w:name="_Toc477805796"/>
      <w:bookmarkStart w:id="790" w:name="_Toc477878056"/>
      <w:bookmarkStart w:id="791" w:name="_Toc477881459"/>
      <w:bookmarkStart w:id="792" w:name="_Toc477885919"/>
      <w:bookmarkStart w:id="793" w:name="_Toc478131334"/>
      <w:bookmarkStart w:id="794" w:name="_Toc478138718"/>
      <w:bookmarkStart w:id="795" w:name="_Toc478232233"/>
      <w:bookmarkStart w:id="796" w:name="_Toc478237217"/>
      <w:bookmarkStart w:id="797" w:name="_Toc481761769"/>
      <w:bookmarkStart w:id="798" w:name="_Toc492900422"/>
      <w:r>
        <w:t>Departementets vurderinger</w:t>
      </w:r>
      <w:bookmarkEnd w:id="788"/>
      <w:bookmarkEnd w:id="789"/>
      <w:bookmarkEnd w:id="790"/>
      <w:bookmarkEnd w:id="791"/>
      <w:bookmarkEnd w:id="792"/>
      <w:bookmarkEnd w:id="793"/>
      <w:bookmarkEnd w:id="794"/>
      <w:bookmarkEnd w:id="795"/>
      <w:bookmarkEnd w:id="796"/>
      <w:bookmarkEnd w:id="797"/>
      <w:bookmarkEnd w:id="798"/>
      <w:r>
        <w:t xml:space="preserve"> </w:t>
      </w:r>
    </w:p>
    <w:p w:rsidR="00E07136" w:rsidRDefault="00413DD7" w:rsidP="001E491E">
      <w:r>
        <w:t xml:space="preserve">Departementets lovforslag </w:t>
      </w:r>
      <w:r w:rsidR="00E07136">
        <w:t>omhandler flere temaområder enn Stålsett-utvalgets forslag. Blant annet skal lovforslaget i høringsnotatet her omhandle ny ramme</w:t>
      </w:r>
      <w:r w:rsidR="005328CA">
        <w:t>lovgivning om Den norske kirke, og dette innebærer med nødvendighet at ulike bestemmelser (kapitler) i en felles lov vil måtte ha ulike virkeområder. Departementets lovforslag legger også opp til at noen bestemmelser skal gjelde alle tros- og livssynssamfunn, også samfunn som ikke er regi</w:t>
      </w:r>
      <w:r w:rsidR="00F74AAA">
        <w:t>strert, se nedenfor i kapittel 18</w:t>
      </w:r>
      <w:r w:rsidR="005328CA">
        <w:t xml:space="preserve">, og at visse bestemmelser skal </w:t>
      </w:r>
      <w:r w:rsidR="000E4F21">
        <w:t>angå individrettigheter</w:t>
      </w:r>
      <w:r w:rsidR="005328CA">
        <w:t xml:space="preserve">, </w:t>
      </w:r>
      <w:r w:rsidR="007E3BF4">
        <w:t>se nærmere nedenfor i kapittel 18</w:t>
      </w:r>
      <w:r w:rsidR="00CC73F0">
        <w:t xml:space="preserve"> og </w:t>
      </w:r>
      <w:r w:rsidR="0017277F">
        <w:t xml:space="preserve">kapittel </w:t>
      </w:r>
      <w:r w:rsidR="00CC73F0">
        <w:t>20.4</w:t>
      </w:r>
      <w:r w:rsidR="005328CA">
        <w:t xml:space="preserve">. </w:t>
      </w:r>
    </w:p>
    <w:p w:rsidR="001B7506" w:rsidRDefault="00413DD7" w:rsidP="001E491E">
      <w:r>
        <w:t xml:space="preserve">En formålsbestemmelse for hele loven </w:t>
      </w:r>
      <w:r w:rsidR="007438EA">
        <w:t>bør i utgangspunktet</w:t>
      </w:r>
      <w:r w:rsidR="005328CA">
        <w:t xml:space="preserve"> </w:t>
      </w:r>
      <w:r>
        <w:t>d</w:t>
      </w:r>
      <w:r w:rsidR="005328CA">
        <w:t>ekke alle bestemmelsene i loven</w:t>
      </w:r>
      <w:r>
        <w:t xml:space="preserve">. </w:t>
      </w:r>
      <w:r w:rsidR="005328CA">
        <w:t xml:space="preserve">Departementet mener at det i tillegg bør gis en egen, og mer avgrenset, formålsbestemmelse for kapitlet om Den norske kirke. Denne bestemmelsen må derfor </w:t>
      </w:r>
      <w:r w:rsidR="005328CA">
        <w:lastRenderedPageBreak/>
        <w:t xml:space="preserve">kunne føres inn under lovens overordnede formålsbestemmelse. </w:t>
      </w:r>
      <w:r w:rsidR="001B7506">
        <w:t>Departementet har fremmet forslag til en lovbestemmelse om formålet med lovgivningen om Den norske kirke ne</w:t>
      </w:r>
      <w:r w:rsidR="006A645F">
        <w:t>denfor i kapittel</w:t>
      </w:r>
      <w:r w:rsidR="001B7506">
        <w:t xml:space="preserve"> 8.</w:t>
      </w:r>
      <w:r w:rsidR="005328CA">
        <w:t xml:space="preserve"> </w:t>
      </w:r>
    </w:p>
    <w:p w:rsidR="0092109A" w:rsidRDefault="0092109A" w:rsidP="001E491E">
      <w:r>
        <w:t xml:space="preserve">Utgangspunktet for </w:t>
      </w:r>
      <w:r w:rsidR="005328CA">
        <w:t xml:space="preserve">lovforslaget er først og fremst </w:t>
      </w:r>
      <w:r>
        <w:t>Grunnloven § 16</w:t>
      </w:r>
      <w:r w:rsidR="00BD4E3F">
        <w:t xml:space="preserve"> andre til fjerde punktum, som angår statens forhold til tros- og livssynssamfunn</w:t>
      </w:r>
      <w:r>
        <w:t xml:space="preserve">. Etter departementets syn bør </w:t>
      </w:r>
      <w:r w:rsidR="007C47D7">
        <w:t>lovens formålsbestemmelser</w:t>
      </w:r>
      <w:r>
        <w:t xml:space="preserve"> tydelig referere til dette utgangspunktet, både lovens kapitteloverskridende formål og det særlige formålet for lovreguleringen av Den norske kirke. </w:t>
      </w:r>
    </w:p>
    <w:p w:rsidR="001E0140" w:rsidRDefault="00BD4E3F" w:rsidP="001E491E">
      <w:r>
        <w:t>Som nevnt</w:t>
      </w:r>
      <w:r w:rsidR="001E0140">
        <w:t xml:space="preserve"> tar loven </w:t>
      </w:r>
      <w:r>
        <w:t xml:space="preserve">derfor </w:t>
      </w:r>
      <w:r w:rsidR="001E0140">
        <w:t xml:space="preserve">i hovedsak sikte på å regulere statlig understøttelse av tros- og livssynssamfunn, og formålsbestemmelsen bør etter departementets syn reflektere dette. </w:t>
      </w:r>
      <w:r>
        <w:t xml:space="preserve">Dette er ikke til hinder for at enkeltbestemmelser har betydning for individers tros- og livssynsfrihet. Reglene om inn- og utmelding har en viktig side til individuell religionsfrihet, og den særlige bestemmelsen om individuell rett til fri (permisjon) fra blant annet arbeid </w:t>
      </w:r>
      <w:r w:rsidR="001E7164">
        <w:t xml:space="preserve">i dagens lovgivning er foreslått videreført. </w:t>
      </w:r>
      <w:r w:rsidR="001E0140">
        <w:t xml:space="preserve"> </w:t>
      </w:r>
    </w:p>
    <w:p w:rsidR="00290AC2" w:rsidRDefault="0092109A" w:rsidP="00290AC2">
      <w:r>
        <w:t xml:space="preserve">Departementet foreslår følgende formålsbestemmelse for </w:t>
      </w:r>
      <w:r w:rsidR="001B7506">
        <w:t>hel</w:t>
      </w:r>
      <w:r w:rsidR="001E7164">
        <w:t>e</w:t>
      </w:r>
      <w:r w:rsidR="001B7506">
        <w:t xml:space="preserve"> </w:t>
      </w:r>
      <w:r>
        <w:t>loven i lovutkastet § 1</w:t>
      </w:r>
      <w:r w:rsidR="00290AC2">
        <w:t>:</w:t>
      </w:r>
    </w:p>
    <w:p w:rsidR="00F35784" w:rsidRPr="002F269C" w:rsidRDefault="00F35784" w:rsidP="00DF5799">
      <w:pPr>
        <w:pStyle w:val="blokksit"/>
        <w:rPr>
          <w:rStyle w:val="kursiv"/>
        </w:rPr>
      </w:pPr>
      <w:r w:rsidRPr="002F269C">
        <w:rPr>
          <w:rStyle w:val="kursiv"/>
        </w:rPr>
        <w:t>Formålet med loven er å understøtte tros- og li</w:t>
      </w:r>
      <w:r w:rsidR="00A91680" w:rsidRPr="002F269C">
        <w:rPr>
          <w:rStyle w:val="kursiv"/>
        </w:rPr>
        <w:t>vssynssamfunn</w:t>
      </w:r>
      <w:r w:rsidRPr="002F269C">
        <w:rPr>
          <w:rStyle w:val="kursiv"/>
        </w:rPr>
        <w:t>.</w:t>
      </w:r>
    </w:p>
    <w:p w:rsidR="004211DB" w:rsidRPr="00C0642B" w:rsidRDefault="00E628E0" w:rsidP="004211DB">
      <w:pPr>
        <w:pStyle w:val="Overskrift2"/>
      </w:pPr>
      <w:bookmarkStart w:id="799" w:name="_Toc477703989"/>
      <w:bookmarkStart w:id="800" w:name="_Toc477878057"/>
      <w:bookmarkStart w:id="801" w:name="_Toc477881460"/>
      <w:bookmarkStart w:id="802" w:name="_Toc477885920"/>
      <w:bookmarkStart w:id="803" w:name="_Toc477799195"/>
      <w:bookmarkStart w:id="804" w:name="_Toc477805797"/>
      <w:bookmarkStart w:id="805" w:name="_Toc478131335"/>
      <w:bookmarkStart w:id="806" w:name="_Toc478138719"/>
      <w:bookmarkStart w:id="807" w:name="_Toc478232234"/>
      <w:bookmarkStart w:id="808" w:name="_Toc478237218"/>
      <w:bookmarkStart w:id="809" w:name="_Toc481761770"/>
      <w:bookmarkStart w:id="810" w:name="_Toc492900423"/>
      <w:r>
        <w:t>Saklig v</w:t>
      </w:r>
      <w:r w:rsidR="003F1F54">
        <w:t>irkeområde</w:t>
      </w:r>
      <w:r w:rsidR="00D72DAA">
        <w:t xml:space="preserve">: </w:t>
      </w:r>
      <w:r>
        <w:t>begrepene t</w:t>
      </w:r>
      <w:r w:rsidR="004211DB" w:rsidRPr="00C0642B">
        <w:t>rossamfunn og livssynssamfunn</w:t>
      </w:r>
      <w:bookmarkEnd w:id="799"/>
      <w:bookmarkEnd w:id="800"/>
      <w:bookmarkEnd w:id="801"/>
      <w:bookmarkEnd w:id="802"/>
      <w:bookmarkEnd w:id="803"/>
      <w:bookmarkEnd w:id="804"/>
      <w:bookmarkEnd w:id="805"/>
      <w:bookmarkEnd w:id="806"/>
      <w:bookmarkEnd w:id="807"/>
      <w:bookmarkEnd w:id="808"/>
      <w:bookmarkEnd w:id="809"/>
      <w:bookmarkEnd w:id="810"/>
      <w:r w:rsidR="006C1E92">
        <w:t xml:space="preserve"> </w:t>
      </w:r>
    </w:p>
    <w:p w:rsidR="004211DB" w:rsidRDefault="004211DB" w:rsidP="004211DB">
      <w:pPr>
        <w:pStyle w:val="Overskrift3"/>
      </w:pPr>
      <w:bookmarkStart w:id="811" w:name="_Toc477703990"/>
      <w:bookmarkStart w:id="812" w:name="_Toc477799196"/>
      <w:bookmarkStart w:id="813" w:name="_Toc477805798"/>
      <w:bookmarkStart w:id="814" w:name="_Toc477878058"/>
      <w:bookmarkStart w:id="815" w:name="_Toc477881461"/>
      <w:bookmarkStart w:id="816" w:name="_Toc477885921"/>
      <w:bookmarkStart w:id="817" w:name="_Toc478131336"/>
      <w:bookmarkStart w:id="818" w:name="_Toc478138720"/>
      <w:bookmarkStart w:id="819" w:name="_Toc478232235"/>
      <w:bookmarkStart w:id="820" w:name="_Toc478237219"/>
      <w:bookmarkStart w:id="821" w:name="_Toc481761771"/>
      <w:bookmarkStart w:id="822" w:name="_Toc492900424"/>
      <w:r>
        <w:t>Gjeldende rett</w:t>
      </w:r>
      <w:bookmarkEnd w:id="811"/>
      <w:bookmarkEnd w:id="812"/>
      <w:bookmarkEnd w:id="813"/>
      <w:bookmarkEnd w:id="814"/>
      <w:bookmarkEnd w:id="815"/>
      <w:bookmarkEnd w:id="816"/>
      <w:bookmarkEnd w:id="817"/>
      <w:bookmarkEnd w:id="818"/>
      <w:bookmarkEnd w:id="819"/>
      <w:bookmarkEnd w:id="820"/>
      <w:bookmarkEnd w:id="821"/>
      <w:bookmarkEnd w:id="822"/>
    </w:p>
    <w:p w:rsidR="004211DB" w:rsidRDefault="004211DB" w:rsidP="004211DB">
      <w:r w:rsidRPr="00AB686A">
        <w:t xml:space="preserve">Det grunnleggende vilkåret som må være oppfylt for at et samfunn </w:t>
      </w:r>
      <w:r w:rsidR="001E7164">
        <w:t>blant annet</w:t>
      </w:r>
      <w:r w:rsidRPr="00AB686A">
        <w:t xml:space="preserve"> skal ha rett til tilskudd etter gjeldende lovgivning, er at samfunnet er et «registerført trudomssamfunn» (trossamfunnsloven § 19), tilhører gruppen av «andre organiserte trudomssamfunn» (trossamfunnsloven § 19 a) eller er et </w:t>
      </w:r>
      <w:r w:rsidR="00B741FA">
        <w:t>"</w:t>
      </w:r>
      <w:r w:rsidRPr="00AB686A">
        <w:t>livssynssamfunn</w:t>
      </w:r>
      <w:r w:rsidR="00B741FA">
        <w:t>"</w:t>
      </w:r>
      <w:r w:rsidRPr="00AB686A">
        <w:t xml:space="preserve"> (livssynssamfunnsloven § 1).</w:t>
      </w:r>
    </w:p>
    <w:p w:rsidR="004211DB" w:rsidRDefault="004211DB" w:rsidP="004211DB">
      <w:r w:rsidRPr="00AB686A">
        <w:t>Begrepene «trossamfunn» og «livssynssamfunn» er ikke definert i henholdsvis trossamfunnsloven og lov om tilskott til livssynssamfunn. Heller ikke i lovenes tilhø</w:t>
      </w:r>
      <w:r>
        <w:t>rende forskrifter er det gitt noen</w:t>
      </w:r>
      <w:r w:rsidRPr="00AB686A">
        <w:t xml:space="preserve"> definisjon</w:t>
      </w:r>
      <w:r w:rsidR="00B741FA">
        <w:t>er</w:t>
      </w:r>
      <w:r w:rsidRPr="00AB686A">
        <w:t>. Utviklingen og forvaltningen av tilskuddsordningene har derfor vært basert på en alminnelig fo</w:t>
      </w:r>
      <w:r>
        <w:t>rståelse av begrepene</w:t>
      </w:r>
      <w:r w:rsidRPr="00AB686A">
        <w:t xml:space="preserve"> og på den veiledningen som finne</w:t>
      </w:r>
      <w:r>
        <w:t>s i lovenes forarbeider.</w:t>
      </w:r>
    </w:p>
    <w:p w:rsidR="004211DB" w:rsidRDefault="004211DB" w:rsidP="004211DB">
      <w:r w:rsidRPr="00AB686A">
        <w:t xml:space="preserve">Når det gjelder trossamfunnsbegrepet, viste Dissenterlovkomiteen til «vanlig språkbruk» og la til at «[i] ordet ligger forutsetningen om at det er tale om en positiv religiøs tro. Et humanitært selskap, eller en forening for antireligiøs propaganda er ikke trossamfunn i lovens forstand» (s. 166). Komiteen karakteriserte for øvrig trossamfunn på følgende vis (s. 28): </w:t>
      </w:r>
    </w:p>
    <w:p w:rsidR="004211DB" w:rsidRPr="002F269C" w:rsidRDefault="004211DB" w:rsidP="00DF5799">
      <w:pPr>
        <w:pStyle w:val="blokksit"/>
        <w:rPr>
          <w:rStyle w:val="kursiv"/>
        </w:rPr>
      </w:pPr>
      <w:r w:rsidRPr="002F269C">
        <w:rPr>
          <w:rStyle w:val="kursiv"/>
        </w:rPr>
        <w:t>Etter sin egenart tar trossamfunn sikte på en mer dyptgående, varig og omfattende påvirkning av sine medlemmer. Det oppfattes som noe annet og mer betydningsfullt å gå inn i et trossamfunn enn å bli medlem av en eller annen slags forening.</w:t>
      </w:r>
    </w:p>
    <w:p w:rsidR="004211DB" w:rsidRDefault="004211DB" w:rsidP="004211DB">
      <w:r w:rsidRPr="00AB686A">
        <w:t>I det videre lovforarbeidet ble det vektlagt at det neppe var praktisk behov for en definisjon av begrepet, jf. Ot.prp. nr. 27 (1967–68) s. 25. I Ot.prp. nr. 59 (1980–81) fr</w:t>
      </w:r>
      <w:r w:rsidR="00A1623C">
        <w:t>a</w:t>
      </w:r>
      <w:r w:rsidRPr="00AB686A">
        <w:t xml:space="preserve">mhevet Justis- og politidepartementet at </w:t>
      </w:r>
      <w:r>
        <w:t>"</w:t>
      </w:r>
      <w:r w:rsidRPr="00AB686A">
        <w:t>[k]jernen i trossamfunnsbegrepet er at det er et fellesskap basert på religiøs tro, og at det derfor oftest, men ikke alltid, er eksklusivt, dvs. at en person kan bare tilhøre ett trossamf</w:t>
      </w:r>
      <w:r>
        <w:t xml:space="preserve">unn." </w:t>
      </w:r>
      <w:r w:rsidR="00A13110">
        <w:t>I rundskriv G-</w:t>
      </w:r>
      <w:r w:rsidRPr="00AB686A">
        <w:t>200/88 uttalte Justis- og politidepartementet følgende om hva som er et</w:t>
      </w:r>
      <w:r>
        <w:t xml:space="preserve"> trossamfunn i lovens forstand:</w:t>
      </w:r>
    </w:p>
    <w:p w:rsidR="004211DB" w:rsidRPr="002F269C" w:rsidRDefault="004211DB" w:rsidP="00DF5799">
      <w:pPr>
        <w:pStyle w:val="blokksit"/>
        <w:rPr>
          <w:rStyle w:val="kursiv"/>
          <w:rFonts w:eastAsiaTheme="minorHAnsi"/>
        </w:rPr>
      </w:pPr>
      <w:r w:rsidRPr="002F269C">
        <w:rPr>
          <w:rStyle w:val="kursiv"/>
        </w:rPr>
        <w:lastRenderedPageBreak/>
        <w:t>Etter trossamfunnsloven kreves vanligvis at et religiøst trossamfunn må være fast organisert som en menighet som driver jevnlig møtevirksomhet og at menigheten har en fast prest/forstander som er bosatt her i landet. Videre må meni</w:t>
      </w:r>
      <w:r w:rsidRPr="002F269C">
        <w:rPr>
          <w:rStyle w:val="kursiv"/>
          <w:rFonts w:eastAsiaTheme="minorHAnsi"/>
        </w:rPr>
        <w:t>gheten føre medlemsfortegnelse.</w:t>
      </w:r>
    </w:p>
    <w:p w:rsidR="004211DB" w:rsidRDefault="004211DB" w:rsidP="004211DB">
      <w:r>
        <w:t>Når det gjelder livssyn og livssynssamfunn, bemerket Justis- og politidepartementet i</w:t>
      </w:r>
      <w:r w:rsidRPr="008B1C04">
        <w:t xml:space="preserve"> Ot.prp. nr. 59 (1980–81) at begrepene er nokså vage og upresise. Departementet mente at det ville være vanskelig å gi et klart og presist </w:t>
      </w:r>
      <w:r>
        <w:t>uttrykk for innholdet i begrepene</w:t>
      </w:r>
      <w:r w:rsidRPr="008B1C04">
        <w:t xml:space="preserve"> i en relativt kort </w:t>
      </w:r>
      <w:r>
        <w:t>lovtekst</w:t>
      </w:r>
      <w:r w:rsidRPr="008B1C04">
        <w:t xml:space="preserve"> og fant ikke grunn til å innføre en definisjo</w:t>
      </w:r>
      <w:r>
        <w:t>n av begrepet livssynssamfunn</w:t>
      </w:r>
      <w:r w:rsidR="00451096">
        <w:t xml:space="preserve"> i loven</w:t>
      </w:r>
      <w:r>
        <w:t>.</w:t>
      </w:r>
    </w:p>
    <w:p w:rsidR="004211DB" w:rsidRDefault="004211DB" w:rsidP="004211DB">
      <w:r>
        <w:t>F</w:t>
      </w:r>
      <w:r w:rsidRPr="008B1C04">
        <w:t>orarbeidene</w:t>
      </w:r>
      <w:r>
        <w:t xml:space="preserve"> </w:t>
      </w:r>
      <w:r w:rsidRPr="008B1C04">
        <w:t>gi</w:t>
      </w:r>
      <w:r>
        <w:t>r</w:t>
      </w:r>
      <w:r w:rsidRPr="008B1C04">
        <w:t xml:space="preserve"> imidlertid noe veiledn</w:t>
      </w:r>
      <w:r>
        <w:t>ing om hva som ligger i "livssyn" og "livssynssamfunn"</w:t>
      </w:r>
      <w:r w:rsidRPr="008B1C04">
        <w:t xml:space="preserve">. </w:t>
      </w:r>
      <w:r>
        <w:t>Det</w:t>
      </w:r>
      <w:r w:rsidRPr="008B1C04">
        <w:t xml:space="preserve"> fr</w:t>
      </w:r>
      <w:r w:rsidR="004B370D">
        <w:t>a</w:t>
      </w:r>
      <w:r w:rsidRPr="008B1C04">
        <w:t xml:space="preserve">mkommer at livssynssamfunn </w:t>
      </w:r>
      <w:r>
        <w:t xml:space="preserve">etter norsk rett </w:t>
      </w:r>
      <w:r w:rsidRPr="008B1C04">
        <w:t xml:space="preserve">– i motsetning til trossamfunn – er sekulære eller ikke-religiøse sammenslutninger. Videre heter det følgende i </w:t>
      </w:r>
      <w:r>
        <w:t>Ot.prp. nr. 59 (1980–81) på s. 9:</w:t>
      </w:r>
    </w:p>
    <w:p w:rsidR="004211DB" w:rsidRPr="002F269C" w:rsidRDefault="004211DB" w:rsidP="00DF5799">
      <w:pPr>
        <w:pStyle w:val="blokksit"/>
        <w:rPr>
          <w:rStyle w:val="kursiv"/>
        </w:rPr>
      </w:pPr>
      <w:r w:rsidRPr="002F269C">
        <w:rPr>
          <w:rStyle w:val="kursiv"/>
        </w:rPr>
        <w:t xml:space="preserve">Et livssyn kjennetegnes først og fremst av to forskjellige forhold. </w:t>
      </w:r>
    </w:p>
    <w:p w:rsidR="004211DB" w:rsidRPr="002F269C" w:rsidRDefault="004211DB" w:rsidP="00DF5799">
      <w:pPr>
        <w:pStyle w:val="blokksit"/>
        <w:rPr>
          <w:rStyle w:val="kursiv"/>
        </w:rPr>
      </w:pPr>
      <w:r w:rsidRPr="002F269C">
        <w:rPr>
          <w:rStyle w:val="kursiv"/>
        </w:rPr>
        <w:t xml:space="preserve">For det første at det tar opp de mer sentrale spørsmål knyttet til menneskelivet. De religiøse samfunnene, iallfall de kristne, vil gjerne knytte dette til Guds eksistens. De ikke-religiøse livssyn vil søke andre veger. </w:t>
      </w:r>
    </w:p>
    <w:p w:rsidR="004211DB" w:rsidRPr="002F269C" w:rsidRDefault="004211DB" w:rsidP="00DF5799">
      <w:pPr>
        <w:pStyle w:val="blokksit"/>
        <w:rPr>
          <w:rStyle w:val="kursiv"/>
        </w:rPr>
      </w:pPr>
      <w:r w:rsidRPr="002F269C">
        <w:rPr>
          <w:rStyle w:val="kursiv"/>
        </w:rPr>
        <w:t>For det andre vil det være et kriterium på et livssyn at det tar standpunkt til sentrale etiske spørsmål og prøver å se disse i sammenheng.</w:t>
      </w:r>
    </w:p>
    <w:p w:rsidR="004211DB" w:rsidRPr="002F269C" w:rsidRDefault="004211DB" w:rsidP="00DF5799">
      <w:pPr>
        <w:pStyle w:val="blokksit"/>
        <w:rPr>
          <w:rStyle w:val="kursiv"/>
        </w:rPr>
      </w:pPr>
      <w:r w:rsidRPr="002F269C">
        <w:rPr>
          <w:rStyle w:val="kursiv"/>
        </w:rPr>
        <w:t>Et livssynssamfunn vil omfatte sammenslutninger organisert rundt medlemmenes felles livssyn. Det vil ofte prøve å systematisere og videreutvikle dette, eventuelt også utbre det.</w:t>
      </w:r>
    </w:p>
    <w:p w:rsidR="004211DB" w:rsidRPr="002F269C" w:rsidRDefault="004211DB" w:rsidP="00DF5799">
      <w:pPr>
        <w:pStyle w:val="blokksit"/>
        <w:rPr>
          <w:rStyle w:val="kursiv"/>
        </w:rPr>
      </w:pPr>
      <w:r w:rsidRPr="002F269C">
        <w:rPr>
          <w:rStyle w:val="kursiv"/>
        </w:rPr>
        <w:t>Departementet vil i denne sammenheng særlig understreke en felles etisk grunnholdning som kriterium på et livssynssamfunn. Rene filosofiske sammenslutninger vil det ikke være naturlig å kalle livssynssamfunn i denne sammenheng. Det samme gjelder for organisasjoner som først og fremst tar sikte på å bekjempe andre livssyn.</w:t>
      </w:r>
    </w:p>
    <w:p w:rsidR="004211DB" w:rsidRPr="002F269C" w:rsidRDefault="004211DB" w:rsidP="00DF5799">
      <w:pPr>
        <w:pStyle w:val="blokksit"/>
        <w:rPr>
          <w:rStyle w:val="kursiv"/>
        </w:rPr>
      </w:pPr>
      <w:r w:rsidRPr="002F269C">
        <w:rPr>
          <w:rStyle w:val="kursiv"/>
        </w:rPr>
        <w:t>Det vil heller ikke være naturlig å gi støtte til organisasjoner som vel kan ha et enhetlig syn på de spørsmål som er nevnt ovenfor, men som i det vesentlige driver virksomhet av annen art, f. eks. politisk eller forretningsmessig.</w:t>
      </w:r>
    </w:p>
    <w:p w:rsidR="004211DB" w:rsidRDefault="004211DB" w:rsidP="004211DB">
      <w:pPr>
        <w:pStyle w:val="Overskrift3"/>
      </w:pPr>
      <w:bookmarkStart w:id="823" w:name="_Toc477703991"/>
      <w:bookmarkStart w:id="824" w:name="_Toc477799197"/>
      <w:bookmarkStart w:id="825" w:name="_Toc477805799"/>
      <w:bookmarkStart w:id="826" w:name="_Toc477878059"/>
      <w:bookmarkStart w:id="827" w:name="_Toc477881462"/>
      <w:bookmarkStart w:id="828" w:name="_Toc477885922"/>
      <w:bookmarkStart w:id="829" w:name="_Toc478131337"/>
      <w:bookmarkStart w:id="830" w:name="_Toc478138721"/>
      <w:bookmarkStart w:id="831" w:name="_Toc478232236"/>
      <w:bookmarkStart w:id="832" w:name="_Toc478237220"/>
      <w:bookmarkStart w:id="833" w:name="_Toc481761772"/>
      <w:bookmarkStart w:id="834" w:name="_Toc492900425"/>
      <w:r>
        <w:t>NOU 2013: 1</w:t>
      </w:r>
      <w:bookmarkEnd w:id="823"/>
      <w:bookmarkEnd w:id="824"/>
      <w:bookmarkEnd w:id="825"/>
      <w:bookmarkEnd w:id="826"/>
      <w:bookmarkEnd w:id="827"/>
      <w:bookmarkEnd w:id="828"/>
      <w:bookmarkEnd w:id="829"/>
      <w:bookmarkEnd w:id="830"/>
      <w:bookmarkEnd w:id="831"/>
      <w:bookmarkEnd w:id="832"/>
      <w:bookmarkEnd w:id="833"/>
      <w:bookmarkEnd w:id="834"/>
      <w:r>
        <w:t xml:space="preserve"> </w:t>
      </w:r>
    </w:p>
    <w:p w:rsidR="004211DB" w:rsidRDefault="004211DB" w:rsidP="004211DB">
      <w:r w:rsidRPr="00A27168">
        <w:t>Stålsett</w:t>
      </w:r>
      <w:r>
        <w:t>-</w:t>
      </w:r>
      <w:r w:rsidRPr="00A27168">
        <w:t xml:space="preserve">utvalget foreslo en felles tilskuddslov </w:t>
      </w:r>
      <w:r w:rsidR="00777251" w:rsidRPr="00A27168">
        <w:t>for alle tros- og livssynssamfunn</w:t>
      </w:r>
      <w:r w:rsidR="00777251">
        <w:t xml:space="preserve"> utenom</w:t>
      </w:r>
      <w:r w:rsidR="00777251" w:rsidRPr="00A27168">
        <w:t xml:space="preserve"> </w:t>
      </w:r>
      <w:r w:rsidR="00777251">
        <w:t>Den norske kirke. Disse skulle ha</w:t>
      </w:r>
      <w:r w:rsidRPr="00A27168">
        <w:t xml:space="preserve"> like rettigheter og plikter. Lovforslaget videreførte ikke skillet mellom registrerte og uregistrerte trossamfunn. Utvalget vektla at det gjenst</w:t>
      </w:r>
      <w:r>
        <w:t>år</w:t>
      </w:r>
      <w:r w:rsidRPr="00A27168">
        <w:t xml:space="preserve"> små forskjeller i plikter mellom de to kategoriene trossamfunn. </w:t>
      </w:r>
    </w:p>
    <w:p w:rsidR="004211DB" w:rsidRPr="00867A9E" w:rsidRDefault="004211DB" w:rsidP="004211DB">
      <w:r>
        <w:rPr>
          <w:rFonts w:cs="Times New Roman"/>
          <w:szCs w:val="24"/>
        </w:rPr>
        <w:t>I utvalgets lovforslag var det tatt inn definisjoner av begrepene tros- og livssynssamfunn (utkastet § 2</w:t>
      </w:r>
      <w:r w:rsidR="00A13110">
        <w:rPr>
          <w:rFonts w:cs="Times New Roman"/>
          <w:szCs w:val="24"/>
        </w:rPr>
        <w:t>-2</w:t>
      </w:r>
      <w:r>
        <w:rPr>
          <w:rFonts w:cs="Times New Roman"/>
          <w:szCs w:val="24"/>
        </w:rPr>
        <w:t xml:space="preserve"> om vilkår </w:t>
      </w:r>
      <w:r w:rsidRPr="008B1C04">
        <w:rPr>
          <w:rFonts w:cs="Times New Roman"/>
          <w:szCs w:val="24"/>
        </w:rPr>
        <w:t>for tilskudd</w:t>
      </w:r>
      <w:r>
        <w:rPr>
          <w:rFonts w:cs="Times New Roman"/>
          <w:szCs w:val="24"/>
        </w:rPr>
        <w:t>)</w:t>
      </w:r>
      <w:r w:rsidRPr="008B1C04">
        <w:rPr>
          <w:rFonts w:cs="Times New Roman"/>
          <w:szCs w:val="24"/>
        </w:rPr>
        <w:t xml:space="preserve">: </w:t>
      </w:r>
    </w:p>
    <w:p w:rsidR="004211DB" w:rsidRPr="00A27168" w:rsidRDefault="004211DB" w:rsidP="00EB0E5E">
      <w:pPr>
        <w:rPr>
          <w:sz w:val="24"/>
          <w:szCs w:val="24"/>
        </w:rPr>
      </w:pPr>
      <w:r w:rsidRPr="0066739E">
        <w:t>For å få statstilskudd, må tros- eller livssynssamfunnet oppfylle følgende vilkår:</w:t>
      </w:r>
    </w:p>
    <w:p w:rsidR="004211DB" w:rsidRPr="002F269C" w:rsidRDefault="004211DB" w:rsidP="002F269C">
      <w:pPr>
        <w:pStyle w:val="Nummerertliste2"/>
        <w:numPr>
          <w:ilvl w:val="1"/>
          <w:numId w:val="42"/>
        </w:numPr>
        <w:rPr>
          <w:rStyle w:val="kursiv"/>
        </w:rPr>
      </w:pPr>
      <w:r w:rsidRPr="002F269C">
        <w:rPr>
          <w:rStyle w:val="kursiv"/>
        </w:rPr>
        <w:t>Et trossamfunn må være basert på felles forpliktende oppfatninger om tilværelsen der mennesket ser seg selv i relasjon til en gud eller en eller flere transendente makter.</w:t>
      </w:r>
    </w:p>
    <w:p w:rsidR="004211DB" w:rsidRPr="002F269C" w:rsidRDefault="004211DB" w:rsidP="002F269C">
      <w:pPr>
        <w:pStyle w:val="Nummerertliste2"/>
        <w:numPr>
          <w:ilvl w:val="1"/>
          <w:numId w:val="42"/>
        </w:numPr>
        <w:rPr>
          <w:rStyle w:val="kursiv"/>
        </w:rPr>
      </w:pPr>
      <w:r w:rsidRPr="002F269C">
        <w:rPr>
          <w:rStyle w:val="kursiv"/>
        </w:rPr>
        <w:t>Et livssynssamfunn må være basert på felles forpliktende oppfatninger om menneskets plass i tilværelsen og holdning til sentrale etiske spørsmål.</w:t>
      </w:r>
    </w:p>
    <w:p w:rsidR="004211DB" w:rsidRPr="002F269C" w:rsidRDefault="004211DB" w:rsidP="002F269C">
      <w:pPr>
        <w:pStyle w:val="Nummerertliste2"/>
        <w:numPr>
          <w:ilvl w:val="1"/>
          <w:numId w:val="42"/>
        </w:numPr>
        <w:rPr>
          <w:rStyle w:val="kursiv"/>
        </w:rPr>
      </w:pPr>
      <w:r w:rsidRPr="002F269C">
        <w:rPr>
          <w:rStyle w:val="kursiv"/>
        </w:rPr>
        <w:t>Samfunnet må ikke være dannet eller drives ut fra økonomisk egeninteresse, eller ha som hovedformål humanitært virke, personlig selvutvikling eller helse, kulturell virksomhet eller politisk aktivitet.</w:t>
      </w:r>
    </w:p>
    <w:p w:rsidR="004211DB" w:rsidRDefault="004211DB" w:rsidP="004211DB">
      <w:pPr>
        <w:rPr>
          <w:i/>
        </w:rPr>
      </w:pPr>
      <w:r w:rsidRPr="008B1C04">
        <w:t xml:space="preserve">I </w:t>
      </w:r>
      <w:r>
        <w:t>spesielle</w:t>
      </w:r>
      <w:r w:rsidRPr="008B1C04">
        <w:t xml:space="preserve"> merknade</w:t>
      </w:r>
      <w:r>
        <w:t>r til forslaget til lovbestemmelse</w:t>
      </w:r>
      <w:r w:rsidRPr="008B1C04">
        <w:t xml:space="preserve"> ga utvalg</w:t>
      </w:r>
      <w:r>
        <w:t>et en</w:t>
      </w:r>
      <w:r w:rsidRPr="008B1C04">
        <w:t xml:space="preserve"> omtale av </w:t>
      </w:r>
      <w:r>
        <w:t>innholdskravet og påpekte blant annet at det var "knyttet til oppfatninger om tilværelsen"</w:t>
      </w:r>
      <w:r w:rsidRPr="008B1C04">
        <w:t xml:space="preserve"> (s. 420): </w:t>
      </w:r>
    </w:p>
    <w:p w:rsidR="004211DB" w:rsidRPr="002F269C" w:rsidRDefault="004211DB" w:rsidP="00DF5799">
      <w:pPr>
        <w:pStyle w:val="blokksit"/>
        <w:rPr>
          <w:rStyle w:val="kursiv"/>
        </w:rPr>
      </w:pPr>
      <w:r w:rsidRPr="002F269C">
        <w:rPr>
          <w:rStyle w:val="kursiv"/>
        </w:rPr>
        <w:lastRenderedPageBreak/>
        <w:t>Vilkårene er noe forskjellige for trossamfunn og livssynsamfunn. Med formuleringen «felles forpliktende oppfatninger» som felles karakteristikk av både tros- og livssynssamfunn, uttrykkes at oppfatningene er ment å være retningsgivende for medlemmenes liv, og at de er ment å være gyldige eller sanne. Dette innebærer ikke et krav om en test av det enkelte medlems forhold til de felles oppfatningene.</w:t>
      </w:r>
    </w:p>
    <w:p w:rsidR="00684F79" w:rsidRDefault="004211DB" w:rsidP="004211DB">
      <w:r>
        <w:t xml:space="preserve">Utvalget foreslo dessuten en eksplisitt avgrensing mot visse typer virksomhet. Støtteordningen skulle ikke omfatte organisasjoner som primært dannes eller drives ut fra økonomisk egeninteresse, organisasjoner som primært har selvutviklingskarakter og organisasjoner som først og fremst har kulturell, humanitær, politisk eller helsemessig karakter. </w:t>
      </w:r>
    </w:p>
    <w:p w:rsidR="004211DB" w:rsidRDefault="00684F79" w:rsidP="00EE23F3">
      <w:r>
        <w:t>I høringen var de få instansene som uttalte seg om definisjonsfors</w:t>
      </w:r>
      <w:r w:rsidR="0058409C">
        <w:t>laget</w:t>
      </w:r>
      <w:r w:rsidR="00AD1328">
        <w:t xml:space="preserve">, </w:t>
      </w:r>
      <w:r w:rsidR="00F63951">
        <w:t>delte i sitt</w:t>
      </w:r>
      <w:r w:rsidR="007561E2">
        <w:t xml:space="preserve"> syn på </w:t>
      </w:r>
      <w:r w:rsidR="00472601">
        <w:t>dette</w:t>
      </w:r>
      <w:r w:rsidR="007561E2">
        <w:t xml:space="preserve">. </w:t>
      </w:r>
      <w:r w:rsidR="00472601">
        <w:t>Norges Kristne Råd (NKR), Kirkerådet og Det teologiske fakultet ved UiO (TF)</w:t>
      </w:r>
      <w:r w:rsidR="007561E2">
        <w:t xml:space="preserve"> var blant instansene som var </w:t>
      </w:r>
      <w:r w:rsidR="00ED028C">
        <w:t>negative</w:t>
      </w:r>
      <w:r w:rsidR="00472601">
        <w:t>.</w:t>
      </w:r>
      <w:r>
        <w:t xml:space="preserve"> </w:t>
      </w:r>
      <w:r w:rsidR="007561E2">
        <w:t xml:space="preserve">Både </w:t>
      </w:r>
      <w:r w:rsidR="00E8705E">
        <w:t xml:space="preserve">NKR </w:t>
      </w:r>
      <w:r w:rsidR="005C2A89">
        <w:t>og Kirkerådet advarte mot at kortfattede definisjoner i en lovteks</w:t>
      </w:r>
      <w:r w:rsidR="00F63951">
        <w:t>t kan innskrenke tros- og livss</w:t>
      </w:r>
      <w:r w:rsidR="005C2A89">
        <w:t xml:space="preserve">ynsfriheten. Begge </w:t>
      </w:r>
      <w:r w:rsidR="00F63951">
        <w:t>bemerket</w:t>
      </w:r>
      <w:r w:rsidR="00E8705E">
        <w:t xml:space="preserve"> </w:t>
      </w:r>
      <w:r w:rsidR="00F63951">
        <w:t>at b</w:t>
      </w:r>
      <w:r w:rsidR="005C2A89">
        <w:t xml:space="preserve">egrepene </w:t>
      </w:r>
      <w:r w:rsidR="00E8705E">
        <w:t>"gud" og "transendente makter"</w:t>
      </w:r>
      <w:r w:rsidR="00F63951">
        <w:t xml:space="preserve"> </w:t>
      </w:r>
      <w:r w:rsidR="00AD1328">
        <w:t xml:space="preserve">ikke nødvendigvis </w:t>
      </w:r>
      <w:r w:rsidR="00E9667B">
        <w:t xml:space="preserve">er </w:t>
      </w:r>
      <w:r w:rsidR="00AD1328">
        <w:t xml:space="preserve">dekkende for </w:t>
      </w:r>
      <w:r w:rsidR="00E9667B">
        <w:t xml:space="preserve">alle </w:t>
      </w:r>
      <w:r w:rsidR="00B14979">
        <w:t>religioner</w:t>
      </w:r>
      <w:r w:rsidR="00E9667B">
        <w:t>.</w:t>
      </w:r>
      <w:r w:rsidR="00B14979">
        <w:t xml:space="preserve"> </w:t>
      </w:r>
      <w:r w:rsidR="00E9667B">
        <w:t>De var også enige om at formuleringen</w:t>
      </w:r>
      <w:r w:rsidR="00B14979">
        <w:t xml:space="preserve"> "felles forpliktende oppfatninger"</w:t>
      </w:r>
      <w:r w:rsidR="00553D63">
        <w:t xml:space="preserve"> er</w:t>
      </w:r>
      <w:r w:rsidR="004A4814">
        <w:t xml:space="preserve"> problematisk</w:t>
      </w:r>
      <w:r w:rsidR="00553D63">
        <w:t xml:space="preserve">, </w:t>
      </w:r>
      <w:r w:rsidR="00C55A4D">
        <w:t xml:space="preserve">blant annet </w:t>
      </w:r>
      <w:r w:rsidR="00E9667B">
        <w:t xml:space="preserve">fordi enkelte </w:t>
      </w:r>
      <w:r w:rsidR="00C55A4D">
        <w:t xml:space="preserve">trossamfunn kjennetegnes av at de </w:t>
      </w:r>
      <w:r w:rsidR="00E9667B">
        <w:t xml:space="preserve">ikke har et </w:t>
      </w:r>
      <w:r w:rsidR="00AC6334">
        <w:t>nærmere</w:t>
      </w:r>
      <w:r w:rsidR="00E9667B">
        <w:t xml:space="preserve"> definert trosgrunnlag.</w:t>
      </w:r>
      <w:r w:rsidR="007E1E3C">
        <w:t xml:space="preserve"> </w:t>
      </w:r>
      <w:r w:rsidR="00C52E8A">
        <w:t>TF</w:t>
      </w:r>
      <w:r w:rsidR="007561E2">
        <w:t xml:space="preserve"> </w:t>
      </w:r>
      <w:r w:rsidR="00C52E8A">
        <w:t xml:space="preserve">anmodet departementet om å ikke innføre </w:t>
      </w:r>
      <w:r w:rsidR="00EE23F3">
        <w:t>essensialistiske kriterier</w:t>
      </w:r>
      <w:r w:rsidR="00C52E8A">
        <w:t xml:space="preserve"> </w:t>
      </w:r>
      <w:r w:rsidR="00EE23F3">
        <w:t>for registrering av trossam</w:t>
      </w:r>
      <w:r w:rsidR="0058409C">
        <w:t>funn</w:t>
      </w:r>
      <w:r w:rsidR="00C52E8A">
        <w:t>, fordi det kan medføre at religioner og trossamfunn utelukkes fra ordningen.</w:t>
      </w:r>
      <w:r w:rsidR="00EE23F3">
        <w:t xml:space="preserve"> Fakultetet mente også at sondr</w:t>
      </w:r>
      <w:r w:rsidR="00123936">
        <w:t>ingen</w:t>
      </w:r>
      <w:r w:rsidR="00EE23F3">
        <w:t xml:space="preserve"> mellom tros- og livssynssamfunn </w:t>
      </w:r>
      <w:r w:rsidR="00F63951">
        <w:t>er</w:t>
      </w:r>
      <w:r w:rsidR="00123936">
        <w:t xml:space="preserve"> et</w:t>
      </w:r>
      <w:r w:rsidR="00EE23F3">
        <w:t xml:space="preserve"> kunstig og tils</w:t>
      </w:r>
      <w:r w:rsidR="00123936">
        <w:t>ynelatende tilfeldig skille</w:t>
      </w:r>
      <w:r w:rsidR="00EE23F3">
        <w:t xml:space="preserve"> mellom ulike typer trosinnhold</w:t>
      </w:r>
      <w:r w:rsidR="003A08AA">
        <w:t xml:space="preserve">. </w:t>
      </w:r>
      <w:r w:rsidR="001C32E6">
        <w:t xml:space="preserve">Fylkesmannen i Rogaland, </w:t>
      </w:r>
      <w:r w:rsidR="001C32E6" w:rsidRPr="001C32E6">
        <w:t>Norsk Råd for Misjon og Evangelisering</w:t>
      </w:r>
      <w:r w:rsidR="001C32E6">
        <w:t xml:space="preserve"> og </w:t>
      </w:r>
      <w:r w:rsidR="00472601">
        <w:t>H</w:t>
      </w:r>
      <w:r w:rsidR="0017277F">
        <w:t xml:space="preserve">uman-Etisk Forbund </w:t>
      </w:r>
      <w:r w:rsidR="00472601">
        <w:t>uttrykte støtte</w:t>
      </w:r>
      <w:r w:rsidR="00ED028C">
        <w:t xml:space="preserve"> til forslaget. </w:t>
      </w:r>
    </w:p>
    <w:p w:rsidR="004211DB" w:rsidRDefault="004211DB" w:rsidP="004211DB">
      <w:pPr>
        <w:pStyle w:val="Overskrift3"/>
      </w:pPr>
      <w:bookmarkStart w:id="835" w:name="_Toc477703992"/>
      <w:bookmarkStart w:id="836" w:name="_Toc477799198"/>
      <w:bookmarkStart w:id="837" w:name="_Toc477805800"/>
      <w:bookmarkStart w:id="838" w:name="_Toc477878060"/>
      <w:bookmarkStart w:id="839" w:name="_Toc477881463"/>
      <w:bookmarkStart w:id="840" w:name="_Toc477885923"/>
      <w:bookmarkStart w:id="841" w:name="_Toc478131338"/>
      <w:bookmarkStart w:id="842" w:name="_Toc478138722"/>
      <w:bookmarkStart w:id="843" w:name="_Toc478232237"/>
      <w:bookmarkStart w:id="844" w:name="_Toc478237221"/>
      <w:bookmarkStart w:id="845" w:name="_Toc481761773"/>
      <w:bookmarkStart w:id="846" w:name="_Toc492900426"/>
      <w:r>
        <w:t>Departementets vurderinger</w:t>
      </w:r>
      <w:bookmarkEnd w:id="835"/>
      <w:bookmarkEnd w:id="836"/>
      <w:bookmarkEnd w:id="837"/>
      <w:bookmarkEnd w:id="838"/>
      <w:bookmarkEnd w:id="839"/>
      <w:bookmarkEnd w:id="840"/>
      <w:bookmarkEnd w:id="841"/>
      <w:bookmarkEnd w:id="842"/>
      <w:bookmarkEnd w:id="843"/>
      <w:bookmarkEnd w:id="844"/>
      <w:bookmarkEnd w:id="845"/>
      <w:bookmarkEnd w:id="846"/>
      <w:r>
        <w:t xml:space="preserve"> </w:t>
      </w:r>
    </w:p>
    <w:p w:rsidR="004211DB" w:rsidRDefault="004211DB" w:rsidP="004211DB">
      <w:r w:rsidRPr="008B1C04">
        <w:t xml:space="preserve">Utgangspunktet for lovgivningen </w:t>
      </w:r>
      <w:r>
        <w:t>om tros- og livssynssamfunn</w:t>
      </w:r>
      <w:r w:rsidRPr="008B1C04">
        <w:t xml:space="preserve"> </w:t>
      </w:r>
      <w:r>
        <w:t>er</w:t>
      </w:r>
      <w:r w:rsidRPr="008B1C04">
        <w:t xml:space="preserve"> at statens fremste oppgave på tros- og livssynsfeltet er å styrke og beskytte tros- og livssynsfriheten. Det å kunne etablere et tros- eller livssyns</w:t>
      </w:r>
      <w:r w:rsidR="00777251">
        <w:t>s</w:t>
      </w:r>
      <w:r w:rsidRPr="008B1C04">
        <w:t>amfunn er i prinsippet noe alle er og skal være fri til å gjøre</w:t>
      </w:r>
      <w:r>
        <w:t>,</w:t>
      </w:r>
      <w:r w:rsidRPr="008B1C04">
        <w:t xml:space="preserve"> uten statlig innblanding og regulering. </w:t>
      </w:r>
      <w:r>
        <w:t>L</w:t>
      </w:r>
      <w:r w:rsidRPr="008B1C04">
        <w:t xml:space="preserve">ovgivningen </w:t>
      </w:r>
      <w:r>
        <w:t xml:space="preserve">bør </w:t>
      </w:r>
      <w:r w:rsidRPr="008B1C04">
        <w:t xml:space="preserve">ikke gi inntrykk av at den har </w:t>
      </w:r>
      <w:r w:rsidR="00AE59DE">
        <w:t>ordninger</w:t>
      </w:r>
      <w:r w:rsidRPr="008B1C04">
        <w:t xml:space="preserve"> for godkjenning</w:t>
      </w:r>
      <w:r w:rsidR="00AE59DE">
        <w:t xml:space="preserve"> av</w:t>
      </w:r>
      <w:r w:rsidRPr="008B1C04">
        <w:t xml:space="preserve"> tros- </w:t>
      </w:r>
      <w:r>
        <w:t xml:space="preserve">og livssynssamfunn som sådanne. </w:t>
      </w:r>
    </w:p>
    <w:p w:rsidR="004211DB" w:rsidRDefault="004211DB" w:rsidP="00245FCA">
      <w:r w:rsidRPr="008B1C04">
        <w:t>Tros- og livssynsfeltet er i konstant endring</w:t>
      </w:r>
      <w:r>
        <w:t>,</w:t>
      </w:r>
      <w:r w:rsidRPr="008B1C04">
        <w:t xml:space="preserve"> og mangfoldet av religioner, trosretninger og livssyn i Norge er økende.</w:t>
      </w:r>
      <w:r w:rsidR="00D57269">
        <w:t xml:space="preserve"> Å fastsette i lov d</w:t>
      </w:r>
      <w:r w:rsidR="008001C6" w:rsidRPr="008B1C04">
        <w:t>efinisjoner av begrepene</w:t>
      </w:r>
      <w:r w:rsidR="008001C6">
        <w:t xml:space="preserve"> </w:t>
      </w:r>
      <w:r w:rsidR="008001C6">
        <w:rPr>
          <w:i/>
        </w:rPr>
        <w:t xml:space="preserve">trossamfunn </w:t>
      </w:r>
      <w:r w:rsidR="008001C6">
        <w:t xml:space="preserve">og </w:t>
      </w:r>
      <w:r w:rsidR="008001C6">
        <w:rPr>
          <w:i/>
        </w:rPr>
        <w:t>livssynssamfunn</w:t>
      </w:r>
      <w:r w:rsidR="008001C6">
        <w:t xml:space="preserve">, </w:t>
      </w:r>
      <w:r w:rsidR="00D57269">
        <w:t>vil</w:t>
      </w:r>
      <w:r w:rsidR="008001C6">
        <w:t xml:space="preserve"> langt på vei måtte innebære at også </w:t>
      </w:r>
      <w:r w:rsidR="008001C6">
        <w:rPr>
          <w:i/>
        </w:rPr>
        <w:t xml:space="preserve">religion </w:t>
      </w:r>
      <w:r w:rsidR="008001C6">
        <w:t xml:space="preserve">og </w:t>
      </w:r>
      <w:r w:rsidR="008001C6">
        <w:rPr>
          <w:i/>
        </w:rPr>
        <w:t xml:space="preserve">livssyn </w:t>
      </w:r>
      <w:r w:rsidR="008001C6">
        <w:t>defineres full</w:t>
      </w:r>
      <w:r w:rsidR="00215B30">
        <w:t>t</w:t>
      </w:r>
      <w:r w:rsidR="00D57269">
        <w:t xml:space="preserve"> ut.</w:t>
      </w:r>
      <w:r w:rsidR="008001C6">
        <w:t xml:space="preserve"> </w:t>
      </w:r>
      <w:r w:rsidR="00D57269">
        <w:t xml:space="preserve">Det </w:t>
      </w:r>
      <w:r w:rsidR="008001C6">
        <w:t>er etter departementets oppfatning</w:t>
      </w:r>
      <w:r w:rsidR="008001C6" w:rsidRPr="008B1C04">
        <w:t xml:space="preserve"> en lite egnet måte å møte dette dynamiske feltet på. I verste fall kan </w:t>
      </w:r>
      <w:r w:rsidR="008001C6">
        <w:t xml:space="preserve">slike </w:t>
      </w:r>
      <w:r w:rsidRPr="008B1C04">
        <w:t xml:space="preserve">definisjoner i form av en knapp lovtekst gi seg utslag i diskriminering av trossamfunn som er dannet med grunnlag i en ny religion. Både kontroll- og likebehandlingshensyn taler for at loven likevel bygger på en forståelse av hva henholdsvis tros- og livssynssamfunn er. </w:t>
      </w:r>
    </w:p>
    <w:p w:rsidR="008B66FC" w:rsidRDefault="004211DB" w:rsidP="004211DB">
      <w:pPr>
        <w:rPr>
          <w:iCs/>
        </w:rPr>
      </w:pPr>
      <w:r w:rsidRPr="008B1C04">
        <w:t xml:space="preserve">Kjernen i begrepet trossamfunn er at det er et fellesskap basert på en bestemt religion eller trosretning. Med religiøs tro menes en overbevisning om at det finnes en overjordisk virkelighet, det vil si en virkelighet som går utover grensene for det allment sansbare, med avgjørende betydning for mennesket. </w:t>
      </w:r>
      <w:r w:rsidRPr="008B1C04">
        <w:rPr>
          <w:iCs/>
        </w:rPr>
        <w:t>Religiøs tro avspeiler seg i følelsesmessige opplevelser i møte med det som anses som hellig,</w:t>
      </w:r>
      <w:r>
        <w:rPr>
          <w:iCs/>
        </w:rPr>
        <w:t xml:space="preserve"> i oppfatninger av rett og galt</w:t>
      </w:r>
      <w:r w:rsidRPr="008B1C04">
        <w:rPr>
          <w:iCs/>
        </w:rPr>
        <w:t xml:space="preserve"> og i syn på mennesket og verden. Det er også et grunnleggende fellestrekk at troen kommer til uttrykk i ritualer og annen atferd.</w:t>
      </w:r>
      <w:r w:rsidR="008B66FC">
        <w:rPr>
          <w:iCs/>
        </w:rPr>
        <w:t xml:space="preserve"> </w:t>
      </w:r>
    </w:p>
    <w:p w:rsidR="004211DB" w:rsidRDefault="004211DB" w:rsidP="004211DB">
      <w:r w:rsidRPr="008B1C04">
        <w:lastRenderedPageBreak/>
        <w:t>Trossamfunn er sammenslutninger av fysiske personer, og de kjennetegnes av at virksomheten prinsipalt handler om kollektiv religionsutøvelse. I trossamfunn utøves den religiøse troen i fysiske sammenkomster og felleshandlinger, ofte på en rituell eller seremoniell måte (virtuelle fellesskap, for eksempel Facebook-grupper, kan dermed ikke anses som trossamfunn i lovens forstand). Trossamfunn vil ofte også søke å utbre troen.</w:t>
      </w:r>
      <w:r w:rsidR="008B66FC">
        <w:t xml:space="preserve"> </w:t>
      </w:r>
      <w:r w:rsidRPr="008B1C04">
        <w:t xml:space="preserve">Det kreves ikke at et flertall av medlemmene slutter opp om alle sider ved trossamfunnets lære eller praksis, ei heller at et flertall kan sies å </w:t>
      </w:r>
      <w:r>
        <w:t>være aktive medlemmer.</w:t>
      </w:r>
    </w:p>
    <w:p w:rsidR="004211DB" w:rsidRDefault="004211DB" w:rsidP="004211DB">
      <w:r w:rsidRPr="008B1C04">
        <w:t>Et livssynssamfunn er et fellesskap basert på et bestemt sekulært livssyn. Med livssyn menes et sammenhengende sett av oppfatninger om menneskets plass i tilværelsen og sentrale etiske spørsmål. Livssynssamfunn er sammenslutninger av fysiske personer, og de kjennetegnes av at virksomheten prinsipalt handler om å utøve og utvikle livssynet.</w:t>
      </w:r>
      <w:r>
        <w:t xml:space="preserve"> Livssynet kommer til uttrykk i fysiske sammenkomster.</w:t>
      </w:r>
      <w:r w:rsidRPr="008B1C04">
        <w:t xml:space="preserve"> Det kreves ikke at et flertall av medlemmene slutter opp om alle sider ved samfunnets livssyn og standpunkter i konkrete spørsmål, ei heller at et flertall kan</w:t>
      </w:r>
      <w:r>
        <w:t xml:space="preserve"> sies å være aktive medlemmer.</w:t>
      </w:r>
    </w:p>
    <w:p w:rsidR="00B06FE8" w:rsidRDefault="004211DB" w:rsidP="004211DB">
      <w:r w:rsidRPr="008B1C04">
        <w:t xml:space="preserve">Organisasjoner som i det vesentlige driver politisk, humanitær, kulturell eller forretningsmessig virksomhet, regnes ikke som tros- eller livssynssamfunn. Heller ikke organisasjoner </w:t>
      </w:r>
      <w:r w:rsidR="00C74CB7">
        <w:t xml:space="preserve">som primært skal fremme </w:t>
      </w:r>
      <w:r w:rsidRPr="008B1C04">
        <w:t>helse eller selvutvikling</w:t>
      </w:r>
      <w:r w:rsidR="00C74CB7">
        <w:t xml:space="preserve">, eller organisasjoner </w:t>
      </w:r>
      <w:r w:rsidR="00FD7F53">
        <w:t>som har bekjempelse av religion</w:t>
      </w:r>
      <w:r w:rsidRPr="008B1C04">
        <w:t xml:space="preserve"> eller livssyn</w:t>
      </w:r>
      <w:r w:rsidR="00FD7F53">
        <w:t xml:space="preserve"> som hovedformål</w:t>
      </w:r>
      <w:r w:rsidRPr="008B1C04">
        <w:t xml:space="preserve">, anses som tros- eller livssynssamfunn. Det samme gjelder rene filosofiske </w:t>
      </w:r>
      <w:r w:rsidR="008001C6">
        <w:t>organisasjoner, f.eks.</w:t>
      </w:r>
      <w:r w:rsidR="008001C6" w:rsidRPr="009F7A34">
        <w:t xml:space="preserve"> der medlemmene kun deler en filosofisk grunnholdning, eller som i hovedsak handler om å diskutere filosofiske spørsmål.</w:t>
      </w:r>
    </w:p>
    <w:p w:rsidR="005E29E7" w:rsidRDefault="00B06FE8" w:rsidP="004211DB">
      <w:r>
        <w:t xml:space="preserve">Departementet </w:t>
      </w:r>
      <w:r w:rsidR="00740837">
        <w:t xml:space="preserve">vil </w:t>
      </w:r>
      <w:r w:rsidR="00293317">
        <w:t xml:space="preserve">i denne sammenheng </w:t>
      </w:r>
      <w:r w:rsidR="00740837">
        <w:t>understreke</w:t>
      </w:r>
      <w:r>
        <w:t xml:space="preserve"> at også andre organisasjoner enn tros- og livssynssamfunn </w:t>
      </w:r>
      <w:r w:rsidR="005A42F7">
        <w:t xml:space="preserve">kan </w:t>
      </w:r>
      <w:r>
        <w:t xml:space="preserve">være vernet av </w:t>
      </w:r>
      <w:r w:rsidR="00F5294F">
        <w:t>tros- og livssynsfriheten</w:t>
      </w:r>
      <w:r w:rsidR="005A42F7">
        <w:t xml:space="preserve">, og at </w:t>
      </w:r>
      <w:r w:rsidR="00740837">
        <w:t xml:space="preserve">enhver </w:t>
      </w:r>
      <w:r w:rsidR="005A42F7">
        <w:t>s</w:t>
      </w:r>
      <w:r w:rsidR="00740837">
        <w:t>ammenslutning</w:t>
      </w:r>
      <w:r w:rsidR="005A42F7">
        <w:t xml:space="preserve"> </w:t>
      </w:r>
      <w:r w:rsidR="00740837">
        <w:t xml:space="preserve">selvsagt </w:t>
      </w:r>
      <w:r w:rsidR="005A42F7">
        <w:t>ha</w:t>
      </w:r>
      <w:r w:rsidR="00293317">
        <w:t>r</w:t>
      </w:r>
      <w:r w:rsidR="005A42F7">
        <w:t xml:space="preserve"> rett til å drive sin virksomhet så lenge den er lovlig. </w:t>
      </w:r>
    </w:p>
    <w:p w:rsidR="004211DB" w:rsidRDefault="005E29E7" w:rsidP="004211DB">
      <w:r>
        <w:t>Enkelte bestemmelser i loven vil gjelde alle tros- og livssynssamfunn, noen vil være avgrenset til å gjelde registrerte tros- og livssynssamfunn mens andre bare vil gjelde Den norske kirke. Departementet foreslår derfor at loven deles inn i kapitler, og at kapitlenes ulike rekkevidde angis i bestemmelsen om lovens virkeområde.</w:t>
      </w:r>
      <w:r w:rsidR="00F5294F">
        <w:t xml:space="preserve"> </w:t>
      </w:r>
    </w:p>
    <w:p w:rsidR="00D72DAA" w:rsidRDefault="00E8716F">
      <w:r>
        <w:t xml:space="preserve">I lys av drøftingen ovenfor vil departementet foreslå følgende </w:t>
      </w:r>
      <w:r w:rsidR="008001C6">
        <w:t>bestemmelse</w:t>
      </w:r>
      <w:r>
        <w:t xml:space="preserve"> om </w:t>
      </w:r>
      <w:r w:rsidR="00D72DAA">
        <w:t xml:space="preserve">saklig </w:t>
      </w:r>
      <w:r w:rsidR="003F1F54">
        <w:t>virkeområde, dvs. hva som menes med tros- og livssynssamfunn</w:t>
      </w:r>
      <w:r w:rsidR="008001C6">
        <w:t xml:space="preserve"> etter loven</w:t>
      </w:r>
      <w:r w:rsidR="003F1F54">
        <w:t xml:space="preserve">, i </w:t>
      </w:r>
      <w:r w:rsidR="003840B5">
        <w:t>lovutkastet § 1</w:t>
      </w:r>
      <w:r w:rsidR="008001C6">
        <w:t>:</w:t>
      </w:r>
    </w:p>
    <w:p w:rsidR="009242ED" w:rsidRPr="00D46082" w:rsidRDefault="009242ED" w:rsidP="002F269C">
      <w:pPr>
        <w:pStyle w:val="blokksit"/>
        <w:rPr>
          <w:rStyle w:val="kursiv"/>
        </w:rPr>
      </w:pPr>
      <w:bookmarkStart w:id="847" w:name="_Toc477799199"/>
      <w:bookmarkStart w:id="848" w:name="_Toc477805801"/>
      <w:bookmarkStart w:id="849" w:name="_Toc477878061"/>
      <w:bookmarkStart w:id="850" w:name="_Toc477881464"/>
      <w:bookmarkStart w:id="851" w:name="_Toc477885924"/>
      <w:bookmarkStart w:id="852" w:name="_Toc478131339"/>
      <w:bookmarkStart w:id="853" w:name="_Toc478138723"/>
      <w:bookmarkStart w:id="854" w:name="_Toc478232238"/>
      <w:bookmarkStart w:id="855" w:name="_Toc478237222"/>
      <w:r w:rsidRPr="00D46082">
        <w:rPr>
          <w:rStyle w:val="kursiv"/>
        </w:rPr>
        <w:t>Med tros- og livssynssamfunn menes i denne loven sammenslutninger for</w:t>
      </w:r>
      <w:r w:rsidR="00EE0F45" w:rsidRPr="00D46082">
        <w:rPr>
          <w:rStyle w:val="kursiv"/>
        </w:rPr>
        <w:t xml:space="preserve"> felles utøvelse av </w:t>
      </w:r>
      <w:r w:rsidRPr="00D46082">
        <w:rPr>
          <w:rStyle w:val="kursiv"/>
        </w:rPr>
        <w:t>en religiøs tro eller et sekulært livssyn.</w:t>
      </w:r>
    </w:p>
    <w:p w:rsidR="009242ED" w:rsidRPr="00D46082" w:rsidRDefault="009242ED" w:rsidP="002F269C">
      <w:pPr>
        <w:pStyle w:val="blokksit"/>
        <w:rPr>
          <w:rStyle w:val="kursiv"/>
        </w:rPr>
      </w:pPr>
      <w:r w:rsidRPr="00D46082">
        <w:rPr>
          <w:rStyle w:val="kursiv"/>
        </w:rPr>
        <w:t xml:space="preserve">Som tros- eller livssynssamfunn regnes ikke sammenslutninger som </w:t>
      </w:r>
    </w:p>
    <w:p w:rsidR="009242ED" w:rsidRPr="002F269C" w:rsidRDefault="009242ED" w:rsidP="002F269C">
      <w:pPr>
        <w:pStyle w:val="alfaliste2"/>
        <w:rPr>
          <w:rStyle w:val="kursiv"/>
        </w:rPr>
      </w:pPr>
      <w:r w:rsidRPr="002F269C">
        <w:rPr>
          <w:rStyle w:val="kursiv"/>
        </w:rPr>
        <w:t>primært framstår som virtuelle fellesskap</w:t>
      </w:r>
    </w:p>
    <w:p w:rsidR="009242ED" w:rsidRPr="002F269C" w:rsidRDefault="009242ED" w:rsidP="002F269C">
      <w:pPr>
        <w:pStyle w:val="alfaliste2"/>
        <w:rPr>
          <w:rStyle w:val="kursiv"/>
        </w:rPr>
      </w:pPr>
      <w:r w:rsidRPr="002F269C">
        <w:rPr>
          <w:rStyle w:val="kursiv"/>
        </w:rPr>
        <w:t>har politisk, humanitær, kulturell eller forretningsmessig virksomhet som hovedformål</w:t>
      </w:r>
    </w:p>
    <w:p w:rsidR="009242ED" w:rsidRPr="002F269C" w:rsidRDefault="009242ED" w:rsidP="002F269C">
      <w:pPr>
        <w:pStyle w:val="alfaliste2"/>
        <w:rPr>
          <w:rStyle w:val="kursiv"/>
        </w:rPr>
      </w:pPr>
      <w:r w:rsidRPr="002F269C">
        <w:rPr>
          <w:rStyle w:val="kursiv"/>
        </w:rPr>
        <w:t>har helse eller selvutvikling som hovedformål</w:t>
      </w:r>
    </w:p>
    <w:p w:rsidR="009242ED" w:rsidRPr="002F269C" w:rsidRDefault="009242ED" w:rsidP="002F269C">
      <w:pPr>
        <w:pStyle w:val="alfaliste2"/>
        <w:rPr>
          <w:rStyle w:val="kursiv"/>
        </w:rPr>
      </w:pPr>
      <w:r w:rsidRPr="002F269C">
        <w:rPr>
          <w:rStyle w:val="kursiv"/>
        </w:rPr>
        <w:t>har bekjempelse av religion eller livssyn som hovedformål</w:t>
      </w:r>
    </w:p>
    <w:p w:rsidR="009242ED" w:rsidRPr="002F269C" w:rsidRDefault="009242ED" w:rsidP="002F269C">
      <w:pPr>
        <w:pStyle w:val="alfaliste2"/>
        <w:rPr>
          <w:rStyle w:val="kursiv"/>
        </w:rPr>
      </w:pPr>
      <w:r w:rsidRPr="002F269C">
        <w:rPr>
          <w:rStyle w:val="kursiv"/>
        </w:rPr>
        <w:t>har et rent filosofisk formål</w:t>
      </w:r>
    </w:p>
    <w:p w:rsidR="009242ED" w:rsidRPr="00D46082" w:rsidRDefault="009242ED" w:rsidP="002F269C">
      <w:pPr>
        <w:pStyle w:val="blokksit"/>
        <w:rPr>
          <w:rStyle w:val="kursiv"/>
        </w:rPr>
      </w:pPr>
      <w:r w:rsidRPr="00D46082">
        <w:rPr>
          <w:rStyle w:val="kursiv"/>
        </w:rPr>
        <w:t>Loven gjelder for alle tros- og livssynssamfunn. Kapittel 2 gjelder ikke for Den norske kirke, og kapittel 3 gjelder bare for Den norske kirke.</w:t>
      </w:r>
    </w:p>
    <w:p w:rsidR="006C57DD" w:rsidRDefault="006C57DD" w:rsidP="001E491E">
      <w:pPr>
        <w:pStyle w:val="Overskrift2"/>
      </w:pPr>
      <w:bookmarkStart w:id="856" w:name="_Toc481761774"/>
      <w:bookmarkStart w:id="857" w:name="_Toc492900427"/>
      <w:r>
        <w:lastRenderedPageBreak/>
        <w:t>Registrering av tros- og livssynssamfunn</w:t>
      </w:r>
      <w:bookmarkEnd w:id="847"/>
      <w:bookmarkEnd w:id="848"/>
      <w:bookmarkEnd w:id="849"/>
      <w:bookmarkEnd w:id="850"/>
      <w:bookmarkEnd w:id="851"/>
      <w:bookmarkEnd w:id="852"/>
      <w:bookmarkEnd w:id="853"/>
      <w:bookmarkEnd w:id="854"/>
      <w:bookmarkEnd w:id="855"/>
      <w:bookmarkEnd w:id="856"/>
      <w:bookmarkEnd w:id="857"/>
    </w:p>
    <w:p w:rsidR="006C57DD" w:rsidRDefault="006C57DD" w:rsidP="001E491E">
      <w:pPr>
        <w:pStyle w:val="Overskrift3"/>
      </w:pPr>
      <w:bookmarkStart w:id="858" w:name="_Toc477799200"/>
      <w:bookmarkStart w:id="859" w:name="_Toc477805802"/>
      <w:bookmarkStart w:id="860" w:name="_Toc477878062"/>
      <w:bookmarkStart w:id="861" w:name="_Toc477881465"/>
      <w:bookmarkStart w:id="862" w:name="_Toc477885925"/>
      <w:bookmarkStart w:id="863" w:name="_Toc478131340"/>
      <w:bookmarkStart w:id="864" w:name="_Toc478138724"/>
      <w:bookmarkStart w:id="865" w:name="_Toc478232239"/>
      <w:bookmarkStart w:id="866" w:name="_Toc478237223"/>
      <w:bookmarkStart w:id="867" w:name="_Toc481761775"/>
      <w:bookmarkStart w:id="868" w:name="_Toc492900428"/>
      <w:r>
        <w:t>Innledning</w:t>
      </w:r>
      <w:bookmarkEnd w:id="858"/>
      <w:bookmarkEnd w:id="859"/>
      <w:bookmarkEnd w:id="860"/>
      <w:bookmarkEnd w:id="861"/>
      <w:bookmarkEnd w:id="862"/>
      <w:bookmarkEnd w:id="863"/>
      <w:bookmarkEnd w:id="864"/>
      <w:bookmarkEnd w:id="865"/>
      <w:bookmarkEnd w:id="866"/>
      <w:bookmarkEnd w:id="867"/>
      <w:bookmarkEnd w:id="868"/>
      <w:r>
        <w:t xml:space="preserve"> </w:t>
      </w:r>
    </w:p>
    <w:p w:rsidR="00343E55" w:rsidRDefault="00343E55">
      <w:r w:rsidRPr="00AB686A">
        <w:t>Gjeldende lovgivning om tilskudd til tros- og livssynssamfunn utenom Den</w:t>
      </w:r>
      <w:r>
        <w:t xml:space="preserve"> norske kirke rommer, som det har framgått, i prinsippet</w:t>
      </w:r>
      <w:r w:rsidRPr="00AB686A">
        <w:t xml:space="preserve"> tre tilskuddsordninger med til dels ulike vilkår: én for registrerte trossamfunn, én for andre organiserte eller </w:t>
      </w:r>
      <w:r>
        <w:t xml:space="preserve">såkalte </w:t>
      </w:r>
      <w:r w:rsidRPr="00AB686A">
        <w:t>uregistrerte trossamfunn og én for livss</w:t>
      </w:r>
      <w:r>
        <w:t xml:space="preserve">ynssamfunn. </w:t>
      </w:r>
      <w:r w:rsidRPr="00AB686A">
        <w:t xml:space="preserve">Registrerte trossamfunn har flere rettigheter og plikter enn uregistrerte trossamfunn, og derfor stilles det flere og strengere krav til </w:t>
      </w:r>
      <w:r>
        <w:t>førstnevnte</w:t>
      </w:r>
      <w:r w:rsidRPr="00AB686A">
        <w:t>. Den vesentligste forskjellen mellom de to kategoriene er at bare trossamfunn som er registrert, kan få vigselsmyndighet etter ekteskapsloven.</w:t>
      </w:r>
      <w:r>
        <w:t xml:space="preserve"> Det er i dag dessuten et</w:t>
      </w:r>
      <w:r w:rsidR="002935F9">
        <w:t xml:space="preserve"> vesentlig høyere</w:t>
      </w:r>
      <w:r>
        <w:t xml:space="preserve"> krav til antall medlemmer for å få tilskudd som livssynssamfunn enn som trossamfunn. </w:t>
      </w:r>
    </w:p>
    <w:p w:rsidR="006C1E92" w:rsidRDefault="006C1E92">
      <w:r w:rsidRPr="00327D36">
        <w:t xml:space="preserve">Etter gjeldende rett må tros- og livssynssamfunn være fast organisert for å kunne kreve tilskudd. Det </w:t>
      </w:r>
      <w:r>
        <w:t xml:space="preserve">betyr at samfunnene må ha </w:t>
      </w:r>
      <w:r w:rsidRPr="00327D36">
        <w:t>en fastlagt organisasjons- og styringsstruktur med klare ansvars</w:t>
      </w:r>
      <w:r>
        <w:t>forhold. Selve organisasjonsformen varierer imidlertid mellom dagens tilskuddsberettigede tros- og livssynssamfunn.</w:t>
      </w:r>
    </w:p>
    <w:p w:rsidR="002935F9" w:rsidRDefault="002935F9">
      <w:r>
        <w:t xml:space="preserve">Stålsett-utvalget foreslo en ny, felles </w:t>
      </w:r>
      <w:r w:rsidR="004A683C">
        <w:t>tilskudds</w:t>
      </w:r>
      <w:r>
        <w:t xml:space="preserve">ordning for tros- og livssynssamfunn, med samme rettigheter og plikter for alle samfunnene. Forslaget innebar også at skillet mellom registrerte og uregistrerte trossamfunn ble avviklet (NOU 2013: 1 s. 332). </w:t>
      </w:r>
    </w:p>
    <w:p w:rsidR="002935F9" w:rsidRDefault="00A96BFE">
      <w:r>
        <w:t xml:space="preserve">Utvalget vektla at de fremmet forslag om en </w:t>
      </w:r>
      <w:r w:rsidRPr="001E491E">
        <w:rPr>
          <w:i/>
        </w:rPr>
        <w:t>tilskudds</w:t>
      </w:r>
      <w:r>
        <w:t xml:space="preserve">lov. </w:t>
      </w:r>
      <w:r w:rsidR="00D02B35">
        <w:t xml:space="preserve">Dette innebar at blant annet forslaget om </w:t>
      </w:r>
      <w:r w:rsidR="00451096">
        <w:t xml:space="preserve">lovregulert </w:t>
      </w:r>
      <w:r w:rsidR="00D02B35">
        <w:t xml:space="preserve">definisjon av tros- og livssynssamfunn og kravene til organisasjon, medlemstall, innhold osv. primært var utformet som vilkår for tilskudd. Likevel </w:t>
      </w:r>
      <w:r w:rsidR="00C16908">
        <w:t>inneholdt lovforslaget en bestemmelse om "godkjenning" av tros- og livssynssamfunn</w:t>
      </w:r>
      <w:r w:rsidR="001C05C5">
        <w:t xml:space="preserve"> som tilskuddsberettigede</w:t>
      </w:r>
      <w:r w:rsidR="00C16908">
        <w:t>, ev. krav til "førstegangsregistrering", se henholdsvis utkastet § 2</w:t>
      </w:r>
      <w:r w:rsidR="00A13110">
        <w:t>-3</w:t>
      </w:r>
      <w:r w:rsidR="00C16908">
        <w:t xml:space="preserve"> (NOU 2013: 1 s. 423) og utredningen s. 355–356. </w:t>
      </w:r>
    </w:p>
    <w:p w:rsidR="00F10433" w:rsidRDefault="00F10433" w:rsidP="001E491E">
      <w:r>
        <w:t xml:space="preserve">Utvalget </w:t>
      </w:r>
      <w:r w:rsidRPr="00327D36">
        <w:t xml:space="preserve">drøftet </w:t>
      </w:r>
      <w:r>
        <w:t>særskilt om det bør stilles</w:t>
      </w:r>
      <w:r w:rsidRPr="00327D36">
        <w:t xml:space="preserve"> kr</w:t>
      </w:r>
      <w:r>
        <w:t xml:space="preserve">av til organisering som </w:t>
      </w:r>
      <w:r w:rsidRPr="00327D36">
        <w:t>vilkår for tilskudd til tros- og livssynssamfunn (</w:t>
      </w:r>
      <w:r>
        <w:t>NOU 2013: 1</w:t>
      </w:r>
      <w:r w:rsidRPr="00327D36">
        <w:t xml:space="preserve"> s. 326–328</w:t>
      </w:r>
      <w:r>
        <w:t xml:space="preserve"> og s. 350 flg. og lovforslaget § 2</w:t>
      </w:r>
      <w:r w:rsidR="00A13110">
        <w:t>-2</w:t>
      </w:r>
      <w:r>
        <w:t xml:space="preserve"> nr. 4, jf. § 2</w:t>
      </w:r>
      <w:r w:rsidR="00A13110">
        <w:t>-3</w:t>
      </w:r>
      <w:r w:rsidRPr="00327D36">
        <w:t xml:space="preserve">). Utvalget kom til at tilskudd bør forbeholdes </w:t>
      </w:r>
      <w:r>
        <w:t>"</w:t>
      </w:r>
      <w:r w:rsidRPr="00B61037">
        <w:t>tros- og livssynssamfunn som gjennom sitt tros- og livssynsinnhold og det fellesskap som tilbys, kan sies å bidra med noe ut over det som hver enkelt i sin uorganiserte tr</w:t>
      </w:r>
      <w:r>
        <w:t>os- og livssynssøken kan oppnå".</w:t>
      </w:r>
      <w:r w:rsidRPr="0073051E">
        <w:t xml:space="preserve"> </w:t>
      </w:r>
      <w:r w:rsidRPr="00327D36">
        <w:t>I utvalgets fo</w:t>
      </w:r>
      <w:r>
        <w:t>rslag til ny tilskuddslov inngikk</w:t>
      </w:r>
      <w:r w:rsidRPr="00327D36">
        <w:t xml:space="preserve"> det </w:t>
      </w:r>
      <w:r>
        <w:t xml:space="preserve">derfor </w:t>
      </w:r>
      <w:r w:rsidRPr="00327D36">
        <w:t>som et vilkår for tilskudd at tros- og livssynssamfunnene må ha vedtekter som fastsetter</w:t>
      </w:r>
      <w:r>
        <w:t xml:space="preserve"> </w:t>
      </w:r>
      <w:r w:rsidRPr="00327D36">
        <w:t>hvem som kan være m</w:t>
      </w:r>
      <w:r>
        <w:t xml:space="preserve">edlem av samfunnet, </w:t>
      </w:r>
      <w:r w:rsidRPr="00327D36">
        <w:t>styringsstrukturen i samfunnet og hvem som representer</w:t>
      </w:r>
      <w:r>
        <w:t xml:space="preserve">er og forplikter samfunnet utad, hvordan vedtekter kan endres og </w:t>
      </w:r>
      <w:r w:rsidRPr="00327D36">
        <w:t>hvordan midler skal disponeres ved endringer, sammenslåinger mv.</w:t>
      </w:r>
    </w:p>
    <w:p w:rsidR="006C57DD" w:rsidRPr="00EE77CF" w:rsidRDefault="006C57DD" w:rsidP="001E491E">
      <w:pPr>
        <w:pStyle w:val="Overskrift3"/>
      </w:pPr>
      <w:bookmarkStart w:id="869" w:name="_Toc477799201"/>
      <w:bookmarkStart w:id="870" w:name="_Toc477805803"/>
      <w:bookmarkStart w:id="871" w:name="_Toc477878063"/>
      <w:bookmarkStart w:id="872" w:name="_Toc477881466"/>
      <w:bookmarkStart w:id="873" w:name="_Toc477885926"/>
      <w:bookmarkStart w:id="874" w:name="_Toc478131341"/>
      <w:bookmarkStart w:id="875" w:name="_Toc478138725"/>
      <w:bookmarkStart w:id="876" w:name="_Toc478232240"/>
      <w:bookmarkStart w:id="877" w:name="_Toc478237224"/>
      <w:bookmarkStart w:id="878" w:name="_Toc481761776"/>
      <w:bookmarkStart w:id="879" w:name="_Toc492900429"/>
      <w:r>
        <w:t>Departementets vurderinger</w:t>
      </w:r>
      <w:bookmarkEnd w:id="869"/>
      <w:bookmarkEnd w:id="870"/>
      <w:bookmarkEnd w:id="871"/>
      <w:bookmarkEnd w:id="872"/>
      <w:bookmarkEnd w:id="873"/>
      <w:bookmarkEnd w:id="874"/>
      <w:bookmarkEnd w:id="875"/>
      <w:bookmarkEnd w:id="876"/>
      <w:bookmarkEnd w:id="877"/>
      <w:bookmarkEnd w:id="878"/>
      <w:bookmarkEnd w:id="879"/>
      <w:r>
        <w:t xml:space="preserve"> </w:t>
      </w:r>
    </w:p>
    <w:p w:rsidR="00C16908" w:rsidRDefault="00C16908" w:rsidP="004211DB">
      <w:r>
        <w:t xml:space="preserve">Departementet mener, i tråd med Stålsett-utvalget, at en ny, felles lov bør gjelde både tros- og livssynssamfunn. Som nevnt omfatter departementets lovforslag </w:t>
      </w:r>
      <w:r w:rsidR="00F10433">
        <w:t>i tillegg</w:t>
      </w:r>
      <w:r>
        <w:t xml:space="preserve"> særlige bestemmelser om Den norske kirke. </w:t>
      </w:r>
    </w:p>
    <w:p w:rsidR="004211DB" w:rsidRPr="001E491E" w:rsidRDefault="00C16908" w:rsidP="004211DB">
      <w:pPr>
        <w:rPr>
          <w:i/>
          <w:iCs/>
        </w:rPr>
      </w:pPr>
      <w:r>
        <w:t>Dessuten mener departementet at skille</w:t>
      </w:r>
      <w:r w:rsidR="004A683C">
        <w:t>t</w:t>
      </w:r>
      <w:r>
        <w:t xml:space="preserve"> mellom registrerte og uregistrerte trossamfunn</w:t>
      </w:r>
      <w:r w:rsidR="004A683C">
        <w:t>, slik det i dag er regulert</w:t>
      </w:r>
      <w:r>
        <w:t xml:space="preserve"> i loven</w:t>
      </w:r>
      <w:r w:rsidR="004A683C">
        <w:t>,</w:t>
      </w:r>
      <w:r>
        <w:t xml:space="preserve"> bør oppheves. </w:t>
      </w:r>
      <w:r w:rsidR="004211DB" w:rsidRPr="008B1C04">
        <w:t xml:space="preserve">Spørsmålet om å oppheve </w:t>
      </w:r>
      <w:r w:rsidR="00F10433">
        <w:t xml:space="preserve">lovens sondring </w:t>
      </w:r>
      <w:r w:rsidR="004211DB" w:rsidRPr="008B1C04">
        <w:t xml:space="preserve">mellom registrerte og uregistrerte trossamfunn ble reist allerede </w:t>
      </w:r>
      <w:r w:rsidR="004211DB">
        <w:t>ved fr</w:t>
      </w:r>
      <w:r w:rsidR="001B699D">
        <w:t>a</w:t>
      </w:r>
      <w:r w:rsidR="004211DB">
        <w:t xml:space="preserve">mleggelsen av </w:t>
      </w:r>
      <w:r w:rsidR="004211DB" w:rsidRPr="008B1C04">
        <w:t xml:space="preserve">lovforslaget om å gi </w:t>
      </w:r>
      <w:r w:rsidR="004211DB">
        <w:t xml:space="preserve">livssynssamfunn og </w:t>
      </w:r>
      <w:r w:rsidR="004211DB" w:rsidRPr="008B1C04">
        <w:t xml:space="preserve">uregistrerte trossamfunn rett </w:t>
      </w:r>
      <w:r w:rsidR="004211DB">
        <w:t>til å kreve tilskudd</w:t>
      </w:r>
      <w:r w:rsidR="004211DB" w:rsidRPr="008B1C04">
        <w:t xml:space="preserve">. I Ot.prp. nr. </w:t>
      </w:r>
      <w:r w:rsidR="001C05C5">
        <w:t>59 (1980–</w:t>
      </w:r>
      <w:r w:rsidR="004211DB" w:rsidRPr="008B1C04">
        <w:t xml:space="preserve">81) </w:t>
      </w:r>
      <w:r w:rsidR="001C05C5">
        <w:t xml:space="preserve">s. </w:t>
      </w:r>
      <w:r w:rsidR="004211DB" w:rsidRPr="008B1C04">
        <w:t>5</w:t>
      </w:r>
      <w:r w:rsidR="001C05C5">
        <w:t xml:space="preserve"> </w:t>
      </w:r>
      <w:r>
        <w:t>pekte</w:t>
      </w:r>
      <w:r w:rsidR="004211DB" w:rsidRPr="008B1C04">
        <w:t xml:space="preserve"> Ju</w:t>
      </w:r>
      <w:r w:rsidR="008E4F76">
        <w:t>stis- og politidepartementet</w:t>
      </w:r>
      <w:r w:rsidR="004211DB" w:rsidRPr="008B1C04">
        <w:t xml:space="preserve"> </w:t>
      </w:r>
      <w:r w:rsidR="008E4F76">
        <w:t xml:space="preserve">på en rekke forhold som tilsa at skillet burde videreføres. </w:t>
      </w:r>
      <w:r w:rsidR="004211DB" w:rsidRPr="00726D9E">
        <w:t xml:space="preserve">Nesten samtlige forhold som departementet </w:t>
      </w:r>
      <w:r w:rsidR="008E4F76">
        <w:t xml:space="preserve">pekte på i 1981, </w:t>
      </w:r>
      <w:r w:rsidR="004211DB" w:rsidRPr="00726D9E">
        <w:t xml:space="preserve">er i dag endret, i hovedsak på grunn av utviklingen av Folkeregisterets oppgaver og den </w:t>
      </w:r>
      <w:r w:rsidR="004211DB" w:rsidRPr="00726D9E">
        <w:lastRenderedPageBreak/>
        <w:t>tilsvarende nedbyggingen av den offentligrettslige betydningen av kirkebokføringen i Den norske kirke. Vigselsmyndigheten er dessuten ikke lenger begrenset til registrerte trossamfunn. Livssynssamfunn som mottar tilskudd, har kunnet få vigselsmyndighet siden 2004. Den rettslige prøvingen av om vilkårene for ekteskapsinngåelse foreligger</w:t>
      </w:r>
      <w:r w:rsidR="00777251">
        <w:t>,</w:t>
      </w:r>
      <w:r w:rsidR="004211DB" w:rsidRPr="00726D9E">
        <w:t xml:space="preserve"> foretas i dag av folkeregistermyndigheten (</w:t>
      </w:r>
      <w:r w:rsidR="004211DB">
        <w:t>S</w:t>
      </w:r>
      <w:r w:rsidR="004211DB" w:rsidRPr="00726D9E">
        <w:t xml:space="preserve">katteetaten). </w:t>
      </w:r>
    </w:p>
    <w:p w:rsidR="00E01EB8" w:rsidRDefault="008E4F76" w:rsidP="00E01EB8">
      <w:r>
        <w:t xml:space="preserve">Departementet mener likevel </w:t>
      </w:r>
      <w:r w:rsidR="004C44FE">
        <w:t xml:space="preserve">at det </w:t>
      </w:r>
      <w:r w:rsidR="00777251">
        <w:t xml:space="preserve">i loven </w:t>
      </w:r>
      <w:r w:rsidR="004C44FE">
        <w:t>bør videreføres en ordning med</w:t>
      </w:r>
      <w:r>
        <w:t xml:space="preserve"> registrering av tros- og livssynssamfunn. </w:t>
      </w:r>
      <w:r w:rsidR="004C44FE">
        <w:t xml:space="preserve">Formålet med registreringen er </w:t>
      </w:r>
      <w:r w:rsidR="00F10433">
        <w:t xml:space="preserve">først og fremst </w:t>
      </w:r>
      <w:r w:rsidR="004C44FE">
        <w:t xml:space="preserve">å etablere et </w:t>
      </w:r>
      <w:r>
        <w:t>grun</w:t>
      </w:r>
      <w:r w:rsidR="004C44FE">
        <w:t>nvilkår</w:t>
      </w:r>
      <w:r>
        <w:t xml:space="preserve"> </w:t>
      </w:r>
      <w:r w:rsidR="004C44FE">
        <w:t>for</w:t>
      </w:r>
      <w:r>
        <w:t xml:space="preserve"> </w:t>
      </w:r>
      <w:r w:rsidR="004C44FE">
        <w:t xml:space="preserve">at </w:t>
      </w:r>
      <w:r>
        <w:t xml:space="preserve">samfunnet </w:t>
      </w:r>
      <w:r w:rsidR="004C44FE">
        <w:t xml:space="preserve">får </w:t>
      </w:r>
      <w:r>
        <w:t>rett</w:t>
      </w:r>
      <w:r w:rsidR="00F10433">
        <w:t xml:space="preserve"> til å kreve statstilskudd og et</w:t>
      </w:r>
      <w:r>
        <w:t xml:space="preserve"> grunnlag for at enkeltpersoner i samfunnet kan tildeles vigselsmyndighet. </w:t>
      </w:r>
      <w:r w:rsidR="004C44FE">
        <w:t xml:space="preserve">For å kunne bli registrert må samfunnet oppfylle nærmere bestemte vilkår. </w:t>
      </w:r>
      <w:r w:rsidR="00825F3D">
        <w:t>Departementet mener at samfunne</w:t>
      </w:r>
      <w:r w:rsidR="003904BD">
        <w:t xml:space="preserve">t må være fast organisert og </w:t>
      </w:r>
      <w:r w:rsidR="00825F3D">
        <w:t xml:space="preserve">ha minst 500 </w:t>
      </w:r>
      <w:r w:rsidR="00483E86">
        <w:t xml:space="preserve">tilskuddstellende </w:t>
      </w:r>
      <w:r w:rsidR="00825F3D">
        <w:t>medlemmer</w:t>
      </w:r>
      <w:r w:rsidR="001B699D">
        <w:t xml:space="preserve"> over 15 år</w:t>
      </w:r>
      <w:r w:rsidR="00825F3D">
        <w:t xml:space="preserve">. </w:t>
      </w:r>
      <w:r w:rsidR="00E01EB8">
        <w:t xml:space="preserve">Antallskravet er drøftet særskilt i </w:t>
      </w:r>
      <w:r w:rsidR="004B370D">
        <w:t>punkt</w:t>
      </w:r>
      <w:r w:rsidR="00E01EB8">
        <w:t xml:space="preserve"> 7.5 nedenfor</w:t>
      </w:r>
      <w:r w:rsidR="001B699D">
        <w:t>.</w:t>
      </w:r>
      <w:r w:rsidR="00E01EB8">
        <w:t xml:space="preserve"> </w:t>
      </w:r>
    </w:p>
    <w:p w:rsidR="006C7ED5" w:rsidRDefault="003904BD" w:rsidP="009F5A7C">
      <w:r>
        <w:t>Etter departementets syn bør bare tros- og livssynssamfunn som er fas</w:t>
      </w:r>
      <w:r w:rsidR="009F5A7C">
        <w:t>t organisert, kunne registreres. Departementet legger derfor til grunn at det bør stilles krav om at søknaden</w:t>
      </w:r>
      <w:r w:rsidR="004C7667">
        <w:t xml:space="preserve"> </w:t>
      </w:r>
      <w:r w:rsidR="009F5A7C">
        <w:t>redegjør for organisasjons- og styringsstruktur mv.</w:t>
      </w:r>
      <w:r w:rsidR="00B8441F">
        <w:t xml:space="preserve"> Redegjørelsen skal blant annet inneholde opplysninger </w:t>
      </w:r>
      <w:r w:rsidR="00430A2D">
        <w:t xml:space="preserve">om </w:t>
      </w:r>
      <w:r w:rsidR="00FA0F2C">
        <w:t>hvem</w:t>
      </w:r>
      <w:r w:rsidR="009F5A7C">
        <w:t xml:space="preserve"> som representerer og kan forplikte samfunnet utad</w:t>
      </w:r>
      <w:r w:rsidR="00166D2D">
        <w:t>, herunder</w:t>
      </w:r>
      <w:r w:rsidR="008E4339">
        <w:t xml:space="preserve"> </w:t>
      </w:r>
      <w:r w:rsidR="004C7667">
        <w:t>over</w:t>
      </w:r>
      <w:r w:rsidR="009F5A7C">
        <w:t>for staten i forvaltningen av ordningene for registrering, tilskudd og vigsel.</w:t>
      </w:r>
      <w:r w:rsidR="00872B6A">
        <w:t xml:space="preserve"> Departementet </w:t>
      </w:r>
      <w:r w:rsidR="00166D2D">
        <w:t>legger</w:t>
      </w:r>
      <w:r w:rsidR="00872B6A">
        <w:t xml:space="preserve"> ikke opp </w:t>
      </w:r>
      <w:r w:rsidR="00166D2D">
        <w:t>til at</w:t>
      </w:r>
      <w:r w:rsidR="00DA512E">
        <w:t xml:space="preserve"> det i eller i medhold av</w:t>
      </w:r>
      <w:r w:rsidR="00166D2D">
        <w:t xml:space="preserve"> loven skal stille</w:t>
      </w:r>
      <w:r w:rsidR="00DA512E">
        <w:t>s</w:t>
      </w:r>
      <w:r w:rsidR="00166D2D">
        <w:t xml:space="preserve"> spesifikke</w:t>
      </w:r>
      <w:r w:rsidR="00872B6A">
        <w:t xml:space="preserve"> kompetansekrav til sistnevnte person(er).</w:t>
      </w:r>
    </w:p>
    <w:p w:rsidR="009F5A7C" w:rsidRDefault="009F5A7C" w:rsidP="009F5A7C">
      <w:r>
        <w:t>Det finnes en rekke</w:t>
      </w:r>
      <w:r w:rsidRPr="00327D36">
        <w:t xml:space="preserve"> ulike organisasjonsformer blant dagens ti</w:t>
      </w:r>
      <w:r>
        <w:t>lskuddsberettigede trossamfunn, og departementet mener at det neppe er hensiktsmessig å oppstille</w:t>
      </w:r>
      <w:r w:rsidRPr="00327D36">
        <w:t xml:space="preserve"> et </w:t>
      </w:r>
      <w:r>
        <w:t xml:space="preserve">eksplisitt </w:t>
      </w:r>
      <w:r w:rsidRPr="00327D36">
        <w:t xml:space="preserve">krav om </w:t>
      </w:r>
      <w:r>
        <w:t xml:space="preserve">at tros- og livssynssamfunn skal ha </w:t>
      </w:r>
      <w:r w:rsidRPr="00327D36">
        <w:t>vedtekter i en foreningsrettslig forstand.</w:t>
      </w:r>
      <w:r>
        <w:t xml:space="preserve"> </w:t>
      </w:r>
    </w:p>
    <w:p w:rsidR="00745CEC" w:rsidRDefault="00934429" w:rsidP="004211DB">
      <w:r>
        <w:t>V</w:t>
      </w:r>
      <w:r w:rsidR="00745CEC">
        <w:t xml:space="preserve">ilkårene </w:t>
      </w:r>
      <w:r>
        <w:t xml:space="preserve">for registrering </w:t>
      </w:r>
      <w:r w:rsidR="00745CEC">
        <w:t xml:space="preserve">vil bety at tros- eller livssynssamfunn som for eksempel ikke oppfyller kravet om et visst antall medlemmer, verken vil kunne kreve statstilskudd eller få vigselsrett etter ekteskapsloven. Bestemmelsene i lovforslaget om inn- og utmelding vil gjelde for alle tros- og livssynssamfunn, også slike som ikke er registrert. </w:t>
      </w:r>
    </w:p>
    <w:p w:rsidR="00E01EB8" w:rsidRDefault="00E01EB8" w:rsidP="00E01EB8">
      <w:r>
        <w:t>Registrerin</w:t>
      </w:r>
      <w:r w:rsidR="00745CEC">
        <w:t xml:space="preserve">gssøknader skal </w:t>
      </w:r>
      <w:r>
        <w:t xml:space="preserve">behandles av </w:t>
      </w:r>
      <w:r w:rsidR="00192F08">
        <w:t>Fylkesmannen</w:t>
      </w:r>
      <w:r>
        <w:t xml:space="preserve">, se nærmere nedenfor i kapittel 17. Det betyr blant annet at </w:t>
      </w:r>
      <w:r w:rsidR="00FC118F">
        <w:t>det</w:t>
      </w:r>
      <w:r>
        <w:t xml:space="preserve"> vil måtte vurdere</w:t>
      </w:r>
      <w:r w:rsidR="00FC118F">
        <w:t>s</w:t>
      </w:r>
      <w:r>
        <w:t xml:space="preserve"> om en konkret sammenslutning kan regnes som et tros- eller livs</w:t>
      </w:r>
      <w:r w:rsidR="003840B5">
        <w:t>synssamfunn, jf. lovutkastet § 1</w:t>
      </w:r>
      <w:r>
        <w:t>, og om samfunnet oppfyller de ytterli</w:t>
      </w:r>
      <w:r w:rsidR="00932406">
        <w:t xml:space="preserve">gere registreringsvilkårene </w:t>
      </w:r>
      <w:r>
        <w:t>om fast organisering og medlemstall.</w:t>
      </w:r>
    </w:p>
    <w:p w:rsidR="00E01EB8" w:rsidRDefault="00E01EB8" w:rsidP="00E01EB8">
      <w:r>
        <w:t>Departementet foreslår at nærmere krav til blant annet søknaden om registrering fastsettes i forskrift</w:t>
      </w:r>
      <w:r w:rsidR="00451096">
        <w:t>.</w:t>
      </w:r>
    </w:p>
    <w:p w:rsidR="000A46D3" w:rsidRDefault="000A46D3" w:rsidP="004211DB">
      <w:r>
        <w:t xml:space="preserve">Ved endringer i opplysninger som ligger til grunn for registreringen, skal tros- eller livssynssamfunnet straks gi melding om endringene. </w:t>
      </w:r>
    </w:p>
    <w:p w:rsidR="00934429" w:rsidRDefault="00932406" w:rsidP="004211DB">
      <w:r>
        <w:t xml:space="preserve">Når registreringsvilkårene ikke lenger er oppfylt, vil </w:t>
      </w:r>
      <w:r w:rsidR="00FC118F">
        <w:t>det</w:t>
      </w:r>
      <w:r>
        <w:t xml:space="preserve"> kunne fatte</w:t>
      </w:r>
      <w:r w:rsidR="00FC118F">
        <w:t>s</w:t>
      </w:r>
      <w:r>
        <w:t xml:space="preserve"> vedtak om tap av registrering. </w:t>
      </w:r>
      <w:r w:rsidR="00261607">
        <w:t>At medlemstallet faller</w:t>
      </w:r>
      <w:r w:rsidR="00934429">
        <w:t xml:space="preserve"> under minstegrensen på 500, skal imidlertid ikke nødvendigvis m</w:t>
      </w:r>
      <w:r w:rsidR="00B85056">
        <w:t xml:space="preserve">edføre at samfunnet uten videre </w:t>
      </w:r>
      <w:r w:rsidR="00934429">
        <w:t xml:space="preserve">fratas registreringen, se nærmere drøfting i </w:t>
      </w:r>
      <w:r w:rsidR="001B699D">
        <w:t>punkt</w:t>
      </w:r>
      <w:r w:rsidR="00934429">
        <w:t xml:space="preserve"> 7.5 nedenfor. </w:t>
      </w:r>
    </w:p>
    <w:p w:rsidR="00636CE3" w:rsidRDefault="00932406" w:rsidP="004211DB">
      <w:r>
        <w:t>Videre mener d</w:t>
      </w:r>
      <w:r w:rsidR="00636CE3">
        <w:t xml:space="preserve">epartementet </w:t>
      </w:r>
      <w:r>
        <w:t>at</w:t>
      </w:r>
      <w:r w:rsidR="00636CE3">
        <w:t xml:space="preserve"> brudd på tilskuddsvilkårene </w:t>
      </w:r>
      <w:r>
        <w:t xml:space="preserve">som foreslås i kapittel 15 nedenfor, </w:t>
      </w:r>
      <w:r w:rsidR="00636CE3">
        <w:t>ikke bare skal kunne med</w:t>
      </w:r>
      <w:r w:rsidR="003C412A">
        <w:t>føre at tilskudd nektes og eventuelt</w:t>
      </w:r>
      <w:r w:rsidR="00636CE3">
        <w:t xml:space="preserve"> kreves tilbakebetalt, men at vedkommende tros- eller livssynssamfunn </w:t>
      </w:r>
      <w:r>
        <w:t xml:space="preserve">også kan </w:t>
      </w:r>
      <w:r w:rsidR="006A0412">
        <w:t xml:space="preserve">nektes eller </w:t>
      </w:r>
      <w:r w:rsidR="00636CE3">
        <w:t xml:space="preserve">fratas registrering. </w:t>
      </w:r>
      <w:r w:rsidR="003C412A">
        <w:t>Tap av registrering vil bety at godkjente vigslere i</w:t>
      </w:r>
      <w:r>
        <w:t xml:space="preserve"> </w:t>
      </w:r>
      <w:r w:rsidR="003C412A">
        <w:t xml:space="preserve">tros- eller livssynssamfunnet mister vigselsretten etter ekteskapsloven, </w:t>
      </w:r>
      <w:r w:rsidR="00E7470C">
        <w:t xml:space="preserve">jf. </w:t>
      </w:r>
      <w:r w:rsidR="00926552">
        <w:t>kapittel 19</w:t>
      </w:r>
      <w:r w:rsidR="005039C0">
        <w:t xml:space="preserve"> om vigselsmyndighet</w:t>
      </w:r>
      <w:r w:rsidR="00926552">
        <w:t xml:space="preserve">. </w:t>
      </w:r>
      <w:r w:rsidR="00636CE3">
        <w:t>Departementet foreslår imidlertid ikke at brudd på vilkår for tilskudd automatisk skal medføre tap av vigselsrett</w:t>
      </w:r>
      <w:r w:rsidR="00926552">
        <w:t xml:space="preserve">. </w:t>
      </w:r>
    </w:p>
    <w:p w:rsidR="00EE5904" w:rsidRDefault="00EE5904" w:rsidP="004211DB">
      <w:r>
        <w:lastRenderedPageBreak/>
        <w:t xml:space="preserve">Registrering bør også kunne fratas tros- og livssynssamfunn som </w:t>
      </w:r>
      <w:r w:rsidR="00625ED0">
        <w:t xml:space="preserve">begår brudd på </w:t>
      </w:r>
      <w:r w:rsidR="00961D48">
        <w:t xml:space="preserve">lovens </w:t>
      </w:r>
      <w:r w:rsidR="00F0128E">
        <w:t>regler</w:t>
      </w:r>
      <w:r w:rsidR="00192941">
        <w:t xml:space="preserve"> om </w:t>
      </w:r>
      <w:r w:rsidR="00625ED0">
        <w:t xml:space="preserve">bruk av tilskudd </w:t>
      </w:r>
      <w:r w:rsidR="00B26BD5">
        <w:t xml:space="preserve">og </w:t>
      </w:r>
      <w:r w:rsidR="00192941">
        <w:t>rapportering</w:t>
      </w:r>
      <w:r w:rsidR="00512477">
        <w:t>, se nærmere omtale i</w:t>
      </w:r>
      <w:r w:rsidR="00464652">
        <w:t xml:space="preserve"> kapittel </w:t>
      </w:r>
      <w:r w:rsidR="00625ED0">
        <w:t>16</w:t>
      </w:r>
      <w:r>
        <w:t>.</w:t>
      </w:r>
    </w:p>
    <w:p w:rsidR="00B97134" w:rsidRDefault="00B97134" w:rsidP="001E491E">
      <w:pPr>
        <w:pStyle w:val="Overskrift2"/>
      </w:pPr>
      <w:bookmarkStart w:id="880" w:name="_Toc477799202"/>
      <w:bookmarkStart w:id="881" w:name="_Toc477805804"/>
      <w:bookmarkStart w:id="882" w:name="_Toc477878064"/>
      <w:bookmarkStart w:id="883" w:name="_Toc477881467"/>
      <w:bookmarkStart w:id="884" w:name="_Toc477885927"/>
      <w:bookmarkStart w:id="885" w:name="_Toc478131342"/>
      <w:bookmarkStart w:id="886" w:name="_Toc478138726"/>
      <w:bookmarkStart w:id="887" w:name="_Toc478232241"/>
      <w:bookmarkStart w:id="888" w:name="_Toc478237225"/>
      <w:bookmarkStart w:id="889" w:name="_Toc481761777"/>
      <w:bookmarkStart w:id="890" w:name="_Toc492900430"/>
      <w:r>
        <w:t xml:space="preserve">Særlig om antallskrav for registrering </w:t>
      </w:r>
      <w:r w:rsidR="0007677B">
        <w:t>av tros- og livssynssamfunn</w:t>
      </w:r>
      <w:bookmarkEnd w:id="880"/>
      <w:bookmarkEnd w:id="881"/>
      <w:bookmarkEnd w:id="882"/>
      <w:bookmarkEnd w:id="883"/>
      <w:bookmarkEnd w:id="884"/>
      <w:bookmarkEnd w:id="885"/>
      <w:bookmarkEnd w:id="886"/>
      <w:bookmarkEnd w:id="887"/>
      <w:bookmarkEnd w:id="888"/>
      <w:bookmarkEnd w:id="889"/>
      <w:bookmarkEnd w:id="890"/>
    </w:p>
    <w:p w:rsidR="00DD74C7" w:rsidRDefault="00DD74C7" w:rsidP="00DD74C7">
      <w:pPr>
        <w:pStyle w:val="Overskrift3"/>
      </w:pPr>
      <w:bookmarkStart w:id="891" w:name="_Toc477799203"/>
      <w:bookmarkStart w:id="892" w:name="_Toc477805805"/>
      <w:bookmarkStart w:id="893" w:name="_Toc477878065"/>
      <w:bookmarkStart w:id="894" w:name="_Toc477881468"/>
      <w:bookmarkStart w:id="895" w:name="_Toc477885928"/>
      <w:bookmarkStart w:id="896" w:name="_Toc478131343"/>
      <w:bookmarkStart w:id="897" w:name="_Toc478138727"/>
      <w:bookmarkStart w:id="898" w:name="_Toc478232242"/>
      <w:bookmarkStart w:id="899" w:name="_Toc478237226"/>
      <w:bookmarkStart w:id="900" w:name="_Toc481761778"/>
      <w:bookmarkStart w:id="901" w:name="_Toc492900431"/>
      <w:r>
        <w:t>Gjeldende rett</w:t>
      </w:r>
      <w:bookmarkEnd w:id="891"/>
      <w:bookmarkEnd w:id="892"/>
      <w:bookmarkEnd w:id="893"/>
      <w:bookmarkEnd w:id="894"/>
      <w:bookmarkEnd w:id="895"/>
      <w:bookmarkEnd w:id="896"/>
      <w:bookmarkEnd w:id="897"/>
      <w:bookmarkEnd w:id="898"/>
      <w:bookmarkEnd w:id="899"/>
      <w:bookmarkEnd w:id="900"/>
      <w:bookmarkEnd w:id="901"/>
      <w:r>
        <w:t xml:space="preserve"> </w:t>
      </w:r>
    </w:p>
    <w:p w:rsidR="00DD74C7" w:rsidRDefault="00DD74C7" w:rsidP="00DD74C7">
      <w:r w:rsidRPr="008B1C04">
        <w:t xml:space="preserve">Det er </w:t>
      </w:r>
      <w:r>
        <w:t xml:space="preserve">i dag </w:t>
      </w:r>
      <w:r w:rsidRPr="008B1C04">
        <w:t xml:space="preserve">ikke fastsatt en minstegrense for hvor mange medlemmer et trossamfunn må ha for at det skal </w:t>
      </w:r>
      <w:r>
        <w:t>ha rett til</w:t>
      </w:r>
      <w:r w:rsidRPr="008B1C04">
        <w:t xml:space="preserve"> tilskudd fra det offentlige. </w:t>
      </w:r>
      <w:r>
        <w:t>I trossamfunnsbegrepet, som forutsetter en sammenslutning av mennesker, ligger det i</w:t>
      </w:r>
      <w:r w:rsidRPr="008B1C04">
        <w:t xml:space="preserve">midlertid </w:t>
      </w:r>
      <w:r>
        <w:t>innforstått et krav om</w:t>
      </w:r>
      <w:r w:rsidRPr="008B1C04">
        <w:t xml:space="preserve"> m</w:t>
      </w:r>
      <w:r>
        <w:t>inimum to</w:t>
      </w:r>
      <w:r w:rsidRPr="008B1C04">
        <w:t xml:space="preserve"> medlemmer. </w:t>
      </w:r>
      <w:r>
        <w:t>Etter livssynssamfunnsloven § 2 annet ledd kan departementet gi «</w:t>
      </w:r>
      <w:r w:rsidRPr="00F26F06">
        <w:t>føresegner om kor mange medlemmer eit samfunn må ha for å få tilskot</w:t>
      </w:r>
      <w:r>
        <w:t xml:space="preserve">». Med hjemmel i denne paragrafen er det fastsatt et krav om at </w:t>
      </w:r>
      <w:r w:rsidRPr="008B1C04">
        <w:t xml:space="preserve">livssynssamfunn </w:t>
      </w:r>
      <w:r>
        <w:t>må ha</w:t>
      </w:r>
      <w:r w:rsidRPr="008B1C04">
        <w:t xml:space="preserve"> minst 500 </w:t>
      </w:r>
      <w:r>
        <w:t xml:space="preserve">tilskuddstellende </w:t>
      </w:r>
      <w:r w:rsidRPr="008B1C04">
        <w:t>medlemmer</w:t>
      </w:r>
      <w:r>
        <w:t xml:space="preserve"> for å ha rett til tilskudd.</w:t>
      </w:r>
    </w:p>
    <w:p w:rsidR="00DD74C7" w:rsidRDefault="00DD74C7" w:rsidP="00DD74C7">
      <w:r w:rsidRPr="003371EB">
        <w:t xml:space="preserve">Dissenterlovkomiteen foreslo at trossamfunn måtte ha minst 100 medlemmer over 18 år for å kunne bli registrert og motta tilskudd etter loven. Komiteen begrunnet kravet med at det ikke var ønskelig å spre offentlige funksjoner til </w:t>
      </w:r>
      <w:r w:rsidRPr="00B61037">
        <w:t>«små trossamfunn hvis levetid ofte er kort»</w:t>
      </w:r>
      <w:r w:rsidRPr="003371EB">
        <w:t xml:space="preserve"> (s. 167). Justisdepartementet fant i det videre lovforarbeidet at et slikt krav etter forholdene i Norge ville virke urimelig. Kravet ble derfor utelatt fra departementets lovforslag, se Ot.prp. nr. 27 (1967–68) s. 56. </w:t>
      </w:r>
    </w:p>
    <w:p w:rsidR="00DD74C7" w:rsidRDefault="00DD74C7" w:rsidP="00DD74C7">
      <w:r w:rsidRPr="003371EB">
        <w:t>Antallet små trossamfunn som mottar tilskudd, øker stadig.</w:t>
      </w:r>
      <w:r>
        <w:t xml:space="preserve"> I perioden 2005–2015 steg antallet trossamfunn som har færre enn 100 tilskuddstellende medlemmer, fra 244 til 327.</w:t>
      </w:r>
    </w:p>
    <w:p w:rsidR="00DD74C7" w:rsidRDefault="00DD74C7" w:rsidP="00DD74C7">
      <w:pPr>
        <w:pStyle w:val="Overskrift3"/>
      </w:pPr>
      <w:bookmarkStart w:id="902" w:name="_Toc477799204"/>
      <w:bookmarkStart w:id="903" w:name="_Toc477805806"/>
      <w:bookmarkStart w:id="904" w:name="_Toc477878066"/>
      <w:bookmarkStart w:id="905" w:name="_Toc477881469"/>
      <w:bookmarkStart w:id="906" w:name="_Toc477885929"/>
      <w:bookmarkStart w:id="907" w:name="_Toc478131344"/>
      <w:bookmarkStart w:id="908" w:name="_Toc478138728"/>
      <w:bookmarkStart w:id="909" w:name="_Toc478232243"/>
      <w:bookmarkStart w:id="910" w:name="_Toc478237227"/>
      <w:bookmarkStart w:id="911" w:name="_Toc481761779"/>
      <w:bookmarkStart w:id="912" w:name="_Toc492900432"/>
      <w:r>
        <w:t>NOU 2013: 1</w:t>
      </w:r>
      <w:bookmarkEnd w:id="902"/>
      <w:bookmarkEnd w:id="903"/>
      <w:bookmarkEnd w:id="904"/>
      <w:bookmarkEnd w:id="905"/>
      <w:bookmarkEnd w:id="906"/>
      <w:bookmarkEnd w:id="907"/>
      <w:bookmarkEnd w:id="908"/>
      <w:bookmarkEnd w:id="909"/>
      <w:bookmarkEnd w:id="910"/>
      <w:bookmarkEnd w:id="911"/>
      <w:bookmarkEnd w:id="912"/>
      <w:r>
        <w:t xml:space="preserve"> </w:t>
      </w:r>
    </w:p>
    <w:p w:rsidR="00DD74C7" w:rsidRDefault="00DD74C7" w:rsidP="00DD74C7">
      <w:pPr>
        <w:rPr>
          <w:i/>
        </w:rPr>
      </w:pPr>
      <w:r>
        <w:t xml:space="preserve">Stålsett-utvalget mente prinsipielt at det må være et krav om organisert tros- og livssynsaktivitet som forutsetning for å ha en støtteordning til tros- og livssynssamfunn og mente at det er rimelig å stille visse minstekrav til samfunnets størrelse, stabilitet og livskraft for økonomisk støtte (NOU 2013: 1 s. 354):  </w:t>
      </w:r>
    </w:p>
    <w:p w:rsidR="00DD74C7" w:rsidRPr="002F269C" w:rsidRDefault="00DD74C7" w:rsidP="00BD073B">
      <w:pPr>
        <w:pStyle w:val="blokksit"/>
        <w:rPr>
          <w:rStyle w:val="kursiv"/>
        </w:rPr>
      </w:pPr>
      <w:r w:rsidRPr="002F269C">
        <w:rPr>
          <w:rStyle w:val="kursiv"/>
        </w:rPr>
        <w:t>Utøvelse av religion eller utvikling av livssyn i et organisert fellesskap må oppfattes som særlig støtteverdig, enten ut fra en vurdering av samfunnsverdi eller som et bidrag til å realisere en grunnleggende tros- og livssynsfrihet. Gitt et slikt syn på verdien av samfunnsdannelse, virker det rimelig å stille visse minstekrav til samfunnets størrelse, stabilitet og livskraft.</w:t>
      </w:r>
    </w:p>
    <w:p w:rsidR="00DD74C7" w:rsidRDefault="00DD74C7" w:rsidP="00DD74C7">
      <w:r>
        <w:t xml:space="preserve">Utvalget foreslo at </w:t>
      </w:r>
      <w:r w:rsidRPr="008B1C04">
        <w:t>det ble satt samme minstegrense</w:t>
      </w:r>
      <w:r>
        <w:t xml:space="preserve"> for tros- og livssynssamfunn og mente at grensen burde heves for trossamfunnene.</w:t>
      </w:r>
      <w:r w:rsidRPr="008B1C04">
        <w:t xml:space="preserve"> </w:t>
      </w:r>
      <w:r>
        <w:t xml:space="preserve">Det ble påpekt at et høyere krav til medlemstall </w:t>
      </w:r>
      <w:r w:rsidRPr="008B1C04">
        <w:t>vil</w:t>
      </w:r>
      <w:r>
        <w:t>le</w:t>
      </w:r>
      <w:r w:rsidRPr="008B1C04">
        <w:t xml:space="preserve"> </w:t>
      </w:r>
      <w:r>
        <w:t xml:space="preserve">virke administrativt forenklende og </w:t>
      </w:r>
      <w:r w:rsidRPr="008B1C04">
        <w:t>gi større muligheter for myndighetene til å ha en reell dialog med samfunnene. Flertallet i utvalget foreslo at antallskrav</w:t>
      </w:r>
      <w:r>
        <w:t>et ble satt til 100 medlemmer, mens m</w:t>
      </w:r>
      <w:r w:rsidRPr="008B1C04">
        <w:t>indretallet foreslo et</w:t>
      </w:r>
      <w:r>
        <w:t xml:space="preserve"> krav om minst 10 medlemmer. </w:t>
      </w:r>
    </w:p>
    <w:p w:rsidR="00DD74C7" w:rsidRPr="0073051E" w:rsidRDefault="00DD74C7" w:rsidP="00DD74C7">
      <w:r>
        <w:t xml:space="preserve">Det ble </w:t>
      </w:r>
      <w:r w:rsidRPr="008B1C04">
        <w:t xml:space="preserve">framholdt at </w:t>
      </w:r>
      <w:r w:rsidRPr="00B61037">
        <w:t>«[…] mulighetene for å organisere seg i en felles virksomhet i forhold til tilskuddsordningen, ikke krever at den enkelte menighet i en religiøs bevegelse fratas selvstendighet».</w:t>
      </w:r>
    </w:p>
    <w:p w:rsidR="007C29EF" w:rsidRDefault="009116AE" w:rsidP="00DD74C7">
      <w:pPr>
        <w:rPr>
          <w:rFonts w:cs="Times New Roman"/>
          <w:szCs w:val="24"/>
        </w:rPr>
      </w:pPr>
      <w:r>
        <w:rPr>
          <w:rFonts w:cs="Times New Roman"/>
          <w:szCs w:val="24"/>
        </w:rPr>
        <w:t>Utvalget mente</w:t>
      </w:r>
      <w:r w:rsidR="001E2D0A">
        <w:rPr>
          <w:rFonts w:cs="Times New Roman"/>
          <w:szCs w:val="24"/>
        </w:rPr>
        <w:t xml:space="preserve"> at hensynet til forsvarlig håndtering av </w:t>
      </w:r>
      <w:r>
        <w:rPr>
          <w:rFonts w:cs="Times New Roman"/>
          <w:szCs w:val="24"/>
        </w:rPr>
        <w:t>vigselsoppgavene</w:t>
      </w:r>
      <w:r w:rsidR="001E2D0A">
        <w:rPr>
          <w:rFonts w:cs="Times New Roman"/>
          <w:szCs w:val="24"/>
        </w:rPr>
        <w:t xml:space="preserve"> kunne tilsi et høyere antallskrav for </w:t>
      </w:r>
      <w:r>
        <w:rPr>
          <w:rFonts w:cs="Times New Roman"/>
          <w:szCs w:val="24"/>
        </w:rPr>
        <w:t xml:space="preserve">vigselsrett </w:t>
      </w:r>
      <w:r w:rsidR="001E2D0A">
        <w:rPr>
          <w:rFonts w:cs="Times New Roman"/>
          <w:szCs w:val="24"/>
        </w:rPr>
        <w:t>enn for tilskudd</w:t>
      </w:r>
      <w:r>
        <w:rPr>
          <w:rFonts w:cs="Times New Roman"/>
          <w:szCs w:val="24"/>
        </w:rPr>
        <w:t xml:space="preserve">. Det prinsipale forslaget var </w:t>
      </w:r>
      <w:r w:rsidRPr="00240668">
        <w:rPr>
          <w:rFonts w:cs="Times New Roman"/>
          <w:szCs w:val="24"/>
        </w:rPr>
        <w:t xml:space="preserve">at Den norske kirke og de andre tros- og livssynssamfunnene ble fratatt vigselsretten, og at det ble innført sivil ekteskapsinngåelse som generell ordning. Men utvalget vurderte også hvilke krav som </w:t>
      </w:r>
      <w:r w:rsidRPr="00240668">
        <w:rPr>
          <w:rFonts w:cs="Times New Roman"/>
          <w:szCs w:val="24"/>
        </w:rPr>
        <w:lastRenderedPageBreak/>
        <w:t>burde stilles ved en eve</w:t>
      </w:r>
      <w:r>
        <w:rPr>
          <w:rFonts w:cs="Times New Roman"/>
          <w:szCs w:val="24"/>
        </w:rPr>
        <w:t xml:space="preserve">ntuell videreføring av </w:t>
      </w:r>
      <w:r w:rsidRPr="00240668">
        <w:rPr>
          <w:rFonts w:cs="Times New Roman"/>
          <w:szCs w:val="24"/>
        </w:rPr>
        <w:t>vigselsrett</w:t>
      </w:r>
      <w:r w:rsidR="003B1007">
        <w:rPr>
          <w:rFonts w:cs="Times New Roman"/>
          <w:szCs w:val="24"/>
        </w:rPr>
        <w:t>en</w:t>
      </w:r>
      <w:r w:rsidRPr="00240668">
        <w:rPr>
          <w:rFonts w:cs="Times New Roman"/>
          <w:szCs w:val="24"/>
        </w:rPr>
        <w:t xml:space="preserve"> til tros- og livssynssamfunn. Et flertall </w:t>
      </w:r>
      <w:r w:rsidR="003B1007">
        <w:rPr>
          <w:rFonts w:cs="Times New Roman"/>
          <w:szCs w:val="24"/>
        </w:rPr>
        <w:t xml:space="preserve">i utvalget </w:t>
      </w:r>
      <w:r w:rsidRPr="00240668">
        <w:rPr>
          <w:rFonts w:cs="Times New Roman"/>
          <w:szCs w:val="24"/>
        </w:rPr>
        <w:t xml:space="preserve">foreslo en minstegrense på 500 </w:t>
      </w:r>
      <w:r w:rsidR="003B1007">
        <w:rPr>
          <w:rFonts w:cs="Times New Roman"/>
          <w:szCs w:val="24"/>
        </w:rPr>
        <w:t>medlemmer for å få vigselsrett</w:t>
      </w:r>
      <w:r w:rsidR="001E2D0A">
        <w:rPr>
          <w:rFonts w:cs="Times New Roman"/>
          <w:szCs w:val="24"/>
        </w:rPr>
        <w:t xml:space="preserve"> (NOU 2013: 1 s. 207–208). </w:t>
      </w:r>
    </w:p>
    <w:p w:rsidR="007C29EF" w:rsidRPr="007C29EF" w:rsidRDefault="00DD74C7" w:rsidP="00DD74C7">
      <w:pPr>
        <w:rPr>
          <w:rFonts w:cs="Times New Roman"/>
          <w:szCs w:val="24"/>
        </w:rPr>
      </w:pPr>
      <w:r w:rsidRPr="008B1C04">
        <w:rPr>
          <w:rFonts w:cs="Times New Roman"/>
          <w:szCs w:val="24"/>
        </w:rPr>
        <w:t xml:space="preserve">I høringen var et flertall av </w:t>
      </w:r>
      <w:r>
        <w:rPr>
          <w:rFonts w:cs="Times New Roman"/>
          <w:szCs w:val="24"/>
        </w:rPr>
        <w:t xml:space="preserve">de relativt få </w:t>
      </w:r>
      <w:r w:rsidRPr="008B1C04">
        <w:rPr>
          <w:rFonts w:cs="Times New Roman"/>
          <w:szCs w:val="24"/>
        </w:rPr>
        <w:t>instansene som uttalte seg om å innføre et felles antallskrav</w:t>
      </w:r>
      <w:r w:rsidR="003B1007">
        <w:rPr>
          <w:rFonts w:cs="Times New Roman"/>
          <w:szCs w:val="24"/>
        </w:rPr>
        <w:t xml:space="preserve"> for tilskudd</w:t>
      </w:r>
      <w:r w:rsidRPr="008B1C04">
        <w:rPr>
          <w:rFonts w:cs="Times New Roman"/>
          <w:szCs w:val="24"/>
        </w:rPr>
        <w:t xml:space="preserve">, positive, inkludert Oslo kommune, </w:t>
      </w:r>
      <w:r>
        <w:rPr>
          <w:rFonts w:cs="Times New Roman"/>
          <w:szCs w:val="24"/>
        </w:rPr>
        <w:t xml:space="preserve">Borg biskop og bispedømmeråd, </w:t>
      </w:r>
      <w:r w:rsidRPr="008B1C04">
        <w:rPr>
          <w:rFonts w:cs="Times New Roman"/>
          <w:szCs w:val="24"/>
        </w:rPr>
        <w:t>Human-Etisk Forbund</w:t>
      </w:r>
      <w:r w:rsidR="00871359">
        <w:rPr>
          <w:rFonts w:cs="Times New Roman"/>
          <w:szCs w:val="24"/>
        </w:rPr>
        <w:t xml:space="preserve"> (HEF)</w:t>
      </w:r>
      <w:r w:rsidRPr="008B1C04">
        <w:rPr>
          <w:rFonts w:cs="Times New Roman"/>
          <w:szCs w:val="24"/>
        </w:rPr>
        <w:t xml:space="preserve"> og LIM (Likestilling, integrering, mangfold). Noen av inst</w:t>
      </w:r>
      <w:r>
        <w:rPr>
          <w:rFonts w:cs="Times New Roman"/>
          <w:szCs w:val="24"/>
        </w:rPr>
        <w:t>ansene mente at 100 medlemmer var</w:t>
      </w:r>
      <w:r w:rsidRPr="008B1C04">
        <w:rPr>
          <w:rFonts w:cs="Times New Roman"/>
          <w:szCs w:val="24"/>
        </w:rPr>
        <w:t xml:space="preserve"> for høyt, men støttet et lavere krav. </w:t>
      </w:r>
      <w:r w:rsidR="00871359">
        <w:rPr>
          <w:rFonts w:cs="Times New Roman"/>
          <w:szCs w:val="24"/>
        </w:rPr>
        <w:t xml:space="preserve">TF og </w:t>
      </w:r>
      <w:r w:rsidRPr="008B1C04">
        <w:rPr>
          <w:rFonts w:cs="Times New Roman"/>
          <w:szCs w:val="24"/>
        </w:rPr>
        <w:t xml:space="preserve">NKR var blant instansene som var kritiske. </w:t>
      </w:r>
    </w:p>
    <w:p w:rsidR="00DD74C7" w:rsidRPr="00906205" w:rsidRDefault="00DD74C7" w:rsidP="00DD74C7">
      <w:pPr>
        <w:rPr>
          <w:rFonts w:cs="Times New Roman"/>
          <w:szCs w:val="24"/>
        </w:rPr>
      </w:pPr>
      <w:r w:rsidRPr="008B1C04">
        <w:rPr>
          <w:rFonts w:cs="Times New Roman"/>
          <w:szCs w:val="24"/>
        </w:rPr>
        <w:t xml:space="preserve">NKR viste til at FNs spesialrapportør for religionsfrihet samt OSSE og Venezia-kommisjonen hadde frarådet antallskrav for registrering av tros- og livssynssamfunn. </w:t>
      </w:r>
      <w:r>
        <w:rPr>
          <w:rFonts w:cs="Times New Roman"/>
          <w:szCs w:val="24"/>
        </w:rPr>
        <w:t>Ifølge NKR vil et</w:t>
      </w:r>
      <w:r w:rsidRPr="008B1C04">
        <w:rPr>
          <w:rFonts w:cs="Times New Roman"/>
          <w:szCs w:val="24"/>
        </w:rPr>
        <w:t xml:space="preserve"> krav om 100 medlemmer medføre at frittstående menigheter som er organisert som lokale, selvstendige trossamfunn, ikke lenger </w:t>
      </w:r>
      <w:r w:rsidR="00B7515F">
        <w:rPr>
          <w:rFonts w:cs="Times New Roman"/>
          <w:szCs w:val="24"/>
        </w:rPr>
        <w:t xml:space="preserve">vil </w:t>
      </w:r>
      <w:r w:rsidRPr="008B1C04">
        <w:rPr>
          <w:rFonts w:cs="Times New Roman"/>
          <w:szCs w:val="24"/>
        </w:rPr>
        <w:t xml:space="preserve">få tilskudd, og </w:t>
      </w:r>
      <w:r>
        <w:rPr>
          <w:rFonts w:cs="Times New Roman"/>
          <w:szCs w:val="24"/>
        </w:rPr>
        <w:t xml:space="preserve">være </w:t>
      </w:r>
      <w:r w:rsidRPr="008B1C04">
        <w:rPr>
          <w:rFonts w:cs="Times New Roman"/>
          <w:szCs w:val="24"/>
        </w:rPr>
        <w:t>distriktsfiendtlig. Siden pinsemenighetenes organisering i selvstendige menigheter er forankret i et teologisk begrunnet kirkesyn, vil kravet oppleves som en forskjell</w:t>
      </w:r>
      <w:r w:rsidR="00777251">
        <w:rPr>
          <w:rFonts w:cs="Times New Roman"/>
          <w:szCs w:val="24"/>
        </w:rPr>
        <w:t>s</w:t>
      </w:r>
      <w:r w:rsidRPr="008B1C04">
        <w:rPr>
          <w:rFonts w:cs="Times New Roman"/>
          <w:szCs w:val="24"/>
        </w:rPr>
        <w:t xml:space="preserve">behandling på grunn av teologi. NKR hevdet at kravet også vil vanskeliggjøre etablering av religiøs virksomhet blant etniske og språklige minoritetsgrupper samt nyetablering av selvstendige menigheter som ikke hører inn under noen etablert sammenslutning. </w:t>
      </w:r>
      <w:r>
        <w:rPr>
          <w:rFonts w:cs="Times New Roman"/>
          <w:szCs w:val="24"/>
        </w:rPr>
        <w:t>NKR mente at a</w:t>
      </w:r>
      <w:r w:rsidRPr="008B1C04">
        <w:rPr>
          <w:rFonts w:cs="Times New Roman"/>
          <w:szCs w:val="24"/>
        </w:rPr>
        <w:t>ntallskravet</w:t>
      </w:r>
      <w:r>
        <w:rPr>
          <w:rFonts w:cs="Times New Roman"/>
          <w:szCs w:val="24"/>
        </w:rPr>
        <w:t xml:space="preserve"> var </w:t>
      </w:r>
      <w:r w:rsidRPr="008B1C04">
        <w:rPr>
          <w:rFonts w:cs="Times New Roman"/>
          <w:szCs w:val="24"/>
        </w:rPr>
        <w:t xml:space="preserve">motivert ut fra statens behov, ikke trossamfunnenes, </w:t>
      </w:r>
      <w:r>
        <w:rPr>
          <w:rFonts w:cs="Times New Roman"/>
          <w:szCs w:val="24"/>
        </w:rPr>
        <w:t xml:space="preserve">og at det </w:t>
      </w:r>
      <w:r w:rsidRPr="008B1C04">
        <w:rPr>
          <w:rFonts w:cs="Times New Roman"/>
          <w:szCs w:val="24"/>
        </w:rPr>
        <w:t xml:space="preserve">kan bidra til å presse trossamfunn inn i uønskede og praktisk krevende administrative overbygninger.  </w:t>
      </w:r>
      <w:r w:rsidRPr="008B1C04">
        <w:rPr>
          <w:rFonts w:cs="Times New Roman"/>
          <w:i/>
          <w:szCs w:val="24"/>
        </w:rPr>
        <w:t xml:space="preserve"> </w:t>
      </w:r>
    </w:p>
    <w:p w:rsidR="00DD74C7" w:rsidRDefault="00DD74C7" w:rsidP="00DD74C7">
      <w:pPr>
        <w:pStyle w:val="Overskrift3"/>
      </w:pPr>
      <w:bookmarkStart w:id="913" w:name="_Toc477799205"/>
      <w:bookmarkStart w:id="914" w:name="_Toc477805807"/>
      <w:bookmarkStart w:id="915" w:name="_Toc477878067"/>
      <w:bookmarkStart w:id="916" w:name="_Toc477881470"/>
      <w:bookmarkStart w:id="917" w:name="_Toc477885930"/>
      <w:bookmarkStart w:id="918" w:name="_Toc478131345"/>
      <w:bookmarkStart w:id="919" w:name="_Toc478138729"/>
      <w:bookmarkStart w:id="920" w:name="_Toc478232244"/>
      <w:bookmarkStart w:id="921" w:name="_Toc478237228"/>
      <w:bookmarkStart w:id="922" w:name="_Toc481761780"/>
      <w:bookmarkStart w:id="923" w:name="_Toc492900433"/>
      <w:r>
        <w:t>Departementets vurderinger</w:t>
      </w:r>
      <w:bookmarkEnd w:id="913"/>
      <w:bookmarkEnd w:id="914"/>
      <w:bookmarkEnd w:id="915"/>
      <w:bookmarkEnd w:id="916"/>
      <w:bookmarkEnd w:id="917"/>
      <w:bookmarkEnd w:id="918"/>
      <w:bookmarkEnd w:id="919"/>
      <w:bookmarkEnd w:id="920"/>
      <w:bookmarkEnd w:id="921"/>
      <w:bookmarkEnd w:id="922"/>
      <w:bookmarkEnd w:id="923"/>
      <w:r>
        <w:t xml:space="preserve"> </w:t>
      </w:r>
    </w:p>
    <w:p w:rsidR="00B26427" w:rsidRDefault="00DD74C7" w:rsidP="00DD74C7">
      <w:r w:rsidRPr="003371EB">
        <w:t>Departementet er enig med Stålsett</w:t>
      </w:r>
      <w:r w:rsidR="00A70F1B">
        <w:t>-</w:t>
      </w:r>
      <w:r w:rsidRPr="003371EB">
        <w:t>utvalget i at det bør settes et høyere an</w:t>
      </w:r>
      <w:r>
        <w:t xml:space="preserve">tallskrav for trossamfunn enn i dag, og </w:t>
      </w:r>
      <w:r w:rsidRPr="003371EB">
        <w:t>at kravet bør være det samme</w:t>
      </w:r>
      <w:r>
        <w:t xml:space="preserve"> for tros- og livssynssamfunn. </w:t>
      </w:r>
    </w:p>
    <w:p w:rsidR="0080373C" w:rsidRDefault="00C356BE" w:rsidP="00A11546">
      <w:r>
        <w:t>I likhet med utvalget mener d</w:t>
      </w:r>
      <w:r w:rsidR="00A11546" w:rsidRPr="007147D9">
        <w:t xml:space="preserve">epartementet </w:t>
      </w:r>
      <w:r>
        <w:t xml:space="preserve">at </w:t>
      </w:r>
      <w:r w:rsidR="00C03745">
        <w:t>tros- og livssynssamfunn som skal understøttes av staten</w:t>
      </w:r>
      <w:r w:rsidR="00A70F1B">
        <w:t xml:space="preserve"> fordi organisert tros- og livssynsutøvelse anses særlig støtteverdig</w:t>
      </w:r>
      <w:r w:rsidR="00C03745">
        <w:t>, bør oppfylle visse minstekrav til størrelse, stabilitet og livskraft</w:t>
      </w:r>
      <w:r>
        <w:t xml:space="preserve">, </w:t>
      </w:r>
      <w:r w:rsidR="00A11546" w:rsidRPr="007147D9">
        <w:t xml:space="preserve">jf. også departementets generelle drøftinger i </w:t>
      </w:r>
      <w:r w:rsidR="00BE2F09">
        <w:t>kapittel 6</w:t>
      </w:r>
      <w:r w:rsidR="00A11546" w:rsidRPr="007147D9">
        <w:t xml:space="preserve"> om en aktivt støttende tros- og livssynspolitikk. Også administrative hensyn, mulighetene for å kunne følge opp de enkelte samfunnene m.m</w:t>
      </w:r>
      <w:r w:rsidR="00BE2F09">
        <w:t>.</w:t>
      </w:r>
      <w:r w:rsidR="00A11546" w:rsidRPr="007147D9">
        <w:t xml:space="preserve"> tilsier at det i framtiden bør settes en minstegrense for samfunnets størrelse for at støtte skal kunne gis. </w:t>
      </w:r>
    </w:p>
    <w:p w:rsidR="006B5033" w:rsidRDefault="006B5033" w:rsidP="00C92446">
      <w:r>
        <w:t xml:space="preserve">I kapittel 18 nedenfor drøfter departementet hvilke regler </w:t>
      </w:r>
      <w:r w:rsidR="00B04504">
        <w:t>loven bør gi om</w:t>
      </w:r>
      <w:r>
        <w:t xml:space="preserve"> medlemskap og</w:t>
      </w:r>
      <w:r w:rsidR="00FF4913">
        <w:t xml:space="preserve"> tilhørighet i</w:t>
      </w:r>
      <w:r>
        <w:t xml:space="preserve"> tros- og livssynssamfunn. </w:t>
      </w:r>
      <w:r w:rsidR="00B04504">
        <w:t xml:space="preserve">Av forenklings- og likebehandlingshensyn mener departementet at </w:t>
      </w:r>
      <w:r w:rsidR="00C92446">
        <w:t>bare medlemmer som har f</w:t>
      </w:r>
      <w:r w:rsidR="00FF4913">
        <w:t>ylt 15 år, bør telle med når statstilskuddet</w:t>
      </w:r>
      <w:r w:rsidR="00C92446">
        <w:t xml:space="preserve"> til tros- og livssynssamfunn</w:t>
      </w:r>
      <w:r w:rsidR="00FF4913">
        <w:t xml:space="preserve"> skal</w:t>
      </w:r>
      <w:r w:rsidR="00C92446">
        <w:t xml:space="preserve"> beregnes. Videre mener departementet at tilskuddstellende medlemskap bør forbeholdes personer som selv har meldt seg inn eller blitt innmeldt av foreldre eller verge, som er bosatt i riket, og </w:t>
      </w:r>
      <w:r w:rsidR="00E234A1">
        <w:t xml:space="preserve">som ikke </w:t>
      </w:r>
      <w:r w:rsidR="00F47AD2">
        <w:t xml:space="preserve">er </w:t>
      </w:r>
      <w:r w:rsidR="00C92446">
        <w:t>medlem i Den norske kirke eller annet registrert tros- eller livssynssamfunn</w:t>
      </w:r>
      <w:r w:rsidR="00F47AD2">
        <w:t>.</w:t>
      </w:r>
      <w:r w:rsidR="00C92446">
        <w:t xml:space="preserve"> </w:t>
      </w:r>
    </w:p>
    <w:p w:rsidR="00825BED" w:rsidRDefault="00934429" w:rsidP="00A11546">
      <w:r>
        <w:t xml:space="preserve">For at </w:t>
      </w:r>
      <w:r w:rsidR="004B370D">
        <w:t>vedkommende fylke</w:t>
      </w:r>
      <w:r w:rsidR="00210ADF">
        <w:t>s</w:t>
      </w:r>
      <w:r w:rsidR="004B370D">
        <w:t>mann</w:t>
      </w:r>
      <w:r w:rsidR="00992A07">
        <w:t xml:space="preserve"> skal kunne føre en mer effektiv og inngående kontroll av om tros- og livssynssamfunnene oppfyller </w:t>
      </w:r>
      <w:r w:rsidR="00084ED7">
        <w:t xml:space="preserve">lovbestemte </w:t>
      </w:r>
      <w:r w:rsidR="00992A07">
        <w:t>krav og vilkår</w:t>
      </w:r>
      <w:r w:rsidR="00084ED7">
        <w:t xml:space="preserve"> </w:t>
      </w:r>
      <w:r w:rsidR="00992A07">
        <w:t>enn det fylkesmannsembetene har forutsetninger for å gjøre i dag, må antallet tilskudd</w:t>
      </w:r>
      <w:r w:rsidR="004B370D">
        <w:t>s</w:t>
      </w:r>
      <w:r w:rsidR="00992A07">
        <w:t xml:space="preserve">berettigede tros- og livssynssamfunn etter departementets oppfatning reduseres </w:t>
      </w:r>
      <w:r w:rsidR="00223134">
        <w:t xml:space="preserve">vesentlig </w:t>
      </w:r>
      <w:r w:rsidR="00992A07">
        <w:t xml:space="preserve">fra dagens 783. </w:t>
      </w:r>
    </w:p>
    <w:p w:rsidR="00B26427" w:rsidRDefault="00825BED" w:rsidP="00B26427">
      <w:r>
        <w:t>Med en minstegrense på 1 000 tilskuddstellende medlemmer over 15 år, vil antall</w:t>
      </w:r>
      <w:r w:rsidR="00210ADF">
        <w:t>et</w:t>
      </w:r>
      <w:r>
        <w:t xml:space="preserve"> tilskuddsberettigede tros- og liv</w:t>
      </w:r>
      <w:r w:rsidR="00A16F46">
        <w:t>ssynssamfunn reduseres fra 783 t</w:t>
      </w:r>
      <w:r>
        <w:t xml:space="preserve">il </w:t>
      </w:r>
      <w:r w:rsidR="00A16F46">
        <w:t>5</w:t>
      </w:r>
      <w:r w:rsidR="00FE46FB">
        <w:t>5</w:t>
      </w:r>
      <w:r w:rsidR="003E254A">
        <w:t xml:space="preserve"> samfunn</w:t>
      </w:r>
      <w:r w:rsidR="00FE46FB">
        <w:t>, ifølge tall fra Brønnøysundregistrene</w:t>
      </w:r>
      <w:r w:rsidR="00861D38">
        <w:t xml:space="preserve"> (2016-tall)</w:t>
      </w:r>
      <w:r w:rsidR="00FE46FB">
        <w:t>.</w:t>
      </w:r>
      <w:r w:rsidR="00A16F46">
        <w:t xml:space="preserve"> </w:t>
      </w:r>
      <w:r w:rsidR="00B26427">
        <w:t>S</w:t>
      </w:r>
      <w:r w:rsidR="00861D38">
        <w:t>amfunnene som i 2016 hadde</w:t>
      </w:r>
      <w:r w:rsidR="00B26427">
        <w:t xml:space="preserve"> </w:t>
      </w:r>
      <w:r w:rsidR="00B26427" w:rsidRPr="007147D9">
        <w:t xml:space="preserve">færre enn </w:t>
      </w:r>
      <w:r w:rsidR="00B26427">
        <w:t>1 000</w:t>
      </w:r>
      <w:r w:rsidR="00B26427" w:rsidRPr="007147D9">
        <w:t xml:space="preserve"> </w:t>
      </w:r>
      <w:r w:rsidR="00B26427" w:rsidRPr="007147D9">
        <w:lastRenderedPageBreak/>
        <w:t>tilskuddstellende medlemmer</w:t>
      </w:r>
      <w:r w:rsidR="00B26427">
        <w:t xml:space="preserve"> over 15 år</w:t>
      </w:r>
      <w:r w:rsidR="00861D38">
        <w:t xml:space="preserve">, </w:t>
      </w:r>
      <w:r w:rsidR="00F47AD2">
        <w:t xml:space="preserve">i alt 728 samfunn, </w:t>
      </w:r>
      <w:r w:rsidR="00861D38">
        <w:t>hadde</w:t>
      </w:r>
      <w:r w:rsidR="00B26427" w:rsidRPr="007147D9">
        <w:t xml:space="preserve"> samlet </w:t>
      </w:r>
      <w:r w:rsidR="00B26427">
        <w:t>sett ca. 1</w:t>
      </w:r>
      <w:r w:rsidR="00F47AD2">
        <w:t>30</w:t>
      </w:r>
      <w:r w:rsidR="00B26427">
        <w:t xml:space="preserve"> </w:t>
      </w:r>
      <w:r w:rsidR="00F47AD2">
        <w:t>0</w:t>
      </w:r>
      <w:r w:rsidR="00B26427">
        <w:t xml:space="preserve">00 tilskuddstellende </w:t>
      </w:r>
      <w:r w:rsidR="00B26427" w:rsidRPr="007147D9">
        <w:t>medlem</w:t>
      </w:r>
      <w:r w:rsidR="00B26427">
        <w:t>mer.</w:t>
      </w:r>
      <w:r w:rsidR="00EE43B4">
        <w:t xml:space="preserve"> </w:t>
      </w:r>
    </w:p>
    <w:p w:rsidR="00332655" w:rsidRDefault="00332655" w:rsidP="00332655">
      <w:r>
        <w:t xml:space="preserve">Et antallskrav på 500 tilskuddstellende medlemmer over 15 år vil bety at antallet tilskuddsberettigede tros- og livssynssamfunn synker fra 783 til 123 samfunn. Samfunnene som i 2016 hadde </w:t>
      </w:r>
      <w:r w:rsidRPr="007147D9">
        <w:t xml:space="preserve">færre enn </w:t>
      </w:r>
      <w:r>
        <w:t>500</w:t>
      </w:r>
      <w:r w:rsidRPr="007147D9">
        <w:t xml:space="preserve"> tilskuddstellende medlemmer</w:t>
      </w:r>
      <w:r>
        <w:t xml:space="preserve"> over 15 år, hadde</w:t>
      </w:r>
      <w:r w:rsidRPr="007147D9">
        <w:t xml:space="preserve"> </w:t>
      </w:r>
      <w:r>
        <w:t xml:space="preserve">til sammen ca. 81 000 tilskuddstellende </w:t>
      </w:r>
      <w:r w:rsidRPr="007147D9">
        <w:t>medlem</w:t>
      </w:r>
      <w:r>
        <w:t>mer.</w:t>
      </w:r>
      <w:r w:rsidR="00A07FA9">
        <w:t xml:space="preserve"> </w:t>
      </w:r>
      <w:r w:rsidR="00223134">
        <w:t xml:space="preserve">I kapittel 18 er alderskravet på 15 år nærmere omtalt, og det vises til omtalen der. </w:t>
      </w:r>
      <w:r w:rsidR="00A07FA9">
        <w:t>Det vises ellers til kapittel 23</w:t>
      </w:r>
      <w:r>
        <w:t xml:space="preserve"> om ø</w:t>
      </w:r>
      <w:r w:rsidRPr="007147D9">
        <w:t xml:space="preserve">konomiske og administrative konsekvenser, der virkningen av antallskravet </w:t>
      </w:r>
      <w:r w:rsidR="00223134">
        <w:t xml:space="preserve">på 500 medlemmer over 15 år </w:t>
      </w:r>
      <w:r w:rsidRPr="007147D9">
        <w:t>er nærmer</w:t>
      </w:r>
      <w:r>
        <w:t>e omtalt</w:t>
      </w:r>
      <w:r w:rsidR="00D50F87">
        <w:t xml:space="preserve">. </w:t>
      </w:r>
      <w:r w:rsidR="00F47AD2">
        <w:t>O</w:t>
      </w:r>
      <w:r w:rsidR="00D50F87">
        <w:t>gså virkningen</w:t>
      </w:r>
      <w:r w:rsidR="00A72958">
        <w:t>e ved</w:t>
      </w:r>
      <w:r w:rsidR="00D50F87">
        <w:t xml:space="preserve"> antallskrav </w:t>
      </w:r>
      <w:r w:rsidR="00B24B4E">
        <w:t xml:space="preserve">som er lavere eller høyere </w:t>
      </w:r>
      <w:r w:rsidR="00D50F87">
        <w:t>enn 500</w:t>
      </w:r>
      <w:r w:rsidR="00F47AD2">
        <w:t xml:space="preserve"> er illustrert i kapittel 23</w:t>
      </w:r>
      <w:r w:rsidR="00D50F87">
        <w:t>.</w:t>
      </w:r>
    </w:p>
    <w:p w:rsidR="005F2785" w:rsidRDefault="00501070" w:rsidP="00B26427">
      <w:r>
        <w:t>Ved innføring</w:t>
      </w:r>
      <w:r w:rsidR="00210ADF">
        <w:t>en</w:t>
      </w:r>
      <w:r>
        <w:t xml:space="preserve"> av et</w:t>
      </w:r>
      <w:r w:rsidR="00EE43B4" w:rsidRPr="007147D9">
        <w:t xml:space="preserve"> </w:t>
      </w:r>
      <w:r>
        <w:t xml:space="preserve">antallskrav </w:t>
      </w:r>
      <w:r w:rsidR="00EE43B4">
        <w:t>vil mindre</w:t>
      </w:r>
      <w:r w:rsidR="00EE43B4" w:rsidRPr="007147D9">
        <w:t xml:space="preserve"> samfunn </w:t>
      </w:r>
      <w:r w:rsidR="00EE43B4">
        <w:t>kunne gå sammen med andre</w:t>
      </w:r>
      <w:r>
        <w:t xml:space="preserve"> </w:t>
      </w:r>
      <w:r w:rsidR="00EE43B4">
        <w:t xml:space="preserve">samfunn </w:t>
      </w:r>
      <w:r w:rsidR="00EE43B4" w:rsidRPr="007147D9">
        <w:t>i en organisatorisk over</w:t>
      </w:r>
      <w:r>
        <w:t>bygning f</w:t>
      </w:r>
      <w:r w:rsidR="00B7515F">
        <w:t>o</w:t>
      </w:r>
      <w:r>
        <w:t>r å møte kravet.</w:t>
      </w:r>
      <w:r w:rsidR="00FE46FB">
        <w:t xml:space="preserve"> </w:t>
      </w:r>
      <w:r w:rsidR="00B26427" w:rsidRPr="003371EB">
        <w:t xml:space="preserve">Departementet understreker at </w:t>
      </w:r>
      <w:r w:rsidR="00B26427">
        <w:t xml:space="preserve">dette ikke innebærer at </w:t>
      </w:r>
      <w:r w:rsidR="00B26427" w:rsidRPr="003371EB">
        <w:t>samfunn</w:t>
      </w:r>
      <w:r w:rsidR="00B26427">
        <w:t>ene</w:t>
      </w:r>
      <w:r w:rsidR="00B26427" w:rsidRPr="003371EB">
        <w:t xml:space="preserve"> må slå seg sammen og oppgi sin selvstendighet. Imidlertid må det finnes en felles instans som kan </w:t>
      </w:r>
      <w:r w:rsidR="00B26427">
        <w:t xml:space="preserve">fremme søknad om registrering og kreve tilskudd, og som kan </w:t>
      </w:r>
      <w:r w:rsidR="00B26427" w:rsidRPr="003371EB">
        <w:t xml:space="preserve">stilles til ansvar </w:t>
      </w:r>
      <w:r w:rsidR="00B26427">
        <w:t xml:space="preserve">for at krav og plikter etter loven oppfylles. </w:t>
      </w:r>
      <w:r w:rsidR="00B26427" w:rsidRPr="003371EB">
        <w:t>Fellesinstansen behøver ikke være landsdekkende. Tros</w:t>
      </w:r>
      <w:r w:rsidR="00B26427">
        <w:t>- eller livssyns</w:t>
      </w:r>
      <w:r w:rsidR="00B26427" w:rsidRPr="003371EB">
        <w:t xml:space="preserve">samfunnene som inngår i </w:t>
      </w:r>
      <w:r w:rsidR="00223134">
        <w:t>en slik overbygning</w:t>
      </w:r>
      <w:r w:rsidR="00B851EC">
        <w:t>,</w:t>
      </w:r>
      <w:r w:rsidR="00B26427" w:rsidRPr="003371EB">
        <w:t xml:space="preserve"> </w:t>
      </w:r>
      <w:r w:rsidR="00B26427">
        <w:t>trenger</w:t>
      </w:r>
      <w:r w:rsidR="00B26427" w:rsidRPr="003371EB">
        <w:t xml:space="preserve"> heller ikke være geografisk til</w:t>
      </w:r>
      <w:r w:rsidR="00B26427">
        <w:t xml:space="preserve">støtende eller nære hverandre. Departementet </w:t>
      </w:r>
      <w:r w:rsidR="003C271F">
        <w:t>mener</w:t>
      </w:r>
      <w:r w:rsidR="00B26427">
        <w:t xml:space="preserve"> det bør være et krav at samfunnene som vil samordne seg, skal være likeartede i den forstand at de tilhører samme religion eller livssyn. </w:t>
      </w:r>
    </w:p>
    <w:p w:rsidR="00B26427" w:rsidRDefault="005F2785" w:rsidP="00B26427">
      <w:r>
        <w:t xml:space="preserve">Muligheten for </w:t>
      </w:r>
      <w:r w:rsidR="00A945C7">
        <w:t>organisatoriske tilpasn</w:t>
      </w:r>
      <w:r w:rsidR="00332655">
        <w:t xml:space="preserve">inger betyr at virkningen av </w:t>
      </w:r>
      <w:r w:rsidR="00A945C7">
        <w:t>antallskrav</w:t>
      </w:r>
      <w:r w:rsidR="00332655">
        <w:t>ene ikke</w:t>
      </w:r>
      <w:r w:rsidR="00A945C7">
        <w:t xml:space="preserve"> vil bli så sterk som tallene ovenfor indikerer.</w:t>
      </w:r>
      <w:r w:rsidR="00332655">
        <w:t xml:space="preserve"> </w:t>
      </w:r>
    </w:p>
    <w:p w:rsidR="00F3616F" w:rsidRDefault="00F3616F" w:rsidP="00F3616F">
      <w:r>
        <w:t>Departementet mener at loven av rimelighetsgrunner bør åpne for unntak fra antallskravet, men bare i helt særlige tilfeller. Departementet mener derfor at antallskravet bare skal kunne fravikes for trossamfunn som tilhører en veletablert religion eller trosretning internasjonalt, som har lang historie i Norge, og som ikke har likeartede samfunn som det er mulig å møte antallskravet i fellesskap med.</w:t>
      </w:r>
    </w:p>
    <w:p w:rsidR="00F3616F" w:rsidRDefault="00F3616F" w:rsidP="00F3616F">
      <w:r>
        <w:t xml:space="preserve">En unntaksregel som skissert ovenfor, vil </w:t>
      </w:r>
      <w:r w:rsidR="00530C63">
        <w:t xml:space="preserve">kunne </w:t>
      </w:r>
      <w:r>
        <w:t>by på vanskelige grensedragninger, og det er derfor departementets forutsetning at den skal anvendes svært restriktivt og på en ikke-diskriminerende måte.</w:t>
      </w:r>
    </w:p>
    <w:p w:rsidR="00F3616F" w:rsidRDefault="00F3616F" w:rsidP="00F3616F">
      <w:r>
        <w:t xml:space="preserve">Departementet viser til regulering av </w:t>
      </w:r>
      <w:r w:rsidR="00461027">
        <w:t xml:space="preserve">tilsvarende forhold i Sverige. </w:t>
      </w:r>
      <w:r>
        <w:t>Etter den svenske forskriften om statsbiodrag til trossamfunn (Tillämpningsföreskrifter för statsbidrag till trossamfund, antagna av SST 2015-02-17, rev. 160217), må samfunnet blant annet oppfylle et vilkår om</w:t>
      </w:r>
      <w:r w:rsidR="00461027">
        <w:t xml:space="preserve"> å</w:t>
      </w:r>
      <w:r>
        <w:t xml:space="preserve"> "ha egen livskraft" for å ha krav på tilskudd. Dette vilkåret anses som hovedregel oppfylt om samfunnet betjener minst 3</w:t>
      </w:r>
      <w:r w:rsidR="00461027">
        <w:t xml:space="preserve"> </w:t>
      </w:r>
      <w:r>
        <w:t>000 personer. Dette antallskravet kan fravikes etter følgende unntaksbestemmelse: "Om samfundet betjänar färre än 3 000 personer bör det ändå anses ha egen livskraft, om det utgör en del av ett internationellt verksamt trossamfund av betydande omfattning, samt att man tillsammans med andra samfund inom samma samfundsfamilj bildar ett organ för samverkan om fördelning av statsbidrag."</w:t>
      </w:r>
    </w:p>
    <w:p w:rsidR="00530C63" w:rsidRDefault="00F3616F" w:rsidP="00F3616F">
      <w:r>
        <w:t xml:space="preserve">Med en </w:t>
      </w:r>
      <w:r w:rsidRPr="003371EB">
        <w:t xml:space="preserve">minstegrense på </w:t>
      </w:r>
      <w:r>
        <w:t>500</w:t>
      </w:r>
      <w:r w:rsidRPr="003371EB">
        <w:t xml:space="preserve"> medlemmer </w:t>
      </w:r>
      <w:r>
        <w:t xml:space="preserve">over 15 år, og en svært begrenset adgang til å gi unntak, </w:t>
      </w:r>
      <w:r w:rsidRPr="003371EB">
        <w:t xml:space="preserve">vil </w:t>
      </w:r>
      <w:r>
        <w:t xml:space="preserve">en oppnå betydelige </w:t>
      </w:r>
      <w:r w:rsidRPr="003371EB">
        <w:t>fordele</w:t>
      </w:r>
      <w:r>
        <w:t>r</w:t>
      </w:r>
      <w:r w:rsidRPr="003371EB">
        <w:t xml:space="preserve"> </w:t>
      </w:r>
      <w:r>
        <w:t>for det</w:t>
      </w:r>
      <w:r w:rsidRPr="003371EB">
        <w:t xml:space="preserve"> offentlige. Forslaget vil gi administrative </w:t>
      </w:r>
      <w:r>
        <w:t xml:space="preserve">lettelser ved at </w:t>
      </w:r>
      <w:r w:rsidRPr="003371EB">
        <w:t>det bli</w:t>
      </w:r>
      <w:r>
        <w:t>r</w:t>
      </w:r>
      <w:r w:rsidRPr="003371EB">
        <w:t xml:space="preserve"> færre </w:t>
      </w:r>
      <w:r>
        <w:t>samfunn</w:t>
      </w:r>
      <w:r w:rsidRPr="003371EB">
        <w:t xml:space="preserve"> å forholde seg</w:t>
      </w:r>
      <w:r w:rsidR="00530C63">
        <w:t xml:space="preserve"> til, kontrollere og følge opp.</w:t>
      </w:r>
    </w:p>
    <w:p w:rsidR="00CD3F20" w:rsidRDefault="00CD3F20" w:rsidP="00CD3F20">
      <w:r>
        <w:t>Departementet foreslår at antallsgrensen formelt knyttes til registrering. Den vil imidlertid da også fungere som et vilkår for tilskudd og for å kunne få vi</w:t>
      </w:r>
      <w:r w:rsidR="00460CE8">
        <w:t>gselsrett, se nedenfor i kap</w:t>
      </w:r>
      <w:r w:rsidR="00D84F4D">
        <w:t>itlene</w:t>
      </w:r>
      <w:r w:rsidR="00EC174A">
        <w:t xml:space="preserve"> </w:t>
      </w:r>
      <w:r w:rsidR="00EC174A">
        <w:lastRenderedPageBreak/>
        <w:t>15 og 19</w:t>
      </w:r>
      <w:r>
        <w:t>. Departementet vil presisere at a</w:t>
      </w:r>
      <w:r w:rsidRPr="003371EB">
        <w:t>ntallskravet som foreslås</w:t>
      </w:r>
      <w:r>
        <w:t>,</w:t>
      </w:r>
      <w:r w:rsidRPr="003371EB">
        <w:t xml:space="preserve"> ikke </w:t>
      </w:r>
      <w:r>
        <w:t xml:space="preserve">vil </w:t>
      </w:r>
      <w:r w:rsidRPr="003371EB">
        <w:t>begrense adgangen til å etablere tros</w:t>
      </w:r>
      <w:r>
        <w:t>- og livssyns</w:t>
      </w:r>
      <w:r w:rsidRPr="003371EB">
        <w:t>samfunn som selvstendige rettssubjekt</w:t>
      </w:r>
      <w:r>
        <w:t>er</w:t>
      </w:r>
      <w:r w:rsidRPr="003371EB">
        <w:t>.</w:t>
      </w:r>
    </w:p>
    <w:p w:rsidR="00531BC1" w:rsidRPr="00240668" w:rsidRDefault="00531BC1" w:rsidP="00531BC1">
      <w:pPr>
        <w:rPr>
          <w:rFonts w:cs="Times New Roman"/>
          <w:szCs w:val="24"/>
        </w:rPr>
      </w:pPr>
      <w:r w:rsidRPr="00240668">
        <w:rPr>
          <w:rFonts w:cs="Times New Roman"/>
          <w:szCs w:val="24"/>
        </w:rPr>
        <w:t>Hensynet til en forsvarlig håndtering av vigselsoppgavene</w:t>
      </w:r>
      <w:r>
        <w:rPr>
          <w:rFonts w:cs="Times New Roman"/>
          <w:szCs w:val="24"/>
        </w:rPr>
        <w:t xml:space="preserve"> taler for et antallskrav. Det</w:t>
      </w:r>
      <w:r w:rsidRPr="00240668">
        <w:rPr>
          <w:rFonts w:cs="Times New Roman"/>
          <w:szCs w:val="24"/>
        </w:rPr>
        <w:t xml:space="preserve"> samme gjør forenklings- og effektiviseringshensyn for det offentlige. En felles minstegrense på </w:t>
      </w:r>
      <w:r>
        <w:rPr>
          <w:rFonts w:cs="Times New Roman"/>
          <w:szCs w:val="24"/>
        </w:rPr>
        <w:t>500 tilskuddstellende medlemmer</w:t>
      </w:r>
      <w:r w:rsidRPr="00240668">
        <w:rPr>
          <w:rFonts w:cs="Times New Roman"/>
          <w:szCs w:val="24"/>
        </w:rPr>
        <w:t xml:space="preserve"> vil gi administrative forenklinger for staten; det vil bli færre samfunn og formodentlig også færre vigslere å forholde seg til, kontrollere og følge opp. En utvikling der stadig flere små trossamfunn som </w:t>
      </w:r>
      <w:r w:rsidR="00B7515F">
        <w:rPr>
          <w:rFonts w:cs="Times New Roman"/>
          <w:szCs w:val="24"/>
        </w:rPr>
        <w:t xml:space="preserve">nyopprettes og </w:t>
      </w:r>
      <w:r w:rsidRPr="00240668">
        <w:rPr>
          <w:rFonts w:cs="Times New Roman"/>
          <w:szCs w:val="24"/>
        </w:rPr>
        <w:t xml:space="preserve">ofte kan ha en kort levetid, gis vigselsrett, er ikke ønskelig. </w:t>
      </w:r>
      <w:r w:rsidR="00D50F87">
        <w:t xml:space="preserve">At tros- og livssynssamfunn må ha minst 500 </w:t>
      </w:r>
      <w:r w:rsidR="00D50F87" w:rsidRPr="00240668">
        <w:rPr>
          <w:rFonts w:cs="Times New Roman"/>
          <w:szCs w:val="24"/>
        </w:rPr>
        <w:t xml:space="preserve">tilskuddstellende medlemmer for å kunne få vigselsrett, er i tråd med </w:t>
      </w:r>
      <w:r w:rsidR="00D50F87">
        <w:rPr>
          <w:rFonts w:cs="Times New Roman"/>
          <w:szCs w:val="24"/>
        </w:rPr>
        <w:t>Stålsett-utvalget</w:t>
      </w:r>
      <w:r w:rsidR="00D50F87" w:rsidRPr="00240668">
        <w:rPr>
          <w:rFonts w:cs="Times New Roman"/>
          <w:szCs w:val="24"/>
        </w:rPr>
        <w:t xml:space="preserve">s anbefalinger. </w:t>
      </w:r>
    </w:p>
    <w:p w:rsidR="00A67F33" w:rsidRDefault="00EC174A" w:rsidP="001E491E">
      <w:r>
        <w:t>Etter</w:t>
      </w:r>
      <w:r w:rsidR="00D31F6E">
        <w:t xml:space="preserve"> departementets syn bør ikke </w:t>
      </w:r>
      <w:r>
        <w:t xml:space="preserve">tros- </w:t>
      </w:r>
      <w:r w:rsidR="00D31F6E">
        <w:t>og</w:t>
      </w:r>
      <w:r w:rsidR="0034075E">
        <w:t xml:space="preserve"> livssynssamfunn </w:t>
      </w:r>
      <w:r w:rsidR="00360FF2">
        <w:t>nødvendigvis</w:t>
      </w:r>
      <w:r>
        <w:t xml:space="preserve"> </w:t>
      </w:r>
      <w:r w:rsidR="00D52472">
        <w:t xml:space="preserve">tape </w:t>
      </w:r>
      <w:r w:rsidR="001E2D0A">
        <w:t>status</w:t>
      </w:r>
      <w:r w:rsidR="00D52472">
        <w:t>en</w:t>
      </w:r>
      <w:r w:rsidR="001E2D0A">
        <w:t xml:space="preserve"> som registrert og dermed også </w:t>
      </w:r>
      <w:r w:rsidR="00A11546">
        <w:t>tilskudds- og vigselsrett</w:t>
      </w:r>
      <w:r w:rsidR="00FE096E">
        <w:t>en</w:t>
      </w:r>
      <w:r w:rsidR="00D31F6E">
        <w:t xml:space="preserve"> hvis</w:t>
      </w:r>
      <w:r w:rsidR="0034075E">
        <w:t xml:space="preserve"> medlemstallet faller under minstegrensen</w:t>
      </w:r>
      <w:r w:rsidR="001E2D0A">
        <w:t xml:space="preserve">. </w:t>
      </w:r>
      <w:r>
        <w:t>U</w:t>
      </w:r>
      <w:r w:rsidR="001E2D0A">
        <w:t xml:space="preserve">ndertalligheten </w:t>
      </w:r>
      <w:r>
        <w:t xml:space="preserve">kan </w:t>
      </w:r>
      <w:r w:rsidR="001E2D0A">
        <w:t>være midlerti</w:t>
      </w:r>
      <w:r w:rsidR="008C1962">
        <w:t xml:space="preserve">dig. Det vil være uheldig om </w:t>
      </w:r>
      <w:r w:rsidR="001E2D0A">
        <w:t>tros</w:t>
      </w:r>
      <w:r w:rsidR="008C1962">
        <w:t>- og</w:t>
      </w:r>
      <w:r>
        <w:t xml:space="preserve"> livssyns</w:t>
      </w:r>
      <w:r w:rsidR="001E2D0A">
        <w:t xml:space="preserve">samfunn hvis medlemstall fra år til år veksler mellom om å være like over og like under antallskravet, skal slettes det ene året og nyregistreres i det neste. </w:t>
      </w:r>
    </w:p>
    <w:p w:rsidR="005D5A00" w:rsidRDefault="00DB3972" w:rsidP="001E491E">
      <w:r>
        <w:t xml:space="preserve">Det vil ikke være hensiktsmessig å fastsette en </w:t>
      </w:r>
      <w:r w:rsidR="001E2D0A">
        <w:t xml:space="preserve">særskilt minstegrense for når </w:t>
      </w:r>
      <w:r>
        <w:t xml:space="preserve">et undertallig samfunn skal fratas registreringsstatusen, </w:t>
      </w:r>
      <w:r w:rsidR="001E2D0A">
        <w:t>bl</w:t>
      </w:r>
      <w:r>
        <w:t>a</w:t>
      </w:r>
      <w:r w:rsidR="00223134">
        <w:t xml:space="preserve">nt annet </w:t>
      </w:r>
      <w:r w:rsidR="001E2D0A">
        <w:t>fordi det kan få uheldige konsekvenser for likebehandling av samfunnene. Departementet mener at både undertallighetens årsak(er), størrelse og varighet kan være relevante momenter i vurderingen av om tros</w:t>
      </w:r>
      <w:r>
        <w:t>- eller livssyns</w:t>
      </w:r>
      <w:r w:rsidR="001E2D0A">
        <w:t xml:space="preserve">samfunnet bør slettes </w:t>
      </w:r>
      <w:r>
        <w:t>fra registeret</w:t>
      </w:r>
      <w:r w:rsidR="001E2D0A">
        <w:t xml:space="preserve">. </w:t>
      </w:r>
      <w:r>
        <w:t>Nærmere regler om dette kan fastsettes i</w:t>
      </w:r>
      <w:r w:rsidR="001E2D0A">
        <w:t xml:space="preserve"> </w:t>
      </w:r>
      <w:r w:rsidR="00E74263">
        <w:t>forskrift.</w:t>
      </w:r>
    </w:p>
    <w:p w:rsidR="00D30383" w:rsidRDefault="00D30383" w:rsidP="00D30383">
      <w:r>
        <w:t>Departemente</w:t>
      </w:r>
      <w:r w:rsidR="00302559">
        <w:t>t foreslår følgende regler</w:t>
      </w:r>
      <w:r>
        <w:t xml:space="preserve"> om registrering i </w:t>
      </w:r>
      <w:r w:rsidR="00051329">
        <w:t>lov</w:t>
      </w:r>
      <w:r>
        <w:t xml:space="preserve">utkastet § 3: </w:t>
      </w:r>
    </w:p>
    <w:p w:rsidR="00D30383" w:rsidRPr="00D46082" w:rsidRDefault="00D30383" w:rsidP="002F269C">
      <w:pPr>
        <w:pStyle w:val="blokksit"/>
        <w:rPr>
          <w:rStyle w:val="kursiv"/>
        </w:rPr>
      </w:pPr>
      <w:r w:rsidRPr="002F269C">
        <w:rPr>
          <w:rStyle w:val="kursiv"/>
        </w:rPr>
        <w:t>Et tros- eller livssynssamfunn kan bli registrert når det er fast organisert og har m</w:t>
      </w:r>
      <w:r w:rsidR="00214882" w:rsidRPr="002F269C">
        <w:rPr>
          <w:rStyle w:val="kursiv"/>
        </w:rPr>
        <w:t>inst</w:t>
      </w:r>
      <w:r w:rsidRPr="002F269C">
        <w:rPr>
          <w:rStyle w:val="kursiv"/>
        </w:rPr>
        <w:t xml:space="preserve"> 500 medlemmer </w:t>
      </w:r>
      <w:r w:rsidRPr="00D46082">
        <w:rPr>
          <w:rStyle w:val="kursiv"/>
        </w:rPr>
        <w:t>som</w:t>
      </w:r>
    </w:p>
    <w:p w:rsidR="00D30383" w:rsidRPr="00D46082" w:rsidRDefault="00D30383" w:rsidP="002F269C">
      <w:pPr>
        <w:pStyle w:val="alfaliste2"/>
        <w:numPr>
          <w:ilvl w:val="1"/>
          <w:numId w:val="43"/>
        </w:numPr>
        <w:rPr>
          <w:rStyle w:val="kursiv"/>
        </w:rPr>
      </w:pPr>
      <w:r w:rsidRPr="00D46082">
        <w:rPr>
          <w:rStyle w:val="kursiv"/>
        </w:rPr>
        <w:t xml:space="preserve">har fylt 15 år, </w:t>
      </w:r>
    </w:p>
    <w:p w:rsidR="00D30383" w:rsidRPr="00D46082" w:rsidRDefault="00D30383" w:rsidP="00D46082">
      <w:pPr>
        <w:pStyle w:val="alfaliste2"/>
        <w:rPr>
          <w:rStyle w:val="kursiv"/>
        </w:rPr>
      </w:pPr>
      <w:r w:rsidRPr="00D46082">
        <w:rPr>
          <w:rStyle w:val="kursiv"/>
        </w:rPr>
        <w:t>selv har meldt seg inn, eller som har blitt innmeldt av foreldre eller verge,</w:t>
      </w:r>
    </w:p>
    <w:p w:rsidR="00D30383" w:rsidRPr="00D46082" w:rsidRDefault="00D30383" w:rsidP="00D46082">
      <w:pPr>
        <w:pStyle w:val="alfaliste2"/>
        <w:rPr>
          <w:rStyle w:val="kursiv"/>
        </w:rPr>
      </w:pPr>
      <w:r w:rsidRPr="00D46082">
        <w:rPr>
          <w:rStyle w:val="kursiv"/>
        </w:rPr>
        <w:t>er bosatt i riket, og som</w:t>
      </w:r>
    </w:p>
    <w:p w:rsidR="00D30383" w:rsidRPr="00D46082" w:rsidRDefault="00D30383" w:rsidP="00D46082">
      <w:pPr>
        <w:pStyle w:val="alfaliste2"/>
        <w:rPr>
          <w:rStyle w:val="kursiv"/>
        </w:rPr>
      </w:pPr>
      <w:r w:rsidRPr="00D46082">
        <w:rPr>
          <w:rStyle w:val="kursiv"/>
        </w:rPr>
        <w:t xml:space="preserve">ikke er medlem i Den norske kirke eller annet registrert tros- eller livssynssamfunn. </w:t>
      </w:r>
    </w:p>
    <w:p w:rsidR="00D30383" w:rsidRPr="00D46082" w:rsidRDefault="00D30383" w:rsidP="002F269C">
      <w:pPr>
        <w:pStyle w:val="blokksit"/>
        <w:rPr>
          <w:rStyle w:val="kursiv"/>
        </w:rPr>
      </w:pPr>
      <w:r w:rsidRPr="00D46082">
        <w:rPr>
          <w:rStyle w:val="kursiv"/>
        </w:rPr>
        <w:t xml:space="preserve">Antallskravet kan oppfylles ved at </w:t>
      </w:r>
      <w:r w:rsidR="00FF21B1" w:rsidRPr="00D46082">
        <w:rPr>
          <w:rStyle w:val="kursiv"/>
        </w:rPr>
        <w:t xml:space="preserve">likeartede </w:t>
      </w:r>
      <w:r w:rsidRPr="00D46082">
        <w:rPr>
          <w:rStyle w:val="kursiv"/>
        </w:rPr>
        <w:t>samfunn søker om å bli registrert i fellesskap.</w:t>
      </w:r>
    </w:p>
    <w:p w:rsidR="00F3616F" w:rsidRPr="00D46082" w:rsidRDefault="00F3616F" w:rsidP="002F269C">
      <w:pPr>
        <w:pStyle w:val="blokksit"/>
        <w:rPr>
          <w:rStyle w:val="kursiv"/>
        </w:rPr>
      </w:pPr>
      <w:r w:rsidRPr="00D46082">
        <w:rPr>
          <w:rStyle w:val="kursiv"/>
        </w:rPr>
        <w:t>Dersom muligheten etter annet ledd er uttømt, kan kravet om mer enn 500 medlemmer etter første ledd fravikes når helt særlige forhold tilsier at det bør gis tilskudd eller vigselmyndighet til et trossamfunn som tilhører en veletablert religion eller trosretning internasjonalt</w:t>
      </w:r>
      <w:r w:rsidR="003F2A46" w:rsidRPr="00D46082">
        <w:rPr>
          <w:rStyle w:val="kursiv"/>
        </w:rPr>
        <w:t>,</w:t>
      </w:r>
      <w:r w:rsidRPr="00D46082">
        <w:rPr>
          <w:rStyle w:val="kursiv"/>
        </w:rPr>
        <w:t xml:space="preserve"> og som har vært virksom i Norge i mange år.</w:t>
      </w:r>
    </w:p>
    <w:p w:rsidR="00D30383" w:rsidRPr="00D46082" w:rsidRDefault="00D30383" w:rsidP="002F269C">
      <w:pPr>
        <w:pStyle w:val="blokksit"/>
        <w:rPr>
          <w:rStyle w:val="kursiv"/>
        </w:rPr>
      </w:pPr>
      <w:r w:rsidRPr="00D46082">
        <w:rPr>
          <w:rStyle w:val="kursiv"/>
        </w:rPr>
        <w:t xml:space="preserve">Samfunnet skal uten opphold gi melding om endringer i opplysningene som lå til grunn for registreringen. </w:t>
      </w:r>
    </w:p>
    <w:p w:rsidR="00D30383" w:rsidRPr="00D46082" w:rsidRDefault="002F3762" w:rsidP="002F269C">
      <w:pPr>
        <w:pStyle w:val="blokksit"/>
        <w:rPr>
          <w:rStyle w:val="kursiv"/>
        </w:rPr>
      </w:pPr>
      <w:r w:rsidRPr="00D46082">
        <w:rPr>
          <w:rStyle w:val="kursiv"/>
        </w:rPr>
        <w:t>Når registreringsvilkårene ikke lenger er oppfylt, eller ved vesentlige brudd på andre krav i denne loven eller forskrifter gitt i medhold av loven, kan tros- eller livssynssamfunnet fratas registrering</w:t>
      </w:r>
      <w:r w:rsidR="00134BE9" w:rsidRPr="00D46082">
        <w:rPr>
          <w:rStyle w:val="kursiv"/>
        </w:rPr>
        <w:t>en</w:t>
      </w:r>
      <w:r w:rsidRPr="00D46082">
        <w:rPr>
          <w:rStyle w:val="kursiv"/>
        </w:rPr>
        <w:t>.</w:t>
      </w:r>
    </w:p>
    <w:p w:rsidR="00D30383" w:rsidRPr="00D46082" w:rsidRDefault="00D30383" w:rsidP="002F269C">
      <w:pPr>
        <w:pStyle w:val="blokksit"/>
        <w:rPr>
          <w:rStyle w:val="kursiv"/>
        </w:rPr>
      </w:pPr>
      <w:r w:rsidRPr="00D46082">
        <w:rPr>
          <w:rStyle w:val="kursiv"/>
        </w:rPr>
        <w:t>Kongen kan i forskrift gi nær</w:t>
      </w:r>
      <w:r w:rsidR="002F3762" w:rsidRPr="00D46082">
        <w:rPr>
          <w:rStyle w:val="kursiv"/>
        </w:rPr>
        <w:t>mere regler om krav til søknad</w:t>
      </w:r>
      <w:r w:rsidRPr="00D46082">
        <w:rPr>
          <w:rStyle w:val="kursiv"/>
        </w:rPr>
        <w:t xml:space="preserve"> om registrering</w:t>
      </w:r>
      <w:r w:rsidR="002F3762" w:rsidRPr="00D46082">
        <w:rPr>
          <w:rStyle w:val="kursiv"/>
        </w:rPr>
        <w:t xml:space="preserve">, </w:t>
      </w:r>
      <w:r w:rsidRPr="00D46082">
        <w:rPr>
          <w:rStyle w:val="kursiv"/>
        </w:rPr>
        <w:t>plikten til å opplyse om endringer</w:t>
      </w:r>
      <w:r w:rsidR="002F3762" w:rsidRPr="00D46082">
        <w:rPr>
          <w:rStyle w:val="kursiv"/>
        </w:rPr>
        <w:t xml:space="preserve"> og om tap av registrering.</w:t>
      </w:r>
      <w:r w:rsidRPr="00D46082">
        <w:rPr>
          <w:rStyle w:val="kursiv"/>
        </w:rPr>
        <w:t xml:space="preserve">  </w:t>
      </w:r>
    </w:p>
    <w:p w:rsidR="009A294F" w:rsidRDefault="009A294F" w:rsidP="009A294F">
      <w:pPr>
        <w:pStyle w:val="Overskrift2"/>
      </w:pPr>
      <w:bookmarkStart w:id="924" w:name="_Toc481761781"/>
      <w:bookmarkStart w:id="925" w:name="_Toc492900434"/>
      <w:r>
        <w:t>Etablering av ny registreringsordning</w:t>
      </w:r>
      <w:r w:rsidR="003E6C12">
        <w:t xml:space="preserve"> og overgangsbestemmelser</w:t>
      </w:r>
      <w:bookmarkEnd w:id="924"/>
      <w:bookmarkEnd w:id="925"/>
    </w:p>
    <w:p w:rsidR="00DF2821" w:rsidRDefault="00957DB6" w:rsidP="009A294F">
      <w:r>
        <w:t>Etter departementets mening taler likebehandlings- og forutsigbarhetsh</w:t>
      </w:r>
      <w:r w:rsidR="00CC7AD3">
        <w:t>ensyn</w:t>
      </w:r>
      <w:r w:rsidR="00620BEC">
        <w:t xml:space="preserve"> for at </w:t>
      </w:r>
      <w:r w:rsidR="00DF2821">
        <w:t xml:space="preserve">alle </w:t>
      </w:r>
      <w:r w:rsidR="00CC7AD3">
        <w:t>tros- og livssynssamfunn</w:t>
      </w:r>
      <w:r w:rsidR="00DF2821">
        <w:t xml:space="preserve"> </w:t>
      </w:r>
      <w:r w:rsidR="00CC7AD3">
        <w:t>som i dag er regist</w:t>
      </w:r>
      <w:r w:rsidR="00FF21B1">
        <w:t>r</w:t>
      </w:r>
      <w:r w:rsidR="00CC7AD3">
        <w:t xml:space="preserve">ert og/eller mottar tilskudd etter gjeldende lovgivning, </w:t>
      </w:r>
      <w:r w:rsidR="00DF2821">
        <w:lastRenderedPageBreak/>
        <w:t>og som ønsker å bli</w:t>
      </w:r>
      <w:r w:rsidR="00AF5FC9">
        <w:t xml:space="preserve"> registrert </w:t>
      </w:r>
      <w:r>
        <w:t>etter den nye loven</w:t>
      </w:r>
      <w:r w:rsidR="00AF5FC9">
        <w:t xml:space="preserve">, </w:t>
      </w:r>
      <w:r w:rsidR="00CC7AD3">
        <w:t xml:space="preserve">må </w:t>
      </w:r>
      <w:r w:rsidR="00DF2821">
        <w:t>fremme en ny registreringssøknad</w:t>
      </w:r>
      <w:r w:rsidR="00D95887">
        <w:t xml:space="preserve"> – ikke bare samfunn som etableres etter lovens ikrafttreden.</w:t>
      </w:r>
      <w:r w:rsidR="00DF2821">
        <w:t xml:space="preserve"> </w:t>
      </w:r>
      <w:r w:rsidR="00D95887">
        <w:t>Hver s</w:t>
      </w:r>
      <w:r w:rsidR="00DF2821">
        <w:t xml:space="preserve">øknad skal undergis en reell prøving mot samtlige </w:t>
      </w:r>
      <w:r w:rsidR="00C07B44">
        <w:t>registrerings</w:t>
      </w:r>
      <w:r w:rsidR="00DF2821">
        <w:t xml:space="preserve">vilkår. </w:t>
      </w:r>
    </w:p>
    <w:p w:rsidR="006A22D8" w:rsidRDefault="00D95887" w:rsidP="009A294F">
      <w:r>
        <w:t>Departementet</w:t>
      </w:r>
      <w:r w:rsidR="00DA6892">
        <w:t xml:space="preserve">s syn </w:t>
      </w:r>
      <w:r w:rsidR="006A22D8">
        <w:t xml:space="preserve">i dette spørsmålet har støtte i </w:t>
      </w:r>
      <w:r w:rsidR="00CC7AD3">
        <w:t>Stålsett-utvalgets</w:t>
      </w:r>
      <w:r w:rsidR="006A22D8">
        <w:t xml:space="preserve"> vurderinger og forslag</w:t>
      </w:r>
      <w:r w:rsidR="00CC7AD3">
        <w:t xml:space="preserve">. </w:t>
      </w:r>
      <w:r>
        <w:t>I u</w:t>
      </w:r>
      <w:r w:rsidR="00CC7AD3">
        <w:t>tvalge</w:t>
      </w:r>
      <w:r w:rsidR="00DF2821">
        <w:t>t</w:t>
      </w:r>
      <w:r>
        <w:t>s</w:t>
      </w:r>
      <w:r w:rsidR="00DF2821">
        <w:t xml:space="preserve"> forslag til ny tilskuddslov </w:t>
      </w:r>
      <w:r>
        <w:t xml:space="preserve">inngikk en ordning for godkjenning av </w:t>
      </w:r>
      <w:r w:rsidR="005814DF">
        <w:t xml:space="preserve">tilskuddsberettigede </w:t>
      </w:r>
      <w:r>
        <w:t xml:space="preserve">tros- og livssynssamfunn. </w:t>
      </w:r>
      <w:r w:rsidR="00DA6892">
        <w:t xml:space="preserve">Utvalget </w:t>
      </w:r>
      <w:r w:rsidR="006A22D8">
        <w:t xml:space="preserve">la opp til at </w:t>
      </w:r>
      <w:r>
        <w:t>alle tros- og livssynssamfunn</w:t>
      </w:r>
      <w:r w:rsidR="00DA6892">
        <w:t xml:space="preserve"> måtte ha </w:t>
      </w:r>
      <w:r w:rsidR="005306F6">
        <w:t xml:space="preserve">en ny </w:t>
      </w:r>
      <w:r w:rsidR="00DA6892">
        <w:t>godkjenn</w:t>
      </w:r>
      <w:r w:rsidR="006A22D8">
        <w:t>ing (s. 356–357):</w:t>
      </w:r>
    </w:p>
    <w:p w:rsidR="006A22D8" w:rsidRPr="002F269C" w:rsidRDefault="006A22D8" w:rsidP="00AD24F6">
      <w:pPr>
        <w:pStyle w:val="blokksit"/>
        <w:rPr>
          <w:rStyle w:val="kursiv"/>
        </w:rPr>
      </w:pPr>
      <w:r w:rsidRPr="002F269C">
        <w:rPr>
          <w:rStyle w:val="kursiv"/>
        </w:rPr>
        <w:t xml:space="preserve">Utvalget vurderer det slik at det er behov for en ny lov om tilskudd til tros- og livssynssamfunn. I tillegg til en lovteknisk opprydding, er det etter utvalgets mening behov for å markere at en ønsker å etablere en ny ordning med tydeligere avgrensninger. Utvalgets inntrykk er at det kan være betydelig fare for forskjellsbehandling både mellom ulike fylkesmannsembeter og mellom vedtak som er gjort for en tid tilbake og avgjørelser av nyere dato. </w:t>
      </w:r>
    </w:p>
    <w:p w:rsidR="006A22D8" w:rsidRPr="002F269C" w:rsidRDefault="005306F6" w:rsidP="00AD24F6">
      <w:pPr>
        <w:pStyle w:val="blokksit"/>
        <w:rPr>
          <w:rStyle w:val="kursiv"/>
        </w:rPr>
      </w:pPr>
      <w:r w:rsidRPr="002F269C">
        <w:rPr>
          <w:rStyle w:val="kursiv"/>
        </w:rPr>
        <w:t xml:space="preserve">[…] </w:t>
      </w:r>
      <w:r w:rsidR="006A22D8" w:rsidRPr="002F269C">
        <w:rPr>
          <w:rStyle w:val="kursiv"/>
        </w:rPr>
        <w:t xml:space="preserve">I en egen lovbestemmelse om forholdet mellom gammel lov og ny lov bør det slås fast at godkjenninger som er foretatt under hjemlene i lov om trudomssamfunn, ikke vil gjelde uten ny vurdering etter nye regler. </w:t>
      </w:r>
      <w:r w:rsidRPr="002F269C">
        <w:rPr>
          <w:rStyle w:val="kursiv"/>
        </w:rPr>
        <w:t xml:space="preserve">[…] </w:t>
      </w:r>
      <w:r w:rsidR="006A22D8" w:rsidRPr="002F269C">
        <w:rPr>
          <w:rStyle w:val="kursiv"/>
        </w:rPr>
        <w:t>Utvalget mener det må foretas en reell ny prøving av de ulike tros- og livssynssamfunnene og legger ikke til grunn at alle de knapt 660 tros- og livssynssamfunnene vil få godkjenning under ny ordning.</w:t>
      </w:r>
    </w:p>
    <w:p w:rsidR="003E6C12" w:rsidRPr="002F269C" w:rsidRDefault="006A22D8" w:rsidP="00AD24F6">
      <w:pPr>
        <w:pStyle w:val="blokksit"/>
        <w:rPr>
          <w:rStyle w:val="kursiv"/>
        </w:rPr>
      </w:pPr>
      <w:r w:rsidRPr="002F269C">
        <w:rPr>
          <w:rStyle w:val="kursiv"/>
        </w:rPr>
        <w:t>Når det gjelder tilslutning til de konkrete kravene for oppfyllelse av forutsetninger for støtte (tros- eller livssynsinnhold og forholdet til lov og etiske verdier), er det ingen grunn til å ha en lang overgangsperiode. Krav om antall kan tilsi en lenger overgangsperiode. Utvalget foreslår at en legger til grunn at godkjenninger under nåværende lov prolongeres i 3 år før alle krav etter ny lov må være tilfredsstilt.</w:t>
      </w:r>
    </w:p>
    <w:p w:rsidR="0094733A" w:rsidRDefault="0094733A" w:rsidP="0094733A">
      <w:r>
        <w:t xml:space="preserve">Spørsmål om </w:t>
      </w:r>
      <w:r w:rsidR="003374E1">
        <w:t xml:space="preserve">forlengelse av «godkjenning» etter gjeldende lovgivning, herunder lengden på en eventuell </w:t>
      </w:r>
      <w:r>
        <w:t>overgangsperiod</w:t>
      </w:r>
      <w:r w:rsidR="003374E1">
        <w:t>e, vil departementet komme tilbake til i forskriftsarbeidet.</w:t>
      </w:r>
      <w:r w:rsidR="00FC118F">
        <w:t xml:space="preserve"> </w:t>
      </w:r>
      <w:r w:rsidR="00654DF3">
        <w:t>Departementet antar at det kan være behov for en overgangsperiode på to-tre år for de som har rett til tilskudd etter dagens regler.</w:t>
      </w:r>
    </w:p>
    <w:p w:rsidR="0094733A" w:rsidRDefault="003374E1" w:rsidP="0094733A">
      <w:r>
        <w:t xml:space="preserve">Departementet er enig </w:t>
      </w:r>
      <w:r w:rsidR="0094733A">
        <w:t xml:space="preserve">med utvalget i at et tilskuddstellende medlemskap som er etablert etter gjeldende lovgivning, ikke behøver å etableres på nytt når den nye loven har trådt i kraft. </w:t>
      </w:r>
    </w:p>
    <w:p w:rsidR="00677FA7" w:rsidRDefault="00677FA7" w:rsidP="0094733A">
      <w:r>
        <w:t>Det vil også være behov for å kunne gi overgangsbestemmelser om utøvelse av vigselsmyndighet etter dagens trossamfunnslov og ekteskapslov.</w:t>
      </w:r>
      <w:r w:rsidR="00654DF3" w:rsidRPr="00654DF3">
        <w:t xml:space="preserve"> </w:t>
      </w:r>
      <w:r w:rsidR="00654DF3">
        <w:t>Utgangspunktet vil være at vigselsmyndighet etter nå gjeldende rett videreføres i en viss periode.</w:t>
      </w:r>
    </w:p>
    <w:p w:rsidR="003D5BA3" w:rsidRDefault="000F7178" w:rsidP="003D5BA3">
      <w:r>
        <w:t>D</w:t>
      </w:r>
      <w:r w:rsidR="00C75D30">
        <w:t xml:space="preserve">epartementet </w:t>
      </w:r>
      <w:r>
        <w:t xml:space="preserve">foreslår </w:t>
      </w:r>
      <w:r w:rsidR="00C75D30">
        <w:t xml:space="preserve">følgende </w:t>
      </w:r>
      <w:r w:rsidR="0034721A">
        <w:t>bestemmelse</w:t>
      </w:r>
      <w:r w:rsidR="00FF21B1">
        <w:t xml:space="preserve"> i lovutkastet § 21 annet ledd</w:t>
      </w:r>
      <w:r w:rsidR="003E6C12">
        <w:t>:</w:t>
      </w:r>
    </w:p>
    <w:p w:rsidR="00DD74C7" w:rsidRPr="001E491E" w:rsidRDefault="003D5BA3" w:rsidP="00BD073B">
      <w:pPr>
        <w:pStyle w:val="blokksit"/>
      </w:pPr>
      <w:r w:rsidRPr="002F269C">
        <w:rPr>
          <w:rStyle w:val="kursiv"/>
        </w:rPr>
        <w:t>Kongen gi</w:t>
      </w:r>
      <w:r w:rsidR="00396BFB" w:rsidRPr="002F269C">
        <w:rPr>
          <w:rStyle w:val="kursiv"/>
        </w:rPr>
        <w:t>r nødvendige</w:t>
      </w:r>
      <w:r w:rsidRPr="002F269C">
        <w:rPr>
          <w:rStyle w:val="kursiv"/>
        </w:rPr>
        <w:t xml:space="preserve"> overgangsbestemmelser.</w:t>
      </w:r>
      <w:r w:rsidR="00CC7AD3" w:rsidRPr="002F269C">
        <w:rPr>
          <w:rStyle w:val="kursiv"/>
        </w:rPr>
        <w:t xml:space="preserve">  </w:t>
      </w:r>
      <w:r w:rsidR="008D4F51" w:rsidRPr="002F269C">
        <w:rPr>
          <w:rStyle w:val="kursiv"/>
        </w:rPr>
        <w:t xml:space="preserve">  </w:t>
      </w:r>
      <w:r w:rsidR="00DD74C7">
        <w:br w:type="page"/>
      </w:r>
    </w:p>
    <w:p w:rsidR="007B750F" w:rsidRPr="00C4308B" w:rsidRDefault="007B750F" w:rsidP="007B750F">
      <w:pPr>
        <w:pStyle w:val="Overskrift1"/>
      </w:pPr>
      <w:bookmarkStart w:id="926" w:name="_Toc477535522"/>
      <w:bookmarkStart w:id="927" w:name="_Toc477630655"/>
      <w:bookmarkStart w:id="928" w:name="_Toc477693619"/>
      <w:bookmarkStart w:id="929" w:name="_Toc477703993"/>
      <w:bookmarkStart w:id="930" w:name="_Toc477799206"/>
      <w:bookmarkStart w:id="931" w:name="_Toc477805808"/>
      <w:bookmarkStart w:id="932" w:name="_Toc477878068"/>
      <w:bookmarkStart w:id="933" w:name="_Toc477881471"/>
      <w:bookmarkStart w:id="934" w:name="_Toc477885931"/>
      <w:bookmarkStart w:id="935" w:name="_Toc478131347"/>
      <w:bookmarkStart w:id="936" w:name="_Toc478138731"/>
      <w:bookmarkStart w:id="937" w:name="_Toc478232246"/>
      <w:bookmarkStart w:id="938" w:name="_Toc478237230"/>
      <w:bookmarkStart w:id="939" w:name="_Toc481761782"/>
      <w:bookmarkStart w:id="940" w:name="_Toc492900435"/>
      <w:r>
        <w:lastRenderedPageBreak/>
        <w:t>Rammelovgivning for Den norske kirke</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7B750F" w:rsidRPr="00A427AA" w:rsidRDefault="007B750F" w:rsidP="00A427AA">
      <w:pPr>
        <w:pStyle w:val="Overskrift2"/>
      </w:pPr>
      <w:bookmarkStart w:id="941" w:name="_Toc477535523"/>
      <w:bookmarkStart w:id="942" w:name="_Toc477630656"/>
      <w:bookmarkStart w:id="943" w:name="_Toc477693620"/>
      <w:bookmarkStart w:id="944" w:name="_Toc477703994"/>
      <w:bookmarkStart w:id="945" w:name="_Toc477799207"/>
      <w:bookmarkStart w:id="946" w:name="_Toc477805809"/>
      <w:bookmarkStart w:id="947" w:name="_Toc477878069"/>
      <w:bookmarkStart w:id="948" w:name="_Toc477881472"/>
      <w:bookmarkStart w:id="949" w:name="_Toc477885932"/>
      <w:bookmarkStart w:id="950" w:name="_Toc478131348"/>
      <w:bookmarkStart w:id="951" w:name="_Toc478138732"/>
      <w:bookmarkStart w:id="952" w:name="_Toc478232247"/>
      <w:bookmarkStart w:id="953" w:name="_Toc478237231"/>
      <w:bookmarkStart w:id="954" w:name="_Toc481761783"/>
      <w:bookmarkStart w:id="955" w:name="_Toc492900436"/>
      <w:r w:rsidRPr="00A427AA">
        <w:t>Innledning</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rsidR="0041746E" w:rsidRPr="00E11A41" w:rsidRDefault="007B750F" w:rsidP="007B750F">
      <w:pPr>
        <w:rPr>
          <w:rFonts w:cs="Times New Roman"/>
          <w:szCs w:val="24"/>
        </w:rPr>
      </w:pPr>
      <w:r>
        <w:rPr>
          <w:rFonts w:cs="Times New Roman"/>
          <w:szCs w:val="24"/>
        </w:rPr>
        <w:t>Kirkeloven inneholder i dag relativt omfattende lovgivning om Den norske kirke. Loven ble vedtatt i 1996 og markerte den gangen en foreløpig avslutning av reformarbeidet som hadde utgangspunkt i Stortingets behandling av St.meld. nr. 40 (1980–81)</w:t>
      </w:r>
      <w:r w:rsidR="00522B2F" w:rsidRPr="00522B2F">
        <w:rPr>
          <w:rFonts w:cs="Times New Roman"/>
          <w:i/>
          <w:szCs w:val="24"/>
        </w:rPr>
        <w:t xml:space="preserve"> Om sta</w:t>
      </w:r>
      <w:r w:rsidR="00522B2F">
        <w:rPr>
          <w:rFonts w:cs="Times New Roman"/>
          <w:i/>
          <w:szCs w:val="24"/>
        </w:rPr>
        <w:t>t</w:t>
      </w:r>
      <w:r w:rsidR="00522B2F" w:rsidRPr="00522B2F">
        <w:rPr>
          <w:rFonts w:cs="Times New Roman"/>
          <w:i/>
          <w:szCs w:val="24"/>
        </w:rPr>
        <w:t xml:space="preserve"> og kirke</w:t>
      </w:r>
      <w:r>
        <w:rPr>
          <w:rFonts w:cs="Times New Roman"/>
          <w:szCs w:val="24"/>
        </w:rPr>
        <w:t xml:space="preserve">. </w:t>
      </w:r>
    </w:p>
    <w:p w:rsidR="00A034AC" w:rsidRDefault="007B750F" w:rsidP="007B750F">
      <w:pPr>
        <w:rPr>
          <w:rFonts w:cs="Times New Roman"/>
          <w:szCs w:val="24"/>
        </w:rPr>
      </w:pPr>
      <w:r>
        <w:rPr>
          <w:rFonts w:cs="Times New Roman"/>
          <w:szCs w:val="24"/>
        </w:rPr>
        <w:t>Den gjeldende kirkeloven</w:t>
      </w:r>
      <w:r w:rsidR="00A034AC">
        <w:rPr>
          <w:rFonts w:cs="Times New Roman"/>
          <w:szCs w:val="24"/>
        </w:rPr>
        <w:t xml:space="preserve"> ble dermed vedtatt innenfor de grunnlovsmessige rammene i den gamle statskirkeordningen</w:t>
      </w:r>
      <w:r w:rsidR="00451096">
        <w:rPr>
          <w:rFonts w:cs="Times New Roman"/>
          <w:szCs w:val="24"/>
        </w:rPr>
        <w:t>, s</w:t>
      </w:r>
      <w:r w:rsidR="00E273A2">
        <w:rPr>
          <w:rFonts w:cs="Times New Roman"/>
          <w:szCs w:val="24"/>
        </w:rPr>
        <w:t xml:space="preserve">om blant annet </w:t>
      </w:r>
      <w:r w:rsidR="00451096">
        <w:rPr>
          <w:rFonts w:cs="Times New Roman"/>
          <w:szCs w:val="24"/>
        </w:rPr>
        <w:t xml:space="preserve">omfattet </w:t>
      </w:r>
      <w:r w:rsidR="00E273A2">
        <w:rPr>
          <w:rFonts w:cs="Times New Roman"/>
          <w:szCs w:val="24"/>
        </w:rPr>
        <w:t>Kongens kirkestyre</w:t>
      </w:r>
      <w:r w:rsidR="00A034AC">
        <w:rPr>
          <w:rFonts w:cs="Times New Roman"/>
          <w:szCs w:val="24"/>
        </w:rPr>
        <w:t xml:space="preserve">. Loven er imidlertid justert </w:t>
      </w:r>
      <w:r w:rsidR="00020360">
        <w:rPr>
          <w:rFonts w:cs="Times New Roman"/>
          <w:szCs w:val="24"/>
        </w:rPr>
        <w:t>noe</w:t>
      </w:r>
      <w:r w:rsidR="00A034AC">
        <w:rPr>
          <w:rFonts w:cs="Times New Roman"/>
          <w:szCs w:val="24"/>
        </w:rPr>
        <w:t xml:space="preserve"> i forbindelse med grunnlovsendringene i 2012 (regler om tilsetting av biskoper og proster og kirkevalg) og i 2016/2017 for å etablere Den norske kirke som et eget rettssubje</w:t>
      </w:r>
      <w:r w:rsidR="00A47853">
        <w:rPr>
          <w:rFonts w:cs="Times New Roman"/>
          <w:szCs w:val="24"/>
        </w:rPr>
        <w:t xml:space="preserve">kt, se nærmere ovenfor i kapittel </w:t>
      </w:r>
      <w:r w:rsidR="00522B2F">
        <w:rPr>
          <w:rFonts w:cs="Times New Roman"/>
          <w:szCs w:val="24"/>
        </w:rPr>
        <w:t>3</w:t>
      </w:r>
      <w:r w:rsidR="00A47853">
        <w:rPr>
          <w:rFonts w:cs="Times New Roman"/>
          <w:szCs w:val="24"/>
        </w:rPr>
        <w:t xml:space="preserve">. </w:t>
      </w:r>
      <w:r w:rsidR="00A034AC">
        <w:rPr>
          <w:rFonts w:cs="Times New Roman"/>
          <w:szCs w:val="24"/>
        </w:rPr>
        <w:t xml:space="preserve"> </w:t>
      </w:r>
    </w:p>
    <w:p w:rsidR="000B2420" w:rsidRDefault="00685952" w:rsidP="007B750F">
      <w:pPr>
        <w:rPr>
          <w:rFonts w:cs="Times New Roman"/>
          <w:szCs w:val="24"/>
        </w:rPr>
      </w:pPr>
      <w:r>
        <w:rPr>
          <w:rFonts w:cs="Times New Roman"/>
          <w:szCs w:val="24"/>
        </w:rPr>
        <w:t xml:space="preserve">Den gjeldende kirkeloven er nødvendigvis forenlig med </w:t>
      </w:r>
      <w:r w:rsidR="00A47853">
        <w:rPr>
          <w:rFonts w:cs="Times New Roman"/>
          <w:szCs w:val="24"/>
        </w:rPr>
        <w:t>rammene som Grunnloven nå legger for lovgivning om Den norske kirke</w:t>
      </w:r>
      <w:r>
        <w:rPr>
          <w:rFonts w:cs="Times New Roman"/>
          <w:szCs w:val="24"/>
        </w:rPr>
        <w:t>. Etter departementets syn er det likevel behov for å gjøre endringer i kirkeloven</w:t>
      </w:r>
      <w:r w:rsidR="00A47853">
        <w:rPr>
          <w:rFonts w:cs="Times New Roman"/>
          <w:szCs w:val="24"/>
        </w:rPr>
        <w:t>, først og fremst for å gi</w:t>
      </w:r>
      <w:r>
        <w:rPr>
          <w:rFonts w:cs="Times New Roman"/>
          <w:szCs w:val="24"/>
        </w:rPr>
        <w:t xml:space="preserve"> Den norske kirke større frihet til å fastsette egen organisering mv. på et mer selvstendig grunnlag. </w:t>
      </w:r>
    </w:p>
    <w:p w:rsidR="007B750F" w:rsidRDefault="00A034AC" w:rsidP="007B750F">
      <w:pPr>
        <w:rPr>
          <w:rFonts w:cs="Times New Roman"/>
          <w:szCs w:val="24"/>
        </w:rPr>
      </w:pPr>
      <w:r>
        <w:rPr>
          <w:rFonts w:cs="Times New Roman"/>
          <w:szCs w:val="24"/>
        </w:rPr>
        <w:t xml:space="preserve">I dette høringsnotatet foreslår departementet en </w:t>
      </w:r>
      <w:r w:rsidR="000B2420">
        <w:rPr>
          <w:rFonts w:cs="Times New Roman"/>
          <w:szCs w:val="24"/>
        </w:rPr>
        <w:t>relativt omfattende</w:t>
      </w:r>
      <w:r>
        <w:rPr>
          <w:rFonts w:cs="Times New Roman"/>
          <w:szCs w:val="24"/>
        </w:rPr>
        <w:t xml:space="preserve"> nedskalering av lovbestemmelsene </w:t>
      </w:r>
      <w:r w:rsidR="000B2420">
        <w:rPr>
          <w:rFonts w:cs="Times New Roman"/>
          <w:szCs w:val="24"/>
        </w:rPr>
        <w:t>om Den norske kirke, slik at lovgivningen</w:t>
      </w:r>
      <w:r>
        <w:rPr>
          <w:rFonts w:cs="Times New Roman"/>
          <w:szCs w:val="24"/>
        </w:rPr>
        <w:t xml:space="preserve"> tydeligere s</w:t>
      </w:r>
      <w:r w:rsidR="000B2420">
        <w:rPr>
          <w:rFonts w:cs="Times New Roman"/>
          <w:szCs w:val="24"/>
        </w:rPr>
        <w:t>kal begrense seg til å fastsette</w:t>
      </w:r>
      <w:r>
        <w:rPr>
          <w:rFonts w:cs="Times New Roman"/>
          <w:szCs w:val="24"/>
        </w:rPr>
        <w:t xml:space="preserve"> </w:t>
      </w:r>
      <w:r w:rsidR="00020360">
        <w:rPr>
          <w:rFonts w:cs="Times New Roman"/>
          <w:szCs w:val="24"/>
        </w:rPr>
        <w:t>de sentrale bestemmelsene</w:t>
      </w:r>
      <w:r>
        <w:rPr>
          <w:rFonts w:cs="Times New Roman"/>
          <w:szCs w:val="24"/>
        </w:rPr>
        <w:t xml:space="preserve"> om Den nors</w:t>
      </w:r>
      <w:r w:rsidR="00685952">
        <w:rPr>
          <w:rFonts w:cs="Times New Roman"/>
          <w:szCs w:val="24"/>
        </w:rPr>
        <w:t>ke kirkes "ordning"</w:t>
      </w:r>
      <w:r w:rsidR="00A47853">
        <w:rPr>
          <w:rFonts w:cs="Times New Roman"/>
          <w:szCs w:val="24"/>
        </w:rPr>
        <w:t xml:space="preserve">, jf. Grunnloven § 16 </w:t>
      </w:r>
      <w:r w:rsidR="00131445">
        <w:rPr>
          <w:rFonts w:cs="Times New Roman"/>
          <w:szCs w:val="24"/>
        </w:rPr>
        <w:t>tredje punktum</w:t>
      </w:r>
      <w:r w:rsidR="00685952">
        <w:rPr>
          <w:rFonts w:cs="Times New Roman"/>
          <w:szCs w:val="24"/>
        </w:rPr>
        <w:t xml:space="preserve">. Formålet med lovgivningen skal først og fremst være å legge </w:t>
      </w:r>
      <w:r w:rsidR="000B2420">
        <w:rPr>
          <w:rFonts w:cs="Times New Roman"/>
          <w:szCs w:val="24"/>
        </w:rPr>
        <w:t>ordningsmessig</w:t>
      </w:r>
      <w:r w:rsidR="00685952">
        <w:rPr>
          <w:rFonts w:cs="Times New Roman"/>
          <w:szCs w:val="24"/>
        </w:rPr>
        <w:t xml:space="preserve"> til rette for at </w:t>
      </w:r>
      <w:r w:rsidR="007B750F">
        <w:rPr>
          <w:rFonts w:cs="Times New Roman"/>
          <w:szCs w:val="24"/>
        </w:rPr>
        <w:t xml:space="preserve">Den norske kirke "forblir Norges folkekirke". </w:t>
      </w:r>
      <w:r w:rsidR="00685952">
        <w:rPr>
          <w:rFonts w:cs="Times New Roman"/>
          <w:szCs w:val="24"/>
        </w:rPr>
        <w:t xml:space="preserve">Dessuten vil en slik nedbygging av den særlige lovgivningen om Den norske kirke innebære </w:t>
      </w:r>
      <w:r w:rsidR="00131445">
        <w:rPr>
          <w:rFonts w:cs="Times New Roman"/>
          <w:szCs w:val="24"/>
        </w:rPr>
        <w:t xml:space="preserve">større selvstendighet for Den norske kirke og dermed mer lik </w:t>
      </w:r>
      <w:r w:rsidR="00A47853">
        <w:rPr>
          <w:rFonts w:cs="Times New Roman"/>
          <w:szCs w:val="24"/>
        </w:rPr>
        <w:t>behandling</w:t>
      </w:r>
      <w:r w:rsidR="00131445">
        <w:rPr>
          <w:rFonts w:cs="Times New Roman"/>
          <w:szCs w:val="24"/>
        </w:rPr>
        <w:t xml:space="preserve"> med andre tros- og livssynssamfunn</w:t>
      </w:r>
      <w:r w:rsidR="00A47853">
        <w:rPr>
          <w:rFonts w:cs="Times New Roman"/>
          <w:szCs w:val="24"/>
        </w:rPr>
        <w:t xml:space="preserve">. </w:t>
      </w:r>
      <w:r w:rsidR="007B750F">
        <w:rPr>
          <w:rFonts w:cs="Times New Roman"/>
          <w:szCs w:val="24"/>
        </w:rPr>
        <w:t>Departementet viser til framsti</w:t>
      </w:r>
      <w:r w:rsidR="00A47853">
        <w:rPr>
          <w:rFonts w:cs="Times New Roman"/>
          <w:szCs w:val="24"/>
        </w:rPr>
        <w:t>llingen av rammene for regulering av Den norske kirke i kapittel 6 ovenfor, særlig punktene 6.2.3 og 6.3.4</w:t>
      </w:r>
      <w:r w:rsidR="007B750F">
        <w:rPr>
          <w:rFonts w:cs="Times New Roman"/>
          <w:szCs w:val="24"/>
        </w:rPr>
        <w:t xml:space="preserve">. </w:t>
      </w:r>
    </w:p>
    <w:p w:rsidR="000E3182" w:rsidRDefault="007B750F" w:rsidP="007B750F">
      <w:pPr>
        <w:rPr>
          <w:rFonts w:cs="Times New Roman"/>
          <w:szCs w:val="24"/>
        </w:rPr>
      </w:pPr>
      <w:r>
        <w:rPr>
          <w:rFonts w:cs="Times New Roman"/>
          <w:szCs w:val="24"/>
        </w:rPr>
        <w:t>Den norske kirke er i dag en særlovregulert størrelse</w:t>
      </w:r>
      <w:r w:rsidR="00131445">
        <w:rPr>
          <w:rFonts w:cs="Times New Roman"/>
          <w:szCs w:val="24"/>
        </w:rPr>
        <w:t xml:space="preserve">. </w:t>
      </w:r>
      <w:r w:rsidR="000B2420">
        <w:rPr>
          <w:rFonts w:cs="Times New Roman"/>
          <w:szCs w:val="24"/>
        </w:rPr>
        <w:t xml:space="preserve">Som nevnt </w:t>
      </w:r>
      <w:r w:rsidR="00131445">
        <w:rPr>
          <w:rFonts w:cs="Times New Roman"/>
          <w:szCs w:val="24"/>
        </w:rPr>
        <w:t xml:space="preserve">legger </w:t>
      </w:r>
      <w:r w:rsidR="000B2420">
        <w:rPr>
          <w:rFonts w:cs="Times New Roman"/>
          <w:szCs w:val="24"/>
        </w:rPr>
        <w:t xml:space="preserve">kirkeloven </w:t>
      </w:r>
      <w:r w:rsidR="00131445">
        <w:rPr>
          <w:rFonts w:cs="Times New Roman"/>
          <w:szCs w:val="24"/>
        </w:rPr>
        <w:t>relativt klare føringer for hvordan Den norske kirke skal organiseres, og hvordan den skal drive sin virksomhet</w:t>
      </w:r>
      <w:r>
        <w:rPr>
          <w:rFonts w:cs="Times New Roman"/>
          <w:szCs w:val="24"/>
        </w:rPr>
        <w:t>.</w:t>
      </w:r>
      <w:r w:rsidR="00131445">
        <w:rPr>
          <w:rFonts w:cs="Times New Roman"/>
          <w:szCs w:val="24"/>
        </w:rPr>
        <w:t xml:space="preserve"> </w:t>
      </w:r>
    </w:p>
    <w:p w:rsidR="007B750F" w:rsidRDefault="00131445" w:rsidP="007B750F">
      <w:pPr>
        <w:rPr>
          <w:rFonts w:cs="Times New Roman"/>
          <w:szCs w:val="24"/>
        </w:rPr>
      </w:pPr>
      <w:r>
        <w:rPr>
          <w:rFonts w:cs="Times New Roman"/>
          <w:szCs w:val="24"/>
        </w:rPr>
        <w:t>Soknene er egne</w:t>
      </w:r>
      <w:r w:rsidR="007B750F">
        <w:rPr>
          <w:rFonts w:cs="Times New Roman"/>
          <w:szCs w:val="24"/>
        </w:rPr>
        <w:t xml:space="preserve"> rettssubj</w:t>
      </w:r>
      <w:r>
        <w:rPr>
          <w:rFonts w:cs="Times New Roman"/>
          <w:szCs w:val="24"/>
        </w:rPr>
        <w:t>ekter, og Den norske kirke er fra 2017</w:t>
      </w:r>
      <w:r w:rsidR="007B750F">
        <w:rPr>
          <w:rFonts w:cs="Times New Roman"/>
          <w:szCs w:val="24"/>
        </w:rPr>
        <w:t xml:space="preserve"> etablert som et selvstendig rettssubjekt. Soknene kan ikke løses fra Den norske kirke. Kirk</w:t>
      </w:r>
      <w:r w:rsidR="000E3182">
        <w:rPr>
          <w:rFonts w:cs="Times New Roman"/>
          <w:szCs w:val="24"/>
        </w:rPr>
        <w:t>eloven – supplert av regelverk som</w:t>
      </w:r>
      <w:r w:rsidR="007B750F">
        <w:rPr>
          <w:rFonts w:cs="Times New Roman"/>
          <w:szCs w:val="24"/>
        </w:rPr>
        <w:t xml:space="preserve"> er vedtatt av Kirkemøtet –</w:t>
      </w:r>
      <w:r w:rsidR="000E3182">
        <w:rPr>
          <w:rFonts w:cs="Times New Roman"/>
          <w:szCs w:val="24"/>
        </w:rPr>
        <w:t xml:space="preserve"> </w:t>
      </w:r>
      <w:r w:rsidR="007B750F">
        <w:rPr>
          <w:rFonts w:cs="Times New Roman"/>
          <w:szCs w:val="24"/>
        </w:rPr>
        <w:t xml:space="preserve">holder sammen og balanserer ulike elementer i kirkens selvforståelse. </w:t>
      </w:r>
      <w:r w:rsidR="000E3182">
        <w:rPr>
          <w:rFonts w:cs="Times New Roman"/>
          <w:szCs w:val="24"/>
        </w:rPr>
        <w:t xml:space="preserve">Den gjeldende loven regulerer for eksempel forholdet mellom de ulike kirkelige rettssubjektene og </w:t>
      </w:r>
      <w:r w:rsidR="000B2420">
        <w:rPr>
          <w:rFonts w:cs="Times New Roman"/>
          <w:szCs w:val="24"/>
        </w:rPr>
        <w:t xml:space="preserve">relasjonene </w:t>
      </w:r>
      <w:r w:rsidR="000E3182">
        <w:rPr>
          <w:rFonts w:cs="Times New Roman"/>
          <w:szCs w:val="24"/>
        </w:rPr>
        <w:t>mellom lokale og nasjonale kirkelig organer</w:t>
      </w:r>
      <w:r w:rsidR="000B2420">
        <w:rPr>
          <w:rFonts w:cs="Times New Roman"/>
          <w:szCs w:val="24"/>
        </w:rPr>
        <w:t xml:space="preserve">. Den har også regler av betydning for </w:t>
      </w:r>
      <w:r w:rsidR="007B750F">
        <w:rPr>
          <w:rFonts w:cs="Times New Roman"/>
          <w:szCs w:val="24"/>
        </w:rPr>
        <w:t xml:space="preserve">forholdet mellom Den norske kirke som demokratisk størrelse og som trossamfunn (blant annet </w:t>
      </w:r>
      <w:r w:rsidR="000B2420">
        <w:rPr>
          <w:rFonts w:cs="Times New Roman"/>
          <w:szCs w:val="24"/>
        </w:rPr>
        <w:t>samvirket</w:t>
      </w:r>
      <w:r w:rsidR="007B750F">
        <w:rPr>
          <w:rFonts w:cs="Times New Roman"/>
          <w:szCs w:val="24"/>
        </w:rPr>
        <w:t xml:space="preserve"> mellom det "allmenne prestedømme" som alle døpte har del i, og den særskilt innrettede lære- og prestetjenesten)</w:t>
      </w:r>
      <w:r w:rsidR="000E3182">
        <w:rPr>
          <w:rFonts w:cs="Times New Roman"/>
          <w:szCs w:val="24"/>
        </w:rPr>
        <w:t xml:space="preserve">. </w:t>
      </w:r>
    </w:p>
    <w:p w:rsidR="007B750F" w:rsidRDefault="007B750F" w:rsidP="007B750F">
      <w:pPr>
        <w:rPr>
          <w:rFonts w:cs="Times New Roman"/>
          <w:szCs w:val="24"/>
        </w:rPr>
      </w:pPr>
      <w:r>
        <w:rPr>
          <w:rFonts w:cs="Times New Roman"/>
          <w:szCs w:val="24"/>
        </w:rPr>
        <w:t xml:space="preserve">Nedbygging av lovgivningen om Den norske kirke, som dette høringsnotatet foreslår, innebærer en betydelig forenkling av det statlige regelverket </w:t>
      </w:r>
      <w:r w:rsidR="00344CEF">
        <w:rPr>
          <w:rFonts w:cs="Times New Roman"/>
          <w:szCs w:val="24"/>
        </w:rPr>
        <w:t>om</w:t>
      </w:r>
      <w:r>
        <w:rPr>
          <w:rFonts w:cs="Times New Roman"/>
          <w:szCs w:val="24"/>
        </w:rPr>
        <w:t xml:space="preserve"> Den norske kirke. Depa</w:t>
      </w:r>
      <w:r w:rsidR="00344CEF">
        <w:rPr>
          <w:rFonts w:cs="Times New Roman"/>
          <w:szCs w:val="24"/>
        </w:rPr>
        <w:t xml:space="preserve">rtementet har </w:t>
      </w:r>
      <w:r>
        <w:rPr>
          <w:rFonts w:cs="Times New Roman"/>
          <w:szCs w:val="24"/>
        </w:rPr>
        <w:t xml:space="preserve">ikke et mål om å forrykke </w:t>
      </w:r>
      <w:r w:rsidR="000E3182">
        <w:rPr>
          <w:rFonts w:cs="Times New Roman"/>
          <w:szCs w:val="24"/>
        </w:rPr>
        <w:t>den gjeldende balansen mellom ulike elementer</w:t>
      </w:r>
      <w:r>
        <w:rPr>
          <w:rFonts w:cs="Times New Roman"/>
          <w:szCs w:val="24"/>
        </w:rPr>
        <w:t xml:space="preserve"> i kirkeordningen. Som nevnt er statens primære interesse å legge til rette for at Den norske kirke kan videreføres som en evangelisk-luthersk kirke</w:t>
      </w:r>
      <w:r w:rsidR="00347DB7">
        <w:rPr>
          <w:rFonts w:cs="Times New Roman"/>
          <w:szCs w:val="24"/>
        </w:rPr>
        <w:t>,</w:t>
      </w:r>
      <w:r>
        <w:rPr>
          <w:rFonts w:cs="Times New Roman"/>
          <w:szCs w:val="24"/>
        </w:rPr>
        <w:t xml:space="preserve"> og som "Norges folkekirke". Ut over dette bør lovgivningen, inkludert finansieringsordningen, </w:t>
      </w:r>
      <w:r w:rsidR="00845832">
        <w:rPr>
          <w:rFonts w:cs="Times New Roman"/>
          <w:szCs w:val="24"/>
        </w:rPr>
        <w:t>ha som mål</w:t>
      </w:r>
      <w:r>
        <w:rPr>
          <w:rFonts w:cs="Times New Roman"/>
          <w:szCs w:val="24"/>
        </w:rPr>
        <w:t xml:space="preserve"> at Den norske kirke kan treffe beslutninger om kirkens organisering på et mer selvstendig grunnlag enn i dag. Da er det heller ikke til å unngå at Den norske kirkes egne organer vil måtte ta et større ansvar for selv å videreføre en ønsket balanse mellom ulike elementer i eller perspektiver på kirkens organisering, eller eventuelt gjøre endringer i myndighetsfordeling mv.</w:t>
      </w:r>
      <w:r w:rsidR="00845832">
        <w:rPr>
          <w:rFonts w:cs="Times New Roman"/>
          <w:szCs w:val="24"/>
        </w:rPr>
        <w:t xml:space="preserve"> </w:t>
      </w:r>
      <w:r w:rsidR="00020360">
        <w:rPr>
          <w:rFonts w:cs="Times New Roman"/>
          <w:szCs w:val="24"/>
        </w:rPr>
        <w:t>E</w:t>
      </w:r>
      <w:r w:rsidR="009E715D">
        <w:rPr>
          <w:rFonts w:cs="Times New Roman"/>
          <w:szCs w:val="24"/>
        </w:rPr>
        <w:t xml:space="preserve">tter departementets </w:t>
      </w:r>
      <w:r w:rsidR="009E715D">
        <w:rPr>
          <w:rFonts w:cs="Times New Roman"/>
          <w:szCs w:val="24"/>
        </w:rPr>
        <w:lastRenderedPageBreak/>
        <w:t>syn er det Kirkemøtet som vil måtte ha myndighet til å regulere myndighetsfordelingen i Den norske kirke, men innenfor visse rammer som lovgivningen bør angi. Departementet kommer tilbake til dette i punkt 8.3.4.</w:t>
      </w:r>
    </w:p>
    <w:p w:rsidR="007B750F" w:rsidRDefault="007B750F" w:rsidP="007B750F">
      <w:pPr>
        <w:rPr>
          <w:rFonts w:cs="Times New Roman"/>
          <w:szCs w:val="24"/>
        </w:rPr>
      </w:pPr>
      <w:r>
        <w:rPr>
          <w:rFonts w:cs="Times New Roman"/>
          <w:szCs w:val="24"/>
        </w:rPr>
        <w:t xml:space="preserve">Som det er antydet ovenfor i punktene 6.2.3.2 og 6.3.4, kan det være krevende å utforme en lovgivning om Den norske kirke som fra statens side angir et </w:t>
      </w:r>
      <w:r w:rsidR="00347DB7">
        <w:rPr>
          <w:rFonts w:cs="Times New Roman"/>
          <w:szCs w:val="24"/>
        </w:rPr>
        <w:t xml:space="preserve">adekvat </w:t>
      </w:r>
      <w:r>
        <w:rPr>
          <w:rFonts w:cs="Times New Roman"/>
          <w:szCs w:val="24"/>
        </w:rPr>
        <w:t>rettslig grunnlag for at Den norske kirke kan</w:t>
      </w:r>
      <w:r w:rsidR="004D3AC5">
        <w:rPr>
          <w:rFonts w:cs="Times New Roman"/>
          <w:szCs w:val="24"/>
        </w:rPr>
        <w:t xml:space="preserve"> videreføres som folkekirke, </w:t>
      </w:r>
      <w:r>
        <w:rPr>
          <w:rFonts w:cs="Times New Roman"/>
          <w:szCs w:val="24"/>
        </w:rPr>
        <w:t>som samtidig tar tilbørlig hensyn til Den norske kirkes selvstendighet, tros- og livssynsfrihet og selvforståelse</w:t>
      </w:r>
      <w:r w:rsidR="004D3AC5">
        <w:rPr>
          <w:rFonts w:cs="Times New Roman"/>
          <w:szCs w:val="24"/>
        </w:rPr>
        <w:t>, og som bidrar til tilstrekkelig likebehandling med andre tros- og livssynssamfunn</w:t>
      </w:r>
      <w:r>
        <w:rPr>
          <w:rFonts w:cs="Times New Roman"/>
          <w:szCs w:val="24"/>
        </w:rPr>
        <w:t>. For å finne fram til en hensiktsmessig balanse mellom ulike perspektiver på reguleringen vil departementet legge vekt på signaler om lovgivning som Den norske kirke har gitt</w:t>
      </w:r>
      <w:r w:rsidR="00417768">
        <w:rPr>
          <w:rFonts w:cs="Times New Roman"/>
          <w:szCs w:val="24"/>
        </w:rPr>
        <w:t xml:space="preserve"> gjennom vedtak i Kirkemøtet</w:t>
      </w:r>
      <w:r>
        <w:rPr>
          <w:rFonts w:cs="Times New Roman"/>
          <w:szCs w:val="24"/>
        </w:rPr>
        <w:t xml:space="preserve">. Høringen vil naturligvis også legge et vesentlig grunnlag for utforming av lovgivningen. </w:t>
      </w:r>
    </w:p>
    <w:p w:rsidR="007B750F" w:rsidRDefault="007B750F" w:rsidP="007B750F">
      <w:pPr>
        <w:rPr>
          <w:rFonts w:cs="Times New Roman"/>
          <w:szCs w:val="24"/>
        </w:rPr>
      </w:pPr>
      <w:r>
        <w:rPr>
          <w:rFonts w:cs="Times New Roman"/>
          <w:szCs w:val="24"/>
        </w:rPr>
        <w:t xml:space="preserve">I det følgende gjøres det først rede for forslag som har vært framsatt om framtidig rammelovgivning for Den norske kirke, med særlig vekt på ulike vedtak som Kirkemøtet gjorde om dette i 2015. </w:t>
      </w:r>
      <w:r w:rsidR="004D3AC5">
        <w:rPr>
          <w:rFonts w:cs="Times New Roman"/>
          <w:szCs w:val="24"/>
        </w:rPr>
        <w:t xml:space="preserve">Og </w:t>
      </w:r>
      <w:r w:rsidR="00344CEF">
        <w:rPr>
          <w:rFonts w:cs="Times New Roman"/>
          <w:szCs w:val="24"/>
        </w:rPr>
        <w:t>i kapitlet</w:t>
      </w:r>
      <w:r w:rsidR="004D3AC5">
        <w:rPr>
          <w:rFonts w:cs="Times New Roman"/>
          <w:szCs w:val="24"/>
        </w:rPr>
        <w:t xml:space="preserve"> videre drøftes</w:t>
      </w:r>
      <w:r w:rsidR="00344CEF">
        <w:rPr>
          <w:rFonts w:cs="Times New Roman"/>
          <w:szCs w:val="24"/>
        </w:rPr>
        <w:t>,</w:t>
      </w:r>
      <w:r w:rsidR="004D3AC5">
        <w:rPr>
          <w:rFonts w:cs="Times New Roman"/>
          <w:szCs w:val="24"/>
        </w:rPr>
        <w:t xml:space="preserve"> </w:t>
      </w:r>
      <w:r w:rsidR="00344CEF">
        <w:rPr>
          <w:rFonts w:cs="Times New Roman"/>
          <w:szCs w:val="24"/>
        </w:rPr>
        <w:t xml:space="preserve">og fremmes det forslag om, ny lovregulering av </w:t>
      </w:r>
      <w:r>
        <w:rPr>
          <w:rFonts w:cs="Times New Roman"/>
          <w:szCs w:val="24"/>
        </w:rPr>
        <w:t>Den norske kirke</w:t>
      </w:r>
      <w:r w:rsidR="00344CEF">
        <w:rPr>
          <w:rFonts w:cs="Times New Roman"/>
          <w:szCs w:val="24"/>
        </w:rPr>
        <w:t>s "ordning"</w:t>
      </w:r>
      <w:r>
        <w:rPr>
          <w:rFonts w:cs="Times New Roman"/>
          <w:szCs w:val="24"/>
        </w:rPr>
        <w:t xml:space="preserve">. </w:t>
      </w:r>
    </w:p>
    <w:p w:rsidR="007B750F" w:rsidRDefault="007B750F" w:rsidP="007B750F">
      <w:pPr>
        <w:pStyle w:val="Overskrift2"/>
      </w:pPr>
      <w:bookmarkStart w:id="956" w:name="_Toc477535524"/>
      <w:bookmarkStart w:id="957" w:name="_Toc477630657"/>
      <w:bookmarkStart w:id="958" w:name="_Toc477693621"/>
      <w:bookmarkStart w:id="959" w:name="_Toc477703995"/>
      <w:bookmarkStart w:id="960" w:name="_Toc477799208"/>
      <w:bookmarkStart w:id="961" w:name="_Toc477805810"/>
      <w:bookmarkStart w:id="962" w:name="_Toc477878070"/>
      <w:bookmarkStart w:id="963" w:name="_Toc477881473"/>
      <w:bookmarkStart w:id="964" w:name="_Toc477885933"/>
      <w:bookmarkStart w:id="965" w:name="_Toc478131349"/>
      <w:bookmarkStart w:id="966" w:name="_Toc478138733"/>
      <w:bookmarkStart w:id="967" w:name="_Toc478232248"/>
      <w:bookmarkStart w:id="968" w:name="_Toc478237232"/>
      <w:bookmarkStart w:id="969" w:name="_Toc481761784"/>
      <w:bookmarkStart w:id="970" w:name="_Toc492900437"/>
      <w:r>
        <w:t>Bakgrunn</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7B750F" w:rsidRDefault="007B750F" w:rsidP="007B750F">
      <w:pPr>
        <w:pStyle w:val="Overskrift3"/>
      </w:pPr>
      <w:bookmarkStart w:id="971" w:name="_Toc477535525"/>
      <w:bookmarkStart w:id="972" w:name="_Toc477630658"/>
      <w:bookmarkStart w:id="973" w:name="_Toc477693622"/>
      <w:bookmarkStart w:id="974" w:name="_Toc477703996"/>
      <w:bookmarkStart w:id="975" w:name="_Toc477799209"/>
      <w:bookmarkStart w:id="976" w:name="_Toc477805811"/>
      <w:bookmarkStart w:id="977" w:name="_Toc477878071"/>
      <w:bookmarkStart w:id="978" w:name="_Toc477881474"/>
      <w:bookmarkStart w:id="979" w:name="_Toc477885934"/>
      <w:bookmarkStart w:id="980" w:name="_Toc478131350"/>
      <w:bookmarkStart w:id="981" w:name="_Toc478138734"/>
      <w:bookmarkStart w:id="982" w:name="_Toc478232249"/>
      <w:bookmarkStart w:id="983" w:name="_Toc478237233"/>
      <w:bookmarkStart w:id="984" w:name="_Toc481761785"/>
      <w:bookmarkStart w:id="985" w:name="_Toc492900438"/>
      <w:r>
        <w:t xml:space="preserve">NOU 2006: 2 </w:t>
      </w:r>
      <w:r w:rsidRPr="002D176E">
        <w:rPr>
          <w:i/>
        </w:rPr>
        <w:t>Staten og Den norske kirke</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153237">
        <w:t xml:space="preserve"> </w:t>
      </w:r>
    </w:p>
    <w:p w:rsidR="00344CEF" w:rsidRDefault="007B750F" w:rsidP="007B750F">
      <w:pPr>
        <w:rPr>
          <w:rFonts w:cs="Times New Roman"/>
          <w:szCs w:val="24"/>
        </w:rPr>
      </w:pPr>
      <w:r>
        <w:rPr>
          <w:rFonts w:cs="Times New Roman"/>
          <w:szCs w:val="24"/>
        </w:rPr>
        <w:t xml:space="preserve">Gjønnes-utvalget </w:t>
      </w:r>
      <w:r w:rsidR="004D3AC5">
        <w:rPr>
          <w:rFonts w:cs="Times New Roman"/>
          <w:szCs w:val="24"/>
        </w:rPr>
        <w:t>fremmet i</w:t>
      </w:r>
      <w:r>
        <w:rPr>
          <w:rFonts w:cs="Times New Roman"/>
          <w:szCs w:val="24"/>
        </w:rPr>
        <w:t xml:space="preserve"> sin utredning </w:t>
      </w:r>
      <w:r w:rsidR="004D3AC5">
        <w:rPr>
          <w:rFonts w:cs="Times New Roman"/>
          <w:szCs w:val="24"/>
        </w:rPr>
        <w:t xml:space="preserve">forslag til </w:t>
      </w:r>
      <w:r w:rsidRPr="00153237">
        <w:rPr>
          <w:rFonts w:cs="Times New Roman"/>
          <w:szCs w:val="24"/>
        </w:rPr>
        <w:t xml:space="preserve">kirkelige </w:t>
      </w:r>
      <w:r>
        <w:rPr>
          <w:rFonts w:cs="Times New Roman"/>
          <w:szCs w:val="24"/>
        </w:rPr>
        <w:t>lov</w:t>
      </w:r>
      <w:r w:rsidRPr="00153237">
        <w:rPr>
          <w:rFonts w:cs="Times New Roman"/>
          <w:szCs w:val="24"/>
        </w:rPr>
        <w:t>reformer som langt på vei e</w:t>
      </w:r>
      <w:r w:rsidR="004D3AC5">
        <w:rPr>
          <w:rFonts w:cs="Times New Roman"/>
          <w:szCs w:val="24"/>
        </w:rPr>
        <w:t>r i samsvar med det som departementet foreslår</w:t>
      </w:r>
      <w:r>
        <w:rPr>
          <w:rFonts w:cs="Times New Roman"/>
          <w:szCs w:val="24"/>
        </w:rPr>
        <w:t xml:space="preserve"> her</w:t>
      </w:r>
      <w:r w:rsidR="004D3AC5">
        <w:rPr>
          <w:rFonts w:cs="Times New Roman"/>
          <w:szCs w:val="24"/>
        </w:rPr>
        <w:t>,</w:t>
      </w:r>
      <w:r>
        <w:rPr>
          <w:rFonts w:cs="Times New Roman"/>
          <w:szCs w:val="24"/>
        </w:rPr>
        <w:t xml:space="preserve"> eller </w:t>
      </w:r>
      <w:r w:rsidR="004D3AC5">
        <w:rPr>
          <w:rFonts w:cs="Times New Roman"/>
          <w:szCs w:val="24"/>
        </w:rPr>
        <w:t xml:space="preserve">som </w:t>
      </w:r>
      <w:r>
        <w:rPr>
          <w:rFonts w:cs="Times New Roman"/>
          <w:szCs w:val="24"/>
        </w:rPr>
        <w:t xml:space="preserve">allerede </w:t>
      </w:r>
      <w:r w:rsidR="004D3AC5">
        <w:rPr>
          <w:rFonts w:cs="Times New Roman"/>
          <w:szCs w:val="24"/>
        </w:rPr>
        <w:t xml:space="preserve">er </w:t>
      </w:r>
      <w:r>
        <w:rPr>
          <w:rFonts w:cs="Times New Roman"/>
          <w:szCs w:val="24"/>
        </w:rPr>
        <w:t>gjennomført</w:t>
      </w:r>
      <w:r w:rsidR="00344CEF">
        <w:rPr>
          <w:rFonts w:cs="Times New Roman"/>
          <w:szCs w:val="24"/>
        </w:rPr>
        <w:t xml:space="preserve"> som følge av </w:t>
      </w:r>
      <w:r w:rsidR="004D3AC5">
        <w:rPr>
          <w:rFonts w:cs="Times New Roman"/>
          <w:szCs w:val="24"/>
        </w:rPr>
        <w:t xml:space="preserve">kirkeforliket eller i den kirkelige forvaltningsreformen </w:t>
      </w:r>
      <w:r w:rsidR="00344CEF">
        <w:rPr>
          <w:rFonts w:cs="Times New Roman"/>
          <w:szCs w:val="24"/>
        </w:rPr>
        <w:t>som er</w:t>
      </w:r>
      <w:r w:rsidR="004D3AC5">
        <w:rPr>
          <w:rFonts w:cs="Times New Roman"/>
          <w:szCs w:val="24"/>
        </w:rPr>
        <w:t xml:space="preserve"> gjennomført fra 2017</w:t>
      </w:r>
      <w:r>
        <w:rPr>
          <w:rFonts w:cs="Times New Roman"/>
          <w:szCs w:val="24"/>
        </w:rPr>
        <w:t>.</w:t>
      </w:r>
      <w:r w:rsidRPr="00153237">
        <w:rPr>
          <w:rFonts w:cs="Times New Roman"/>
          <w:szCs w:val="24"/>
        </w:rPr>
        <w:t xml:space="preserve"> </w:t>
      </w:r>
    </w:p>
    <w:p w:rsidR="007B750F" w:rsidRPr="00153237" w:rsidRDefault="007B750F" w:rsidP="007B750F">
      <w:pPr>
        <w:rPr>
          <w:rFonts w:cs="Times New Roman"/>
          <w:szCs w:val="24"/>
        </w:rPr>
      </w:pPr>
      <w:r>
        <w:rPr>
          <w:rFonts w:cs="Times New Roman"/>
          <w:szCs w:val="24"/>
        </w:rPr>
        <w:t>Utvalget anbefalte at den daværende kirkeloven skulle erstatte</w:t>
      </w:r>
      <w:r w:rsidR="00344CEF">
        <w:rPr>
          <w:rFonts w:cs="Times New Roman"/>
          <w:szCs w:val="24"/>
        </w:rPr>
        <w:t xml:space="preserve">s av en mer kortfattet rammelov </w:t>
      </w:r>
      <w:r>
        <w:rPr>
          <w:rFonts w:cs="Times New Roman"/>
          <w:szCs w:val="24"/>
        </w:rPr>
        <w:t xml:space="preserve">etter </w:t>
      </w:r>
      <w:r w:rsidR="000A517B">
        <w:rPr>
          <w:rFonts w:cs="Times New Roman"/>
          <w:szCs w:val="24"/>
        </w:rPr>
        <w:t>–</w:t>
      </w:r>
      <w:r>
        <w:rPr>
          <w:rFonts w:cs="Times New Roman"/>
          <w:szCs w:val="24"/>
        </w:rPr>
        <w:t xml:space="preserve"> eller i forbindelse </w:t>
      </w:r>
      <w:r w:rsidR="00344CEF">
        <w:rPr>
          <w:rFonts w:cs="Times New Roman"/>
          <w:szCs w:val="24"/>
        </w:rPr>
        <w:t>med –</w:t>
      </w:r>
      <w:r>
        <w:rPr>
          <w:rFonts w:cs="Times New Roman"/>
          <w:szCs w:val="24"/>
        </w:rPr>
        <w:t xml:space="preserve"> endringer i Grunnlovens statskirkeordning. Det ble ikke utformet et detaljert forslag til ny rammelov, men flertallet i utvalget mente at loven burde inneholde følgende elementer: </w:t>
      </w:r>
    </w:p>
    <w:p w:rsidR="007B750F" w:rsidRPr="00945FE4" w:rsidRDefault="007B750F" w:rsidP="002F269C">
      <w:pPr>
        <w:pStyle w:val="Listebombe2"/>
      </w:pPr>
      <w:r w:rsidRPr="005075CB">
        <w:t xml:space="preserve">en formålsbestemmelse som tydeliggjorde </w:t>
      </w:r>
      <w:r w:rsidRPr="00A80138">
        <w:t>at det var den samme kirken som ble videreført</w:t>
      </w:r>
    </w:p>
    <w:p w:rsidR="007B750F" w:rsidRPr="00945FE4" w:rsidRDefault="007B750F" w:rsidP="002F269C">
      <w:pPr>
        <w:pStyle w:val="Listebombe2"/>
      </w:pPr>
      <w:r w:rsidRPr="00945FE4">
        <w:t xml:space="preserve">en bekreftelse om at kirken som selvstendig trossamfunn avgjør alle spørsmål som har med lære, organisasjon, utnevnelse av ledere og virksomhet for øvrig </w:t>
      </w:r>
    </w:p>
    <w:p w:rsidR="007B750F" w:rsidRPr="00945FE4" w:rsidRDefault="007B750F" w:rsidP="002F269C">
      <w:pPr>
        <w:pStyle w:val="Listebombe2"/>
      </w:pPr>
      <w:r w:rsidRPr="00945FE4">
        <w:t>en bestemmelse om at soknet er den grunnleggende enhet</w:t>
      </w:r>
      <w:r w:rsidR="00317D2B" w:rsidRPr="00945FE4">
        <w:t>en</w:t>
      </w:r>
      <w:r w:rsidRPr="00945FE4">
        <w:t xml:space="preserve"> i kirken og forblir </w:t>
      </w:r>
      <w:r w:rsidR="00317D2B" w:rsidRPr="00945FE4">
        <w:t xml:space="preserve">et </w:t>
      </w:r>
      <w:r w:rsidRPr="00945FE4">
        <w:t>eget rettssubjekt</w:t>
      </w:r>
    </w:p>
    <w:p w:rsidR="007B750F" w:rsidRPr="00945FE4" w:rsidRDefault="007B750F" w:rsidP="002F269C">
      <w:pPr>
        <w:pStyle w:val="Listebombe2"/>
      </w:pPr>
      <w:r w:rsidRPr="00945FE4">
        <w:t>en bestemmelse om at Den norske kirke er et selvstendig rettssubjekt</w:t>
      </w:r>
    </w:p>
    <w:p w:rsidR="007B750F" w:rsidRPr="00945FE4" w:rsidRDefault="007B750F" w:rsidP="002F269C">
      <w:pPr>
        <w:pStyle w:val="Listebombe2"/>
      </w:pPr>
      <w:r w:rsidRPr="00945FE4">
        <w:t>bestemmelse</w:t>
      </w:r>
      <w:r w:rsidR="00317D2B" w:rsidRPr="00945FE4">
        <w:t>r</w:t>
      </w:r>
      <w:r w:rsidRPr="00945FE4">
        <w:t xml:space="preserve"> om at nærmere bestemt lovgivning for offentlige forvaltning fortsatt skal gjelde for kirken og dens organer</w:t>
      </w:r>
    </w:p>
    <w:p w:rsidR="007B750F" w:rsidRPr="00945FE4" w:rsidRDefault="007B750F" w:rsidP="002F269C">
      <w:pPr>
        <w:pStyle w:val="Listebombe2"/>
      </w:pPr>
      <w:r w:rsidRPr="00945FE4">
        <w:t>bestemmelse</w:t>
      </w:r>
      <w:r w:rsidR="00317D2B" w:rsidRPr="00945FE4">
        <w:t>r</w:t>
      </w:r>
      <w:r w:rsidRPr="00945FE4">
        <w:t xml:space="preserve"> om kommunens finansieringsansvar, om dette videreføres</w:t>
      </w:r>
    </w:p>
    <w:p w:rsidR="007B750F" w:rsidRPr="00153237" w:rsidRDefault="007B750F" w:rsidP="002F269C">
      <w:pPr>
        <w:pStyle w:val="Listebombe2"/>
      </w:pPr>
      <w:r w:rsidRPr="00945FE4">
        <w:t>særskilte restriksjoner og prosedyrer for endringer av lovverket og for kirkeordningen som skal vedtas av kirkelige organer</w:t>
      </w:r>
    </w:p>
    <w:p w:rsidR="007B750F" w:rsidRPr="003A6F13" w:rsidRDefault="007B750F" w:rsidP="007B750F">
      <w:pPr>
        <w:pStyle w:val="Overskrift3"/>
      </w:pPr>
      <w:bookmarkStart w:id="986" w:name="_Toc478131351"/>
      <w:bookmarkStart w:id="987" w:name="_Toc478131622"/>
      <w:bookmarkStart w:id="988" w:name="_Toc478231511"/>
      <w:bookmarkStart w:id="989" w:name="_Toc478231760"/>
      <w:bookmarkStart w:id="990" w:name="_Toc478232008"/>
      <w:bookmarkStart w:id="991" w:name="_Toc478232250"/>
      <w:bookmarkStart w:id="992" w:name="_Toc478236370"/>
      <w:bookmarkStart w:id="993" w:name="_Toc478236672"/>
      <w:bookmarkStart w:id="994" w:name="_Toc478237234"/>
      <w:bookmarkStart w:id="995" w:name="_Toc478365752"/>
      <w:bookmarkStart w:id="996" w:name="_Toc478131352"/>
      <w:bookmarkStart w:id="997" w:name="_Toc478131623"/>
      <w:bookmarkStart w:id="998" w:name="_Toc478231512"/>
      <w:bookmarkStart w:id="999" w:name="_Toc478231761"/>
      <w:bookmarkStart w:id="1000" w:name="_Toc478232009"/>
      <w:bookmarkStart w:id="1001" w:name="_Toc478232251"/>
      <w:bookmarkStart w:id="1002" w:name="_Toc478236371"/>
      <w:bookmarkStart w:id="1003" w:name="_Toc478236673"/>
      <w:bookmarkStart w:id="1004" w:name="_Toc478237235"/>
      <w:bookmarkStart w:id="1005" w:name="_Toc478365753"/>
      <w:bookmarkStart w:id="1006" w:name="_Toc478131353"/>
      <w:bookmarkStart w:id="1007" w:name="_Toc478131624"/>
      <w:bookmarkStart w:id="1008" w:name="_Toc478231513"/>
      <w:bookmarkStart w:id="1009" w:name="_Toc478231762"/>
      <w:bookmarkStart w:id="1010" w:name="_Toc478232010"/>
      <w:bookmarkStart w:id="1011" w:name="_Toc478232252"/>
      <w:bookmarkStart w:id="1012" w:name="_Toc478236372"/>
      <w:bookmarkStart w:id="1013" w:name="_Toc478236674"/>
      <w:bookmarkStart w:id="1014" w:name="_Toc478237236"/>
      <w:bookmarkStart w:id="1015" w:name="_Toc478365754"/>
      <w:bookmarkStart w:id="1016" w:name="_Toc478131354"/>
      <w:bookmarkStart w:id="1017" w:name="_Toc478131625"/>
      <w:bookmarkStart w:id="1018" w:name="_Toc478231514"/>
      <w:bookmarkStart w:id="1019" w:name="_Toc478231763"/>
      <w:bookmarkStart w:id="1020" w:name="_Toc478232011"/>
      <w:bookmarkStart w:id="1021" w:name="_Toc478232253"/>
      <w:bookmarkStart w:id="1022" w:name="_Toc478236373"/>
      <w:bookmarkStart w:id="1023" w:name="_Toc478236675"/>
      <w:bookmarkStart w:id="1024" w:name="_Toc478237237"/>
      <w:bookmarkStart w:id="1025" w:name="_Toc478365755"/>
      <w:bookmarkStart w:id="1026" w:name="_Toc478131355"/>
      <w:bookmarkStart w:id="1027" w:name="_Toc478131626"/>
      <w:bookmarkStart w:id="1028" w:name="_Toc478231515"/>
      <w:bookmarkStart w:id="1029" w:name="_Toc478231764"/>
      <w:bookmarkStart w:id="1030" w:name="_Toc478232012"/>
      <w:bookmarkStart w:id="1031" w:name="_Toc478232254"/>
      <w:bookmarkStart w:id="1032" w:name="_Toc478236374"/>
      <w:bookmarkStart w:id="1033" w:name="_Toc478236676"/>
      <w:bookmarkStart w:id="1034" w:name="_Toc478237238"/>
      <w:bookmarkStart w:id="1035" w:name="_Toc478365756"/>
      <w:bookmarkStart w:id="1036" w:name="_Toc478131356"/>
      <w:bookmarkStart w:id="1037" w:name="_Toc478131627"/>
      <w:bookmarkStart w:id="1038" w:name="_Toc478231516"/>
      <w:bookmarkStart w:id="1039" w:name="_Toc478231765"/>
      <w:bookmarkStart w:id="1040" w:name="_Toc478232013"/>
      <w:bookmarkStart w:id="1041" w:name="_Toc478232255"/>
      <w:bookmarkStart w:id="1042" w:name="_Toc478236375"/>
      <w:bookmarkStart w:id="1043" w:name="_Toc478236677"/>
      <w:bookmarkStart w:id="1044" w:name="_Toc478237239"/>
      <w:bookmarkStart w:id="1045" w:name="_Toc478365757"/>
      <w:bookmarkStart w:id="1046" w:name="_Toc478131357"/>
      <w:bookmarkStart w:id="1047" w:name="_Toc478131628"/>
      <w:bookmarkStart w:id="1048" w:name="_Toc478231517"/>
      <w:bookmarkStart w:id="1049" w:name="_Toc478231766"/>
      <w:bookmarkStart w:id="1050" w:name="_Toc478232014"/>
      <w:bookmarkStart w:id="1051" w:name="_Toc478232256"/>
      <w:bookmarkStart w:id="1052" w:name="_Toc478236376"/>
      <w:bookmarkStart w:id="1053" w:name="_Toc478236678"/>
      <w:bookmarkStart w:id="1054" w:name="_Toc478237240"/>
      <w:bookmarkStart w:id="1055" w:name="_Toc478365758"/>
      <w:bookmarkStart w:id="1056" w:name="_Toc478131358"/>
      <w:bookmarkStart w:id="1057" w:name="_Toc478131629"/>
      <w:bookmarkStart w:id="1058" w:name="_Toc478231518"/>
      <w:bookmarkStart w:id="1059" w:name="_Toc478231767"/>
      <w:bookmarkStart w:id="1060" w:name="_Toc478232015"/>
      <w:bookmarkStart w:id="1061" w:name="_Toc478232257"/>
      <w:bookmarkStart w:id="1062" w:name="_Toc478236377"/>
      <w:bookmarkStart w:id="1063" w:name="_Toc478236679"/>
      <w:bookmarkStart w:id="1064" w:name="_Toc478237241"/>
      <w:bookmarkStart w:id="1065" w:name="_Toc478365759"/>
      <w:bookmarkStart w:id="1066" w:name="_Toc478131359"/>
      <w:bookmarkStart w:id="1067" w:name="_Toc478131630"/>
      <w:bookmarkStart w:id="1068" w:name="_Toc478231519"/>
      <w:bookmarkStart w:id="1069" w:name="_Toc478231768"/>
      <w:bookmarkStart w:id="1070" w:name="_Toc478232016"/>
      <w:bookmarkStart w:id="1071" w:name="_Toc478232258"/>
      <w:bookmarkStart w:id="1072" w:name="_Toc478236378"/>
      <w:bookmarkStart w:id="1073" w:name="_Toc478236680"/>
      <w:bookmarkStart w:id="1074" w:name="_Toc478237242"/>
      <w:bookmarkStart w:id="1075" w:name="_Toc478365760"/>
      <w:bookmarkStart w:id="1076" w:name="_Toc478131360"/>
      <w:bookmarkStart w:id="1077" w:name="_Toc478131631"/>
      <w:bookmarkStart w:id="1078" w:name="_Toc478231520"/>
      <w:bookmarkStart w:id="1079" w:name="_Toc478231769"/>
      <w:bookmarkStart w:id="1080" w:name="_Toc478232017"/>
      <w:bookmarkStart w:id="1081" w:name="_Toc478232259"/>
      <w:bookmarkStart w:id="1082" w:name="_Toc478236379"/>
      <w:bookmarkStart w:id="1083" w:name="_Toc478236681"/>
      <w:bookmarkStart w:id="1084" w:name="_Toc478237243"/>
      <w:bookmarkStart w:id="1085" w:name="_Toc478365761"/>
      <w:bookmarkStart w:id="1086" w:name="_Toc478131361"/>
      <w:bookmarkStart w:id="1087" w:name="_Toc478131632"/>
      <w:bookmarkStart w:id="1088" w:name="_Toc478231521"/>
      <w:bookmarkStart w:id="1089" w:name="_Toc478231770"/>
      <w:bookmarkStart w:id="1090" w:name="_Toc478232018"/>
      <w:bookmarkStart w:id="1091" w:name="_Toc478232260"/>
      <w:bookmarkStart w:id="1092" w:name="_Toc478236380"/>
      <w:bookmarkStart w:id="1093" w:name="_Toc478236682"/>
      <w:bookmarkStart w:id="1094" w:name="_Toc478237244"/>
      <w:bookmarkStart w:id="1095" w:name="_Toc478365762"/>
      <w:bookmarkStart w:id="1096" w:name="_Toc478131362"/>
      <w:bookmarkStart w:id="1097" w:name="_Toc478131633"/>
      <w:bookmarkStart w:id="1098" w:name="_Toc478231522"/>
      <w:bookmarkStart w:id="1099" w:name="_Toc478231771"/>
      <w:bookmarkStart w:id="1100" w:name="_Toc478232019"/>
      <w:bookmarkStart w:id="1101" w:name="_Toc478232261"/>
      <w:bookmarkStart w:id="1102" w:name="_Toc478236381"/>
      <w:bookmarkStart w:id="1103" w:name="_Toc478236683"/>
      <w:bookmarkStart w:id="1104" w:name="_Toc478237245"/>
      <w:bookmarkStart w:id="1105" w:name="_Toc478365763"/>
      <w:bookmarkStart w:id="1106" w:name="_Toc478131363"/>
      <w:bookmarkStart w:id="1107" w:name="_Toc478131634"/>
      <w:bookmarkStart w:id="1108" w:name="_Toc478231523"/>
      <w:bookmarkStart w:id="1109" w:name="_Toc478231772"/>
      <w:bookmarkStart w:id="1110" w:name="_Toc478232020"/>
      <w:bookmarkStart w:id="1111" w:name="_Toc478232262"/>
      <w:bookmarkStart w:id="1112" w:name="_Toc478236382"/>
      <w:bookmarkStart w:id="1113" w:name="_Toc478236684"/>
      <w:bookmarkStart w:id="1114" w:name="_Toc478237246"/>
      <w:bookmarkStart w:id="1115" w:name="_Toc478365764"/>
      <w:bookmarkStart w:id="1116" w:name="_Toc477535527"/>
      <w:bookmarkStart w:id="1117" w:name="_Toc477630660"/>
      <w:bookmarkStart w:id="1118" w:name="_Toc477693624"/>
      <w:bookmarkStart w:id="1119" w:name="_Toc477703998"/>
      <w:bookmarkStart w:id="1120" w:name="_Toc477799211"/>
      <w:bookmarkStart w:id="1121" w:name="_Toc477805813"/>
      <w:bookmarkStart w:id="1122" w:name="_Toc477878073"/>
      <w:bookmarkStart w:id="1123" w:name="_Toc477881476"/>
      <w:bookmarkStart w:id="1124" w:name="_Toc477885936"/>
      <w:bookmarkStart w:id="1125" w:name="_Toc478131364"/>
      <w:bookmarkStart w:id="1126" w:name="_Toc478138736"/>
      <w:bookmarkStart w:id="1127" w:name="_Toc478232263"/>
      <w:bookmarkStart w:id="1128" w:name="_Toc478237247"/>
      <w:bookmarkStart w:id="1129" w:name="_Toc481761786"/>
      <w:bookmarkStart w:id="1130" w:name="_Toc492900439"/>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r>
        <w:t xml:space="preserve">Vedtak fattet av </w:t>
      </w:r>
      <w:r w:rsidRPr="00153237">
        <w:t>Kirkemøtet 2015</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7B750F" w:rsidRPr="003A6F13" w:rsidRDefault="007B750F" w:rsidP="007B750F">
      <w:pPr>
        <w:pStyle w:val="Overskrift4"/>
      </w:pPr>
      <w:r w:rsidRPr="00420A73">
        <w:t>Den norske kirke som eget rettssubjekt</w:t>
      </w:r>
      <w:r w:rsidRPr="003A6F13">
        <w:t xml:space="preserve"> – KM sak 10/15</w:t>
      </w:r>
    </w:p>
    <w:p w:rsidR="007B750F" w:rsidRPr="00153237" w:rsidRDefault="007B750F" w:rsidP="007B750F">
      <w:pPr>
        <w:rPr>
          <w:rFonts w:cs="Times New Roman"/>
          <w:szCs w:val="24"/>
        </w:rPr>
      </w:pPr>
      <w:r w:rsidRPr="00153237">
        <w:rPr>
          <w:rFonts w:cs="Times New Roman"/>
          <w:szCs w:val="24"/>
        </w:rPr>
        <w:t xml:space="preserve">Kirkemøtet behandlet i 2015 Kulturdepartementets forslag til lovendringer om omdanning av Den norske kirke til et eget rettssubjekt </w:t>
      </w:r>
      <w:r w:rsidR="00905A98">
        <w:rPr>
          <w:rFonts w:cs="Times New Roman"/>
          <w:szCs w:val="24"/>
        </w:rPr>
        <w:t>(</w:t>
      </w:r>
      <w:r w:rsidRPr="00153237">
        <w:rPr>
          <w:rFonts w:cs="Times New Roman"/>
          <w:szCs w:val="24"/>
        </w:rPr>
        <w:t xml:space="preserve">KM sak 10/15). I all hovedsak ga Kirkemøtet sin tilslutning til forslagene. </w:t>
      </w:r>
      <w:r>
        <w:rPr>
          <w:rFonts w:cs="Times New Roman"/>
          <w:szCs w:val="24"/>
        </w:rPr>
        <w:t xml:space="preserve">Kirkemøtets uttalelse inngikk som grunnlag for forslagene som ble </w:t>
      </w:r>
      <w:r>
        <w:rPr>
          <w:rFonts w:cs="Times New Roman"/>
          <w:szCs w:val="24"/>
        </w:rPr>
        <w:lastRenderedPageBreak/>
        <w:t xml:space="preserve">framsatt i </w:t>
      </w:r>
      <w:r w:rsidRPr="00153237">
        <w:rPr>
          <w:rFonts w:cs="Times New Roman"/>
          <w:szCs w:val="24"/>
        </w:rPr>
        <w:t>Prop. 55 L (2015</w:t>
      </w:r>
      <w:r>
        <w:rPr>
          <w:rFonts w:cs="Times New Roman"/>
          <w:szCs w:val="24"/>
        </w:rPr>
        <w:softHyphen/>
        <w:t>–</w:t>
      </w:r>
      <w:r w:rsidRPr="00153237">
        <w:rPr>
          <w:rFonts w:cs="Times New Roman"/>
          <w:szCs w:val="24"/>
        </w:rPr>
        <w:t>2016)</w:t>
      </w:r>
      <w:r>
        <w:rPr>
          <w:rFonts w:cs="Times New Roman"/>
          <w:szCs w:val="24"/>
        </w:rPr>
        <w:t xml:space="preserve">, og som ledet til endringene i kirkeloven med virkning fra 1. januar 2017, jf. </w:t>
      </w:r>
      <w:r w:rsidR="00522B2F">
        <w:rPr>
          <w:rFonts w:cs="Times New Roman"/>
          <w:szCs w:val="24"/>
        </w:rPr>
        <w:t xml:space="preserve">omtalen i </w:t>
      </w:r>
      <w:r w:rsidRPr="00020360">
        <w:rPr>
          <w:rFonts w:cs="Times New Roman"/>
          <w:szCs w:val="24"/>
        </w:rPr>
        <w:t xml:space="preserve">kapittel </w:t>
      </w:r>
      <w:r w:rsidR="00522B2F">
        <w:rPr>
          <w:rFonts w:cs="Times New Roman"/>
          <w:szCs w:val="24"/>
        </w:rPr>
        <w:t>3</w:t>
      </w:r>
      <w:r>
        <w:rPr>
          <w:rFonts w:cs="Times New Roman"/>
          <w:szCs w:val="24"/>
        </w:rPr>
        <w:t>.</w:t>
      </w:r>
    </w:p>
    <w:p w:rsidR="007B750F" w:rsidRDefault="007B750F" w:rsidP="007B750F">
      <w:pPr>
        <w:rPr>
          <w:rFonts w:cs="Times New Roman"/>
          <w:szCs w:val="24"/>
        </w:rPr>
      </w:pPr>
      <w:r w:rsidRPr="00153237">
        <w:rPr>
          <w:rFonts w:cs="Times New Roman"/>
          <w:szCs w:val="24"/>
        </w:rPr>
        <w:t xml:space="preserve">Kirkemøtet </w:t>
      </w:r>
      <w:r>
        <w:rPr>
          <w:rFonts w:cs="Times New Roman"/>
          <w:szCs w:val="24"/>
        </w:rPr>
        <w:t xml:space="preserve">uttalte samtidig følgende: </w:t>
      </w:r>
    </w:p>
    <w:p w:rsidR="007B750F" w:rsidRPr="002F269C" w:rsidRDefault="007B750F" w:rsidP="00BD073B">
      <w:pPr>
        <w:pStyle w:val="blokksit"/>
        <w:rPr>
          <w:rStyle w:val="kursiv"/>
        </w:rPr>
      </w:pPr>
      <w:r w:rsidRPr="002F269C">
        <w:rPr>
          <w:rStyle w:val="kursiv"/>
        </w:rPr>
        <w:t>Kirkemøtet ser på de foreslåtte endringene som et viktig skritt videre i relasjonen mellom stat og kirke. Samtidig vil Kirkemøtet uttrykke tilfredshet med at departementet har lagt vekt på at de foreslåtte endringene skal åpne for en videre utvikling mot rammelovgivning for Den norske kirke. I et neste skritt vil færre bestemmelser om kirkens organisering, kirkelig myndighetsutøvelse og rettslig handleevne fastsettes i statens lovgivning om kirken.</w:t>
      </w:r>
    </w:p>
    <w:p w:rsidR="007B750F" w:rsidRPr="003A6F13" w:rsidRDefault="007B750F" w:rsidP="007B750F">
      <w:pPr>
        <w:pStyle w:val="Overskrift4"/>
      </w:pPr>
      <w:r w:rsidRPr="00420A73">
        <w:t>Den norske kirkes grunnlag</w:t>
      </w:r>
      <w:r w:rsidRPr="003A6F13">
        <w:t xml:space="preserve"> – KM sak 4/15</w:t>
      </w:r>
    </w:p>
    <w:p w:rsidR="00654DF3" w:rsidRDefault="007B750F" w:rsidP="00654DF3">
      <w:r w:rsidRPr="00153237">
        <w:rPr>
          <w:rFonts w:cs="Times New Roman"/>
          <w:szCs w:val="24"/>
        </w:rPr>
        <w:t xml:space="preserve">På bakgrunn av </w:t>
      </w:r>
      <w:r>
        <w:rPr>
          <w:rFonts w:cs="Times New Roman"/>
          <w:szCs w:val="24"/>
        </w:rPr>
        <w:t>Kirkemøtets behandling av departementets lovforslag</w:t>
      </w:r>
      <w:r w:rsidRPr="00153237">
        <w:rPr>
          <w:rFonts w:cs="Times New Roman"/>
          <w:szCs w:val="24"/>
        </w:rPr>
        <w:t xml:space="preserve"> og kirkens eget arbeid med framtidig kirkeordning traff Kirkemøtet samme år vedtak om </w:t>
      </w:r>
      <w:r>
        <w:rPr>
          <w:rFonts w:cs="Times New Roman"/>
          <w:szCs w:val="24"/>
        </w:rPr>
        <w:t>ulike</w:t>
      </w:r>
      <w:r w:rsidRPr="00153237">
        <w:rPr>
          <w:rFonts w:cs="Times New Roman"/>
          <w:szCs w:val="24"/>
        </w:rPr>
        <w:t xml:space="preserve"> teologiske spørsmål vedrørende Den norske kirkes </w:t>
      </w:r>
      <w:r>
        <w:rPr>
          <w:rFonts w:cs="Times New Roman"/>
          <w:szCs w:val="24"/>
        </w:rPr>
        <w:t>"</w:t>
      </w:r>
      <w:r w:rsidRPr="00153237">
        <w:rPr>
          <w:rFonts w:cs="Times New Roman"/>
          <w:szCs w:val="24"/>
        </w:rPr>
        <w:t>grunnlag</w:t>
      </w:r>
      <w:r>
        <w:rPr>
          <w:rFonts w:cs="Times New Roman"/>
          <w:szCs w:val="24"/>
        </w:rPr>
        <w:t>"</w:t>
      </w:r>
      <w:r w:rsidRPr="00153237">
        <w:rPr>
          <w:rFonts w:cs="Times New Roman"/>
          <w:szCs w:val="24"/>
        </w:rPr>
        <w:t xml:space="preserve"> (KM sak 4/15). </w:t>
      </w:r>
      <w:r>
        <w:rPr>
          <w:rFonts w:cs="Times New Roman"/>
          <w:szCs w:val="24"/>
        </w:rPr>
        <w:t>Her</w:t>
      </w:r>
      <w:r w:rsidRPr="00153237">
        <w:rPr>
          <w:rFonts w:cs="Times New Roman"/>
          <w:szCs w:val="24"/>
        </w:rPr>
        <w:t xml:space="preserve"> drøftet Kirkemøtet </w:t>
      </w:r>
      <w:r>
        <w:rPr>
          <w:rFonts w:cs="Times New Roman"/>
          <w:szCs w:val="24"/>
        </w:rPr>
        <w:t>hvilke</w:t>
      </w:r>
      <w:r w:rsidRPr="00153237">
        <w:rPr>
          <w:rFonts w:cs="Times New Roman"/>
          <w:szCs w:val="24"/>
        </w:rPr>
        <w:t xml:space="preserve"> elementer i kirkens </w:t>
      </w:r>
      <w:r>
        <w:rPr>
          <w:rFonts w:cs="Times New Roman"/>
          <w:szCs w:val="24"/>
        </w:rPr>
        <w:t>teologiske og organisasjonsmessige basis</w:t>
      </w:r>
      <w:r w:rsidRPr="00153237">
        <w:rPr>
          <w:rFonts w:cs="Times New Roman"/>
          <w:szCs w:val="24"/>
        </w:rPr>
        <w:t xml:space="preserve"> som </w:t>
      </w:r>
      <w:r>
        <w:rPr>
          <w:rFonts w:cs="Times New Roman"/>
          <w:szCs w:val="24"/>
        </w:rPr>
        <w:t xml:space="preserve">man mente </w:t>
      </w:r>
      <w:r w:rsidRPr="00153237">
        <w:rPr>
          <w:rFonts w:cs="Times New Roman"/>
          <w:szCs w:val="24"/>
        </w:rPr>
        <w:t xml:space="preserve">det ikke uten videre </w:t>
      </w:r>
      <w:r>
        <w:rPr>
          <w:rFonts w:cs="Times New Roman"/>
          <w:szCs w:val="24"/>
        </w:rPr>
        <w:t>ville være</w:t>
      </w:r>
      <w:r w:rsidRPr="00153237">
        <w:rPr>
          <w:rFonts w:cs="Times New Roman"/>
          <w:szCs w:val="24"/>
        </w:rPr>
        <w:t xml:space="preserve"> naturlig at </w:t>
      </w:r>
      <w:r>
        <w:rPr>
          <w:rFonts w:cs="Times New Roman"/>
          <w:szCs w:val="24"/>
        </w:rPr>
        <w:t>ble</w:t>
      </w:r>
      <w:r w:rsidRPr="00153237">
        <w:rPr>
          <w:rFonts w:cs="Times New Roman"/>
          <w:szCs w:val="24"/>
        </w:rPr>
        <w:t xml:space="preserve"> reguler</w:t>
      </w:r>
      <w:r>
        <w:rPr>
          <w:rFonts w:cs="Times New Roman"/>
          <w:szCs w:val="24"/>
        </w:rPr>
        <w:t>t</w:t>
      </w:r>
      <w:r w:rsidRPr="00153237">
        <w:rPr>
          <w:rFonts w:cs="Times New Roman"/>
          <w:szCs w:val="24"/>
        </w:rPr>
        <w:t xml:space="preserve"> i lov, og som Kirkemøtet eventuelt selv vil</w:t>
      </w:r>
      <w:r>
        <w:rPr>
          <w:rFonts w:cs="Times New Roman"/>
          <w:szCs w:val="24"/>
        </w:rPr>
        <w:t>le</w:t>
      </w:r>
      <w:r w:rsidRPr="00153237">
        <w:rPr>
          <w:rFonts w:cs="Times New Roman"/>
          <w:szCs w:val="24"/>
        </w:rPr>
        <w:t xml:space="preserve"> kunne fastsette </w:t>
      </w:r>
      <w:r>
        <w:rPr>
          <w:rFonts w:cs="Times New Roman"/>
          <w:szCs w:val="24"/>
        </w:rPr>
        <w:t xml:space="preserve">på selvstendig grunnlag, </w:t>
      </w:r>
      <w:r w:rsidRPr="00153237">
        <w:rPr>
          <w:rFonts w:cs="Times New Roman"/>
          <w:szCs w:val="24"/>
        </w:rPr>
        <w:t>uten hjemmel i lov.</w:t>
      </w:r>
      <w:r w:rsidR="00654DF3" w:rsidRPr="00654DF3">
        <w:t xml:space="preserve"> </w:t>
      </w:r>
    </w:p>
    <w:p w:rsidR="007B750F" w:rsidRPr="00153237" w:rsidRDefault="00654DF3" w:rsidP="007B750F">
      <w:r w:rsidRPr="00654DF3">
        <w:rPr>
          <w:rFonts w:cs="Times New Roman"/>
          <w:szCs w:val="24"/>
        </w:rPr>
        <w:t>I vedtaket bekreftet Kirkemøtet "at Den norske kirkes læregrunnlag, som består av Bibelen, Den apostoliske, Den nikenske og Den athanasianske trosbekjennelse, Den augsburgske bekjennelse av 1530 og Luthers lille katekisme videreføres og forutsetter at dette inkluderes</w:t>
      </w:r>
      <w:r>
        <w:rPr>
          <w:rFonts w:cs="Times New Roman"/>
          <w:szCs w:val="24"/>
        </w:rPr>
        <w:t xml:space="preserve"> i Den norske kirkes grunnlag". </w:t>
      </w:r>
      <w:r w:rsidRPr="00654DF3">
        <w:rPr>
          <w:rFonts w:cs="Times New Roman"/>
          <w:szCs w:val="24"/>
        </w:rPr>
        <w:t xml:space="preserve">Kirkemøtet ba </w:t>
      </w:r>
      <w:r>
        <w:rPr>
          <w:rFonts w:cs="Times New Roman"/>
          <w:szCs w:val="24"/>
        </w:rPr>
        <w:t xml:space="preserve">videre </w:t>
      </w:r>
      <w:r w:rsidR="00317D2B">
        <w:t xml:space="preserve">om </w:t>
      </w:r>
      <w:r w:rsidR="00417768">
        <w:t xml:space="preserve">at </w:t>
      </w:r>
      <w:r w:rsidR="007B750F" w:rsidRPr="00153237">
        <w:t>Kirkerådet</w:t>
      </w:r>
      <w:r w:rsidR="00317D2B">
        <w:t>,</w:t>
      </w:r>
      <w:r w:rsidR="007B750F" w:rsidRPr="00153237">
        <w:t xml:space="preserve"> i samarbeid med Bispemøtet</w:t>
      </w:r>
      <w:r w:rsidR="00317D2B">
        <w:t>,</w:t>
      </w:r>
      <w:r w:rsidR="007B750F" w:rsidRPr="00153237">
        <w:t xml:space="preserve"> arbeide</w:t>
      </w:r>
      <w:r w:rsidR="00417768">
        <w:t>t</w:t>
      </w:r>
      <w:r w:rsidR="007B750F" w:rsidRPr="00153237">
        <w:t xml:space="preserve"> videre med Den norske kirkes </w:t>
      </w:r>
      <w:r w:rsidR="007B750F">
        <w:t>"</w:t>
      </w:r>
      <w:r w:rsidR="007B750F" w:rsidRPr="00153237">
        <w:t>grunnlag</w:t>
      </w:r>
      <w:r w:rsidR="007B750F">
        <w:t>"</w:t>
      </w:r>
      <w:r w:rsidR="007B750F" w:rsidRPr="00153237">
        <w:t xml:space="preserve"> ut fra</w:t>
      </w:r>
      <w:r w:rsidR="00317D2B">
        <w:t xml:space="preserve"> konkrete f</w:t>
      </w:r>
      <w:r w:rsidR="007B750F" w:rsidRPr="00153237">
        <w:t>øringer</w:t>
      </w:r>
      <w:r w:rsidR="00317D2B">
        <w:t xml:space="preserve">.  </w:t>
      </w:r>
    </w:p>
    <w:p w:rsidR="007B750F" w:rsidRPr="003A6F13" w:rsidRDefault="007B750F" w:rsidP="007B750F">
      <w:pPr>
        <w:pStyle w:val="Overskrift4"/>
      </w:pPr>
      <w:r w:rsidRPr="00420A73">
        <w:t>Det framtidige behovet for lovgiving om Den norske kirke – Stortingets rolle i kirkestyret</w:t>
      </w:r>
      <w:r w:rsidRPr="003A6F13">
        <w:t xml:space="preserve"> – KM sak 11/15</w:t>
      </w:r>
    </w:p>
    <w:p w:rsidR="007B750F" w:rsidRPr="00153237" w:rsidRDefault="007B750F" w:rsidP="007B750F">
      <w:pPr>
        <w:rPr>
          <w:rFonts w:cs="Times New Roman"/>
          <w:szCs w:val="24"/>
        </w:rPr>
      </w:pPr>
      <w:r w:rsidRPr="00153237">
        <w:rPr>
          <w:rFonts w:cs="Times New Roman"/>
          <w:szCs w:val="24"/>
        </w:rPr>
        <w:t xml:space="preserve">I en egen sak (KM sak 11/15) drøftet Kirkemøtet </w:t>
      </w:r>
      <w:r>
        <w:rPr>
          <w:rFonts w:cs="Times New Roman"/>
          <w:szCs w:val="24"/>
        </w:rPr>
        <w:t>dessuten</w:t>
      </w:r>
      <w:r w:rsidRPr="00153237">
        <w:rPr>
          <w:rFonts w:cs="Times New Roman"/>
          <w:szCs w:val="24"/>
        </w:rPr>
        <w:t xml:space="preserve"> behovet for </w:t>
      </w:r>
      <w:r w:rsidR="00AE0AD2">
        <w:rPr>
          <w:rFonts w:cs="Times New Roman"/>
          <w:szCs w:val="24"/>
        </w:rPr>
        <w:t>ny</w:t>
      </w:r>
      <w:r w:rsidRPr="00153237">
        <w:rPr>
          <w:rFonts w:cs="Times New Roman"/>
          <w:szCs w:val="24"/>
        </w:rPr>
        <w:t xml:space="preserve"> lovgivning om Den norske</w:t>
      </w:r>
      <w:r w:rsidR="00317D2B">
        <w:rPr>
          <w:rFonts w:cs="Times New Roman"/>
          <w:szCs w:val="24"/>
        </w:rPr>
        <w:t xml:space="preserve"> kirke</w:t>
      </w:r>
      <w:r>
        <w:rPr>
          <w:rFonts w:cs="Times New Roman"/>
          <w:szCs w:val="24"/>
        </w:rPr>
        <w:t>, og i</w:t>
      </w:r>
      <w:r w:rsidRPr="00153237">
        <w:rPr>
          <w:rFonts w:cs="Times New Roman"/>
          <w:szCs w:val="24"/>
        </w:rPr>
        <w:t xml:space="preserve"> denne saken traff Kirkemøtet vedtak om </w:t>
      </w:r>
      <w:r>
        <w:rPr>
          <w:rFonts w:cs="Times New Roman"/>
          <w:szCs w:val="24"/>
        </w:rPr>
        <w:t>hva en framtidig</w:t>
      </w:r>
      <w:r w:rsidRPr="00153237">
        <w:rPr>
          <w:rFonts w:cs="Times New Roman"/>
          <w:szCs w:val="24"/>
        </w:rPr>
        <w:t xml:space="preserve"> rammelovgivning</w:t>
      </w:r>
      <w:r>
        <w:rPr>
          <w:rFonts w:cs="Times New Roman"/>
          <w:szCs w:val="24"/>
        </w:rPr>
        <w:t xml:space="preserve"> burde inneholde</w:t>
      </w:r>
      <w:r w:rsidRPr="00153237">
        <w:rPr>
          <w:rFonts w:cs="Times New Roman"/>
          <w:szCs w:val="24"/>
        </w:rPr>
        <w:t>:</w:t>
      </w:r>
    </w:p>
    <w:p w:rsidR="007B750F" w:rsidRPr="002F269C" w:rsidRDefault="007B750F" w:rsidP="002F269C">
      <w:pPr>
        <w:pStyle w:val="Nummerertliste2"/>
        <w:numPr>
          <w:ilvl w:val="1"/>
          <w:numId w:val="44"/>
        </w:numPr>
        <w:rPr>
          <w:rStyle w:val="kursiv"/>
        </w:rPr>
      </w:pPr>
      <w:r w:rsidRPr="002F269C">
        <w:rPr>
          <w:rStyle w:val="kursiv"/>
        </w:rPr>
        <w:t>Kirkemøtet legger til grunn at det føres en tett dialog med staten om den fremtidige kirkelige lovgivningen for å avklare hvilke rammebetingelser som samsvarer med forståelsen av Den norske kirke som Norges folkekirke i tråd med Grunnloven § 16.</w:t>
      </w:r>
    </w:p>
    <w:p w:rsidR="007B750F" w:rsidRPr="002F269C" w:rsidRDefault="007B750F" w:rsidP="002F269C">
      <w:pPr>
        <w:pStyle w:val="Nummerertliste2"/>
        <w:rPr>
          <w:rStyle w:val="kursiv"/>
        </w:rPr>
      </w:pPr>
      <w:r w:rsidRPr="002F269C">
        <w:rPr>
          <w:rStyle w:val="kursiv"/>
        </w:rPr>
        <w:t>Kirkemøtet mener utgangspunktet for dialogen må være at lovgivningen inneholder nødvendige bestemmelser for å ivareta statlige og kirkelige behov.</w:t>
      </w:r>
    </w:p>
    <w:p w:rsidR="007B750F" w:rsidRPr="002F269C" w:rsidRDefault="007B750F" w:rsidP="002F269C">
      <w:pPr>
        <w:pStyle w:val="Nummerertliste2"/>
        <w:rPr>
          <w:rStyle w:val="kursiv"/>
        </w:rPr>
      </w:pPr>
      <w:r w:rsidRPr="002F269C">
        <w:rPr>
          <w:rStyle w:val="kursiv"/>
        </w:rPr>
        <w:t>Kirkemøtet mener det bør reguleres i en egen lov for Den norske kirke at:</w:t>
      </w:r>
    </w:p>
    <w:p w:rsidR="007B750F" w:rsidRPr="002F269C" w:rsidRDefault="007B750F" w:rsidP="002F269C">
      <w:pPr>
        <w:pStyle w:val="Liste3"/>
        <w:rPr>
          <w:rStyle w:val="kursiv"/>
        </w:rPr>
      </w:pPr>
      <w:r w:rsidRPr="002F269C">
        <w:rPr>
          <w:rStyle w:val="kursiv"/>
        </w:rPr>
        <w:t>Den norske kirke er en evangelisk-luthersk folkekirke.</w:t>
      </w:r>
    </w:p>
    <w:p w:rsidR="007B750F" w:rsidRPr="002F269C" w:rsidRDefault="007B750F" w:rsidP="002F269C">
      <w:pPr>
        <w:pStyle w:val="Liste3"/>
        <w:rPr>
          <w:rStyle w:val="kursiv"/>
        </w:rPr>
      </w:pPr>
      <w:r w:rsidRPr="002F269C">
        <w:rPr>
          <w:rStyle w:val="kursiv"/>
        </w:rPr>
        <w:t>Soknet som geografisk enhet og organisatorisk ramme for menigheten, skal være den grunnleggende enhet i Den norske kirke og ha status som selvstendig rettssubjekt slik som i dag.</w:t>
      </w:r>
    </w:p>
    <w:p w:rsidR="007B750F" w:rsidRPr="002F269C" w:rsidRDefault="007B750F" w:rsidP="002F269C">
      <w:pPr>
        <w:pStyle w:val="Liste3"/>
        <w:rPr>
          <w:rStyle w:val="kursiv"/>
        </w:rPr>
      </w:pPr>
      <w:r w:rsidRPr="002F269C">
        <w:rPr>
          <w:rStyle w:val="kursiv"/>
        </w:rPr>
        <w:t>Soknet skal som i dag være uløselig knyttet til trossamfunnet Den norske kirke.</w:t>
      </w:r>
    </w:p>
    <w:p w:rsidR="007B750F" w:rsidRPr="002F269C" w:rsidRDefault="007B750F" w:rsidP="002F269C">
      <w:pPr>
        <w:pStyle w:val="Liste3"/>
        <w:rPr>
          <w:rStyle w:val="kursiv"/>
        </w:rPr>
      </w:pPr>
      <w:r w:rsidRPr="002F269C">
        <w:rPr>
          <w:rStyle w:val="kursiv"/>
        </w:rPr>
        <w:t>Hvert sokn skal ha minst én kirke og være betjent av prest.</w:t>
      </w:r>
    </w:p>
    <w:p w:rsidR="007B750F" w:rsidRPr="002F269C" w:rsidRDefault="007B750F" w:rsidP="002F269C">
      <w:pPr>
        <w:pStyle w:val="Liste3"/>
        <w:rPr>
          <w:rStyle w:val="kursiv"/>
        </w:rPr>
      </w:pPr>
      <w:r w:rsidRPr="002F269C">
        <w:rPr>
          <w:rStyle w:val="kursiv"/>
        </w:rPr>
        <w:t>Det enkelte kirkemedlem skal kunne medvirke i styringen av Den norske kirke gjennom demokratiske ordninger.</w:t>
      </w:r>
    </w:p>
    <w:p w:rsidR="007B750F" w:rsidRPr="002F269C" w:rsidRDefault="007B750F" w:rsidP="002F269C">
      <w:pPr>
        <w:pStyle w:val="Liste3"/>
        <w:rPr>
          <w:rStyle w:val="kursiv"/>
        </w:rPr>
      </w:pPr>
      <w:r w:rsidRPr="002F269C">
        <w:rPr>
          <w:rStyle w:val="kursiv"/>
        </w:rPr>
        <w:t>Kommunens ansvar for å finansiere den lokale kirke videreføres.</w:t>
      </w:r>
    </w:p>
    <w:p w:rsidR="007B750F" w:rsidRPr="002F269C" w:rsidRDefault="007B750F" w:rsidP="002F269C">
      <w:pPr>
        <w:pStyle w:val="Liste3"/>
        <w:rPr>
          <w:rStyle w:val="kursiv"/>
        </w:rPr>
      </w:pPr>
      <w:r w:rsidRPr="002F269C">
        <w:rPr>
          <w:rStyle w:val="kursiv"/>
        </w:rPr>
        <w:t>Åpenhet, likebehandling og god forvaltningsskikk skal kjennetegne Den norske kirkes forvaltning på alle organisasjonsnivåer. Relevant innhold i dagens forvaltningslov, offentleglova og annet statlig lovverk videreføres og innlemmes i Den norske kirkes regelverk. Det samme gjelder ordninger for klagebehandling.</w:t>
      </w:r>
    </w:p>
    <w:p w:rsidR="007B750F" w:rsidRPr="002F269C" w:rsidRDefault="007B750F" w:rsidP="002F269C">
      <w:pPr>
        <w:pStyle w:val="Liste3"/>
        <w:rPr>
          <w:rStyle w:val="kursiv"/>
        </w:rPr>
      </w:pPr>
      <w:r w:rsidRPr="002F269C">
        <w:rPr>
          <w:rStyle w:val="kursiv"/>
        </w:rPr>
        <w:lastRenderedPageBreak/>
        <w:t>Den norske kirke har et nasjonalt rettssubjekt med Kirkemøtet som det øverste organ, og loven avklarer forholdet mellom dette rettssubjektet og soknene. Det vises til pkt. 5 nedenfor hva gjelder videre arbeid med denne problemstillingen.</w:t>
      </w:r>
    </w:p>
    <w:p w:rsidR="007B750F" w:rsidRPr="002F269C" w:rsidRDefault="007B750F" w:rsidP="002F269C">
      <w:pPr>
        <w:pStyle w:val="Liste3"/>
        <w:rPr>
          <w:rStyle w:val="kursiv"/>
        </w:rPr>
      </w:pPr>
      <w:r w:rsidRPr="002F269C">
        <w:rPr>
          <w:rStyle w:val="kursiv"/>
        </w:rPr>
        <w:t>Den norske kirke skal ha rett til å kreve medlemskap for kirkelig tilsatte og ombud og barneomsorgsattest i henhold til politiregisterloven for personer som lønnet eller ulønnet skal tilsettes, utføre oppgaver eller inneha tillitsverv der vedkommende vil ha omsorg for eller oppgaver knyttet til mindreårige.</w:t>
      </w:r>
    </w:p>
    <w:p w:rsidR="007B750F" w:rsidRPr="002F269C" w:rsidRDefault="007B750F" w:rsidP="002F269C">
      <w:pPr>
        <w:pStyle w:val="Liste3"/>
        <w:rPr>
          <w:rStyle w:val="kursiv"/>
        </w:rPr>
      </w:pPr>
      <w:r w:rsidRPr="002F269C">
        <w:rPr>
          <w:rStyle w:val="kursiv"/>
        </w:rPr>
        <w:t>Demokratisk valgte representanter i Den norske kirkes organer gis rett til fri fra arbeid for å ivareta sine verv.</w:t>
      </w:r>
    </w:p>
    <w:p w:rsidR="007B750F" w:rsidRPr="002F269C" w:rsidRDefault="007B750F" w:rsidP="002F269C">
      <w:pPr>
        <w:pStyle w:val="Nummerertliste2"/>
        <w:rPr>
          <w:rStyle w:val="kursiv"/>
        </w:rPr>
      </w:pPr>
      <w:r w:rsidRPr="002F269C">
        <w:rPr>
          <w:rStyle w:val="kursiv"/>
        </w:rPr>
        <w:t>Som viktige aspekter ved Den norske kirkes samfunnsoppdrag videreføres ansvaret for gravferdsforvaltningen, og vigselsretten opprettholdes.</w:t>
      </w:r>
    </w:p>
    <w:p w:rsidR="007B750F" w:rsidRPr="002F269C" w:rsidRDefault="007B750F" w:rsidP="002F269C">
      <w:pPr>
        <w:pStyle w:val="Nummerertliste2"/>
        <w:rPr>
          <w:rStyle w:val="kursiv"/>
        </w:rPr>
      </w:pPr>
      <w:r w:rsidRPr="002F269C">
        <w:rPr>
          <w:rStyle w:val="kursiv"/>
        </w:rPr>
        <w:t>Kirkemøtet ber Kirkerådet utrede alternativer for hvordan forholdene mellom rettssubjektene i kirken skal reguleres og hvordan Kirkemøtets lovgivningsmyndighet overfor soknet skal forankres og avgrenses.</w:t>
      </w:r>
    </w:p>
    <w:p w:rsidR="007B750F" w:rsidRPr="00153237" w:rsidRDefault="007B750F" w:rsidP="007B750F">
      <w:pPr>
        <w:pStyle w:val="Overskrift2"/>
      </w:pPr>
      <w:bookmarkStart w:id="1131" w:name="_Toc477535528"/>
      <w:bookmarkStart w:id="1132" w:name="_Toc477630661"/>
      <w:bookmarkStart w:id="1133" w:name="_Toc477693625"/>
      <w:bookmarkStart w:id="1134" w:name="_Toc477703999"/>
      <w:bookmarkStart w:id="1135" w:name="_Toc477799212"/>
      <w:bookmarkStart w:id="1136" w:name="_Toc477805814"/>
      <w:bookmarkStart w:id="1137" w:name="_Toc477878074"/>
      <w:bookmarkStart w:id="1138" w:name="_Toc477881477"/>
      <w:bookmarkStart w:id="1139" w:name="_Toc477885937"/>
      <w:bookmarkStart w:id="1140" w:name="_Toc478131365"/>
      <w:bookmarkStart w:id="1141" w:name="_Toc478138737"/>
      <w:bookmarkStart w:id="1142" w:name="_Toc478232264"/>
      <w:bookmarkStart w:id="1143" w:name="_Toc478237248"/>
      <w:bookmarkStart w:id="1144" w:name="_Toc481761787"/>
      <w:bookmarkStart w:id="1145" w:name="_Toc492900440"/>
      <w:r>
        <w:t>Departementets vurderinger</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t xml:space="preserve"> </w:t>
      </w:r>
    </w:p>
    <w:p w:rsidR="007B750F" w:rsidRPr="008478CF" w:rsidRDefault="007B750F" w:rsidP="007B750F">
      <w:pPr>
        <w:pStyle w:val="Overskrift3"/>
      </w:pPr>
      <w:bookmarkStart w:id="1146" w:name="_Toc477535529"/>
      <w:bookmarkStart w:id="1147" w:name="_Toc477630662"/>
      <w:bookmarkStart w:id="1148" w:name="_Toc477693626"/>
      <w:bookmarkStart w:id="1149" w:name="_Toc477704000"/>
      <w:bookmarkStart w:id="1150" w:name="_Toc477799213"/>
      <w:bookmarkStart w:id="1151" w:name="_Toc477805815"/>
      <w:bookmarkStart w:id="1152" w:name="_Toc477878075"/>
      <w:bookmarkStart w:id="1153" w:name="_Toc477881478"/>
      <w:bookmarkStart w:id="1154" w:name="_Toc477885938"/>
      <w:bookmarkStart w:id="1155" w:name="_Toc478131366"/>
      <w:bookmarkStart w:id="1156" w:name="_Toc478138738"/>
      <w:bookmarkStart w:id="1157" w:name="_Toc478232265"/>
      <w:bookmarkStart w:id="1158" w:name="_Toc478237249"/>
      <w:bookmarkStart w:id="1159" w:name="_Toc481761788"/>
      <w:bookmarkStart w:id="1160" w:name="_Toc492900441"/>
      <w:r>
        <w:t>Den norske kirkes læregrunnlag og ny lovgivning</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t xml:space="preserve"> </w:t>
      </w:r>
    </w:p>
    <w:p w:rsidR="007B750F" w:rsidRDefault="007B750F" w:rsidP="007B750F">
      <w:pPr>
        <w:rPr>
          <w:rFonts w:cs="Times New Roman"/>
          <w:szCs w:val="24"/>
        </w:rPr>
      </w:pPr>
      <w:r w:rsidRPr="00153237">
        <w:rPr>
          <w:rFonts w:cs="Times New Roman"/>
          <w:szCs w:val="24"/>
        </w:rPr>
        <w:t xml:space="preserve">Opplistingen av bekjennelsesskrifter i </w:t>
      </w:r>
      <w:r w:rsidRPr="00420A73">
        <w:rPr>
          <w:rFonts w:cs="Times New Roman"/>
          <w:i/>
          <w:szCs w:val="24"/>
        </w:rPr>
        <w:t>Kong Christian den Femtis Norske Lov fra 1687 Anden Bog, 1 Cap.</w:t>
      </w:r>
      <w:r w:rsidRPr="00153237">
        <w:rPr>
          <w:rFonts w:cs="Times New Roman"/>
          <w:szCs w:val="24"/>
        </w:rPr>
        <w:t xml:space="preserve"> (NL 2-1) </w:t>
      </w:r>
      <w:r>
        <w:rPr>
          <w:rFonts w:cs="Times New Roman"/>
          <w:szCs w:val="24"/>
        </w:rPr>
        <w:t>har vært regnet</w:t>
      </w:r>
      <w:r w:rsidRPr="00153237">
        <w:rPr>
          <w:rFonts w:cs="Times New Roman"/>
          <w:szCs w:val="24"/>
        </w:rPr>
        <w:t xml:space="preserve"> som den rettslige forankringen av Den norske kirkes læregrunnlag. </w:t>
      </w:r>
      <w:r>
        <w:rPr>
          <w:rFonts w:cs="Times New Roman"/>
          <w:szCs w:val="24"/>
        </w:rPr>
        <w:t xml:space="preserve">Bestemmelsen ble ikke endret i forbindelse med grunnlovsendringene i 2012. </w:t>
      </w:r>
    </w:p>
    <w:p w:rsidR="007B750F" w:rsidRDefault="007B750F" w:rsidP="007B750F">
      <w:pPr>
        <w:rPr>
          <w:rFonts w:cs="Times New Roman"/>
          <w:szCs w:val="24"/>
        </w:rPr>
      </w:pPr>
      <w:r w:rsidRPr="00153237">
        <w:rPr>
          <w:rFonts w:cs="Times New Roman"/>
          <w:szCs w:val="24"/>
        </w:rPr>
        <w:t xml:space="preserve">Det har </w:t>
      </w:r>
      <w:r>
        <w:rPr>
          <w:rFonts w:cs="Times New Roman"/>
          <w:szCs w:val="24"/>
        </w:rPr>
        <w:t>historisk</w:t>
      </w:r>
      <w:r w:rsidRPr="00153237">
        <w:rPr>
          <w:rFonts w:cs="Times New Roman"/>
          <w:szCs w:val="24"/>
        </w:rPr>
        <w:t xml:space="preserve"> vært ulike oppfatninger om</w:t>
      </w:r>
      <w:r>
        <w:rPr>
          <w:rFonts w:cs="Times New Roman"/>
          <w:szCs w:val="24"/>
        </w:rPr>
        <w:t xml:space="preserve">, og </w:t>
      </w:r>
      <w:r w:rsidR="00B7515F">
        <w:rPr>
          <w:rFonts w:cs="Times New Roman"/>
          <w:szCs w:val="24"/>
        </w:rPr>
        <w:t xml:space="preserve">i </w:t>
      </w:r>
      <w:r w:rsidR="00E57750">
        <w:rPr>
          <w:rFonts w:cs="Times New Roman"/>
          <w:szCs w:val="24"/>
        </w:rPr>
        <w:t>tilfelle</w:t>
      </w:r>
      <w:r w:rsidRPr="00153237">
        <w:rPr>
          <w:rFonts w:cs="Times New Roman"/>
          <w:szCs w:val="24"/>
        </w:rPr>
        <w:t xml:space="preserve"> på hvilken måte</w:t>
      </w:r>
      <w:r>
        <w:rPr>
          <w:rFonts w:cs="Times New Roman"/>
          <w:szCs w:val="24"/>
        </w:rPr>
        <w:t>,</w:t>
      </w:r>
      <w:r w:rsidRPr="00153237">
        <w:rPr>
          <w:rFonts w:cs="Times New Roman"/>
          <w:szCs w:val="24"/>
        </w:rPr>
        <w:t xml:space="preserve"> bekjennelsesgrunnlaget i NL 2-1 kan endres. </w:t>
      </w:r>
      <w:r>
        <w:rPr>
          <w:rFonts w:cs="Times New Roman"/>
          <w:szCs w:val="24"/>
        </w:rPr>
        <w:t>Departementet legger til grunn at bestemmelsen i NL 2-1 ikke har grunnlovs rang, jf. Prop. 71 L (2011–2012)</w:t>
      </w:r>
      <w:r w:rsidR="00E57750">
        <w:rPr>
          <w:rFonts w:cs="Times New Roman"/>
          <w:szCs w:val="24"/>
        </w:rPr>
        <w:t xml:space="preserve"> side 27</w:t>
      </w:r>
      <w:r>
        <w:rPr>
          <w:rFonts w:cs="Times New Roman"/>
          <w:szCs w:val="24"/>
        </w:rPr>
        <w:t xml:space="preserve">. I </w:t>
      </w:r>
      <w:r w:rsidR="001C7547">
        <w:rPr>
          <w:rFonts w:cs="Times New Roman"/>
          <w:szCs w:val="24"/>
        </w:rPr>
        <w:t>proposisjonen</w:t>
      </w:r>
      <w:r>
        <w:rPr>
          <w:rFonts w:cs="Times New Roman"/>
          <w:szCs w:val="24"/>
        </w:rPr>
        <w:t xml:space="preserve"> antok departementet at den rettslige forankringen av Den norske kirkes læregrunnlag burde vurderes på et senere tidspunkt og viste til at Kirkemøtet hadde sluttet seg til dette. </w:t>
      </w:r>
    </w:p>
    <w:p w:rsidR="007B750F" w:rsidRPr="00153237" w:rsidRDefault="007B750F" w:rsidP="007B750F">
      <w:pPr>
        <w:rPr>
          <w:rFonts w:cs="Times New Roman"/>
          <w:szCs w:val="24"/>
        </w:rPr>
      </w:pPr>
      <w:r>
        <w:rPr>
          <w:rFonts w:cs="Times New Roman"/>
          <w:szCs w:val="24"/>
        </w:rPr>
        <w:t>Når</w:t>
      </w:r>
      <w:r w:rsidRPr="00153237">
        <w:rPr>
          <w:rFonts w:cs="Times New Roman"/>
          <w:szCs w:val="24"/>
        </w:rPr>
        <w:t xml:space="preserve"> </w:t>
      </w:r>
      <w:r>
        <w:rPr>
          <w:rFonts w:cs="Times New Roman"/>
          <w:szCs w:val="24"/>
        </w:rPr>
        <w:t>Den norske kirke</w:t>
      </w:r>
      <w:r w:rsidRPr="00153237">
        <w:rPr>
          <w:rFonts w:cs="Times New Roman"/>
          <w:szCs w:val="24"/>
        </w:rPr>
        <w:t xml:space="preserve"> fra 1. januar 2017 er blitt et selvstendig rettssubjekt med Kirkemøtet som øverste representative organ,</w:t>
      </w:r>
      <w:r>
        <w:rPr>
          <w:rFonts w:cs="Times New Roman"/>
          <w:szCs w:val="24"/>
        </w:rPr>
        <w:t xml:space="preserve"> forutsetter departementet videre at Kirkemøtet har myndighet til å beslutte om kirkens læremessige grunnlag</w:t>
      </w:r>
      <w:r w:rsidRPr="00153237">
        <w:rPr>
          <w:rFonts w:cs="Times New Roman"/>
          <w:szCs w:val="24"/>
        </w:rPr>
        <w:t>.</w:t>
      </w:r>
      <w:r>
        <w:rPr>
          <w:rFonts w:cs="Times New Roman"/>
          <w:szCs w:val="24"/>
        </w:rPr>
        <w:t xml:space="preserve"> </w:t>
      </w:r>
      <w:r w:rsidRPr="00153237">
        <w:rPr>
          <w:rFonts w:cs="Times New Roman"/>
          <w:szCs w:val="24"/>
        </w:rPr>
        <w:t>I samsvar med en slik oppfatning traff Kirkemøtet i KM-sak 4/15 vedtaket om Den norske kirkes grunnlag som er gjengitt ovenfor</w:t>
      </w:r>
      <w:r>
        <w:rPr>
          <w:rFonts w:cs="Times New Roman"/>
          <w:szCs w:val="24"/>
        </w:rPr>
        <w:t>. Dersom Kirkemøtet vedtar en regel om hva som skal være kirkens læregrunnlag, slik det nevnte vedtaket legger opp til, vil departementet komme tilbake til spørsmålet om NL 2-1 bør opp</w:t>
      </w:r>
      <w:r w:rsidR="00E57750">
        <w:rPr>
          <w:rFonts w:cs="Times New Roman"/>
          <w:szCs w:val="24"/>
        </w:rPr>
        <w:t>heves, og i tilfelle</w:t>
      </w:r>
      <w:r>
        <w:rPr>
          <w:rFonts w:cs="Times New Roman"/>
          <w:szCs w:val="24"/>
        </w:rPr>
        <w:t xml:space="preserve"> på hvilken måte det formelt skal skje.   </w:t>
      </w:r>
    </w:p>
    <w:p w:rsidR="007B750F" w:rsidRDefault="007B750F" w:rsidP="007B750F">
      <w:pPr>
        <w:pStyle w:val="Overskrift3"/>
      </w:pPr>
      <w:bookmarkStart w:id="1161" w:name="_Toc477535530"/>
      <w:bookmarkStart w:id="1162" w:name="_Toc477630663"/>
      <w:bookmarkStart w:id="1163" w:name="_Toc477693627"/>
      <w:bookmarkStart w:id="1164" w:name="_Toc477704001"/>
      <w:bookmarkStart w:id="1165" w:name="_Toc477799214"/>
      <w:bookmarkStart w:id="1166" w:name="_Toc477805816"/>
      <w:bookmarkStart w:id="1167" w:name="_Toc477878076"/>
      <w:bookmarkStart w:id="1168" w:name="_Toc477881479"/>
      <w:bookmarkStart w:id="1169" w:name="_Toc477885939"/>
      <w:bookmarkStart w:id="1170" w:name="_Toc478131367"/>
      <w:bookmarkStart w:id="1171" w:name="_Toc478138739"/>
      <w:bookmarkStart w:id="1172" w:name="_Toc478232266"/>
      <w:bookmarkStart w:id="1173" w:name="_Toc478237250"/>
      <w:bookmarkStart w:id="1174" w:name="_Toc481761789"/>
      <w:bookmarkStart w:id="1175" w:name="_Toc492900442"/>
      <w:r>
        <w:t>Formålsbestemmelse om identitet og organisasjon</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t xml:space="preserve"> </w:t>
      </w:r>
    </w:p>
    <w:p w:rsidR="007B750F" w:rsidRDefault="007B750F" w:rsidP="007B750F">
      <w:pPr>
        <w:rPr>
          <w:rFonts w:cs="Times New Roman"/>
          <w:szCs w:val="24"/>
        </w:rPr>
      </w:pPr>
      <w:r>
        <w:rPr>
          <w:rFonts w:cs="Times New Roman"/>
          <w:szCs w:val="24"/>
        </w:rPr>
        <w:t xml:space="preserve">Kirkemøtet pekte i det foreløpige vedtaket om kirkens grunnlag (KM sak 4/15) også på noen andre elementer som burde inngå i et regelverk som Kirkemøtet fastsetter på eget grunnlag. Kirkemøtet uttalte at regelverket bør inneholde </w:t>
      </w:r>
      <w:r w:rsidRPr="00153237">
        <w:rPr>
          <w:rFonts w:cs="Times New Roman"/>
          <w:szCs w:val="24"/>
        </w:rPr>
        <w:t>"et uttrykk for Den norske kirkes visjon om å være en bekjennende, åpen, tjenende og misjonerende folkekirke"</w:t>
      </w:r>
      <w:r>
        <w:rPr>
          <w:rFonts w:cs="Times New Roman"/>
          <w:szCs w:val="24"/>
        </w:rPr>
        <w:t xml:space="preserve">, </w:t>
      </w:r>
      <w:r w:rsidRPr="00153237">
        <w:rPr>
          <w:rFonts w:cs="Times New Roman"/>
          <w:szCs w:val="24"/>
        </w:rPr>
        <w:t xml:space="preserve">at </w:t>
      </w:r>
      <w:r>
        <w:rPr>
          <w:rFonts w:cs="Times New Roman"/>
          <w:szCs w:val="24"/>
        </w:rPr>
        <w:t>kirken</w:t>
      </w:r>
      <w:r w:rsidRPr="00153237">
        <w:rPr>
          <w:rFonts w:cs="Times New Roman"/>
          <w:szCs w:val="24"/>
        </w:rPr>
        <w:t xml:space="preserve"> skal være "lokalt foran</w:t>
      </w:r>
      <w:r>
        <w:rPr>
          <w:rFonts w:cs="Times New Roman"/>
          <w:szCs w:val="24"/>
        </w:rPr>
        <w:t xml:space="preserve">kret og landsdekkende" og at kirken skal </w:t>
      </w:r>
      <w:r w:rsidRPr="00153237">
        <w:rPr>
          <w:rFonts w:cs="Times New Roman"/>
          <w:szCs w:val="24"/>
        </w:rPr>
        <w:t>"organiseres etter demokratiske prinsipper og som et samvirke mellom valgte representanter for medlemmene og representanter for den vigslede tjeneste me</w:t>
      </w:r>
      <w:r>
        <w:rPr>
          <w:rFonts w:cs="Times New Roman"/>
          <w:szCs w:val="24"/>
        </w:rPr>
        <w:t>d Ord og sakrament"</w:t>
      </w:r>
      <w:r w:rsidRPr="00153237">
        <w:rPr>
          <w:rFonts w:cs="Times New Roman"/>
          <w:szCs w:val="24"/>
        </w:rPr>
        <w:t>.</w:t>
      </w:r>
    </w:p>
    <w:p w:rsidR="007B750F" w:rsidRPr="00153237" w:rsidRDefault="007B750F" w:rsidP="007B750F">
      <w:pPr>
        <w:rPr>
          <w:rFonts w:cs="Times New Roman"/>
          <w:szCs w:val="24"/>
        </w:rPr>
      </w:pPr>
      <w:r>
        <w:rPr>
          <w:rFonts w:cs="Times New Roman"/>
          <w:szCs w:val="24"/>
        </w:rPr>
        <w:t xml:space="preserve">Noen av disse elementene kan, etter departementets syn, vurderes som spørsmål om kirkens "ordning", og som dermed faller inn under det saksområdet som Stortinget kan og </w:t>
      </w:r>
      <w:r w:rsidR="00417768">
        <w:rPr>
          <w:rFonts w:cs="Times New Roman"/>
          <w:szCs w:val="24"/>
        </w:rPr>
        <w:t>bør</w:t>
      </w:r>
      <w:r>
        <w:rPr>
          <w:rFonts w:cs="Times New Roman"/>
          <w:szCs w:val="24"/>
        </w:rPr>
        <w:t xml:space="preserve"> regulere ved lov. Dette har Kirkemøtet selv uttrykt ved at enkelte forhold er omtalt både i </w:t>
      </w:r>
      <w:r>
        <w:rPr>
          <w:rFonts w:cs="Times New Roman"/>
          <w:szCs w:val="24"/>
        </w:rPr>
        <w:lastRenderedPageBreak/>
        <w:t xml:space="preserve">Kirkemøtets vedtak om kirkens grunnlag (KM sak 4/15) og i vedtaket om hva Kirkemøtet mener bør fastsettes i lovgivning om Den norske kirke (KM sak 11/15): karakteristikken av Den norske kirke som en evangelisk-luthersk folkekirke, demokrati i kirken og at kirken skal være landsdekkende. </w:t>
      </w:r>
    </w:p>
    <w:p w:rsidR="007B750F" w:rsidRPr="00153237" w:rsidRDefault="007B750F" w:rsidP="007B750F">
      <w:pPr>
        <w:rPr>
          <w:rFonts w:cs="Times New Roman"/>
          <w:szCs w:val="24"/>
        </w:rPr>
      </w:pPr>
      <w:r>
        <w:rPr>
          <w:rFonts w:cs="Times New Roman"/>
          <w:szCs w:val="24"/>
        </w:rPr>
        <w:t>Etter departementets oppfatning kan bla</w:t>
      </w:r>
      <w:r w:rsidR="00AA44DF">
        <w:rPr>
          <w:rFonts w:cs="Times New Roman"/>
          <w:szCs w:val="24"/>
        </w:rPr>
        <w:t>nt annet hensyn til kontinuitet;</w:t>
      </w:r>
      <w:r>
        <w:rPr>
          <w:rFonts w:cs="Times New Roman"/>
          <w:szCs w:val="24"/>
        </w:rPr>
        <w:t xml:space="preserve"> at Den norske kirke fortsatt skal være en e</w:t>
      </w:r>
      <w:r w:rsidR="00AA44DF">
        <w:rPr>
          <w:rFonts w:cs="Times New Roman"/>
          <w:szCs w:val="24"/>
        </w:rPr>
        <w:t>vangelisk-luthersk kirke og</w:t>
      </w:r>
      <w:r>
        <w:rPr>
          <w:rFonts w:cs="Times New Roman"/>
          <w:szCs w:val="24"/>
        </w:rPr>
        <w:t xml:space="preserve"> "forbli Norges folkekirke", tale for at lovgivningen om kirkens ordning inneholder en overord</w:t>
      </w:r>
      <w:r w:rsidR="00B7515F">
        <w:rPr>
          <w:rFonts w:cs="Times New Roman"/>
          <w:szCs w:val="24"/>
        </w:rPr>
        <w:t>n</w:t>
      </w:r>
      <w:r>
        <w:rPr>
          <w:rFonts w:cs="Times New Roman"/>
          <w:szCs w:val="24"/>
        </w:rPr>
        <w:t>et beskrivelse av Den norske kirkes identitet og organisasjon. Departementet viser også til målformuleringene i statsbudsjettet (Prop. 1 S (2016–2017) for Kulturdepar</w:t>
      </w:r>
      <w:r w:rsidR="00AA44DF">
        <w:rPr>
          <w:rFonts w:cs="Times New Roman"/>
          <w:szCs w:val="24"/>
        </w:rPr>
        <w:t>tementet s. 123),</w:t>
      </w:r>
      <w:r>
        <w:rPr>
          <w:rFonts w:cs="Times New Roman"/>
          <w:szCs w:val="24"/>
        </w:rPr>
        <w:t xml:space="preserve"> utledet fra Grunnloven § 16, </w:t>
      </w:r>
      <w:r w:rsidR="00AA44DF">
        <w:rPr>
          <w:rFonts w:cs="Times New Roman"/>
          <w:szCs w:val="24"/>
        </w:rPr>
        <w:t xml:space="preserve">som </w:t>
      </w:r>
      <w:r>
        <w:rPr>
          <w:rFonts w:cs="Times New Roman"/>
          <w:szCs w:val="24"/>
        </w:rPr>
        <w:t xml:space="preserve">blant annet </w:t>
      </w:r>
      <w:r w:rsidR="00AA44DF">
        <w:rPr>
          <w:rFonts w:cs="Times New Roman"/>
          <w:szCs w:val="24"/>
        </w:rPr>
        <w:t xml:space="preserve">uttrykker </w:t>
      </w:r>
      <w:r>
        <w:rPr>
          <w:rFonts w:cs="Times New Roman"/>
          <w:szCs w:val="24"/>
        </w:rPr>
        <w:t xml:space="preserve">at Den norske kirke skal være landsdekkende og lokalt forankret, og at Den norske kirke skal være organisert i samsvar med demokratiske prinsipper og verdier, jf. også ovenfor i punkt 6.3.4. Disse målformuleringene er dessuten </w:t>
      </w:r>
      <w:r w:rsidRPr="00153237">
        <w:rPr>
          <w:rFonts w:cs="Times New Roman"/>
          <w:szCs w:val="24"/>
        </w:rPr>
        <w:t>i samsvar med den kirkelige selvforståelsen som Kirkemøtet har gi</w:t>
      </w:r>
      <w:r>
        <w:rPr>
          <w:rFonts w:cs="Times New Roman"/>
          <w:szCs w:val="24"/>
        </w:rPr>
        <w:t xml:space="preserve">tt uttrykk for. </w:t>
      </w:r>
    </w:p>
    <w:p w:rsidR="007B750F" w:rsidRDefault="007B750F" w:rsidP="007B750F">
      <w:pPr>
        <w:rPr>
          <w:rFonts w:cs="Times New Roman"/>
          <w:szCs w:val="24"/>
        </w:rPr>
      </w:pPr>
      <w:r>
        <w:rPr>
          <w:rFonts w:cs="Times New Roman"/>
          <w:szCs w:val="24"/>
        </w:rPr>
        <w:t xml:space="preserve">Departementet mener på denne bakgrunnen at det, med utgangspunkt i rammene i Grunnloven § 16, kan være ønskelig fra statens side å beskrive Den norske kirkes identitet og organisasjon i en lovbestemmelse. </w:t>
      </w:r>
      <w:r w:rsidR="00AA44DF">
        <w:rPr>
          <w:rFonts w:cs="Times New Roman"/>
          <w:szCs w:val="24"/>
        </w:rPr>
        <w:t>Etter departementets syn kan</w:t>
      </w:r>
      <w:r>
        <w:rPr>
          <w:rFonts w:cs="Times New Roman"/>
          <w:szCs w:val="24"/>
        </w:rPr>
        <w:t xml:space="preserve"> bestemmelsen </w:t>
      </w:r>
      <w:r w:rsidR="00AA44DF">
        <w:rPr>
          <w:rFonts w:cs="Times New Roman"/>
          <w:szCs w:val="24"/>
        </w:rPr>
        <w:t xml:space="preserve">mest hensiktsmessig </w:t>
      </w:r>
      <w:r>
        <w:rPr>
          <w:rFonts w:cs="Times New Roman"/>
          <w:szCs w:val="24"/>
        </w:rPr>
        <w:t>formuleres som en formålsbestemmelse for rammelovgiv</w:t>
      </w:r>
      <w:r w:rsidR="00B7515F">
        <w:rPr>
          <w:rFonts w:cs="Times New Roman"/>
          <w:szCs w:val="24"/>
        </w:rPr>
        <w:t>n</w:t>
      </w:r>
      <w:r>
        <w:rPr>
          <w:rFonts w:cs="Times New Roman"/>
          <w:szCs w:val="24"/>
        </w:rPr>
        <w:t xml:space="preserve">ingen. Departementet viser også til at den gjeldende kirkeloven har en </w:t>
      </w:r>
      <w:r w:rsidR="00AA44DF">
        <w:rPr>
          <w:rFonts w:cs="Times New Roman"/>
          <w:szCs w:val="24"/>
        </w:rPr>
        <w:t>overordnet</w:t>
      </w:r>
      <w:r>
        <w:rPr>
          <w:rFonts w:cs="Times New Roman"/>
          <w:szCs w:val="24"/>
        </w:rPr>
        <w:t xml:space="preserve"> formålsbestemmelse</w:t>
      </w:r>
      <w:r w:rsidR="00AA44DF">
        <w:rPr>
          <w:rFonts w:cs="Times New Roman"/>
          <w:szCs w:val="24"/>
        </w:rPr>
        <w:t xml:space="preserve"> i § 1</w:t>
      </w:r>
      <w:r>
        <w:rPr>
          <w:rFonts w:cs="Times New Roman"/>
          <w:szCs w:val="24"/>
        </w:rPr>
        <w:t xml:space="preserve">. </w:t>
      </w:r>
    </w:p>
    <w:p w:rsidR="00AA44DF" w:rsidRDefault="007B750F" w:rsidP="007B750F">
      <w:pPr>
        <w:rPr>
          <w:rFonts w:cs="Times New Roman"/>
          <w:szCs w:val="24"/>
        </w:rPr>
      </w:pPr>
      <w:r>
        <w:rPr>
          <w:rFonts w:cs="Times New Roman"/>
          <w:szCs w:val="24"/>
        </w:rPr>
        <w:t>Etter departementets syn bør best</w:t>
      </w:r>
      <w:r w:rsidR="00AA44DF">
        <w:rPr>
          <w:rFonts w:cs="Times New Roman"/>
          <w:szCs w:val="24"/>
        </w:rPr>
        <w:t>emmelsen for det første omtale</w:t>
      </w:r>
      <w:r>
        <w:rPr>
          <w:rFonts w:cs="Times New Roman"/>
          <w:szCs w:val="24"/>
        </w:rPr>
        <w:t xml:space="preserve"> Den norske kirke som en evangelisk-luthersk folkekirke. Dette følger allerede av Grunnloven § 16. </w:t>
      </w:r>
    </w:p>
    <w:p w:rsidR="007B750F" w:rsidRDefault="00AA44DF" w:rsidP="007B750F">
      <w:pPr>
        <w:rPr>
          <w:rFonts w:cs="Times New Roman"/>
          <w:szCs w:val="24"/>
        </w:rPr>
      </w:pPr>
      <w:r>
        <w:rPr>
          <w:rFonts w:cs="Times New Roman"/>
          <w:szCs w:val="24"/>
        </w:rPr>
        <w:t>For det andre bør formålsbestemmelsen</w:t>
      </w:r>
      <w:r w:rsidR="007B750F">
        <w:rPr>
          <w:rFonts w:cs="Times New Roman"/>
          <w:szCs w:val="24"/>
        </w:rPr>
        <w:t xml:space="preserve"> </w:t>
      </w:r>
      <w:r>
        <w:rPr>
          <w:rFonts w:cs="Times New Roman"/>
          <w:szCs w:val="24"/>
        </w:rPr>
        <w:t>beskrive</w:t>
      </w:r>
      <w:r w:rsidR="007B750F">
        <w:rPr>
          <w:rFonts w:cs="Times New Roman"/>
          <w:szCs w:val="24"/>
        </w:rPr>
        <w:t xml:space="preserve"> Den norske kirke som demokratisk. </w:t>
      </w:r>
      <w:r w:rsidR="007B750F" w:rsidRPr="00153237">
        <w:rPr>
          <w:rFonts w:cs="Times New Roman"/>
          <w:szCs w:val="24"/>
        </w:rPr>
        <w:t xml:space="preserve">Kirkens demokratiske </w:t>
      </w:r>
      <w:r w:rsidR="007B750F">
        <w:rPr>
          <w:rFonts w:cs="Times New Roman"/>
          <w:szCs w:val="24"/>
        </w:rPr>
        <w:t>struktur</w:t>
      </w:r>
      <w:r>
        <w:rPr>
          <w:rFonts w:cs="Times New Roman"/>
          <w:szCs w:val="24"/>
        </w:rPr>
        <w:t xml:space="preserve"> er et viktig element i </w:t>
      </w:r>
      <w:r w:rsidR="007B750F" w:rsidRPr="00153237">
        <w:rPr>
          <w:rFonts w:cs="Times New Roman"/>
          <w:szCs w:val="24"/>
        </w:rPr>
        <w:t>folkekirke</w:t>
      </w:r>
      <w:r>
        <w:rPr>
          <w:rFonts w:cs="Times New Roman"/>
          <w:szCs w:val="24"/>
        </w:rPr>
        <w:t xml:space="preserve">betegnelsen og, etter departementets syn, </w:t>
      </w:r>
      <w:r w:rsidR="00B16346">
        <w:rPr>
          <w:rFonts w:cs="Times New Roman"/>
          <w:szCs w:val="24"/>
        </w:rPr>
        <w:t xml:space="preserve">er et levende og velfungerende demokrati </w:t>
      </w:r>
      <w:r>
        <w:rPr>
          <w:rFonts w:cs="Times New Roman"/>
          <w:szCs w:val="24"/>
        </w:rPr>
        <w:t xml:space="preserve">en viktig premiss for at Den norske kirke skal </w:t>
      </w:r>
      <w:r w:rsidR="00B16346">
        <w:rPr>
          <w:rFonts w:cs="Times New Roman"/>
          <w:szCs w:val="24"/>
        </w:rPr>
        <w:t xml:space="preserve">kunne </w:t>
      </w:r>
      <w:r>
        <w:rPr>
          <w:rFonts w:cs="Times New Roman"/>
          <w:szCs w:val="24"/>
        </w:rPr>
        <w:t>forbli folkekirke</w:t>
      </w:r>
      <w:r w:rsidR="007B750F" w:rsidRPr="00153237">
        <w:rPr>
          <w:rFonts w:cs="Times New Roman"/>
          <w:szCs w:val="24"/>
        </w:rPr>
        <w:t xml:space="preserve">. </w:t>
      </w:r>
      <w:r>
        <w:rPr>
          <w:rFonts w:cs="Times New Roman"/>
          <w:szCs w:val="24"/>
        </w:rPr>
        <w:t>Departementet viser til at k</w:t>
      </w:r>
      <w:r w:rsidR="007B750F">
        <w:rPr>
          <w:rFonts w:cs="Times New Roman"/>
          <w:szCs w:val="24"/>
        </w:rPr>
        <w:t>irkeforliket fra 2008</w:t>
      </w:r>
      <w:r w:rsidR="007B750F" w:rsidRPr="00153237">
        <w:rPr>
          <w:rFonts w:cs="Times New Roman"/>
          <w:szCs w:val="24"/>
        </w:rPr>
        <w:t xml:space="preserve"> forutsatte at det skulle gjennomføres en demokratireform i Den norske kirke</w:t>
      </w:r>
      <w:r w:rsidR="007B750F">
        <w:rPr>
          <w:rFonts w:cs="Times New Roman"/>
          <w:szCs w:val="24"/>
        </w:rPr>
        <w:t xml:space="preserve"> som grunnlag for endringer i Grunnloven</w:t>
      </w:r>
      <w:r w:rsidR="007B750F" w:rsidRPr="00153237">
        <w:rPr>
          <w:rFonts w:cs="Times New Roman"/>
          <w:szCs w:val="24"/>
        </w:rPr>
        <w:t>. Det var bred politisk og kirkelig enighet om at selvstend</w:t>
      </w:r>
      <w:r w:rsidR="00B16346">
        <w:rPr>
          <w:rFonts w:cs="Times New Roman"/>
          <w:szCs w:val="24"/>
        </w:rPr>
        <w:t xml:space="preserve">iggjøring av kirken måtte sees i sammenheng med styrking av </w:t>
      </w:r>
      <w:r w:rsidR="007B750F">
        <w:rPr>
          <w:rFonts w:cs="Times New Roman"/>
          <w:szCs w:val="24"/>
        </w:rPr>
        <w:t>det k</w:t>
      </w:r>
      <w:r w:rsidR="00B16346">
        <w:rPr>
          <w:rFonts w:cs="Times New Roman"/>
          <w:szCs w:val="24"/>
        </w:rPr>
        <w:t>irkelige demokratiet</w:t>
      </w:r>
      <w:r w:rsidR="007B750F">
        <w:rPr>
          <w:rFonts w:cs="Times New Roman"/>
          <w:szCs w:val="24"/>
        </w:rPr>
        <w:t xml:space="preserve">. </w:t>
      </w:r>
      <w:r w:rsidR="00B16346">
        <w:rPr>
          <w:rFonts w:cs="Times New Roman"/>
          <w:szCs w:val="24"/>
        </w:rPr>
        <w:t xml:space="preserve">Departementet vil peke på at </w:t>
      </w:r>
      <w:r w:rsidR="007B750F">
        <w:rPr>
          <w:rFonts w:cs="Times New Roman"/>
          <w:szCs w:val="24"/>
        </w:rPr>
        <w:t>valgordninger og oppslutning om kirkelige valg</w:t>
      </w:r>
      <w:r w:rsidR="00B16346">
        <w:rPr>
          <w:rFonts w:cs="Times New Roman"/>
          <w:szCs w:val="24"/>
        </w:rPr>
        <w:t xml:space="preserve"> er sentrale elementer i et velfungerende kirkedemokrati</w:t>
      </w:r>
      <w:r w:rsidR="007B750F">
        <w:rPr>
          <w:rFonts w:cs="Times New Roman"/>
          <w:szCs w:val="24"/>
        </w:rPr>
        <w:t xml:space="preserve">. Derfor mener departementet også at det bør gis </w:t>
      </w:r>
      <w:r w:rsidR="00B16346">
        <w:rPr>
          <w:rFonts w:cs="Times New Roman"/>
          <w:szCs w:val="24"/>
        </w:rPr>
        <w:t xml:space="preserve">visse </w:t>
      </w:r>
      <w:r w:rsidR="007B750F">
        <w:rPr>
          <w:rFonts w:cs="Times New Roman"/>
          <w:szCs w:val="24"/>
        </w:rPr>
        <w:t xml:space="preserve">lovbestemmelser om kirkevalg, </w:t>
      </w:r>
      <w:r w:rsidR="00B16346">
        <w:rPr>
          <w:rFonts w:cs="Times New Roman"/>
          <w:szCs w:val="24"/>
        </w:rPr>
        <w:t xml:space="preserve">som følger opp og konkretiserer demokratiformuleringen i forslaget til formålsbestemmelse, </w:t>
      </w:r>
      <w:r w:rsidR="007B750F">
        <w:rPr>
          <w:rFonts w:cs="Times New Roman"/>
          <w:szCs w:val="24"/>
        </w:rPr>
        <w:t xml:space="preserve">se nedenfor i </w:t>
      </w:r>
      <w:r w:rsidR="007B750F" w:rsidRPr="005762EB">
        <w:rPr>
          <w:rFonts w:cs="Times New Roman"/>
          <w:szCs w:val="24"/>
        </w:rPr>
        <w:t xml:space="preserve">punkt </w:t>
      </w:r>
      <w:r w:rsidR="005762EB" w:rsidRPr="005762EB">
        <w:rPr>
          <w:rFonts w:cs="Times New Roman"/>
          <w:szCs w:val="24"/>
        </w:rPr>
        <w:t>8.3.6</w:t>
      </w:r>
      <w:r w:rsidR="007B750F">
        <w:rPr>
          <w:rFonts w:cs="Times New Roman"/>
          <w:szCs w:val="24"/>
        </w:rPr>
        <w:t xml:space="preserve">.  </w:t>
      </w:r>
    </w:p>
    <w:p w:rsidR="007B750F" w:rsidRPr="00153237" w:rsidRDefault="00B16346" w:rsidP="007B750F">
      <w:pPr>
        <w:rPr>
          <w:rFonts w:cs="Times New Roman"/>
          <w:szCs w:val="24"/>
        </w:rPr>
      </w:pPr>
      <w:r>
        <w:rPr>
          <w:rFonts w:cs="Times New Roman"/>
          <w:szCs w:val="24"/>
        </w:rPr>
        <w:t>F</w:t>
      </w:r>
      <w:r w:rsidR="007B750F">
        <w:rPr>
          <w:rFonts w:cs="Times New Roman"/>
          <w:szCs w:val="24"/>
        </w:rPr>
        <w:t xml:space="preserve">or det tredje </w:t>
      </w:r>
      <w:r>
        <w:rPr>
          <w:rFonts w:cs="Times New Roman"/>
          <w:szCs w:val="24"/>
        </w:rPr>
        <w:t xml:space="preserve">mener departementet </w:t>
      </w:r>
      <w:r w:rsidR="007B750F">
        <w:rPr>
          <w:rFonts w:cs="Times New Roman"/>
          <w:szCs w:val="24"/>
        </w:rPr>
        <w:t xml:space="preserve">formålsbestemmelsen </w:t>
      </w:r>
      <w:r>
        <w:rPr>
          <w:rFonts w:cs="Times New Roman"/>
          <w:szCs w:val="24"/>
        </w:rPr>
        <w:t xml:space="preserve">bør </w:t>
      </w:r>
      <w:r w:rsidR="007B750F">
        <w:rPr>
          <w:rFonts w:cs="Times New Roman"/>
          <w:szCs w:val="24"/>
        </w:rPr>
        <w:t xml:space="preserve">karakterisere Den norske kirke som landsdekkende. </w:t>
      </w:r>
      <w:r w:rsidR="007B750F" w:rsidRPr="00153237">
        <w:rPr>
          <w:rFonts w:cs="Times New Roman"/>
          <w:szCs w:val="24"/>
        </w:rPr>
        <w:t xml:space="preserve">Det innebærer at den parokiale (geografisk avgrensede) </w:t>
      </w:r>
      <w:r>
        <w:rPr>
          <w:rFonts w:cs="Times New Roman"/>
          <w:szCs w:val="24"/>
        </w:rPr>
        <w:t xml:space="preserve">sokne- eller </w:t>
      </w:r>
      <w:r w:rsidR="007B750F" w:rsidRPr="00153237">
        <w:rPr>
          <w:rFonts w:cs="Times New Roman"/>
          <w:szCs w:val="24"/>
        </w:rPr>
        <w:t>menighetsstrukturen viderefø</w:t>
      </w:r>
      <w:r w:rsidR="007B750F">
        <w:rPr>
          <w:rFonts w:cs="Times New Roman"/>
          <w:szCs w:val="24"/>
        </w:rPr>
        <w:t>res. Som hovedregel tilhører et</w:t>
      </w:r>
      <w:r w:rsidR="007B750F" w:rsidRPr="00153237">
        <w:rPr>
          <w:rFonts w:cs="Times New Roman"/>
          <w:szCs w:val="24"/>
        </w:rPr>
        <w:t xml:space="preserve">hvert </w:t>
      </w:r>
      <w:r w:rsidR="007B750F">
        <w:rPr>
          <w:rFonts w:cs="Times New Roman"/>
          <w:szCs w:val="24"/>
        </w:rPr>
        <w:t xml:space="preserve">kirkemedlem </w:t>
      </w:r>
      <w:r w:rsidR="007B750F" w:rsidRPr="00153237">
        <w:rPr>
          <w:rFonts w:cs="Times New Roman"/>
          <w:szCs w:val="24"/>
        </w:rPr>
        <w:t>det soknet (den menigheten) der vedkommende er bosatt. Landet er dekke</w:t>
      </w:r>
      <w:r w:rsidR="007B750F">
        <w:rPr>
          <w:rFonts w:cs="Times New Roman"/>
          <w:szCs w:val="24"/>
        </w:rPr>
        <w:t>t av sokn i den forstand at et</w:t>
      </w:r>
      <w:r w:rsidR="007B750F" w:rsidRPr="00153237">
        <w:rPr>
          <w:rFonts w:cs="Times New Roman"/>
          <w:szCs w:val="24"/>
        </w:rPr>
        <w:t>hvert sted i landet er innenfor et sokns geografiske grenser. Størrelsen på soknene og grensene mellom dem fastsettes etter egne regler, som etter forslaget her vil bli gitt av Kirkemøtet. Et sokn kan imidlertid "ikke nedlegges på annen måte enn ved å bli en del av ett eller flere andre sokn. Heller ikke kan et sokn opprettes på annen måte enn ved å skilles ut</w:t>
      </w:r>
      <w:r w:rsidR="007B750F">
        <w:rPr>
          <w:rFonts w:cs="Times New Roman"/>
          <w:szCs w:val="24"/>
        </w:rPr>
        <w:t xml:space="preserve"> fra allerede eksisterende sokn" (Prop. 55 L (2015–2016) s.</w:t>
      </w:r>
      <w:r w:rsidR="007B750F" w:rsidRPr="00153237">
        <w:rPr>
          <w:rFonts w:cs="Times New Roman"/>
          <w:szCs w:val="24"/>
        </w:rPr>
        <w:t xml:space="preserve"> 52)</w:t>
      </w:r>
      <w:r w:rsidR="007B750F">
        <w:rPr>
          <w:rFonts w:cs="Times New Roman"/>
          <w:szCs w:val="24"/>
        </w:rPr>
        <w:t xml:space="preserve">. </w:t>
      </w:r>
    </w:p>
    <w:p w:rsidR="007B750F" w:rsidRDefault="007B750F" w:rsidP="007B750F">
      <w:pPr>
        <w:rPr>
          <w:rFonts w:cs="Times New Roman"/>
          <w:szCs w:val="24"/>
        </w:rPr>
      </w:pPr>
      <w:r>
        <w:rPr>
          <w:rFonts w:cs="Times New Roman"/>
          <w:szCs w:val="24"/>
        </w:rPr>
        <w:t xml:space="preserve">På denne bakgrunnen foreslår departementet følgende formålsbestemmelse for den særlige lovgivningen om Den norske kirke (§ </w:t>
      </w:r>
      <w:r w:rsidR="001579F3">
        <w:rPr>
          <w:rFonts w:cs="Times New Roman"/>
          <w:szCs w:val="24"/>
        </w:rPr>
        <w:t>8</w:t>
      </w:r>
      <w:r>
        <w:rPr>
          <w:rFonts w:cs="Times New Roman"/>
          <w:szCs w:val="24"/>
        </w:rPr>
        <w:t xml:space="preserve"> i utkastet): </w:t>
      </w:r>
    </w:p>
    <w:p w:rsidR="007B750F" w:rsidRPr="00D46082" w:rsidRDefault="007B750F" w:rsidP="00D46082">
      <w:pPr>
        <w:rPr>
          <w:rStyle w:val="kursiv"/>
        </w:rPr>
      </w:pPr>
      <w:r w:rsidRPr="00D46082">
        <w:rPr>
          <w:rStyle w:val="kursiv"/>
        </w:rPr>
        <w:t xml:space="preserve">Formålet med bestemmelsene i dette kapitlet er å legge til rette for at Den norske kirke forblir en demokratisk og landsdekkende evangelisk-luthersk folkekirke. </w:t>
      </w:r>
    </w:p>
    <w:p w:rsidR="007B750F" w:rsidRPr="00D73E6C" w:rsidRDefault="007B750F" w:rsidP="007B750F">
      <w:pPr>
        <w:pStyle w:val="Overskrift3"/>
      </w:pPr>
      <w:bookmarkStart w:id="1176" w:name="_Toc477535531"/>
      <w:bookmarkStart w:id="1177" w:name="_Toc477630664"/>
      <w:bookmarkStart w:id="1178" w:name="_Toc477693628"/>
      <w:bookmarkStart w:id="1179" w:name="_Toc477704002"/>
      <w:bookmarkStart w:id="1180" w:name="_Toc477799215"/>
      <w:bookmarkStart w:id="1181" w:name="_Toc477805817"/>
      <w:bookmarkStart w:id="1182" w:name="_Toc477878077"/>
      <w:bookmarkStart w:id="1183" w:name="_Toc477881480"/>
      <w:bookmarkStart w:id="1184" w:name="_Toc477885940"/>
      <w:bookmarkStart w:id="1185" w:name="_Toc478131368"/>
      <w:bookmarkStart w:id="1186" w:name="_Toc478138740"/>
      <w:bookmarkStart w:id="1187" w:name="_Toc478232267"/>
      <w:bookmarkStart w:id="1188" w:name="_Toc478237251"/>
      <w:bookmarkStart w:id="1189" w:name="_Toc481761790"/>
      <w:bookmarkStart w:id="1190" w:name="_Toc492900443"/>
      <w:r w:rsidRPr="00D73E6C">
        <w:lastRenderedPageBreak/>
        <w:t>Liturgimyndigheten</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rsidR="007B750F" w:rsidRDefault="007B750F" w:rsidP="007B750F">
      <w:pPr>
        <w:rPr>
          <w:rFonts w:cs="Times New Roman"/>
          <w:szCs w:val="24"/>
        </w:rPr>
      </w:pPr>
      <w:r w:rsidRPr="00153237">
        <w:rPr>
          <w:rFonts w:cs="Times New Roman"/>
          <w:szCs w:val="24"/>
        </w:rPr>
        <w:t xml:space="preserve">Liturgier for Den norske kirke ble tidligere fastsatt av Kongen med hjemmel i den da gjeldende bestemmelsen i Grunnloven § 16. </w:t>
      </w:r>
      <w:r>
        <w:rPr>
          <w:rFonts w:cs="Times New Roman"/>
          <w:szCs w:val="24"/>
        </w:rPr>
        <w:t xml:space="preserve">Myndigheten ble på 1990-tallet delegert til Kirkemøtet. </w:t>
      </w:r>
    </w:p>
    <w:p w:rsidR="007B750F" w:rsidRDefault="007B750F" w:rsidP="007B750F">
      <w:pPr>
        <w:rPr>
          <w:rFonts w:cs="Times New Roman"/>
          <w:szCs w:val="24"/>
        </w:rPr>
      </w:pPr>
      <w:r>
        <w:rPr>
          <w:rFonts w:cs="Times New Roman"/>
          <w:szCs w:val="24"/>
        </w:rPr>
        <w:t xml:space="preserve">Da Grunnloven § 16 ble opphevet i 2012, ble det gitt en ny lovbestemmelse om at Kirkemøtet fastsetter alle gudstjenstlige bøker i kraft av å være "øverste representative organ i Den norske kirke". </w:t>
      </w:r>
      <w:r w:rsidRPr="00153237">
        <w:rPr>
          <w:rFonts w:cs="Times New Roman"/>
          <w:szCs w:val="24"/>
        </w:rPr>
        <w:t>I Prop. 71 L (2011</w:t>
      </w:r>
      <w:r>
        <w:rPr>
          <w:rFonts w:cs="Times New Roman"/>
          <w:szCs w:val="24"/>
        </w:rPr>
        <w:t>–</w:t>
      </w:r>
      <w:r w:rsidRPr="00153237">
        <w:rPr>
          <w:rFonts w:cs="Times New Roman"/>
          <w:szCs w:val="24"/>
        </w:rPr>
        <w:t xml:space="preserve">2012) </w:t>
      </w:r>
      <w:r>
        <w:rPr>
          <w:rFonts w:cs="Times New Roman"/>
          <w:szCs w:val="24"/>
        </w:rPr>
        <w:t xml:space="preserve">framholdt departementet (s. 34) følgende: </w:t>
      </w:r>
    </w:p>
    <w:p w:rsidR="007B750F" w:rsidRPr="001763A6" w:rsidRDefault="007B750F" w:rsidP="00D46082">
      <w:pPr>
        <w:pStyle w:val="blokksit"/>
        <w:rPr>
          <w:rStyle w:val="kursiv"/>
        </w:rPr>
      </w:pPr>
      <w:r w:rsidRPr="001763A6">
        <w:rPr>
          <w:rStyle w:val="kursiv"/>
        </w:rPr>
        <w:t>Departementet legger til grunn at en ny lovbestemmelse om gudstjenstlig myndighet i prinsippet ikke trenger å bety at det er Stortinget som utstyrer Kirkemøtet med denne myndigheten. Lovbestemmelsen sikter mot å tydeliggjøre og bekrefte at Kirkemøtet besitter denne myndigheten i kraft av sin rolle som trossamfunnet Den norske kirkes øverste representative organ.</w:t>
      </w:r>
    </w:p>
    <w:p w:rsidR="007B750F" w:rsidRDefault="007B750F" w:rsidP="007B750F">
      <w:pPr>
        <w:rPr>
          <w:rFonts w:cs="Times New Roman"/>
          <w:szCs w:val="24"/>
        </w:rPr>
      </w:pPr>
      <w:r>
        <w:rPr>
          <w:rFonts w:cs="Times New Roman"/>
          <w:szCs w:val="24"/>
        </w:rPr>
        <w:t xml:space="preserve">Den gjeldende lovbestemmelsen er dermed utformet slik at liturgimyndigheten ikke tildeles Kirkemøtet av Stortinget. Liturgiene er uttrykk for kirkens lære, og Stortinget kan neppe regulere i slike indre forhold i trossamfunnet Den norske kirke, heller ikke ved å tildele et kirkelig organ myndighet i slike saker. </w:t>
      </w:r>
    </w:p>
    <w:p w:rsidR="0085003F" w:rsidRDefault="007B750F" w:rsidP="007B750F">
      <w:pPr>
        <w:rPr>
          <w:rFonts w:cs="Times New Roman"/>
          <w:szCs w:val="24"/>
        </w:rPr>
      </w:pPr>
      <w:r>
        <w:rPr>
          <w:rFonts w:cs="Times New Roman"/>
          <w:szCs w:val="24"/>
        </w:rPr>
        <w:t>Departementet ser det ikke som nødvendig å videreføre lovbestemmelsen om Kirkemøtets liturgimyndighet, men mener det heller ikke er nødvendig å oppheve den. Når det i lovforslaget er lagt opp til en viss regulering av Kirkemøtets myndighet, først og fremst for å tydeliggjøre forholdet mellom soknene og Kirkemøtets myndighet, kan det, etter departement</w:t>
      </w:r>
      <w:r w:rsidR="002F4BDD">
        <w:rPr>
          <w:rFonts w:cs="Times New Roman"/>
          <w:szCs w:val="24"/>
        </w:rPr>
        <w:t>et</w:t>
      </w:r>
      <w:r>
        <w:rPr>
          <w:rFonts w:cs="Times New Roman"/>
          <w:szCs w:val="24"/>
        </w:rPr>
        <w:t>s oppfatning, være grunn til å videreføre b</w:t>
      </w:r>
      <w:r w:rsidR="00602979">
        <w:rPr>
          <w:rFonts w:cs="Times New Roman"/>
          <w:szCs w:val="24"/>
        </w:rPr>
        <w:t xml:space="preserve">estemmelsen om liturgimyndighet. </w:t>
      </w:r>
      <w:r w:rsidR="00EF26FC">
        <w:rPr>
          <w:rFonts w:cs="Times New Roman"/>
          <w:szCs w:val="24"/>
        </w:rPr>
        <w:t xml:space="preserve">Departementet anser det imidlertid ikke som nødvendig å videreføre den særlige formuleringen om at Kirkemøtet har denne kompetansen </w:t>
      </w:r>
      <w:r w:rsidR="002C298C">
        <w:rPr>
          <w:rFonts w:cs="Times New Roman"/>
          <w:szCs w:val="24"/>
        </w:rPr>
        <w:t>"</w:t>
      </w:r>
      <w:r w:rsidR="00EF26FC">
        <w:rPr>
          <w:rFonts w:cs="Times New Roman"/>
          <w:szCs w:val="24"/>
        </w:rPr>
        <w:t>som</w:t>
      </w:r>
      <w:r w:rsidR="002C298C">
        <w:rPr>
          <w:rFonts w:cs="Times New Roman"/>
          <w:szCs w:val="24"/>
        </w:rPr>
        <w:t xml:space="preserve"> det øverste representative organ i Den norske kirke".</w:t>
      </w:r>
      <w:r w:rsidR="00EF26FC">
        <w:rPr>
          <w:rFonts w:cs="Times New Roman"/>
          <w:szCs w:val="24"/>
        </w:rPr>
        <w:t xml:space="preserve"> </w:t>
      </w:r>
      <w:r w:rsidR="002C298C">
        <w:rPr>
          <w:rFonts w:cs="Times New Roman"/>
          <w:szCs w:val="24"/>
        </w:rPr>
        <w:t>Det vil kunne gjelde for flere av Kirkemøtets myndighetsområder at organet ikke</w:t>
      </w:r>
      <w:r w:rsidR="0085003F">
        <w:rPr>
          <w:rFonts w:cs="Times New Roman"/>
          <w:szCs w:val="24"/>
        </w:rPr>
        <w:t xml:space="preserve"> får sin kompetanse fra loven</w:t>
      </w:r>
      <w:r w:rsidR="002C298C">
        <w:rPr>
          <w:rFonts w:cs="Times New Roman"/>
          <w:szCs w:val="24"/>
        </w:rPr>
        <w:t xml:space="preserve">, </w:t>
      </w:r>
      <w:r w:rsidR="0085003F">
        <w:rPr>
          <w:rFonts w:cs="Times New Roman"/>
          <w:szCs w:val="24"/>
        </w:rPr>
        <w:t>uten at departementet har sett</w:t>
      </w:r>
      <w:r w:rsidR="002C298C">
        <w:rPr>
          <w:rFonts w:cs="Times New Roman"/>
          <w:szCs w:val="24"/>
        </w:rPr>
        <w:t xml:space="preserve"> det som nødvendig å avklare </w:t>
      </w:r>
      <w:r w:rsidR="0085003F">
        <w:rPr>
          <w:rFonts w:cs="Times New Roman"/>
          <w:szCs w:val="24"/>
        </w:rPr>
        <w:t>dette i alle enkeltheter.</w:t>
      </w:r>
    </w:p>
    <w:p w:rsidR="00B9624D" w:rsidRPr="001E491E" w:rsidRDefault="00602979" w:rsidP="007B750F">
      <w:pPr>
        <w:rPr>
          <w:rFonts w:cs="Times New Roman"/>
          <w:szCs w:val="24"/>
        </w:rPr>
      </w:pPr>
      <w:r>
        <w:rPr>
          <w:rFonts w:cs="Times New Roman"/>
          <w:szCs w:val="24"/>
        </w:rPr>
        <w:t xml:space="preserve">Departementet foreslår </w:t>
      </w:r>
      <w:r w:rsidR="0085003F">
        <w:rPr>
          <w:rFonts w:cs="Times New Roman"/>
          <w:szCs w:val="24"/>
        </w:rPr>
        <w:t>videre</w:t>
      </w:r>
      <w:r>
        <w:rPr>
          <w:rFonts w:cs="Times New Roman"/>
          <w:szCs w:val="24"/>
        </w:rPr>
        <w:t xml:space="preserve"> at bestemmelsen utvides til også </w:t>
      </w:r>
      <w:r w:rsidR="002F4BDD">
        <w:rPr>
          <w:rFonts w:cs="Times New Roman"/>
          <w:szCs w:val="24"/>
        </w:rPr>
        <w:t xml:space="preserve">å </w:t>
      </w:r>
      <w:r>
        <w:rPr>
          <w:rFonts w:cs="Times New Roman"/>
          <w:szCs w:val="24"/>
        </w:rPr>
        <w:t xml:space="preserve">presisere at Kirkemøtet fastsetter kirkens grunnlag og lære på trossamfunnets vegne. Dette er ikke til hinder for at Kirkemøtet fastsetter særlige regler for behandling av læresaker, som for eksempel involverer og legger myndighet til biskopene eller Bispemøtet. En slik bestemmelse er tatt inn i lovutkastet § </w:t>
      </w:r>
      <w:r w:rsidR="001579F3">
        <w:rPr>
          <w:rFonts w:cs="Times New Roman"/>
          <w:szCs w:val="24"/>
        </w:rPr>
        <w:t>10</w:t>
      </w:r>
      <w:r w:rsidR="00AC4D61">
        <w:rPr>
          <w:rFonts w:cs="Times New Roman"/>
          <w:szCs w:val="24"/>
        </w:rPr>
        <w:t xml:space="preserve"> f</w:t>
      </w:r>
      <w:r w:rsidR="0085003F">
        <w:rPr>
          <w:rFonts w:cs="Times New Roman"/>
          <w:szCs w:val="24"/>
        </w:rPr>
        <w:t>ørste</w:t>
      </w:r>
      <w:r w:rsidR="00AC4D61">
        <w:rPr>
          <w:rFonts w:cs="Times New Roman"/>
          <w:szCs w:val="24"/>
        </w:rPr>
        <w:t xml:space="preserve"> ledd</w:t>
      </w:r>
      <w:r>
        <w:rPr>
          <w:rFonts w:cs="Times New Roman"/>
          <w:szCs w:val="24"/>
        </w:rPr>
        <w:t>:</w:t>
      </w:r>
    </w:p>
    <w:p w:rsidR="007B750F" w:rsidRPr="001763A6" w:rsidRDefault="00B9624D" w:rsidP="00D46082">
      <w:pPr>
        <w:pStyle w:val="blokksit"/>
        <w:rPr>
          <w:rStyle w:val="kursiv"/>
        </w:rPr>
      </w:pPr>
      <w:r w:rsidRPr="001763A6">
        <w:rPr>
          <w:rStyle w:val="kursiv"/>
        </w:rPr>
        <w:t xml:space="preserve">Kirkemøtet </w:t>
      </w:r>
      <w:r w:rsidR="00782FF7" w:rsidRPr="001763A6">
        <w:rPr>
          <w:rStyle w:val="kursiv"/>
        </w:rPr>
        <w:t xml:space="preserve">fastsetter </w:t>
      </w:r>
      <w:r w:rsidRPr="001763A6">
        <w:rPr>
          <w:rStyle w:val="kursiv"/>
        </w:rPr>
        <w:t xml:space="preserve">kirkens grunnlag og lære og alle liturgier og gudstjenstlige bøker. </w:t>
      </w:r>
    </w:p>
    <w:p w:rsidR="007B750F" w:rsidRPr="00D73E6C" w:rsidRDefault="007B750F" w:rsidP="007B750F">
      <w:pPr>
        <w:pStyle w:val="Overskrift3"/>
      </w:pPr>
      <w:bookmarkStart w:id="1191" w:name="_Toc478131369"/>
      <w:bookmarkStart w:id="1192" w:name="_Toc478131640"/>
      <w:bookmarkStart w:id="1193" w:name="_Toc478231529"/>
      <w:bookmarkStart w:id="1194" w:name="_Toc478231778"/>
      <w:bookmarkStart w:id="1195" w:name="_Toc478232026"/>
      <w:bookmarkStart w:id="1196" w:name="_Toc478232268"/>
      <w:bookmarkStart w:id="1197" w:name="_Toc478236388"/>
      <w:bookmarkStart w:id="1198" w:name="_Toc478236690"/>
      <w:bookmarkStart w:id="1199" w:name="_Toc478237252"/>
      <w:bookmarkStart w:id="1200" w:name="_Toc478365770"/>
      <w:bookmarkStart w:id="1201" w:name="_Toc477535532"/>
      <w:bookmarkStart w:id="1202" w:name="_Toc477630665"/>
      <w:bookmarkStart w:id="1203" w:name="_Toc477693629"/>
      <w:bookmarkStart w:id="1204" w:name="_Toc477704003"/>
      <w:bookmarkStart w:id="1205" w:name="_Toc477799216"/>
      <w:bookmarkStart w:id="1206" w:name="_Toc477805818"/>
      <w:bookmarkStart w:id="1207" w:name="_Toc477878078"/>
      <w:bookmarkStart w:id="1208" w:name="_Toc477881481"/>
      <w:bookmarkStart w:id="1209" w:name="_Toc477885941"/>
      <w:bookmarkStart w:id="1210" w:name="_Toc478131370"/>
      <w:bookmarkStart w:id="1211" w:name="_Toc478138741"/>
      <w:bookmarkStart w:id="1212" w:name="_Toc478232269"/>
      <w:bookmarkStart w:id="1213" w:name="_Toc478237253"/>
      <w:bookmarkStart w:id="1214" w:name="_Toc481761791"/>
      <w:bookmarkStart w:id="1215" w:name="_Toc492900444"/>
      <w:bookmarkEnd w:id="1191"/>
      <w:bookmarkEnd w:id="1192"/>
      <w:bookmarkEnd w:id="1193"/>
      <w:bookmarkEnd w:id="1194"/>
      <w:bookmarkEnd w:id="1195"/>
      <w:bookmarkEnd w:id="1196"/>
      <w:bookmarkEnd w:id="1197"/>
      <w:bookmarkEnd w:id="1198"/>
      <w:bookmarkEnd w:id="1199"/>
      <w:bookmarkEnd w:id="1200"/>
      <w:r w:rsidRPr="00D73E6C">
        <w:t>Rettslig handleevne</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rsidR="007B750F" w:rsidRDefault="007B750F" w:rsidP="007B750F">
      <w:pPr>
        <w:rPr>
          <w:rFonts w:cs="Times New Roman"/>
          <w:szCs w:val="24"/>
        </w:rPr>
      </w:pPr>
      <w:r w:rsidRPr="00153237">
        <w:rPr>
          <w:rFonts w:cs="Times New Roman"/>
          <w:szCs w:val="24"/>
        </w:rPr>
        <w:t xml:space="preserve">Soknet er etter gjeldende rett den grunnleggende enheten i Den norske kirke og et selvstendig rettssubjekt. </w:t>
      </w:r>
      <w:r>
        <w:rPr>
          <w:rFonts w:cs="Times New Roman"/>
          <w:szCs w:val="24"/>
        </w:rPr>
        <w:t xml:space="preserve">En fundamental innskrenkning i soknets rettslige selvstendighet er at det ikke kan løses fra Den norske kirke. </w:t>
      </w:r>
    </w:p>
    <w:p w:rsidR="007B750F" w:rsidRDefault="007B750F" w:rsidP="007B750F">
      <w:pPr>
        <w:rPr>
          <w:rFonts w:cs="Times New Roman"/>
          <w:szCs w:val="24"/>
        </w:rPr>
      </w:pPr>
      <w:r w:rsidRPr="00153237">
        <w:rPr>
          <w:rFonts w:cs="Times New Roman"/>
          <w:szCs w:val="24"/>
        </w:rPr>
        <w:t xml:space="preserve">Soknets rettslige stilling ble klargjort </w:t>
      </w:r>
      <w:r>
        <w:rPr>
          <w:rFonts w:cs="Times New Roman"/>
          <w:szCs w:val="24"/>
        </w:rPr>
        <w:t>da</w:t>
      </w:r>
      <w:r w:rsidRPr="00153237">
        <w:rPr>
          <w:rFonts w:cs="Times New Roman"/>
          <w:szCs w:val="24"/>
        </w:rPr>
        <w:t xml:space="preserve"> kirkeloven </w:t>
      </w:r>
      <w:r>
        <w:rPr>
          <w:rFonts w:cs="Times New Roman"/>
          <w:szCs w:val="24"/>
        </w:rPr>
        <w:t>ble vedtatt i</w:t>
      </w:r>
      <w:r w:rsidRPr="00153237">
        <w:rPr>
          <w:rFonts w:cs="Times New Roman"/>
          <w:szCs w:val="24"/>
        </w:rPr>
        <w:t xml:space="preserve"> 1996. Det var særlig forholdet til kommunen og soknets rolle som arbeidsgiver </w:t>
      </w:r>
      <w:r>
        <w:rPr>
          <w:rFonts w:cs="Times New Roman"/>
          <w:szCs w:val="24"/>
        </w:rPr>
        <w:t>som loven</w:t>
      </w:r>
      <w:r w:rsidRPr="00153237">
        <w:rPr>
          <w:rFonts w:cs="Times New Roman"/>
          <w:szCs w:val="24"/>
        </w:rPr>
        <w:t xml:space="preserve"> </w:t>
      </w:r>
      <w:r>
        <w:rPr>
          <w:rFonts w:cs="Times New Roman"/>
          <w:szCs w:val="24"/>
        </w:rPr>
        <w:t>gjorde tydelig</w:t>
      </w:r>
      <w:r w:rsidRPr="00153237">
        <w:rPr>
          <w:rFonts w:cs="Times New Roman"/>
          <w:szCs w:val="24"/>
        </w:rPr>
        <w:t xml:space="preserve">. </w:t>
      </w:r>
      <w:r>
        <w:rPr>
          <w:rFonts w:cs="Times New Roman"/>
          <w:szCs w:val="24"/>
        </w:rPr>
        <w:t xml:space="preserve">Kirkeloven </w:t>
      </w:r>
      <w:r w:rsidRPr="001579F3">
        <w:rPr>
          <w:rFonts w:cs="Times New Roman"/>
          <w:i/>
          <w:szCs w:val="24"/>
        </w:rPr>
        <w:t>etablerte</w:t>
      </w:r>
      <w:r>
        <w:rPr>
          <w:rFonts w:cs="Times New Roman"/>
          <w:szCs w:val="24"/>
        </w:rPr>
        <w:t xml:space="preserve"> imidlertid ikke soknet</w:t>
      </w:r>
      <w:r w:rsidRPr="00153237">
        <w:rPr>
          <w:rFonts w:cs="Times New Roman"/>
          <w:szCs w:val="24"/>
        </w:rPr>
        <w:t xml:space="preserve"> som selvstendig rettssubjekt. Departementet uttalte </w:t>
      </w:r>
      <w:r>
        <w:rPr>
          <w:rFonts w:cs="Times New Roman"/>
          <w:szCs w:val="24"/>
        </w:rPr>
        <w:t>i Ot.prp. nr. 64 (1994–95) følgende (s. 19)</w:t>
      </w:r>
      <w:r w:rsidRPr="00153237">
        <w:rPr>
          <w:rFonts w:cs="Times New Roman"/>
          <w:szCs w:val="24"/>
        </w:rPr>
        <w:t xml:space="preserve">: </w:t>
      </w:r>
    </w:p>
    <w:p w:rsidR="007B750F" w:rsidRPr="001763A6" w:rsidRDefault="007B750F" w:rsidP="00D46082">
      <w:pPr>
        <w:pStyle w:val="blokksit"/>
        <w:rPr>
          <w:rStyle w:val="kursiv"/>
        </w:rPr>
      </w:pPr>
      <w:r w:rsidRPr="001763A6">
        <w:rPr>
          <w:rStyle w:val="kursiv"/>
        </w:rPr>
        <w:t xml:space="preserve">Departementet er i hovedsak enig i Kirkelovutvalgets vurdering av soknets uklare rettsstilling i gjeldende lovgivning. Selv om den faktiske utviklingen har gått i retning av anerkjennelse av soknet som selvstendig rettssubjekt, særlig på det tjenestemannsrettslige området, men også med hensyn til eiendoms- og formuesforhold, bør dette komme tydeligere til uttrykk i lovgivningen, med bestemmelser om soknets offentligrettslige og privatrettslige handleevne. </w:t>
      </w:r>
    </w:p>
    <w:p w:rsidR="007B750F" w:rsidRPr="00153237" w:rsidRDefault="007B750F" w:rsidP="007B750F">
      <w:pPr>
        <w:rPr>
          <w:rFonts w:cs="Times New Roman"/>
          <w:szCs w:val="24"/>
        </w:rPr>
      </w:pPr>
      <w:r w:rsidRPr="00153237">
        <w:rPr>
          <w:rFonts w:cs="Times New Roman"/>
          <w:szCs w:val="24"/>
        </w:rPr>
        <w:lastRenderedPageBreak/>
        <w:t>Soknets århundrelange historie</w:t>
      </w:r>
      <w:r>
        <w:rPr>
          <w:rFonts w:cs="Times New Roman"/>
          <w:szCs w:val="24"/>
        </w:rPr>
        <w:t>,</w:t>
      </w:r>
      <w:r w:rsidRPr="00153237">
        <w:rPr>
          <w:rFonts w:cs="Times New Roman"/>
          <w:szCs w:val="24"/>
        </w:rPr>
        <w:t xml:space="preserve"> og særlig den faktiske utviklingen av kirkelig forvaltning de siste 20 årene</w:t>
      </w:r>
      <w:r>
        <w:rPr>
          <w:rFonts w:cs="Times New Roman"/>
          <w:szCs w:val="24"/>
        </w:rPr>
        <w:t>,</w:t>
      </w:r>
      <w:r w:rsidRPr="00153237">
        <w:rPr>
          <w:rFonts w:cs="Times New Roman"/>
          <w:szCs w:val="24"/>
        </w:rPr>
        <w:t xml:space="preserve"> </w:t>
      </w:r>
      <w:r>
        <w:rPr>
          <w:rFonts w:cs="Times New Roman"/>
          <w:szCs w:val="24"/>
        </w:rPr>
        <w:t xml:space="preserve">kan hevdes å </w:t>
      </w:r>
      <w:r w:rsidRPr="00153237">
        <w:rPr>
          <w:rFonts w:cs="Times New Roman"/>
          <w:szCs w:val="24"/>
        </w:rPr>
        <w:t>innebære</w:t>
      </w:r>
      <w:r>
        <w:rPr>
          <w:rFonts w:cs="Times New Roman"/>
          <w:szCs w:val="24"/>
        </w:rPr>
        <w:t xml:space="preserve"> </w:t>
      </w:r>
      <w:r w:rsidRPr="00153237">
        <w:rPr>
          <w:rFonts w:cs="Times New Roman"/>
          <w:szCs w:val="24"/>
        </w:rPr>
        <w:t xml:space="preserve">at soknet ikke lenger er avhengig av en særskilt lovbestemmelse for å opprettholde og hevde </w:t>
      </w:r>
      <w:r>
        <w:rPr>
          <w:rFonts w:cs="Times New Roman"/>
          <w:szCs w:val="24"/>
        </w:rPr>
        <w:t>rettigheter og plikter</w:t>
      </w:r>
      <w:r w:rsidRPr="00153237">
        <w:rPr>
          <w:rFonts w:cs="Times New Roman"/>
          <w:szCs w:val="24"/>
        </w:rPr>
        <w:t xml:space="preserve"> som selvstendig rettssubjekt. Om soknet i alle tilfeller vil være å regne som et selvstendig rettssubjekt</w:t>
      </w:r>
      <w:r>
        <w:rPr>
          <w:rFonts w:cs="Times New Roman"/>
          <w:szCs w:val="24"/>
        </w:rPr>
        <w:t>,</w:t>
      </w:r>
      <w:r w:rsidRPr="00153237">
        <w:rPr>
          <w:rFonts w:cs="Times New Roman"/>
          <w:szCs w:val="24"/>
        </w:rPr>
        <w:t xml:space="preserve"> kan det være grunn til likevel å videreføre lovbestemmelser som bekrefter dette</w:t>
      </w:r>
      <w:r>
        <w:rPr>
          <w:rFonts w:cs="Times New Roman"/>
          <w:szCs w:val="24"/>
        </w:rPr>
        <w:t>,</w:t>
      </w:r>
      <w:r w:rsidRPr="00153237">
        <w:rPr>
          <w:rFonts w:cs="Times New Roman"/>
          <w:szCs w:val="24"/>
        </w:rPr>
        <w:t xml:space="preserve"> for ikke å skape usikkerhet.</w:t>
      </w:r>
      <w:r>
        <w:rPr>
          <w:rFonts w:cs="Times New Roman"/>
          <w:szCs w:val="24"/>
        </w:rPr>
        <w:t xml:space="preserve"> </w:t>
      </w:r>
    </w:p>
    <w:p w:rsidR="007B750F" w:rsidRDefault="007B750F" w:rsidP="007B750F">
      <w:pPr>
        <w:rPr>
          <w:rFonts w:cs="Times New Roman"/>
          <w:szCs w:val="24"/>
        </w:rPr>
      </w:pPr>
      <w:r w:rsidRPr="00153237">
        <w:rPr>
          <w:rFonts w:cs="Times New Roman"/>
          <w:szCs w:val="24"/>
        </w:rPr>
        <w:t xml:space="preserve">Den norske kirkes rettslige selvstendighet har en </w:t>
      </w:r>
      <w:r>
        <w:rPr>
          <w:rFonts w:cs="Times New Roman"/>
          <w:szCs w:val="24"/>
        </w:rPr>
        <w:t>vesentlig kortere historie</w:t>
      </w:r>
      <w:r w:rsidRPr="00153237">
        <w:rPr>
          <w:rFonts w:cs="Times New Roman"/>
          <w:szCs w:val="24"/>
        </w:rPr>
        <w:t xml:space="preserve">. </w:t>
      </w:r>
      <w:r>
        <w:rPr>
          <w:rFonts w:cs="Times New Roman"/>
          <w:szCs w:val="24"/>
        </w:rPr>
        <w:t xml:space="preserve">Rettssubjektet Den norske kirke </w:t>
      </w:r>
      <w:r w:rsidRPr="00153237">
        <w:rPr>
          <w:rFonts w:cs="Times New Roman"/>
          <w:szCs w:val="24"/>
        </w:rPr>
        <w:t xml:space="preserve">ble etablert ved lovendringene som trådte i kraft 1. januar 2017. Dette innebærer ikke at Den norske kirke først da ble etablert som trossamfunn. Den norske kirke som korporasjon var heller ikke før 2017 helt uten rettslig handleevne, </w:t>
      </w:r>
      <w:r>
        <w:rPr>
          <w:rFonts w:cs="Times New Roman"/>
          <w:szCs w:val="24"/>
        </w:rPr>
        <w:t>se</w:t>
      </w:r>
      <w:r w:rsidRPr="00153237">
        <w:rPr>
          <w:rFonts w:cs="Times New Roman"/>
          <w:szCs w:val="24"/>
        </w:rPr>
        <w:t xml:space="preserve"> Prop. 55 L (2015</w:t>
      </w:r>
      <w:r>
        <w:rPr>
          <w:rFonts w:cs="Times New Roman"/>
          <w:szCs w:val="24"/>
        </w:rPr>
        <w:t>–</w:t>
      </w:r>
      <w:r w:rsidRPr="00153237">
        <w:rPr>
          <w:rFonts w:cs="Times New Roman"/>
          <w:szCs w:val="24"/>
        </w:rPr>
        <w:t xml:space="preserve">2016) </w:t>
      </w:r>
      <w:r>
        <w:rPr>
          <w:rFonts w:cs="Times New Roman"/>
          <w:szCs w:val="24"/>
        </w:rPr>
        <w:t>s. 8–9</w:t>
      </w:r>
      <w:r w:rsidRPr="00153237">
        <w:rPr>
          <w:rFonts w:cs="Times New Roman"/>
          <w:szCs w:val="24"/>
        </w:rPr>
        <w:t xml:space="preserve">. </w:t>
      </w:r>
    </w:p>
    <w:p w:rsidR="007B750F" w:rsidRDefault="007B750F" w:rsidP="007B750F">
      <w:pPr>
        <w:rPr>
          <w:rFonts w:cs="Times New Roman"/>
          <w:szCs w:val="24"/>
        </w:rPr>
      </w:pPr>
      <w:r>
        <w:rPr>
          <w:rFonts w:cs="Times New Roman"/>
          <w:szCs w:val="24"/>
        </w:rPr>
        <w:t xml:space="preserve">Departementet mener at bestemmelsene om både </w:t>
      </w:r>
      <w:r w:rsidRPr="00153237">
        <w:rPr>
          <w:rFonts w:cs="Times New Roman"/>
          <w:szCs w:val="24"/>
        </w:rPr>
        <w:t xml:space="preserve">Den norske kirkes </w:t>
      </w:r>
      <w:r>
        <w:rPr>
          <w:rFonts w:cs="Times New Roman"/>
          <w:szCs w:val="24"/>
        </w:rPr>
        <w:t xml:space="preserve">rettslige status og handleevne og den tilsvarende reguleringen av soknet bør føres videre i ny lovgivning. Likedan bør bestemmelsen om at soknet ikke kan løses fra Den norske kirke føres videre. Disse bestemmelsene er tatt inn i </w:t>
      </w:r>
      <w:r w:rsidRPr="00AA5EA3">
        <w:rPr>
          <w:rFonts w:cs="Times New Roman"/>
          <w:szCs w:val="24"/>
        </w:rPr>
        <w:t xml:space="preserve">lovforslaget § </w:t>
      </w:r>
      <w:r w:rsidR="001579F3">
        <w:rPr>
          <w:rFonts w:cs="Times New Roman"/>
          <w:szCs w:val="24"/>
        </w:rPr>
        <w:t>9</w:t>
      </w:r>
      <w:r w:rsidRPr="00AA5EA3">
        <w:rPr>
          <w:rFonts w:cs="Times New Roman"/>
          <w:szCs w:val="24"/>
        </w:rPr>
        <w:t xml:space="preserve"> første og an</w:t>
      </w:r>
      <w:r w:rsidR="001579F3">
        <w:rPr>
          <w:rFonts w:cs="Times New Roman"/>
          <w:szCs w:val="24"/>
        </w:rPr>
        <w:t>net</w:t>
      </w:r>
      <w:r w:rsidRPr="00AA5EA3">
        <w:rPr>
          <w:rFonts w:cs="Times New Roman"/>
          <w:szCs w:val="24"/>
        </w:rPr>
        <w:t xml:space="preserve"> ledd</w:t>
      </w:r>
      <w:r>
        <w:rPr>
          <w:rFonts w:cs="Times New Roman"/>
          <w:szCs w:val="24"/>
        </w:rPr>
        <w:t xml:space="preserve">: </w:t>
      </w:r>
    </w:p>
    <w:p w:rsidR="007B750F" w:rsidRPr="001763A6" w:rsidRDefault="007B750F" w:rsidP="00D46082">
      <w:pPr>
        <w:pStyle w:val="blokksit"/>
        <w:rPr>
          <w:rStyle w:val="kursiv"/>
        </w:rPr>
      </w:pPr>
      <w:r w:rsidRPr="001763A6">
        <w:rPr>
          <w:rStyle w:val="kursiv"/>
        </w:rPr>
        <w:t>Soknet er den grunnleggende enheten i Den norske kirke og kan ikke løses fra denne.</w:t>
      </w:r>
    </w:p>
    <w:p w:rsidR="007B750F" w:rsidRPr="001763A6" w:rsidRDefault="007B750F" w:rsidP="00D46082">
      <w:pPr>
        <w:pStyle w:val="blokksit"/>
        <w:rPr>
          <w:rStyle w:val="kursiv"/>
        </w:rPr>
      </w:pPr>
      <w:r w:rsidRPr="001763A6">
        <w:rPr>
          <w:rStyle w:val="kursiv"/>
        </w:rPr>
        <w:t xml:space="preserve">Den norske kirke, så vel som det enkelte sokn, er </w:t>
      </w:r>
      <w:r w:rsidR="007B7B72" w:rsidRPr="001763A6">
        <w:rPr>
          <w:rStyle w:val="kursiv"/>
        </w:rPr>
        <w:t xml:space="preserve">et </w:t>
      </w:r>
      <w:r w:rsidRPr="001763A6">
        <w:rPr>
          <w:rStyle w:val="kursiv"/>
        </w:rPr>
        <w:t>eget rettssubjekt og har rettigheter og forpliktelser, er part i avtaler med private og offentlige myndigheter og har partsstilling overfor domstol og andre myndigheter.</w:t>
      </w:r>
    </w:p>
    <w:p w:rsidR="007B750F" w:rsidRDefault="007B750F" w:rsidP="007B750F">
      <w:pPr>
        <w:rPr>
          <w:rFonts w:cs="Times New Roman"/>
          <w:szCs w:val="24"/>
        </w:rPr>
      </w:pPr>
      <w:r>
        <w:rPr>
          <w:rFonts w:cs="Times New Roman"/>
          <w:szCs w:val="24"/>
        </w:rPr>
        <w:t>En fundamental premiss for departementet er dermed at soknet skal føres videre s</w:t>
      </w:r>
      <w:r w:rsidR="00AC4D61">
        <w:rPr>
          <w:rFonts w:cs="Times New Roman"/>
          <w:szCs w:val="24"/>
        </w:rPr>
        <w:t>om selvstendig rettssubjekt. D</w:t>
      </w:r>
      <w:r>
        <w:rPr>
          <w:rFonts w:cs="Times New Roman"/>
          <w:szCs w:val="24"/>
        </w:rPr>
        <w:t xml:space="preserve">epartementet viser </w:t>
      </w:r>
      <w:r w:rsidR="00AC4D61">
        <w:rPr>
          <w:rFonts w:cs="Times New Roman"/>
          <w:szCs w:val="24"/>
        </w:rPr>
        <w:t xml:space="preserve">også </w:t>
      </w:r>
      <w:r>
        <w:rPr>
          <w:rFonts w:cs="Times New Roman"/>
          <w:szCs w:val="24"/>
        </w:rPr>
        <w:t>til Kirkemøtets vedtak i sak KM 11/15. Det er, etter departementets oppfatning, derfor ikke aktuelt å innlemme soknene i rettssubjektet Den norske kirke. En kunne teoretisk tenke seg at soknet ble videreført som et rettssubjekt innenfor det nasjonale rettssubjektet Den norske kirke, slik ordningen for eksempel er i Svenska kyrkan</w:t>
      </w:r>
      <w:r w:rsidR="00AC4D61">
        <w:rPr>
          <w:rFonts w:cs="Times New Roman"/>
          <w:szCs w:val="24"/>
        </w:rPr>
        <w:t xml:space="preserve">, jf. </w:t>
      </w:r>
      <w:r w:rsidR="00AC4D61" w:rsidRPr="001E491E">
        <w:rPr>
          <w:rFonts w:cs="Times New Roman"/>
          <w:i/>
          <w:szCs w:val="24"/>
        </w:rPr>
        <w:t>lag (1998:1591) om Svenska kyrkan</w:t>
      </w:r>
      <w:r w:rsidR="00AC4D61">
        <w:rPr>
          <w:rFonts w:cs="Times New Roman"/>
          <w:szCs w:val="24"/>
        </w:rPr>
        <w:t xml:space="preserve"> 1 § og 4 §</w:t>
      </w:r>
      <w:r>
        <w:rPr>
          <w:rFonts w:cs="Times New Roman"/>
          <w:szCs w:val="24"/>
        </w:rPr>
        <w:t>, men departementet har ikke funnet tilstrekkelig grunn til å foreslå en slik konstruksjon i loven</w:t>
      </w:r>
      <w:r w:rsidR="00AC4D61">
        <w:rPr>
          <w:rFonts w:cs="Times New Roman"/>
          <w:szCs w:val="24"/>
        </w:rPr>
        <w:t xml:space="preserve"> her</w:t>
      </w:r>
      <w:r>
        <w:rPr>
          <w:rFonts w:cs="Times New Roman"/>
          <w:szCs w:val="24"/>
        </w:rPr>
        <w:t xml:space="preserve">. Departementet har ellers merket seg at Kirkemøtet i sak KM 11/15 har bedt Kirkerådet "utrede alternativer for hvordan forholdene mellom rettssubjektene i kirken skal reguleres og hvordan Kirkemøtets lovgivningsmyndighet overfor soknet skal forankres og avgrenses". </w:t>
      </w:r>
    </w:p>
    <w:p w:rsidR="007B750F" w:rsidRPr="00153237" w:rsidRDefault="007B750F" w:rsidP="007B750F">
      <w:pPr>
        <w:rPr>
          <w:rFonts w:cs="Times New Roman"/>
          <w:szCs w:val="24"/>
        </w:rPr>
      </w:pPr>
      <w:r w:rsidRPr="00153237">
        <w:rPr>
          <w:rFonts w:cs="Times New Roman"/>
          <w:szCs w:val="24"/>
        </w:rPr>
        <w:t>De</w:t>
      </w:r>
      <w:r>
        <w:rPr>
          <w:rFonts w:cs="Times New Roman"/>
          <w:szCs w:val="24"/>
        </w:rPr>
        <w:t>partementet</w:t>
      </w:r>
      <w:r w:rsidRPr="00153237">
        <w:rPr>
          <w:rFonts w:cs="Times New Roman"/>
          <w:szCs w:val="24"/>
        </w:rPr>
        <w:t xml:space="preserve"> foreslå</w:t>
      </w:r>
      <w:r>
        <w:rPr>
          <w:rFonts w:cs="Times New Roman"/>
          <w:szCs w:val="24"/>
        </w:rPr>
        <w:t>r</w:t>
      </w:r>
      <w:r w:rsidRPr="00153237">
        <w:rPr>
          <w:rFonts w:cs="Times New Roman"/>
          <w:szCs w:val="24"/>
        </w:rPr>
        <w:t xml:space="preserve"> videre at </w:t>
      </w:r>
      <w:r>
        <w:rPr>
          <w:rFonts w:cs="Times New Roman"/>
          <w:szCs w:val="24"/>
        </w:rPr>
        <w:t xml:space="preserve">loven skal fastsette at </w:t>
      </w:r>
      <w:r w:rsidRPr="00153237">
        <w:rPr>
          <w:rFonts w:cs="Times New Roman"/>
          <w:szCs w:val="24"/>
        </w:rPr>
        <w:t xml:space="preserve">Kirkemøtet som hovedregel opptrer på vegne av </w:t>
      </w:r>
      <w:r>
        <w:rPr>
          <w:rFonts w:cs="Times New Roman"/>
          <w:szCs w:val="24"/>
        </w:rPr>
        <w:t xml:space="preserve">rettssubjektet </w:t>
      </w:r>
      <w:r w:rsidRPr="00153237">
        <w:rPr>
          <w:rFonts w:cs="Times New Roman"/>
          <w:szCs w:val="24"/>
        </w:rPr>
        <w:t>Den norske kirke</w:t>
      </w:r>
      <w:r>
        <w:rPr>
          <w:rFonts w:cs="Times New Roman"/>
          <w:szCs w:val="24"/>
        </w:rPr>
        <w:t>,</w:t>
      </w:r>
      <w:r w:rsidRPr="00153237">
        <w:rPr>
          <w:rFonts w:cs="Times New Roman"/>
          <w:szCs w:val="24"/>
        </w:rPr>
        <w:t xml:space="preserve"> og </w:t>
      </w:r>
      <w:r>
        <w:rPr>
          <w:rFonts w:cs="Times New Roman"/>
          <w:szCs w:val="24"/>
        </w:rPr>
        <w:t xml:space="preserve">at </w:t>
      </w:r>
      <w:r w:rsidRPr="00153237">
        <w:rPr>
          <w:rFonts w:cs="Times New Roman"/>
          <w:szCs w:val="24"/>
        </w:rPr>
        <w:t xml:space="preserve">menighetsrådet </w:t>
      </w:r>
      <w:r>
        <w:rPr>
          <w:rFonts w:cs="Times New Roman"/>
          <w:szCs w:val="24"/>
        </w:rPr>
        <w:t xml:space="preserve">opptrer </w:t>
      </w:r>
      <w:r w:rsidRPr="00153237">
        <w:rPr>
          <w:rFonts w:cs="Times New Roman"/>
          <w:szCs w:val="24"/>
        </w:rPr>
        <w:t xml:space="preserve">på vegne av </w:t>
      </w:r>
      <w:r>
        <w:rPr>
          <w:rFonts w:cs="Times New Roman"/>
          <w:szCs w:val="24"/>
        </w:rPr>
        <w:t xml:space="preserve">rettssubjektet </w:t>
      </w:r>
      <w:r w:rsidRPr="00153237">
        <w:rPr>
          <w:rFonts w:cs="Times New Roman"/>
          <w:szCs w:val="24"/>
        </w:rPr>
        <w:t>soknet. Lovforslaget overlater for øvrig til Kirkemøtet å fastsette hvilke organer Den norske kirke og sokn</w:t>
      </w:r>
      <w:r>
        <w:rPr>
          <w:rFonts w:cs="Times New Roman"/>
          <w:szCs w:val="24"/>
        </w:rPr>
        <w:t>et</w:t>
      </w:r>
      <w:r w:rsidRPr="00153237">
        <w:rPr>
          <w:rFonts w:cs="Times New Roman"/>
          <w:szCs w:val="24"/>
        </w:rPr>
        <w:t xml:space="preserve"> skal ha</w:t>
      </w:r>
      <w:r w:rsidR="00B127B8">
        <w:rPr>
          <w:rFonts w:cs="Times New Roman"/>
          <w:szCs w:val="24"/>
        </w:rPr>
        <w:t>, både</w:t>
      </w:r>
      <w:r w:rsidRPr="00153237">
        <w:rPr>
          <w:rFonts w:cs="Times New Roman"/>
          <w:szCs w:val="24"/>
        </w:rPr>
        <w:t xml:space="preserve"> lokalt, regionalt og sentralt. </w:t>
      </w:r>
    </w:p>
    <w:p w:rsidR="007B750F" w:rsidRPr="00153237" w:rsidRDefault="007B750F" w:rsidP="007B750F">
      <w:pPr>
        <w:rPr>
          <w:rFonts w:cs="Times New Roman"/>
          <w:szCs w:val="24"/>
        </w:rPr>
      </w:pPr>
      <w:r w:rsidRPr="00CD556F">
        <w:rPr>
          <w:rFonts w:cs="Times New Roman"/>
          <w:szCs w:val="24"/>
        </w:rPr>
        <w:t xml:space="preserve">Departementet har ikke tatt stilling til om Kirkemøtet allerede i kraft av sin representative kompetanse, uten særskilt hjemmel i lov, kunne fastsette regler for den kirkelige organiseringen og virksomheten, jf. synspunktet om liturgimyndigheten i </w:t>
      </w:r>
      <w:r w:rsidRPr="00AA5EA3">
        <w:rPr>
          <w:rFonts w:cs="Times New Roman"/>
          <w:szCs w:val="24"/>
        </w:rPr>
        <w:t xml:space="preserve">punkt </w:t>
      </w:r>
      <w:r w:rsidR="00CD556F">
        <w:rPr>
          <w:rFonts w:cs="Times New Roman"/>
          <w:szCs w:val="24"/>
        </w:rPr>
        <w:t xml:space="preserve">8.3.3. </w:t>
      </w:r>
      <w:r w:rsidRPr="00CD556F">
        <w:rPr>
          <w:rFonts w:cs="Times New Roman"/>
          <w:szCs w:val="24"/>
        </w:rPr>
        <w:t>ovenfor.</w:t>
      </w:r>
      <w:r>
        <w:rPr>
          <w:rFonts w:cs="Times New Roman"/>
          <w:szCs w:val="24"/>
        </w:rPr>
        <w:t xml:space="preserve"> Dersom den foreslåtte </w:t>
      </w:r>
      <w:r w:rsidRPr="00153237">
        <w:rPr>
          <w:rFonts w:cs="Times New Roman"/>
          <w:szCs w:val="24"/>
        </w:rPr>
        <w:t>hovedregelen om at Kirkemøtet representerer Den norske kirke</w:t>
      </w:r>
      <w:r>
        <w:rPr>
          <w:rFonts w:cs="Times New Roman"/>
          <w:szCs w:val="24"/>
        </w:rPr>
        <w:t>,</w:t>
      </w:r>
      <w:r w:rsidRPr="00153237">
        <w:rPr>
          <w:rFonts w:cs="Times New Roman"/>
          <w:szCs w:val="24"/>
        </w:rPr>
        <w:t xml:space="preserve"> og </w:t>
      </w:r>
      <w:r>
        <w:rPr>
          <w:rFonts w:cs="Times New Roman"/>
          <w:szCs w:val="24"/>
        </w:rPr>
        <w:t xml:space="preserve">at </w:t>
      </w:r>
      <w:r w:rsidRPr="00153237">
        <w:rPr>
          <w:rFonts w:cs="Times New Roman"/>
          <w:szCs w:val="24"/>
        </w:rPr>
        <w:t xml:space="preserve">menighetsrådet </w:t>
      </w:r>
      <w:r>
        <w:rPr>
          <w:rFonts w:cs="Times New Roman"/>
          <w:szCs w:val="24"/>
        </w:rPr>
        <w:t xml:space="preserve">representerer </w:t>
      </w:r>
      <w:r w:rsidRPr="00153237">
        <w:rPr>
          <w:rFonts w:cs="Times New Roman"/>
          <w:szCs w:val="24"/>
        </w:rPr>
        <w:t>soknet</w:t>
      </w:r>
      <w:r>
        <w:rPr>
          <w:rFonts w:cs="Times New Roman"/>
          <w:szCs w:val="24"/>
        </w:rPr>
        <w:t>,</w:t>
      </w:r>
      <w:r w:rsidRPr="00153237">
        <w:rPr>
          <w:rFonts w:cs="Times New Roman"/>
          <w:szCs w:val="24"/>
        </w:rPr>
        <w:t xml:space="preserve"> skal kunne fravikes (altså at andre organer som for eksempel kirkelig fellesråd og bispedømmeråd </w:t>
      </w:r>
      <w:r>
        <w:rPr>
          <w:rFonts w:cs="Times New Roman"/>
          <w:szCs w:val="24"/>
        </w:rPr>
        <w:t xml:space="preserve">på nærmere angitte saksområder </w:t>
      </w:r>
      <w:r w:rsidR="0032668D">
        <w:rPr>
          <w:rFonts w:cs="Times New Roman"/>
          <w:szCs w:val="24"/>
        </w:rPr>
        <w:t xml:space="preserve">skal kunne </w:t>
      </w:r>
      <w:r w:rsidRPr="00153237">
        <w:rPr>
          <w:rFonts w:cs="Times New Roman"/>
          <w:szCs w:val="24"/>
        </w:rPr>
        <w:t>opptre på et kirkelig rettssubjekts vegne)</w:t>
      </w:r>
      <w:r>
        <w:rPr>
          <w:rFonts w:cs="Times New Roman"/>
          <w:szCs w:val="24"/>
        </w:rPr>
        <w:t>,</w:t>
      </w:r>
      <w:r w:rsidRPr="00153237">
        <w:rPr>
          <w:rFonts w:cs="Times New Roman"/>
          <w:szCs w:val="24"/>
        </w:rPr>
        <w:t xml:space="preserve"> </w:t>
      </w:r>
      <w:r w:rsidR="00FE7F6A">
        <w:rPr>
          <w:rFonts w:cs="Times New Roman"/>
          <w:szCs w:val="24"/>
        </w:rPr>
        <w:t>bør</w:t>
      </w:r>
      <w:r w:rsidRPr="00153237">
        <w:rPr>
          <w:rFonts w:cs="Times New Roman"/>
          <w:szCs w:val="24"/>
        </w:rPr>
        <w:t xml:space="preserve"> Kirkemøtet i det minste ha lovhjemmel for å gi bestemmelse om dette.  </w:t>
      </w:r>
    </w:p>
    <w:p w:rsidR="00320AC6" w:rsidRDefault="007B750F" w:rsidP="007B750F">
      <w:pPr>
        <w:rPr>
          <w:rFonts w:cs="Times New Roman"/>
          <w:szCs w:val="24"/>
        </w:rPr>
      </w:pPr>
      <w:r w:rsidRPr="00153237">
        <w:rPr>
          <w:rFonts w:cs="Times New Roman"/>
          <w:szCs w:val="24"/>
        </w:rPr>
        <w:t xml:space="preserve">Departementet antar </w:t>
      </w:r>
      <w:r>
        <w:rPr>
          <w:rFonts w:cs="Times New Roman"/>
          <w:szCs w:val="24"/>
        </w:rPr>
        <w:t xml:space="preserve">at </w:t>
      </w:r>
      <w:r w:rsidRPr="00153237">
        <w:rPr>
          <w:rFonts w:cs="Times New Roman"/>
          <w:szCs w:val="24"/>
        </w:rPr>
        <w:t xml:space="preserve">Kirkemøtet </w:t>
      </w:r>
      <w:r>
        <w:rPr>
          <w:rFonts w:cs="Times New Roman"/>
          <w:szCs w:val="24"/>
        </w:rPr>
        <w:t xml:space="preserve">bør gis </w:t>
      </w:r>
      <w:r w:rsidRPr="00153237">
        <w:rPr>
          <w:rFonts w:cs="Times New Roman"/>
          <w:szCs w:val="24"/>
        </w:rPr>
        <w:t xml:space="preserve">en </w:t>
      </w:r>
      <w:r>
        <w:rPr>
          <w:rFonts w:cs="Times New Roman"/>
          <w:szCs w:val="24"/>
        </w:rPr>
        <w:t>generell</w:t>
      </w:r>
      <w:r w:rsidRPr="00153237">
        <w:rPr>
          <w:rFonts w:cs="Times New Roman"/>
          <w:szCs w:val="24"/>
        </w:rPr>
        <w:t xml:space="preserve"> hjemmel i lov til å fastsette nærmere regler om kirkens organisering, </w:t>
      </w:r>
      <w:r w:rsidR="00B127B8">
        <w:rPr>
          <w:rFonts w:cs="Times New Roman"/>
          <w:szCs w:val="24"/>
        </w:rPr>
        <w:t xml:space="preserve">om </w:t>
      </w:r>
      <w:r w:rsidRPr="00153237">
        <w:rPr>
          <w:rFonts w:cs="Times New Roman"/>
          <w:szCs w:val="24"/>
        </w:rPr>
        <w:t xml:space="preserve">kirkelig inndeling, </w:t>
      </w:r>
      <w:r w:rsidR="00B127B8">
        <w:rPr>
          <w:rFonts w:cs="Times New Roman"/>
          <w:szCs w:val="24"/>
        </w:rPr>
        <w:t xml:space="preserve">om </w:t>
      </w:r>
      <w:r w:rsidRPr="00153237">
        <w:rPr>
          <w:rFonts w:cs="Times New Roman"/>
          <w:szCs w:val="24"/>
        </w:rPr>
        <w:t xml:space="preserve">kirkelige organer og om valg til disse. </w:t>
      </w:r>
      <w:r w:rsidR="00320AC6">
        <w:rPr>
          <w:rFonts w:cs="Times New Roman"/>
          <w:szCs w:val="24"/>
        </w:rPr>
        <w:t>En nærmere drøfting av spørsmål omkring kirkens organisering og kirkelig inndeling er ellers gjort i kap</w:t>
      </w:r>
      <w:r w:rsidR="002F4BDD">
        <w:rPr>
          <w:rFonts w:cs="Times New Roman"/>
          <w:szCs w:val="24"/>
        </w:rPr>
        <w:t>ittel</w:t>
      </w:r>
      <w:r w:rsidR="00654DF3">
        <w:rPr>
          <w:rFonts w:cs="Times New Roman"/>
          <w:szCs w:val="24"/>
        </w:rPr>
        <w:t xml:space="preserve"> 9</w:t>
      </w:r>
      <w:r w:rsidR="00320AC6">
        <w:rPr>
          <w:rFonts w:cs="Times New Roman"/>
          <w:szCs w:val="24"/>
        </w:rPr>
        <w:t xml:space="preserve">, som det vises til. </w:t>
      </w:r>
    </w:p>
    <w:p w:rsidR="0060294D" w:rsidRDefault="00320AC6" w:rsidP="007B750F">
      <w:pPr>
        <w:rPr>
          <w:rFonts w:cs="Times New Roman"/>
          <w:szCs w:val="24"/>
        </w:rPr>
      </w:pPr>
      <w:r>
        <w:rPr>
          <w:rFonts w:cs="Times New Roman"/>
          <w:szCs w:val="24"/>
        </w:rPr>
        <w:lastRenderedPageBreak/>
        <w:t xml:space="preserve">Etter kirkeloven § 16 er det gitt bestemmelser om opptak av lån på soknets vegne og om at et sokn ikke kan </w:t>
      </w:r>
      <w:r w:rsidR="00903880">
        <w:rPr>
          <w:rFonts w:cs="Times New Roman"/>
          <w:szCs w:val="24"/>
        </w:rPr>
        <w:t xml:space="preserve">tas </w:t>
      </w:r>
      <w:r>
        <w:rPr>
          <w:rFonts w:cs="Times New Roman"/>
          <w:szCs w:val="24"/>
        </w:rPr>
        <w:t xml:space="preserve">under konkurs eller åpne gjeldsforhandling etter konkursloven. </w:t>
      </w:r>
      <w:r w:rsidR="0060294D">
        <w:rPr>
          <w:rFonts w:cs="Times New Roman"/>
          <w:szCs w:val="24"/>
        </w:rPr>
        <w:t xml:space="preserve">Bestemmelsen om konkursvern er utformet etter mønster av tilsvarende bestemmelse </w:t>
      </w:r>
      <w:r w:rsidR="00E57750">
        <w:rPr>
          <w:rFonts w:cs="Times New Roman"/>
          <w:szCs w:val="24"/>
        </w:rPr>
        <w:t>for</w:t>
      </w:r>
      <w:r w:rsidR="0060294D">
        <w:rPr>
          <w:rFonts w:cs="Times New Roman"/>
          <w:szCs w:val="24"/>
        </w:rPr>
        <w:t xml:space="preserve"> kommunene i kommuneloven. </w:t>
      </w:r>
    </w:p>
    <w:p w:rsidR="00320AC6" w:rsidRPr="00903880" w:rsidRDefault="00320AC6" w:rsidP="007B750F">
      <w:pPr>
        <w:rPr>
          <w:rFonts w:cs="Times New Roman"/>
          <w:szCs w:val="24"/>
        </w:rPr>
      </w:pPr>
      <w:r>
        <w:rPr>
          <w:rFonts w:cs="Times New Roman"/>
          <w:szCs w:val="24"/>
        </w:rPr>
        <w:t xml:space="preserve">Bestemmelsen om konkursvernet </w:t>
      </w:r>
      <w:r w:rsidR="0060294D" w:rsidRPr="0060294D">
        <w:rPr>
          <w:rFonts w:cs="Times New Roman"/>
          <w:szCs w:val="24"/>
        </w:rPr>
        <w:t xml:space="preserve">i § 16 </w:t>
      </w:r>
      <w:r>
        <w:rPr>
          <w:rFonts w:cs="Times New Roman"/>
          <w:szCs w:val="24"/>
        </w:rPr>
        <w:t>foreslås videreført</w:t>
      </w:r>
      <w:r w:rsidR="00A55A3F">
        <w:rPr>
          <w:rFonts w:cs="Times New Roman"/>
          <w:szCs w:val="24"/>
        </w:rPr>
        <w:t>, men ellers foreslås</w:t>
      </w:r>
      <w:r>
        <w:rPr>
          <w:rFonts w:cs="Times New Roman"/>
          <w:szCs w:val="24"/>
        </w:rPr>
        <w:t xml:space="preserve"> </w:t>
      </w:r>
      <w:r w:rsidR="00A55A3F">
        <w:rPr>
          <w:rFonts w:cs="Times New Roman"/>
          <w:szCs w:val="24"/>
        </w:rPr>
        <w:t xml:space="preserve">ingen bestemmelser i kirkeloven § 16 ført videre i ny lov. </w:t>
      </w:r>
      <w:r>
        <w:rPr>
          <w:rFonts w:cs="Times New Roman"/>
          <w:szCs w:val="24"/>
        </w:rPr>
        <w:t xml:space="preserve">Bestemmelser som regulerer </w:t>
      </w:r>
      <w:r w:rsidR="00A55A3F">
        <w:rPr>
          <w:rFonts w:cs="Times New Roman"/>
          <w:szCs w:val="24"/>
        </w:rPr>
        <w:t xml:space="preserve">soknets </w:t>
      </w:r>
      <w:r>
        <w:rPr>
          <w:rFonts w:cs="Times New Roman"/>
          <w:szCs w:val="24"/>
        </w:rPr>
        <w:t xml:space="preserve">låneopptak og </w:t>
      </w:r>
      <w:r w:rsidR="00A55A3F">
        <w:rPr>
          <w:rFonts w:cs="Times New Roman"/>
          <w:szCs w:val="24"/>
        </w:rPr>
        <w:t>hvilke prosedyrer som skal følges dersom et sokn kommer i økonomiske vanskeligheter, må da gis av Kirkemøtet</w:t>
      </w:r>
      <w:r w:rsidR="00903880">
        <w:rPr>
          <w:rFonts w:cs="Times New Roman"/>
          <w:szCs w:val="24"/>
        </w:rPr>
        <w:t>,</w:t>
      </w:r>
      <w:r w:rsidR="00A55A3F">
        <w:rPr>
          <w:rFonts w:cs="Times New Roman"/>
          <w:szCs w:val="24"/>
        </w:rPr>
        <w:t xml:space="preserve"> i </w:t>
      </w:r>
      <w:r w:rsidR="00903880">
        <w:rPr>
          <w:rFonts w:cs="Times New Roman"/>
          <w:szCs w:val="24"/>
        </w:rPr>
        <w:t xml:space="preserve">medhold av </w:t>
      </w:r>
      <w:r w:rsidR="00A55A3F">
        <w:rPr>
          <w:rFonts w:cs="Times New Roman"/>
          <w:szCs w:val="24"/>
        </w:rPr>
        <w:t xml:space="preserve">sin myndighet til å gi regler om </w:t>
      </w:r>
      <w:r w:rsidR="00903880">
        <w:rPr>
          <w:rFonts w:cs="Times New Roman"/>
          <w:szCs w:val="24"/>
        </w:rPr>
        <w:t>kirkelige organer.</w:t>
      </w:r>
      <w:r w:rsidRPr="00150737">
        <w:rPr>
          <w:rStyle w:val="halvfet"/>
        </w:rPr>
        <w:t xml:space="preserve"> </w:t>
      </w:r>
      <w:r w:rsidR="00903880" w:rsidRPr="00903880">
        <w:rPr>
          <w:rFonts w:cs="Times New Roman"/>
          <w:szCs w:val="24"/>
        </w:rPr>
        <w:t>Dersom kommunene</w:t>
      </w:r>
      <w:r w:rsidR="00903880" w:rsidRPr="00150737">
        <w:rPr>
          <w:rStyle w:val="halvfet"/>
        </w:rPr>
        <w:t xml:space="preserve"> </w:t>
      </w:r>
      <w:r w:rsidR="00903880" w:rsidRPr="00903880">
        <w:rPr>
          <w:rFonts w:cs="Times New Roman"/>
          <w:szCs w:val="24"/>
        </w:rPr>
        <w:t>fortsatt skal fin</w:t>
      </w:r>
      <w:r w:rsidR="00903880">
        <w:rPr>
          <w:rFonts w:cs="Times New Roman"/>
          <w:szCs w:val="24"/>
        </w:rPr>
        <w:t>an</w:t>
      </w:r>
      <w:r w:rsidR="00903880" w:rsidRPr="00903880">
        <w:rPr>
          <w:rFonts w:cs="Times New Roman"/>
          <w:szCs w:val="24"/>
        </w:rPr>
        <w:t>siere soknen</w:t>
      </w:r>
      <w:r w:rsidR="00903880">
        <w:rPr>
          <w:rFonts w:cs="Times New Roman"/>
          <w:szCs w:val="24"/>
        </w:rPr>
        <w:t>e</w:t>
      </w:r>
      <w:r w:rsidR="00903880" w:rsidRPr="00903880">
        <w:rPr>
          <w:rFonts w:cs="Times New Roman"/>
          <w:szCs w:val="24"/>
        </w:rPr>
        <w:t>s virk</w:t>
      </w:r>
      <w:r w:rsidR="00903880">
        <w:rPr>
          <w:rFonts w:cs="Times New Roman"/>
          <w:szCs w:val="24"/>
        </w:rPr>
        <w:t>s</w:t>
      </w:r>
      <w:r w:rsidR="00903880" w:rsidRPr="00903880">
        <w:rPr>
          <w:rFonts w:cs="Times New Roman"/>
          <w:szCs w:val="24"/>
        </w:rPr>
        <w:t xml:space="preserve">omhet, vil det </w:t>
      </w:r>
      <w:r w:rsidR="003147E1">
        <w:rPr>
          <w:rFonts w:cs="Times New Roman"/>
          <w:szCs w:val="24"/>
        </w:rPr>
        <w:t>være nærliggende at oppståtte betalingsproblemer søkes løst i et samarbeid med kommunen.</w:t>
      </w:r>
      <w:r w:rsidR="003147E1" w:rsidRPr="00150737">
        <w:rPr>
          <w:rStyle w:val="halvfet"/>
        </w:rPr>
        <w:t xml:space="preserve"> </w:t>
      </w:r>
    </w:p>
    <w:p w:rsidR="007B750F" w:rsidRPr="00D73E6C" w:rsidRDefault="007B750F" w:rsidP="007B750F">
      <w:pPr>
        <w:pStyle w:val="Overskrift3"/>
      </w:pPr>
      <w:bookmarkStart w:id="1216" w:name="_Toc477535533"/>
      <w:bookmarkStart w:id="1217" w:name="_Toc477630666"/>
      <w:bookmarkStart w:id="1218" w:name="_Toc477693630"/>
      <w:bookmarkStart w:id="1219" w:name="_Toc477704004"/>
      <w:bookmarkStart w:id="1220" w:name="_Toc477799217"/>
      <w:bookmarkStart w:id="1221" w:name="_Toc477805819"/>
      <w:bookmarkStart w:id="1222" w:name="_Toc477878079"/>
      <w:bookmarkStart w:id="1223" w:name="_Toc477881482"/>
      <w:bookmarkStart w:id="1224" w:name="_Toc477885942"/>
      <w:bookmarkStart w:id="1225" w:name="_Toc478131371"/>
      <w:bookmarkStart w:id="1226" w:name="_Toc478138742"/>
      <w:bookmarkStart w:id="1227" w:name="_Toc478232270"/>
      <w:bookmarkStart w:id="1228" w:name="_Toc478237254"/>
      <w:bookmarkStart w:id="1229" w:name="_Toc481761792"/>
      <w:bookmarkStart w:id="1230" w:name="_Toc492900445"/>
      <w:r>
        <w:t>M</w:t>
      </w:r>
      <w:r w:rsidRPr="00D73E6C">
        <w:t>edlemskap</w:t>
      </w:r>
      <w:r>
        <w:t xml:space="preserve"> og tilhørighet</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r>
        <w:t xml:space="preserve"> </w:t>
      </w:r>
    </w:p>
    <w:p w:rsidR="007B750F" w:rsidRDefault="00790F99" w:rsidP="007B750F">
      <w:pPr>
        <w:rPr>
          <w:rFonts w:cs="Times New Roman"/>
          <w:szCs w:val="24"/>
        </w:rPr>
      </w:pPr>
      <w:r>
        <w:rPr>
          <w:rFonts w:cs="Times New Roman"/>
          <w:szCs w:val="24"/>
        </w:rPr>
        <w:t xml:space="preserve">I kapittel </w:t>
      </w:r>
      <w:r w:rsidR="00CD556F">
        <w:rPr>
          <w:rFonts w:cs="Times New Roman"/>
          <w:szCs w:val="24"/>
        </w:rPr>
        <w:t>18</w:t>
      </w:r>
      <w:r w:rsidR="00061E17">
        <w:rPr>
          <w:rFonts w:cs="Times New Roman"/>
          <w:szCs w:val="24"/>
        </w:rPr>
        <w:t xml:space="preserve"> nedenfor legger </w:t>
      </w:r>
      <w:r w:rsidR="007B750F">
        <w:rPr>
          <w:rFonts w:cs="Times New Roman"/>
          <w:szCs w:val="24"/>
        </w:rPr>
        <w:t>departementet</w:t>
      </w:r>
      <w:r w:rsidR="00061E17">
        <w:rPr>
          <w:rFonts w:cs="Times New Roman"/>
          <w:szCs w:val="24"/>
        </w:rPr>
        <w:t xml:space="preserve"> til grunn</w:t>
      </w:r>
      <w:r w:rsidR="007B750F">
        <w:rPr>
          <w:rFonts w:cs="Times New Roman"/>
          <w:szCs w:val="24"/>
        </w:rPr>
        <w:t xml:space="preserve"> at lovbestemmelser om medlemskap bør være felles for alle tros- og livssynssamfunn. Bare unntaksvis kan det være aktuelt å innta særlige lovbestemmelser om dette for Den norske kirke. Den norske kirke, som andre tros- og livssynssamfunn, skal kunne fastsette egne regler om medlemskap, innmelding etc.</w:t>
      </w:r>
    </w:p>
    <w:p w:rsidR="007B750F" w:rsidRPr="00153237" w:rsidRDefault="007B750F" w:rsidP="007B750F">
      <w:pPr>
        <w:rPr>
          <w:rFonts w:cs="Times New Roman"/>
          <w:szCs w:val="24"/>
        </w:rPr>
      </w:pPr>
      <w:r>
        <w:rPr>
          <w:rFonts w:cs="Times New Roman"/>
          <w:szCs w:val="24"/>
        </w:rPr>
        <w:t>Den gjeldende b</w:t>
      </w:r>
      <w:r w:rsidRPr="00153237">
        <w:rPr>
          <w:rFonts w:cs="Times New Roman"/>
          <w:szCs w:val="24"/>
        </w:rPr>
        <w:t xml:space="preserve">estemmelsen i </w:t>
      </w:r>
      <w:r>
        <w:rPr>
          <w:rFonts w:cs="Times New Roman"/>
          <w:szCs w:val="24"/>
        </w:rPr>
        <w:t xml:space="preserve">kirkeloven </w:t>
      </w:r>
      <w:r w:rsidRPr="00153237">
        <w:rPr>
          <w:rFonts w:cs="Times New Roman"/>
          <w:szCs w:val="24"/>
        </w:rPr>
        <w:t>§ 3 nr. 5 om at medlemskap i kirken forutsetter dåp</w:t>
      </w:r>
      <w:r w:rsidR="00061E17">
        <w:rPr>
          <w:rFonts w:cs="Times New Roman"/>
          <w:szCs w:val="24"/>
        </w:rPr>
        <w:t>,</w:t>
      </w:r>
      <w:r w:rsidRPr="00153237">
        <w:rPr>
          <w:rFonts w:cs="Times New Roman"/>
          <w:szCs w:val="24"/>
        </w:rPr>
        <w:t xml:space="preserve"> er </w:t>
      </w:r>
      <w:r>
        <w:rPr>
          <w:rFonts w:cs="Times New Roman"/>
          <w:szCs w:val="24"/>
        </w:rPr>
        <w:t>et</w:t>
      </w:r>
      <w:r w:rsidRPr="00153237">
        <w:rPr>
          <w:rFonts w:cs="Times New Roman"/>
          <w:szCs w:val="24"/>
        </w:rPr>
        <w:t xml:space="preserve"> eksempel på </w:t>
      </w:r>
      <w:r>
        <w:rPr>
          <w:rFonts w:cs="Times New Roman"/>
          <w:szCs w:val="24"/>
        </w:rPr>
        <w:t>en regel</w:t>
      </w:r>
      <w:r w:rsidRPr="00153237">
        <w:rPr>
          <w:rFonts w:cs="Times New Roman"/>
          <w:szCs w:val="24"/>
        </w:rPr>
        <w:t xml:space="preserve"> som trossamfunnet Den norske kirke nå bør kunne gi på eget grunnlag. Det samme gjelder "bestemmelser" om oppdragerplikt</w:t>
      </w:r>
      <w:r>
        <w:rPr>
          <w:rFonts w:cs="Times New Roman"/>
          <w:szCs w:val="24"/>
        </w:rPr>
        <w:t>er</w:t>
      </w:r>
      <w:r w:rsidRPr="00153237">
        <w:rPr>
          <w:rFonts w:cs="Times New Roman"/>
          <w:szCs w:val="24"/>
        </w:rPr>
        <w:t xml:space="preserve"> </w:t>
      </w:r>
      <w:r>
        <w:rPr>
          <w:rFonts w:cs="Times New Roman"/>
          <w:szCs w:val="24"/>
        </w:rPr>
        <w:t>for foreldre</w:t>
      </w:r>
      <w:r w:rsidRPr="00153237">
        <w:rPr>
          <w:rFonts w:cs="Times New Roman"/>
          <w:szCs w:val="24"/>
        </w:rPr>
        <w:t xml:space="preserve"> som nå er gitt blant annet i dåpsliturgien, og som knapt har egentlig rettslig karakter. </w:t>
      </w:r>
      <w:r>
        <w:rPr>
          <w:rFonts w:cs="Times New Roman"/>
          <w:szCs w:val="24"/>
        </w:rPr>
        <w:t>Denne typen</w:t>
      </w:r>
      <w:r w:rsidRPr="00153237">
        <w:rPr>
          <w:rFonts w:cs="Times New Roman"/>
          <w:szCs w:val="24"/>
        </w:rPr>
        <w:t xml:space="preserve"> uttrykk for forventninger til medlemmer bør Den norske kirke fortsatt kunne gi på eget grunnlag, og det vil være et poeng at slike bestemmelser ikke gis med hjemmel i lov. </w:t>
      </w:r>
    </w:p>
    <w:p w:rsidR="007B750F" w:rsidRDefault="007B750F" w:rsidP="007B750F">
      <w:pPr>
        <w:rPr>
          <w:rFonts w:cs="Times New Roman"/>
          <w:szCs w:val="24"/>
        </w:rPr>
      </w:pPr>
      <w:r w:rsidRPr="00153237">
        <w:rPr>
          <w:rFonts w:cs="Times New Roman"/>
          <w:szCs w:val="24"/>
        </w:rPr>
        <w:t>Det kan likevel være behov for å ta inn en særskilt bestemmelse om medlemsregister</w:t>
      </w:r>
      <w:r>
        <w:rPr>
          <w:rFonts w:cs="Times New Roman"/>
          <w:szCs w:val="24"/>
        </w:rPr>
        <w:t xml:space="preserve"> i Den norske kirke</w:t>
      </w:r>
      <w:r w:rsidRPr="00153237">
        <w:rPr>
          <w:rFonts w:cs="Times New Roman"/>
          <w:szCs w:val="24"/>
        </w:rPr>
        <w:t xml:space="preserve">. For de øvrige tros- og livssynssamfunnene vil det å føre et medlemsregister kunne være </w:t>
      </w:r>
      <w:r>
        <w:rPr>
          <w:rFonts w:cs="Times New Roman"/>
          <w:szCs w:val="24"/>
        </w:rPr>
        <w:t>ønskelig</w:t>
      </w:r>
      <w:r w:rsidRPr="00153237">
        <w:rPr>
          <w:rFonts w:cs="Times New Roman"/>
          <w:szCs w:val="24"/>
        </w:rPr>
        <w:t xml:space="preserve"> for å dokumentere </w:t>
      </w:r>
      <w:r>
        <w:rPr>
          <w:rFonts w:cs="Times New Roman"/>
          <w:szCs w:val="24"/>
        </w:rPr>
        <w:t>et krav om</w:t>
      </w:r>
      <w:r w:rsidR="00061E17">
        <w:rPr>
          <w:rFonts w:cs="Times New Roman"/>
          <w:szCs w:val="24"/>
        </w:rPr>
        <w:t xml:space="preserve"> </w:t>
      </w:r>
      <w:r w:rsidRPr="00153237">
        <w:rPr>
          <w:rFonts w:cs="Times New Roman"/>
          <w:szCs w:val="24"/>
        </w:rPr>
        <w:t>tilskudd. Selv om tilskudd</w:t>
      </w:r>
      <w:r>
        <w:rPr>
          <w:rFonts w:cs="Times New Roman"/>
          <w:szCs w:val="24"/>
        </w:rPr>
        <w:t>et</w:t>
      </w:r>
      <w:r w:rsidRPr="00153237">
        <w:rPr>
          <w:rFonts w:cs="Times New Roman"/>
          <w:szCs w:val="24"/>
        </w:rPr>
        <w:t xml:space="preserve"> til Den norske kirke ikke beregnes på grunnlag av </w:t>
      </w:r>
      <w:r>
        <w:rPr>
          <w:rFonts w:cs="Times New Roman"/>
          <w:szCs w:val="24"/>
        </w:rPr>
        <w:t xml:space="preserve">Den norske kirkes </w:t>
      </w:r>
      <w:r w:rsidRPr="00153237">
        <w:rPr>
          <w:rFonts w:cs="Times New Roman"/>
          <w:szCs w:val="24"/>
        </w:rPr>
        <w:t>medlemstall, og selv om også tilskudd til andre skulle bli fastsatt uavhengig av hvor mange som tilhører Den norske kirke</w:t>
      </w:r>
      <w:r w:rsidR="00061E17">
        <w:rPr>
          <w:rFonts w:cs="Times New Roman"/>
          <w:szCs w:val="24"/>
        </w:rPr>
        <w:t xml:space="preserve">, se nedenfor i </w:t>
      </w:r>
      <w:r w:rsidR="00061E17" w:rsidRPr="00991317">
        <w:rPr>
          <w:rFonts w:cs="Times New Roman"/>
          <w:szCs w:val="24"/>
        </w:rPr>
        <w:t xml:space="preserve">kapittel </w:t>
      </w:r>
      <w:r w:rsidR="00991317" w:rsidRPr="00991317">
        <w:rPr>
          <w:rFonts w:cs="Times New Roman"/>
          <w:szCs w:val="24"/>
        </w:rPr>
        <w:t>14</w:t>
      </w:r>
      <w:r w:rsidRPr="00153237">
        <w:rPr>
          <w:rFonts w:cs="Times New Roman"/>
          <w:szCs w:val="24"/>
        </w:rPr>
        <w:t xml:space="preserve">, kan det være grunn til å lovfeste registreringen av medlemmer og kirkelige handlinger i et sentralt medlemsregister for Den norske kirke. Dette er blant annet begrunnet i registreringens omfang og forholdet til personopplysningsloven. </w:t>
      </w:r>
      <w:r w:rsidR="00061E17">
        <w:rPr>
          <w:rFonts w:cs="Times New Roman"/>
          <w:szCs w:val="24"/>
        </w:rPr>
        <w:t xml:space="preserve">Departementet foreslår følgende bestemmelser i § </w:t>
      </w:r>
      <w:r w:rsidR="0032668D">
        <w:rPr>
          <w:rFonts w:cs="Times New Roman"/>
          <w:szCs w:val="24"/>
        </w:rPr>
        <w:t>15</w:t>
      </w:r>
      <w:r w:rsidR="00061E17">
        <w:rPr>
          <w:rFonts w:cs="Times New Roman"/>
          <w:szCs w:val="24"/>
        </w:rPr>
        <w:t xml:space="preserve">: </w:t>
      </w:r>
    </w:p>
    <w:p w:rsidR="00061E17" w:rsidRPr="001763A6" w:rsidRDefault="00061E17" w:rsidP="00D46082">
      <w:pPr>
        <w:pStyle w:val="blokksit"/>
        <w:rPr>
          <w:rStyle w:val="kursiv"/>
        </w:rPr>
      </w:pPr>
      <w:r w:rsidRPr="001763A6">
        <w:rPr>
          <w:rStyle w:val="kursiv"/>
        </w:rPr>
        <w:t xml:space="preserve">Personer som er medlem </w:t>
      </w:r>
      <w:r w:rsidR="0032668D" w:rsidRPr="001763A6">
        <w:rPr>
          <w:rStyle w:val="kursiv"/>
        </w:rPr>
        <w:t>i</w:t>
      </w:r>
      <w:r w:rsidRPr="001763A6">
        <w:rPr>
          <w:rStyle w:val="kursiv"/>
        </w:rPr>
        <w:t xml:space="preserve"> Den norske kirke, registreres i et sentralt medlemsregister. </w:t>
      </w:r>
    </w:p>
    <w:p w:rsidR="00061E17" w:rsidRPr="001763A6" w:rsidRDefault="00061E17" w:rsidP="00D46082">
      <w:pPr>
        <w:pStyle w:val="blokksit"/>
        <w:rPr>
          <w:rStyle w:val="kursiv"/>
        </w:rPr>
      </w:pPr>
      <w:r w:rsidRPr="001763A6">
        <w:rPr>
          <w:rStyle w:val="kursiv"/>
        </w:rPr>
        <w:t xml:space="preserve">Det skal føres register over personer som blir døpt, konfirmert, vigslet til ekteskap og jordfestet ved prest i Den norske kirke samt over personer som melder seg inn i eller ut av Den norske kirke. Disse opplysningene kan inntas i medlemsregisteret. </w:t>
      </w:r>
    </w:p>
    <w:p w:rsidR="00061E17" w:rsidRPr="001763A6" w:rsidRDefault="00061E17" w:rsidP="00D46082">
      <w:pPr>
        <w:pStyle w:val="blokksit"/>
        <w:rPr>
          <w:rStyle w:val="kursiv"/>
        </w:rPr>
      </w:pPr>
      <w:r w:rsidRPr="001763A6">
        <w:rPr>
          <w:rStyle w:val="kursiv"/>
        </w:rPr>
        <w:t>Nærmere regler om registerføringen gis av Kirkemøtet.</w:t>
      </w:r>
    </w:p>
    <w:p w:rsidR="007B750F" w:rsidRDefault="00522B2F" w:rsidP="007B750F">
      <w:pPr>
        <w:rPr>
          <w:rFonts w:cs="Times New Roman"/>
          <w:szCs w:val="24"/>
        </w:rPr>
      </w:pPr>
      <w:r>
        <w:rPr>
          <w:rFonts w:cs="Times New Roman"/>
          <w:szCs w:val="24"/>
        </w:rPr>
        <w:t xml:space="preserve">Når det gjelder </w:t>
      </w:r>
      <w:r w:rsidR="007B750F" w:rsidRPr="00153237">
        <w:rPr>
          <w:rFonts w:cs="Times New Roman"/>
          <w:szCs w:val="24"/>
        </w:rPr>
        <w:t>spørsmålet om</w:t>
      </w:r>
      <w:r>
        <w:rPr>
          <w:rFonts w:cs="Times New Roman"/>
          <w:szCs w:val="24"/>
        </w:rPr>
        <w:t xml:space="preserve"> å innføre</w:t>
      </w:r>
      <w:r w:rsidR="007B750F" w:rsidRPr="00153237">
        <w:rPr>
          <w:rFonts w:cs="Times New Roman"/>
          <w:szCs w:val="24"/>
        </w:rPr>
        <w:t xml:space="preserve"> </w:t>
      </w:r>
      <w:r w:rsidR="009318E1">
        <w:rPr>
          <w:rFonts w:cs="Times New Roman"/>
          <w:szCs w:val="24"/>
        </w:rPr>
        <w:t xml:space="preserve">medlemskontingent </w:t>
      </w:r>
      <w:r w:rsidR="0032668D">
        <w:rPr>
          <w:rFonts w:cs="Times New Roman"/>
          <w:szCs w:val="24"/>
        </w:rPr>
        <w:t>i</w:t>
      </w:r>
      <w:r>
        <w:rPr>
          <w:rFonts w:cs="Times New Roman"/>
          <w:szCs w:val="24"/>
        </w:rPr>
        <w:t xml:space="preserve"> Den norske kirke,</w:t>
      </w:r>
      <w:r w:rsidR="007B750F" w:rsidRPr="00153237">
        <w:rPr>
          <w:rFonts w:cs="Times New Roman"/>
          <w:szCs w:val="24"/>
        </w:rPr>
        <w:t xml:space="preserve"> vises til </w:t>
      </w:r>
      <w:r w:rsidR="007B750F" w:rsidRPr="00AA5EA3">
        <w:rPr>
          <w:rFonts w:cs="Times New Roman"/>
          <w:szCs w:val="24"/>
        </w:rPr>
        <w:t xml:space="preserve">kapittel </w:t>
      </w:r>
      <w:r w:rsidR="00157C33" w:rsidRPr="00AA5EA3">
        <w:rPr>
          <w:rFonts w:cs="Times New Roman"/>
          <w:szCs w:val="24"/>
        </w:rPr>
        <w:t xml:space="preserve">10 </w:t>
      </w:r>
      <w:r w:rsidR="007B750F">
        <w:rPr>
          <w:rFonts w:cs="Times New Roman"/>
          <w:szCs w:val="24"/>
        </w:rPr>
        <w:t xml:space="preserve">og forslaget til lovtekst som er tatt inn i </w:t>
      </w:r>
      <w:r w:rsidR="007B750F" w:rsidRPr="00AA5EA3">
        <w:rPr>
          <w:rFonts w:cs="Times New Roman"/>
          <w:szCs w:val="24"/>
        </w:rPr>
        <w:t xml:space="preserve">§ </w:t>
      </w:r>
      <w:r w:rsidR="00157C33" w:rsidRPr="00AA5EA3">
        <w:rPr>
          <w:rFonts w:cs="Times New Roman"/>
          <w:szCs w:val="24"/>
        </w:rPr>
        <w:t>1</w:t>
      </w:r>
      <w:r>
        <w:rPr>
          <w:rFonts w:cs="Times New Roman"/>
          <w:szCs w:val="24"/>
        </w:rPr>
        <w:t>2</w:t>
      </w:r>
      <w:r w:rsidR="007B750F">
        <w:rPr>
          <w:rFonts w:cs="Times New Roman"/>
          <w:szCs w:val="24"/>
        </w:rPr>
        <w:t xml:space="preserve">. </w:t>
      </w:r>
    </w:p>
    <w:p w:rsidR="007B750F" w:rsidRPr="007342BE" w:rsidRDefault="007B750F" w:rsidP="007B750F">
      <w:pPr>
        <w:pStyle w:val="Overskrift3"/>
      </w:pPr>
      <w:bookmarkStart w:id="1231" w:name="_Toc477535534"/>
      <w:bookmarkStart w:id="1232" w:name="_Toc477630667"/>
      <w:bookmarkStart w:id="1233" w:name="_Toc477693631"/>
      <w:bookmarkStart w:id="1234" w:name="_Toc477704005"/>
      <w:bookmarkStart w:id="1235" w:name="_Toc477799218"/>
      <w:bookmarkStart w:id="1236" w:name="_Toc477805820"/>
      <w:bookmarkStart w:id="1237" w:name="_Toc477878080"/>
      <w:bookmarkStart w:id="1238" w:name="_Toc477881483"/>
      <w:bookmarkStart w:id="1239" w:name="_Toc477885943"/>
      <w:bookmarkStart w:id="1240" w:name="_Toc478131372"/>
      <w:bookmarkStart w:id="1241" w:name="_Toc478138743"/>
      <w:bookmarkStart w:id="1242" w:name="_Toc478232271"/>
      <w:bookmarkStart w:id="1243" w:name="_Toc478237255"/>
      <w:bookmarkStart w:id="1244" w:name="_Toc481761793"/>
      <w:bookmarkStart w:id="1245" w:name="_Toc492900446"/>
      <w:r w:rsidRPr="007342BE">
        <w:t>Stemmerett og valg</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rsidR="007B750F" w:rsidRPr="00153237" w:rsidRDefault="007B750F" w:rsidP="007B750F">
      <w:pPr>
        <w:rPr>
          <w:rFonts w:cs="Times New Roman"/>
          <w:szCs w:val="24"/>
        </w:rPr>
      </w:pPr>
      <w:r>
        <w:rPr>
          <w:rFonts w:cs="Times New Roman"/>
          <w:szCs w:val="24"/>
        </w:rPr>
        <w:t>Departementet legger til grunn a</w:t>
      </w:r>
      <w:r w:rsidR="00350C48">
        <w:rPr>
          <w:rFonts w:cs="Times New Roman"/>
          <w:szCs w:val="24"/>
        </w:rPr>
        <w:t>t det i Den norske kirke ikke vil være</w:t>
      </w:r>
      <w:r>
        <w:rPr>
          <w:rFonts w:cs="Times New Roman"/>
          <w:szCs w:val="24"/>
        </w:rPr>
        <w:t xml:space="preserve"> aktuelt å kreve annet enn dåp og en viss alder </w:t>
      </w:r>
      <w:r w:rsidRPr="00153237">
        <w:rPr>
          <w:rFonts w:cs="Times New Roman"/>
          <w:szCs w:val="24"/>
        </w:rPr>
        <w:t xml:space="preserve">for å kunne </w:t>
      </w:r>
      <w:r>
        <w:rPr>
          <w:rFonts w:cs="Times New Roman"/>
          <w:szCs w:val="24"/>
        </w:rPr>
        <w:t xml:space="preserve">bli medlem med </w:t>
      </w:r>
      <w:r w:rsidRPr="00153237">
        <w:rPr>
          <w:rFonts w:cs="Times New Roman"/>
          <w:szCs w:val="24"/>
        </w:rPr>
        <w:t>stemmerett</w:t>
      </w:r>
      <w:r>
        <w:rPr>
          <w:rFonts w:cs="Times New Roman"/>
          <w:szCs w:val="24"/>
        </w:rPr>
        <w:t xml:space="preserve"> og</w:t>
      </w:r>
      <w:r w:rsidRPr="00153237">
        <w:rPr>
          <w:rFonts w:cs="Times New Roman"/>
          <w:szCs w:val="24"/>
        </w:rPr>
        <w:t xml:space="preserve"> valgbarhet.</w:t>
      </w:r>
      <w:r>
        <w:rPr>
          <w:rFonts w:cs="Times New Roman"/>
          <w:szCs w:val="24"/>
        </w:rPr>
        <w:t xml:space="preserve"> </w:t>
      </w:r>
      <w:r w:rsidRPr="00153237">
        <w:rPr>
          <w:rFonts w:cs="Times New Roman"/>
          <w:szCs w:val="24"/>
        </w:rPr>
        <w:t>Andre tros</w:t>
      </w:r>
      <w:r>
        <w:rPr>
          <w:rFonts w:cs="Times New Roman"/>
          <w:szCs w:val="24"/>
        </w:rPr>
        <w:t>- og livssyns</w:t>
      </w:r>
      <w:r w:rsidRPr="00153237">
        <w:rPr>
          <w:rFonts w:cs="Times New Roman"/>
          <w:szCs w:val="24"/>
        </w:rPr>
        <w:t xml:space="preserve">samfunn vil </w:t>
      </w:r>
      <w:r>
        <w:rPr>
          <w:rFonts w:cs="Times New Roman"/>
          <w:szCs w:val="24"/>
        </w:rPr>
        <w:t xml:space="preserve">naturligvis </w:t>
      </w:r>
      <w:r w:rsidRPr="00153237">
        <w:rPr>
          <w:rFonts w:cs="Times New Roman"/>
          <w:szCs w:val="24"/>
        </w:rPr>
        <w:t xml:space="preserve">kunne </w:t>
      </w:r>
      <w:r>
        <w:rPr>
          <w:rFonts w:cs="Times New Roman"/>
          <w:szCs w:val="24"/>
        </w:rPr>
        <w:t xml:space="preserve">stille </w:t>
      </w:r>
      <w:r w:rsidRPr="00153237">
        <w:rPr>
          <w:rFonts w:cs="Times New Roman"/>
          <w:szCs w:val="24"/>
        </w:rPr>
        <w:t xml:space="preserve">flere </w:t>
      </w:r>
      <w:r>
        <w:rPr>
          <w:rFonts w:cs="Times New Roman"/>
          <w:szCs w:val="24"/>
        </w:rPr>
        <w:t xml:space="preserve">eller andre </w:t>
      </w:r>
      <w:r w:rsidRPr="00153237">
        <w:rPr>
          <w:rFonts w:cs="Times New Roman"/>
          <w:szCs w:val="24"/>
        </w:rPr>
        <w:t xml:space="preserve">vilkår </w:t>
      </w:r>
      <w:r>
        <w:rPr>
          <w:rFonts w:cs="Times New Roman"/>
          <w:szCs w:val="24"/>
        </w:rPr>
        <w:t xml:space="preserve">for å kunne delta i </w:t>
      </w:r>
      <w:r>
        <w:rPr>
          <w:rFonts w:cs="Times New Roman"/>
          <w:szCs w:val="24"/>
        </w:rPr>
        <w:lastRenderedPageBreak/>
        <w:t>styringsorganer i samfunnet</w:t>
      </w:r>
      <w:r w:rsidRPr="00153237">
        <w:rPr>
          <w:rFonts w:cs="Times New Roman"/>
          <w:szCs w:val="24"/>
        </w:rPr>
        <w:t xml:space="preserve">. Spørsmålet er om </w:t>
      </w:r>
      <w:r>
        <w:rPr>
          <w:rFonts w:cs="Times New Roman"/>
          <w:szCs w:val="24"/>
        </w:rPr>
        <w:t>staten</w:t>
      </w:r>
      <w:r w:rsidRPr="00153237">
        <w:rPr>
          <w:rFonts w:cs="Times New Roman"/>
          <w:szCs w:val="24"/>
        </w:rPr>
        <w:t xml:space="preserve"> </w:t>
      </w:r>
      <w:r>
        <w:rPr>
          <w:rFonts w:cs="Times New Roman"/>
          <w:szCs w:val="24"/>
        </w:rPr>
        <w:t>skal</w:t>
      </w:r>
      <w:r w:rsidR="00876729">
        <w:rPr>
          <w:rFonts w:cs="Times New Roman"/>
          <w:szCs w:val="24"/>
        </w:rPr>
        <w:t xml:space="preserve"> lovregulere stemmerett, og ev. valgbarhet, i Den norske kirke. </w:t>
      </w:r>
    </w:p>
    <w:p w:rsidR="007B750F" w:rsidRPr="00153237" w:rsidRDefault="007B750F" w:rsidP="007B750F">
      <w:pPr>
        <w:rPr>
          <w:rFonts w:cs="Times New Roman"/>
          <w:szCs w:val="24"/>
        </w:rPr>
      </w:pPr>
      <w:r w:rsidRPr="00153237">
        <w:rPr>
          <w:rFonts w:cs="Times New Roman"/>
          <w:szCs w:val="24"/>
        </w:rPr>
        <w:t xml:space="preserve">Departementet </w:t>
      </w:r>
      <w:r>
        <w:rPr>
          <w:rFonts w:cs="Times New Roman"/>
          <w:szCs w:val="24"/>
        </w:rPr>
        <w:t>vil be</w:t>
      </w:r>
      <w:r w:rsidRPr="00153237">
        <w:rPr>
          <w:rFonts w:cs="Times New Roman"/>
          <w:szCs w:val="24"/>
        </w:rPr>
        <w:t xml:space="preserve"> høringsinstansene </w:t>
      </w:r>
      <w:r w:rsidR="00350C48">
        <w:rPr>
          <w:rFonts w:cs="Times New Roman"/>
          <w:szCs w:val="24"/>
        </w:rPr>
        <w:t xml:space="preserve">vurdere </w:t>
      </w:r>
      <w:r w:rsidRPr="00153237">
        <w:rPr>
          <w:rFonts w:cs="Times New Roman"/>
          <w:szCs w:val="24"/>
        </w:rPr>
        <w:t>spørsmålet</w:t>
      </w:r>
      <w:r>
        <w:rPr>
          <w:rFonts w:cs="Times New Roman"/>
          <w:szCs w:val="24"/>
        </w:rPr>
        <w:t>, og departementet har utformet et f</w:t>
      </w:r>
      <w:r w:rsidRPr="00153237">
        <w:rPr>
          <w:rFonts w:cs="Times New Roman"/>
          <w:szCs w:val="24"/>
        </w:rPr>
        <w:t>orslag til lo</w:t>
      </w:r>
      <w:r>
        <w:rPr>
          <w:rFonts w:cs="Times New Roman"/>
          <w:szCs w:val="24"/>
        </w:rPr>
        <w:t xml:space="preserve">vbestemmelse som </w:t>
      </w:r>
      <w:r w:rsidR="00876729">
        <w:rPr>
          <w:rFonts w:cs="Times New Roman"/>
          <w:szCs w:val="24"/>
        </w:rPr>
        <w:t>er begrenset til å fastsette a</w:t>
      </w:r>
      <w:r w:rsidR="00B7515F">
        <w:rPr>
          <w:rFonts w:cs="Times New Roman"/>
          <w:szCs w:val="24"/>
        </w:rPr>
        <w:t>t</w:t>
      </w:r>
      <w:r w:rsidR="00876729">
        <w:rPr>
          <w:rFonts w:cs="Times New Roman"/>
          <w:szCs w:val="24"/>
        </w:rPr>
        <w:t xml:space="preserve"> </w:t>
      </w:r>
      <w:r>
        <w:rPr>
          <w:rFonts w:cs="Times New Roman"/>
          <w:szCs w:val="24"/>
        </w:rPr>
        <w:t>medlemmer har</w:t>
      </w:r>
      <w:r w:rsidRPr="00153237">
        <w:rPr>
          <w:rFonts w:cs="Times New Roman"/>
          <w:szCs w:val="24"/>
        </w:rPr>
        <w:t xml:space="preserve"> stemmeret</w:t>
      </w:r>
      <w:r w:rsidR="00876729">
        <w:rPr>
          <w:rFonts w:cs="Times New Roman"/>
          <w:szCs w:val="24"/>
        </w:rPr>
        <w:t xml:space="preserve">t fra det året medlemmet fyller </w:t>
      </w:r>
      <w:r>
        <w:rPr>
          <w:rFonts w:cs="Times New Roman"/>
          <w:szCs w:val="24"/>
        </w:rPr>
        <w:t xml:space="preserve">15 år. Etter forslaget </w:t>
      </w:r>
      <w:r w:rsidRPr="00AA5EA3">
        <w:rPr>
          <w:rFonts w:cs="Times New Roman"/>
          <w:szCs w:val="24"/>
        </w:rPr>
        <w:t xml:space="preserve">§ </w:t>
      </w:r>
      <w:r w:rsidR="0032668D">
        <w:rPr>
          <w:rFonts w:cs="Times New Roman"/>
          <w:szCs w:val="24"/>
        </w:rPr>
        <w:t>11</w:t>
      </w:r>
      <w:r w:rsidRPr="00153237">
        <w:rPr>
          <w:rFonts w:cs="Times New Roman"/>
          <w:szCs w:val="24"/>
        </w:rPr>
        <w:t xml:space="preserve"> vil Kirkemøtet kunne gi nærmere regler om valg som utfyller lovens bestemmelser.</w:t>
      </w:r>
    </w:p>
    <w:p w:rsidR="007B750F" w:rsidRDefault="007B750F" w:rsidP="007B750F">
      <w:pPr>
        <w:rPr>
          <w:rFonts w:cs="Times New Roman"/>
          <w:szCs w:val="24"/>
        </w:rPr>
      </w:pPr>
      <w:r w:rsidRPr="00153237">
        <w:rPr>
          <w:rFonts w:cs="Times New Roman"/>
          <w:szCs w:val="24"/>
        </w:rPr>
        <w:t>Dersom stemmeretten lovfestes</w:t>
      </w:r>
      <w:r>
        <w:rPr>
          <w:rFonts w:cs="Times New Roman"/>
          <w:szCs w:val="24"/>
        </w:rPr>
        <w:t>,</w:t>
      </w:r>
      <w:r w:rsidRPr="00153237">
        <w:rPr>
          <w:rFonts w:cs="Times New Roman"/>
          <w:szCs w:val="24"/>
        </w:rPr>
        <w:t xml:space="preserve"> </w:t>
      </w:r>
      <w:r>
        <w:rPr>
          <w:rFonts w:cs="Times New Roman"/>
          <w:szCs w:val="24"/>
        </w:rPr>
        <w:t xml:space="preserve">antar departementet at </w:t>
      </w:r>
      <w:r w:rsidRPr="00153237">
        <w:rPr>
          <w:rFonts w:cs="Times New Roman"/>
          <w:szCs w:val="24"/>
        </w:rPr>
        <w:t>Kirkemøtet</w:t>
      </w:r>
      <w:r>
        <w:rPr>
          <w:rFonts w:cs="Times New Roman"/>
          <w:szCs w:val="24"/>
        </w:rPr>
        <w:t>,</w:t>
      </w:r>
      <w:r w:rsidRPr="00153237">
        <w:rPr>
          <w:rFonts w:cs="Times New Roman"/>
          <w:szCs w:val="24"/>
        </w:rPr>
        <w:t xml:space="preserve"> i tillegg til den alminnelige hjemmelen </w:t>
      </w:r>
      <w:r>
        <w:rPr>
          <w:rFonts w:cs="Times New Roman"/>
          <w:szCs w:val="24"/>
        </w:rPr>
        <w:t xml:space="preserve">i </w:t>
      </w:r>
      <w:r w:rsidRPr="00AA5EA3">
        <w:rPr>
          <w:rFonts w:cs="Times New Roman"/>
          <w:szCs w:val="24"/>
        </w:rPr>
        <w:t xml:space="preserve">§ </w:t>
      </w:r>
      <w:r w:rsidR="0032668D">
        <w:rPr>
          <w:rFonts w:cs="Times New Roman"/>
          <w:szCs w:val="24"/>
        </w:rPr>
        <w:t>11</w:t>
      </w:r>
      <w:r w:rsidR="00B7515F">
        <w:rPr>
          <w:rFonts w:cs="Times New Roman"/>
          <w:szCs w:val="24"/>
        </w:rPr>
        <w:t>,</w:t>
      </w:r>
      <w:r>
        <w:rPr>
          <w:rFonts w:cs="Times New Roman"/>
          <w:szCs w:val="24"/>
        </w:rPr>
        <w:t xml:space="preserve"> </w:t>
      </w:r>
      <w:r w:rsidR="00350C48">
        <w:rPr>
          <w:rFonts w:cs="Times New Roman"/>
          <w:szCs w:val="24"/>
        </w:rPr>
        <w:t xml:space="preserve">bør </w:t>
      </w:r>
      <w:r w:rsidRPr="00153237">
        <w:rPr>
          <w:rFonts w:cs="Times New Roman"/>
          <w:szCs w:val="24"/>
        </w:rPr>
        <w:t xml:space="preserve">ha særskilt lovhjemmel for å fastsette regler som begrenser valgbarhet og regulerer uttreden av kirkelige organer, jf. </w:t>
      </w:r>
      <w:r>
        <w:rPr>
          <w:rFonts w:cs="Times New Roman"/>
          <w:szCs w:val="24"/>
        </w:rPr>
        <w:t xml:space="preserve">de gjeldende bestemmelsene i </w:t>
      </w:r>
      <w:r w:rsidRPr="00153237">
        <w:rPr>
          <w:rFonts w:cs="Times New Roman"/>
          <w:szCs w:val="24"/>
        </w:rPr>
        <w:t>kirkeloven § 4 første ledd og § 7. Det er særlig saker vedrørende personer som er fradømt stemmerett i offentlige anliggender og saker vedrørende rådsmedlemmer som siktes, tiltales ell</w:t>
      </w:r>
      <w:r w:rsidR="00876729">
        <w:rPr>
          <w:rFonts w:cs="Times New Roman"/>
          <w:szCs w:val="24"/>
        </w:rPr>
        <w:t xml:space="preserve">er dømmes for straffbare forhold, </w:t>
      </w:r>
      <w:r w:rsidRPr="00153237">
        <w:rPr>
          <w:rFonts w:cs="Times New Roman"/>
          <w:szCs w:val="24"/>
        </w:rPr>
        <w:t xml:space="preserve">det kan være aktuelt å gi regler </w:t>
      </w:r>
      <w:r>
        <w:rPr>
          <w:rFonts w:cs="Times New Roman"/>
          <w:szCs w:val="24"/>
        </w:rPr>
        <w:t>om</w:t>
      </w:r>
      <w:r w:rsidRPr="00153237">
        <w:rPr>
          <w:rFonts w:cs="Times New Roman"/>
          <w:szCs w:val="24"/>
        </w:rPr>
        <w:t>.</w:t>
      </w:r>
      <w:r w:rsidR="0026711D">
        <w:rPr>
          <w:rFonts w:cs="Times New Roman"/>
          <w:szCs w:val="24"/>
        </w:rPr>
        <w:t xml:space="preserve"> Departementets utkast til lovbestemmelse </w:t>
      </w:r>
      <w:r w:rsidR="0032668D">
        <w:rPr>
          <w:rFonts w:cs="Times New Roman"/>
          <w:szCs w:val="24"/>
        </w:rPr>
        <w:t xml:space="preserve">(§ 11 første ledd) </w:t>
      </w:r>
      <w:r w:rsidR="0026711D">
        <w:rPr>
          <w:rFonts w:cs="Times New Roman"/>
          <w:szCs w:val="24"/>
        </w:rPr>
        <w:t xml:space="preserve">har følgende ordlyd: </w:t>
      </w:r>
    </w:p>
    <w:p w:rsidR="0026711D" w:rsidRPr="001763A6" w:rsidRDefault="0026711D" w:rsidP="00D46082">
      <w:pPr>
        <w:pStyle w:val="blokksit"/>
        <w:rPr>
          <w:rStyle w:val="kursiv"/>
        </w:rPr>
      </w:pPr>
      <w:r w:rsidRPr="001763A6">
        <w:rPr>
          <w:rStyle w:val="kursiv"/>
        </w:rPr>
        <w:t xml:space="preserve">Hvert medlem av Den norske kirke som bor i soknet, og som vil ha fylt 15 år innen utgangen av valgåret, har kirkelig stemmerett. Kirkemøtet kan gi bestemmelser om </w:t>
      </w:r>
      <w:r w:rsidR="002254F3" w:rsidRPr="001763A6">
        <w:rPr>
          <w:rStyle w:val="kursiv"/>
        </w:rPr>
        <w:t xml:space="preserve">valgbarhet, </w:t>
      </w:r>
      <w:r w:rsidRPr="001763A6">
        <w:rPr>
          <w:rStyle w:val="kursiv"/>
        </w:rPr>
        <w:t xml:space="preserve">tap av valgbarhet og uttreden av kirkelige organer. </w:t>
      </w:r>
    </w:p>
    <w:p w:rsidR="0089363B" w:rsidRDefault="0089363B" w:rsidP="00D46082">
      <w:r w:rsidRPr="0089363B">
        <w:t>I forbindelse med den omtalte demok</w:t>
      </w:r>
      <w:r w:rsidR="00461027">
        <w:t>ratireformen i Den norske kirke</w:t>
      </w:r>
      <w:r w:rsidRPr="0089363B">
        <w:t xml:space="preserve"> ble det tatt inn en ny bestemmelse i kirkeloven § 4 fjerde ledd om at kirkelige valg holdes samtidig med, og i lokaler i umiddelbar nærhet av, valg til Storting eller fylkesting og kommunestyrer. Det ble også vedtatt enkelte andre lovendringer for å ivareta kirkeforlikets forutsetning om at demokratireformen skulle inneholde "etablering av reelle valgmuligheter" og "økt bruk av direktevalg</w:t>
      </w:r>
      <w:r w:rsidR="00CC4ADF" w:rsidRPr="0089363B">
        <w:t>", se</w:t>
      </w:r>
      <w:r w:rsidRPr="0089363B">
        <w:t xml:space="preserve"> Prop. 78 L (2012–2013) s. 7. Endringene ble sett på som viktige tiltak for å øke valgdeltakelsen og de valgte kirkelige organenes demokratiske legitimitet. </w:t>
      </w:r>
    </w:p>
    <w:p w:rsidR="0089363B" w:rsidRDefault="0089363B" w:rsidP="00D46082">
      <w:r w:rsidRPr="0089363B">
        <w:t>I høringen av lovforslaget argumenterte noen høringsinstanser på prinsipielt grunnlag mot at kirkelige valg skulle holdes samtidig med og i nærheten av offentlige valg, se proposisjonen s. 5–6.</w:t>
      </w:r>
    </w:p>
    <w:p w:rsidR="0089363B" w:rsidRDefault="0089363B" w:rsidP="00D46082">
      <w:r w:rsidRPr="0089363B">
        <w:t>Departementet har ikke sett det som naturlig at det i en rammelovgivning fortsatt skal lovreguleres hvordan de kirkelige organene skal sammensettes.</w:t>
      </w:r>
    </w:p>
    <w:p w:rsidR="0089363B" w:rsidRDefault="0089363B" w:rsidP="00D46082">
      <w:r w:rsidRPr="0089363B">
        <w:t>Når det derimot gjelder gjennomføringen av valget antar departementet at det bør kunne gis slike bestemmelser som er nødvendige forutsetninger for at hensynet til det kirkelige demokratiet ivaretas. Departementet mener derfor det kan være grunn til å gi ordningen med nærhet til offentlige valg et klart rettslig grunnlag dersom en ønsker å føre den videre.</w:t>
      </w:r>
    </w:p>
    <w:p w:rsidR="0089363B" w:rsidRPr="0089363B" w:rsidRDefault="0089363B" w:rsidP="00D46082">
      <w:r w:rsidRPr="0089363B">
        <w:t>Lovbestemmelsen om dette er fore</w:t>
      </w:r>
      <w:r w:rsidR="00A029A2">
        <w:t>slått videreført i utkastet § 11</w:t>
      </w:r>
      <w:r w:rsidRPr="0089363B">
        <w:t xml:space="preserve"> an</w:t>
      </w:r>
      <w:r w:rsidR="00A029A2">
        <w:t>n</w:t>
      </w:r>
      <w:r w:rsidRPr="0089363B">
        <w:t>e</w:t>
      </w:r>
      <w:r w:rsidR="00A029A2">
        <w:t>t</w:t>
      </w:r>
      <w:r w:rsidRPr="0089363B">
        <w:t xml:space="preserve"> ledd: </w:t>
      </w:r>
    </w:p>
    <w:p w:rsidR="0089363B" w:rsidRPr="001763A6" w:rsidRDefault="0026711D" w:rsidP="00D46082">
      <w:pPr>
        <w:pStyle w:val="blokksit"/>
        <w:rPr>
          <w:rStyle w:val="kursiv"/>
        </w:rPr>
      </w:pPr>
      <w:r w:rsidRPr="001763A6">
        <w:rPr>
          <w:rStyle w:val="kursiv"/>
        </w:rPr>
        <w:t xml:space="preserve">Kirkelige valg holdes samtidig med, og i lokaler i umiddelbar nærhet av, </w:t>
      </w:r>
      <w:bookmarkStart w:id="1246" w:name="_Toc477535535"/>
      <w:bookmarkStart w:id="1247" w:name="_Toc477630668"/>
      <w:bookmarkStart w:id="1248" w:name="_Toc477693632"/>
      <w:bookmarkStart w:id="1249" w:name="_Toc477704006"/>
      <w:bookmarkStart w:id="1250" w:name="_Toc477799219"/>
      <w:bookmarkStart w:id="1251" w:name="_Toc477805821"/>
      <w:bookmarkStart w:id="1252" w:name="_Toc477878081"/>
      <w:bookmarkStart w:id="1253" w:name="_Toc477881484"/>
      <w:bookmarkStart w:id="1254" w:name="_Toc477885944"/>
      <w:bookmarkStart w:id="1255" w:name="_Toc478131373"/>
      <w:r w:rsidR="003A0243" w:rsidRPr="001763A6">
        <w:rPr>
          <w:rStyle w:val="kursiv"/>
        </w:rPr>
        <w:t xml:space="preserve">offentlige </w:t>
      </w:r>
      <w:r w:rsidRPr="001763A6">
        <w:rPr>
          <w:rStyle w:val="kursiv"/>
        </w:rPr>
        <w:t>valg</w:t>
      </w:r>
      <w:r w:rsidR="003A0243" w:rsidRPr="001763A6">
        <w:rPr>
          <w:rStyle w:val="kursiv"/>
        </w:rPr>
        <w:t xml:space="preserve">. </w:t>
      </w:r>
      <w:bookmarkEnd w:id="1246"/>
      <w:bookmarkEnd w:id="1247"/>
      <w:bookmarkEnd w:id="1248"/>
      <w:bookmarkEnd w:id="1249"/>
      <w:bookmarkEnd w:id="1250"/>
      <w:bookmarkEnd w:id="1251"/>
      <w:bookmarkEnd w:id="1252"/>
      <w:bookmarkEnd w:id="1253"/>
      <w:bookmarkEnd w:id="1254"/>
      <w:bookmarkEnd w:id="1255"/>
    </w:p>
    <w:p w:rsidR="007B750F" w:rsidRPr="00CC4ADF" w:rsidRDefault="0089363B" w:rsidP="00CC4ADF">
      <w:pPr>
        <w:rPr>
          <w:rFonts w:cs="Times New Roman"/>
          <w:szCs w:val="24"/>
        </w:rPr>
      </w:pPr>
      <w:r w:rsidRPr="0089363B">
        <w:rPr>
          <w:rFonts w:cs="Times New Roman"/>
          <w:szCs w:val="24"/>
        </w:rPr>
        <w:t xml:space="preserve">Det vises for øvrig til drøftingen av demokratihensyn </w:t>
      </w:r>
      <w:r w:rsidR="009318E1">
        <w:rPr>
          <w:rFonts w:cs="Times New Roman"/>
          <w:szCs w:val="24"/>
        </w:rPr>
        <w:t xml:space="preserve">under punkt </w:t>
      </w:r>
      <w:r w:rsidRPr="0089363B">
        <w:rPr>
          <w:rFonts w:cs="Times New Roman"/>
          <w:szCs w:val="24"/>
        </w:rPr>
        <w:t>9.6.7.5.</w:t>
      </w:r>
      <w:r w:rsidR="003A0243" w:rsidRPr="007342BE">
        <w:t xml:space="preserve"> </w:t>
      </w:r>
    </w:p>
    <w:p w:rsidR="00F2402D" w:rsidRDefault="00F2402D" w:rsidP="00E41F0B">
      <w:pPr>
        <w:pStyle w:val="Overskrift3"/>
      </w:pPr>
      <w:bookmarkStart w:id="1256" w:name="_Toc481761794"/>
      <w:bookmarkStart w:id="1257" w:name="_Toc492900447"/>
      <w:r w:rsidRPr="00F2402D">
        <w:t>Prestenes, prostenes og biskopens tjeneste m.m.</w:t>
      </w:r>
      <w:bookmarkEnd w:id="1256"/>
      <w:bookmarkEnd w:id="1257"/>
    </w:p>
    <w:p w:rsidR="007B750F" w:rsidRPr="00153237" w:rsidRDefault="007B750F" w:rsidP="007B750F">
      <w:pPr>
        <w:rPr>
          <w:rFonts w:cs="Times New Roman"/>
          <w:szCs w:val="24"/>
        </w:rPr>
      </w:pPr>
      <w:r>
        <w:rPr>
          <w:rFonts w:cs="Times New Roman"/>
          <w:szCs w:val="24"/>
        </w:rPr>
        <w:t>Arbeidsgiveransvar</w:t>
      </w:r>
      <w:r w:rsidR="009318E1">
        <w:rPr>
          <w:rFonts w:cs="Times New Roman"/>
          <w:szCs w:val="24"/>
        </w:rPr>
        <w:t>et</w:t>
      </w:r>
      <w:r>
        <w:rPr>
          <w:rFonts w:cs="Times New Roman"/>
          <w:szCs w:val="24"/>
        </w:rPr>
        <w:t xml:space="preserve"> for </w:t>
      </w:r>
      <w:r w:rsidRPr="00153237">
        <w:rPr>
          <w:rFonts w:cs="Times New Roman"/>
          <w:szCs w:val="24"/>
        </w:rPr>
        <w:t>preste</w:t>
      </w:r>
      <w:r w:rsidR="00B7515F">
        <w:rPr>
          <w:rFonts w:cs="Times New Roman"/>
          <w:szCs w:val="24"/>
        </w:rPr>
        <w:t xml:space="preserve">ne i Den norske kirke </w:t>
      </w:r>
      <w:r>
        <w:rPr>
          <w:rFonts w:cs="Times New Roman"/>
          <w:szCs w:val="24"/>
        </w:rPr>
        <w:t xml:space="preserve">ble </w:t>
      </w:r>
      <w:r w:rsidRPr="00153237">
        <w:rPr>
          <w:rFonts w:cs="Times New Roman"/>
          <w:szCs w:val="24"/>
        </w:rPr>
        <w:t>overført fra staten til det nye rettssubjektet for Den norske kirke</w:t>
      </w:r>
      <w:r>
        <w:rPr>
          <w:rFonts w:cs="Times New Roman"/>
          <w:szCs w:val="24"/>
        </w:rPr>
        <w:t xml:space="preserve"> fra 1. januar 2017</w:t>
      </w:r>
      <w:r w:rsidRPr="00153237">
        <w:rPr>
          <w:rFonts w:cs="Times New Roman"/>
          <w:szCs w:val="24"/>
        </w:rPr>
        <w:t xml:space="preserve">. </w:t>
      </w:r>
      <w:r>
        <w:rPr>
          <w:rFonts w:cs="Times New Roman"/>
          <w:szCs w:val="24"/>
        </w:rPr>
        <w:t xml:space="preserve">Utgangspunktet for lovendringene som da ble gjort, var at det ikke </w:t>
      </w:r>
      <w:r w:rsidRPr="00153237">
        <w:rPr>
          <w:rFonts w:cs="Times New Roman"/>
          <w:szCs w:val="24"/>
        </w:rPr>
        <w:t>var ønskelig å regulere Den norske kirke</w:t>
      </w:r>
      <w:r>
        <w:rPr>
          <w:rFonts w:cs="Times New Roman"/>
          <w:szCs w:val="24"/>
        </w:rPr>
        <w:t>s arbeidsgivermyndighet</w:t>
      </w:r>
      <w:r w:rsidRPr="00153237">
        <w:rPr>
          <w:rFonts w:cs="Times New Roman"/>
          <w:szCs w:val="24"/>
        </w:rPr>
        <w:t xml:space="preserve"> mer omfattende enn det som følger av alminnelig lovgivning. Samtidig </w:t>
      </w:r>
      <w:r>
        <w:rPr>
          <w:rFonts w:cs="Times New Roman"/>
          <w:szCs w:val="24"/>
        </w:rPr>
        <w:t>ble det vedtatt visse særregler i lov for å</w:t>
      </w:r>
      <w:r w:rsidRPr="00153237">
        <w:rPr>
          <w:rFonts w:cs="Times New Roman"/>
          <w:szCs w:val="24"/>
        </w:rPr>
        <w:t xml:space="preserve"> sikre prestetjenestens relative selvstendighet og </w:t>
      </w:r>
      <w:r>
        <w:rPr>
          <w:rFonts w:cs="Times New Roman"/>
          <w:szCs w:val="24"/>
        </w:rPr>
        <w:t xml:space="preserve">for </w:t>
      </w:r>
      <w:r w:rsidRPr="00153237">
        <w:rPr>
          <w:rFonts w:cs="Times New Roman"/>
          <w:szCs w:val="24"/>
        </w:rPr>
        <w:t xml:space="preserve">å gi Kirkemøtet </w:t>
      </w:r>
      <w:r w:rsidR="00A029A2">
        <w:rPr>
          <w:rFonts w:cs="Times New Roman"/>
          <w:szCs w:val="24"/>
        </w:rPr>
        <w:t>lovhjemmel</w:t>
      </w:r>
      <w:r w:rsidR="00020360">
        <w:rPr>
          <w:rFonts w:cs="Times New Roman"/>
          <w:szCs w:val="24"/>
        </w:rPr>
        <w:t xml:space="preserve"> </w:t>
      </w:r>
      <w:r>
        <w:rPr>
          <w:rFonts w:cs="Times New Roman"/>
          <w:szCs w:val="24"/>
        </w:rPr>
        <w:t xml:space="preserve">til å vedta visse regler om </w:t>
      </w:r>
      <w:r w:rsidRPr="00153237">
        <w:rPr>
          <w:rFonts w:cs="Times New Roman"/>
          <w:szCs w:val="24"/>
        </w:rPr>
        <w:t xml:space="preserve">prestetjenesten som </w:t>
      </w:r>
      <w:r>
        <w:rPr>
          <w:rFonts w:cs="Times New Roman"/>
          <w:szCs w:val="24"/>
        </w:rPr>
        <w:t xml:space="preserve">også </w:t>
      </w:r>
      <w:r w:rsidRPr="00153237">
        <w:rPr>
          <w:rFonts w:cs="Times New Roman"/>
          <w:szCs w:val="24"/>
        </w:rPr>
        <w:t xml:space="preserve">gjelder </w:t>
      </w:r>
      <w:r w:rsidR="00887B2C">
        <w:rPr>
          <w:rFonts w:cs="Times New Roman"/>
          <w:szCs w:val="24"/>
        </w:rPr>
        <w:t xml:space="preserve">for </w:t>
      </w:r>
      <w:r w:rsidRPr="00153237">
        <w:rPr>
          <w:rFonts w:cs="Times New Roman"/>
          <w:szCs w:val="24"/>
        </w:rPr>
        <w:t>prest</w:t>
      </w:r>
      <w:r w:rsidR="00887B2C">
        <w:rPr>
          <w:rFonts w:cs="Times New Roman"/>
          <w:szCs w:val="24"/>
        </w:rPr>
        <w:t>er</w:t>
      </w:r>
      <w:r w:rsidRPr="00153237">
        <w:rPr>
          <w:rFonts w:cs="Times New Roman"/>
          <w:szCs w:val="24"/>
        </w:rPr>
        <w:t xml:space="preserve"> i Den norske kirke </w:t>
      </w:r>
      <w:r>
        <w:rPr>
          <w:rFonts w:cs="Times New Roman"/>
          <w:szCs w:val="24"/>
        </w:rPr>
        <w:t>som ikke er tilsatt i det nye rettssubjektet</w:t>
      </w:r>
      <w:r w:rsidRPr="00153237">
        <w:rPr>
          <w:rFonts w:cs="Times New Roman"/>
          <w:szCs w:val="24"/>
        </w:rPr>
        <w:t>.</w:t>
      </w:r>
    </w:p>
    <w:p w:rsidR="007B750F" w:rsidRDefault="007B750F" w:rsidP="007B750F">
      <w:pPr>
        <w:rPr>
          <w:rFonts w:cs="Times New Roman"/>
          <w:szCs w:val="24"/>
        </w:rPr>
      </w:pPr>
      <w:r>
        <w:rPr>
          <w:rFonts w:cs="Times New Roman"/>
          <w:szCs w:val="24"/>
        </w:rPr>
        <w:lastRenderedPageBreak/>
        <w:t>Etter departementets syn er f</w:t>
      </w:r>
      <w:r w:rsidRPr="00153237">
        <w:rPr>
          <w:rFonts w:cs="Times New Roman"/>
          <w:szCs w:val="24"/>
        </w:rPr>
        <w:t xml:space="preserve">orutsetningene </w:t>
      </w:r>
      <w:r>
        <w:rPr>
          <w:rFonts w:cs="Times New Roman"/>
          <w:szCs w:val="24"/>
        </w:rPr>
        <w:t xml:space="preserve">for de særlige reglene om prestetjenesten </w:t>
      </w:r>
      <w:r w:rsidRPr="00153237">
        <w:rPr>
          <w:rFonts w:cs="Times New Roman"/>
          <w:szCs w:val="24"/>
        </w:rPr>
        <w:t xml:space="preserve">ikke </w:t>
      </w:r>
      <w:r>
        <w:rPr>
          <w:rFonts w:cs="Times New Roman"/>
          <w:szCs w:val="24"/>
        </w:rPr>
        <w:t xml:space="preserve">vesentlig </w:t>
      </w:r>
      <w:r w:rsidRPr="00153237">
        <w:rPr>
          <w:rFonts w:cs="Times New Roman"/>
          <w:szCs w:val="24"/>
        </w:rPr>
        <w:t>endret</w:t>
      </w:r>
      <w:r>
        <w:rPr>
          <w:rFonts w:cs="Times New Roman"/>
          <w:szCs w:val="24"/>
        </w:rPr>
        <w:t xml:space="preserve">, og departementet mener i utgangspunktet derfor at </w:t>
      </w:r>
      <w:r w:rsidRPr="00153237">
        <w:rPr>
          <w:rFonts w:cs="Times New Roman"/>
          <w:szCs w:val="24"/>
        </w:rPr>
        <w:t xml:space="preserve">de fleste av disse bestemmelsene </w:t>
      </w:r>
      <w:r>
        <w:rPr>
          <w:rFonts w:cs="Times New Roman"/>
          <w:szCs w:val="24"/>
        </w:rPr>
        <w:t xml:space="preserve">bør føres videre i </w:t>
      </w:r>
      <w:r w:rsidRPr="00153237">
        <w:rPr>
          <w:rFonts w:cs="Times New Roman"/>
          <w:szCs w:val="24"/>
        </w:rPr>
        <w:t xml:space="preserve">en rammelovgivning for Den norske kirke. </w:t>
      </w:r>
    </w:p>
    <w:p w:rsidR="007B750F" w:rsidRPr="00153237" w:rsidRDefault="00887B2C" w:rsidP="007B750F">
      <w:pPr>
        <w:rPr>
          <w:rFonts w:cs="Times New Roman"/>
          <w:szCs w:val="24"/>
        </w:rPr>
      </w:pPr>
      <w:r>
        <w:rPr>
          <w:rFonts w:cs="Times New Roman"/>
          <w:szCs w:val="24"/>
        </w:rPr>
        <w:t>I</w:t>
      </w:r>
      <w:r w:rsidR="007B750F">
        <w:rPr>
          <w:rFonts w:cs="Times New Roman"/>
          <w:szCs w:val="24"/>
        </w:rPr>
        <w:t xml:space="preserve"> lovutkastet </w:t>
      </w:r>
      <w:r w:rsidR="007B750F" w:rsidRPr="00AA5EA3">
        <w:rPr>
          <w:rFonts w:cs="Times New Roman"/>
          <w:szCs w:val="24"/>
        </w:rPr>
        <w:t xml:space="preserve">§ </w:t>
      </w:r>
      <w:r w:rsidR="00A029A2">
        <w:rPr>
          <w:rFonts w:cs="Times New Roman"/>
          <w:szCs w:val="24"/>
        </w:rPr>
        <w:t>14</w:t>
      </w:r>
      <w:r w:rsidR="007B750F">
        <w:rPr>
          <w:rFonts w:cs="Times New Roman"/>
          <w:szCs w:val="24"/>
        </w:rPr>
        <w:t xml:space="preserve"> er det foreslått </w:t>
      </w:r>
      <w:r w:rsidR="007B750F" w:rsidRPr="00153237">
        <w:rPr>
          <w:rFonts w:cs="Times New Roman"/>
          <w:szCs w:val="24"/>
        </w:rPr>
        <w:t xml:space="preserve">bestemmelser som </w:t>
      </w:r>
      <w:r>
        <w:rPr>
          <w:rFonts w:cs="Times New Roman"/>
          <w:szCs w:val="24"/>
        </w:rPr>
        <w:t xml:space="preserve">i hovedsak </w:t>
      </w:r>
      <w:r w:rsidR="007B750F">
        <w:rPr>
          <w:rFonts w:cs="Times New Roman"/>
          <w:szCs w:val="24"/>
        </w:rPr>
        <w:t xml:space="preserve">tilsvarer den gjeldende kirkeloven § 31. Departementet viser til merknadene til bestemmelsene </w:t>
      </w:r>
      <w:r w:rsidR="007B750F" w:rsidRPr="00153237">
        <w:rPr>
          <w:rFonts w:cs="Times New Roman"/>
          <w:szCs w:val="24"/>
        </w:rPr>
        <w:t>i Prop. 55 L (2015</w:t>
      </w:r>
      <w:r w:rsidR="007B750F">
        <w:rPr>
          <w:rFonts w:cs="Times New Roman"/>
          <w:szCs w:val="24"/>
        </w:rPr>
        <w:t>–</w:t>
      </w:r>
      <w:r w:rsidR="007B750F" w:rsidRPr="00153237">
        <w:rPr>
          <w:rFonts w:cs="Times New Roman"/>
          <w:szCs w:val="24"/>
        </w:rPr>
        <w:t>2016)</w:t>
      </w:r>
      <w:r w:rsidR="007B750F">
        <w:rPr>
          <w:rFonts w:cs="Times New Roman"/>
          <w:szCs w:val="24"/>
        </w:rPr>
        <w:t xml:space="preserve"> s. 57–58</w:t>
      </w:r>
      <w:r w:rsidR="007B750F" w:rsidRPr="00153237">
        <w:rPr>
          <w:rFonts w:cs="Times New Roman"/>
          <w:szCs w:val="24"/>
        </w:rPr>
        <w:t xml:space="preserve">. </w:t>
      </w:r>
      <w:r w:rsidR="007B750F">
        <w:rPr>
          <w:rFonts w:cs="Times New Roman"/>
          <w:szCs w:val="24"/>
        </w:rPr>
        <w:t>Forslaget</w:t>
      </w:r>
      <w:r w:rsidR="007B750F" w:rsidRPr="00153237">
        <w:rPr>
          <w:rFonts w:cs="Times New Roman"/>
          <w:szCs w:val="24"/>
        </w:rPr>
        <w:t xml:space="preserve"> innebærer </w:t>
      </w:r>
      <w:r w:rsidR="007B750F">
        <w:rPr>
          <w:rFonts w:cs="Times New Roman"/>
          <w:szCs w:val="24"/>
        </w:rPr>
        <w:t xml:space="preserve">blant annet </w:t>
      </w:r>
      <w:r w:rsidR="007B750F" w:rsidRPr="00153237">
        <w:rPr>
          <w:rFonts w:cs="Times New Roman"/>
          <w:szCs w:val="24"/>
        </w:rPr>
        <w:t xml:space="preserve">et fortsatt krav </w:t>
      </w:r>
      <w:r w:rsidR="007B750F">
        <w:rPr>
          <w:rFonts w:cs="Times New Roman"/>
          <w:szCs w:val="24"/>
        </w:rPr>
        <w:t xml:space="preserve">i lov </w:t>
      </w:r>
      <w:r w:rsidR="007B750F" w:rsidRPr="00153237">
        <w:rPr>
          <w:rFonts w:cs="Times New Roman"/>
          <w:szCs w:val="24"/>
        </w:rPr>
        <w:t xml:space="preserve">om at all prestetjeneste skal organiseres slik at prestene kan utøve sin tjeneste i samsvar med ordinasjonens forutsetninger og forpliktelser. </w:t>
      </w:r>
      <w:r w:rsidR="000475F0">
        <w:rPr>
          <w:rFonts w:cs="Times New Roman"/>
          <w:szCs w:val="24"/>
        </w:rPr>
        <w:t xml:space="preserve">Departementet har imidlertid </w:t>
      </w:r>
      <w:r w:rsidR="00793A75">
        <w:rPr>
          <w:rFonts w:cs="Times New Roman"/>
          <w:szCs w:val="24"/>
        </w:rPr>
        <w:t>kommet til at</w:t>
      </w:r>
      <w:r w:rsidR="007B750F">
        <w:rPr>
          <w:rFonts w:cs="Times New Roman"/>
          <w:szCs w:val="24"/>
        </w:rPr>
        <w:t xml:space="preserve"> det </w:t>
      </w:r>
      <w:r w:rsidR="00793A75">
        <w:rPr>
          <w:rFonts w:cs="Times New Roman"/>
          <w:szCs w:val="24"/>
        </w:rPr>
        <w:t>ikke er nødvendig med hjemmel i lov for at Kirkemøtet kan gi regler om</w:t>
      </w:r>
      <w:r w:rsidR="007B750F" w:rsidRPr="00153237">
        <w:rPr>
          <w:rFonts w:cs="Times New Roman"/>
          <w:szCs w:val="24"/>
        </w:rPr>
        <w:t xml:space="preserve"> </w:t>
      </w:r>
      <w:r w:rsidR="007B750F">
        <w:rPr>
          <w:rFonts w:cs="Times New Roman"/>
          <w:szCs w:val="24"/>
        </w:rPr>
        <w:t>at en prest kan fratas retten til å utføre prestetjeneste</w:t>
      </w:r>
      <w:r w:rsidR="00793A75">
        <w:rPr>
          <w:rFonts w:cs="Times New Roman"/>
          <w:szCs w:val="24"/>
        </w:rPr>
        <w:t>,</w:t>
      </w:r>
      <w:r w:rsidR="007B750F">
        <w:rPr>
          <w:rFonts w:cs="Times New Roman"/>
          <w:szCs w:val="24"/>
        </w:rPr>
        <w:t xml:space="preserve"> og </w:t>
      </w:r>
      <w:r w:rsidR="00793A75">
        <w:rPr>
          <w:rFonts w:cs="Times New Roman"/>
          <w:szCs w:val="24"/>
        </w:rPr>
        <w:t>heller ikke</w:t>
      </w:r>
      <w:r w:rsidR="007B750F">
        <w:rPr>
          <w:rFonts w:cs="Times New Roman"/>
          <w:szCs w:val="24"/>
        </w:rPr>
        <w:t xml:space="preserve"> </w:t>
      </w:r>
      <w:r w:rsidR="007B750F" w:rsidRPr="00153237">
        <w:rPr>
          <w:rFonts w:cs="Times New Roman"/>
          <w:szCs w:val="24"/>
        </w:rPr>
        <w:t xml:space="preserve">for </w:t>
      </w:r>
      <w:r w:rsidR="007B750F">
        <w:rPr>
          <w:rFonts w:cs="Times New Roman"/>
          <w:szCs w:val="24"/>
        </w:rPr>
        <w:t>at Kirkemøtet kan vedta</w:t>
      </w:r>
      <w:r w:rsidR="007B750F" w:rsidRPr="00153237">
        <w:rPr>
          <w:rFonts w:cs="Times New Roman"/>
          <w:szCs w:val="24"/>
        </w:rPr>
        <w:t xml:space="preserve"> tjenesteordninger</w:t>
      </w:r>
      <w:r w:rsidR="007B750F">
        <w:rPr>
          <w:rFonts w:cs="Times New Roman"/>
          <w:szCs w:val="24"/>
        </w:rPr>
        <w:t xml:space="preserve"> (instrukser) som også kan gjelde </w:t>
      </w:r>
      <w:r w:rsidR="007B750F" w:rsidRPr="00153237">
        <w:rPr>
          <w:rFonts w:cs="Times New Roman"/>
          <w:szCs w:val="24"/>
        </w:rPr>
        <w:t>prester som ikke har Den norske kirke som arbeidsgiver.</w:t>
      </w:r>
    </w:p>
    <w:p w:rsidR="00245B56" w:rsidRDefault="007B750F" w:rsidP="007B750F">
      <w:pPr>
        <w:rPr>
          <w:rFonts w:cs="Times New Roman"/>
          <w:szCs w:val="24"/>
        </w:rPr>
      </w:pPr>
      <w:r w:rsidRPr="00153237">
        <w:rPr>
          <w:rFonts w:cs="Times New Roman"/>
          <w:szCs w:val="24"/>
        </w:rPr>
        <w:t xml:space="preserve">For å sikre kirkens landsdekkende karakter bør </w:t>
      </w:r>
      <w:r>
        <w:rPr>
          <w:rFonts w:cs="Times New Roman"/>
          <w:szCs w:val="24"/>
        </w:rPr>
        <w:t xml:space="preserve">loven, etter departementets syn, inneholde en bestemmelse </w:t>
      </w:r>
      <w:r w:rsidRPr="00153237">
        <w:rPr>
          <w:rFonts w:cs="Times New Roman"/>
          <w:szCs w:val="24"/>
        </w:rPr>
        <w:t xml:space="preserve">om at hvert sokn skal være betjent av prest, hvert prosti av prost og hvert bispedømme av biskop. </w:t>
      </w:r>
      <w:r>
        <w:rPr>
          <w:rFonts w:cs="Times New Roman"/>
          <w:szCs w:val="24"/>
        </w:rPr>
        <w:t>Denne regelen finnes i dag i kirkeloven § 2 fjer</w:t>
      </w:r>
      <w:r w:rsidR="00650654">
        <w:rPr>
          <w:rFonts w:cs="Times New Roman"/>
          <w:szCs w:val="24"/>
        </w:rPr>
        <w:t xml:space="preserve">de ledd. </w:t>
      </w:r>
    </w:p>
    <w:p w:rsidR="00245B56" w:rsidRDefault="00B36F24" w:rsidP="007B750F">
      <w:pPr>
        <w:rPr>
          <w:rFonts w:cs="Times New Roman"/>
          <w:szCs w:val="24"/>
        </w:rPr>
      </w:pPr>
      <w:r>
        <w:rPr>
          <w:rFonts w:cs="Times New Roman"/>
          <w:szCs w:val="24"/>
        </w:rPr>
        <w:t xml:space="preserve">Ved de endringer i kirkeloven som ble fastsatt ved opprettelsen av Den norske kirke som et selvstendig rettssubjekt, ble det i kirkeloven § 40 </w:t>
      </w:r>
      <w:r w:rsidR="003B1CBA">
        <w:rPr>
          <w:rFonts w:cs="Times New Roman"/>
          <w:szCs w:val="24"/>
        </w:rPr>
        <w:t xml:space="preserve">fjerde ledd </w:t>
      </w:r>
      <w:r>
        <w:rPr>
          <w:rFonts w:cs="Times New Roman"/>
          <w:szCs w:val="24"/>
        </w:rPr>
        <w:t>tatt inn en overgangsregel</w:t>
      </w:r>
      <w:r w:rsidR="003B1CBA">
        <w:rPr>
          <w:rFonts w:cs="Times New Roman"/>
          <w:szCs w:val="24"/>
        </w:rPr>
        <w:t xml:space="preserve"> om rett til avtalefestet pensjon. Retten gjelder fram til 1. januar 2021, og av hensyn til dette </w:t>
      </w:r>
      <w:r w:rsidR="00020360">
        <w:rPr>
          <w:rFonts w:cs="Times New Roman"/>
          <w:szCs w:val="24"/>
        </w:rPr>
        <w:t>kan</w:t>
      </w:r>
      <w:r w:rsidR="003B1CBA">
        <w:rPr>
          <w:rFonts w:cs="Times New Roman"/>
          <w:szCs w:val="24"/>
        </w:rPr>
        <w:t xml:space="preserve"> det</w:t>
      </w:r>
      <w:r w:rsidR="00020360">
        <w:rPr>
          <w:rFonts w:cs="Times New Roman"/>
          <w:szCs w:val="24"/>
        </w:rPr>
        <w:t xml:space="preserve"> være</w:t>
      </w:r>
      <w:r w:rsidR="003B1CBA">
        <w:rPr>
          <w:rFonts w:cs="Times New Roman"/>
          <w:szCs w:val="24"/>
        </w:rPr>
        <w:t xml:space="preserve"> nødvendig å videreføre bestemmelsen i en overgangsperiode.</w:t>
      </w:r>
    </w:p>
    <w:p w:rsidR="003C271F" w:rsidRDefault="00954F96" w:rsidP="00097395">
      <w:pPr>
        <w:rPr>
          <w:rFonts w:cs="Times New Roman"/>
          <w:szCs w:val="24"/>
        </w:rPr>
      </w:pPr>
      <w:r>
        <w:rPr>
          <w:rFonts w:cs="Times New Roman"/>
          <w:szCs w:val="24"/>
        </w:rPr>
        <w:t xml:space="preserve">Det kan også være behov for – i en overgangsperiode – å videreføre </w:t>
      </w:r>
      <w:r w:rsidR="003C271F">
        <w:rPr>
          <w:rFonts w:cs="Times New Roman"/>
          <w:szCs w:val="24"/>
        </w:rPr>
        <w:t xml:space="preserve">departementets </w:t>
      </w:r>
      <w:r w:rsidR="00097395">
        <w:rPr>
          <w:rFonts w:cs="Times New Roman"/>
          <w:szCs w:val="24"/>
        </w:rPr>
        <w:t xml:space="preserve">gjeldende </w:t>
      </w:r>
      <w:r w:rsidR="003C271F">
        <w:rPr>
          <w:rFonts w:cs="Times New Roman"/>
          <w:szCs w:val="24"/>
        </w:rPr>
        <w:t>hjemmel til å pålegge</w:t>
      </w:r>
      <w:r w:rsidR="00097395">
        <w:rPr>
          <w:rFonts w:cs="Times New Roman"/>
          <w:szCs w:val="24"/>
        </w:rPr>
        <w:t xml:space="preserve"> en kommune å stille tjenestebo</w:t>
      </w:r>
      <w:r w:rsidR="003C271F">
        <w:rPr>
          <w:rFonts w:cs="Times New Roman"/>
          <w:szCs w:val="24"/>
        </w:rPr>
        <w:t>lig til rådighet for prest</w:t>
      </w:r>
      <w:r w:rsidR="00097395">
        <w:rPr>
          <w:rFonts w:cs="Times New Roman"/>
          <w:szCs w:val="24"/>
        </w:rPr>
        <w:t xml:space="preserve">, selv om boplikten for </w:t>
      </w:r>
      <w:r w:rsidR="003C271F">
        <w:rPr>
          <w:rFonts w:cs="Times New Roman"/>
          <w:szCs w:val="24"/>
        </w:rPr>
        <w:t>prester er avviklet. De</w:t>
      </w:r>
      <w:r>
        <w:rPr>
          <w:rFonts w:cs="Times New Roman"/>
          <w:szCs w:val="24"/>
        </w:rPr>
        <w:t>n</w:t>
      </w:r>
      <w:r w:rsidR="00097395">
        <w:rPr>
          <w:rFonts w:cs="Times New Roman"/>
          <w:szCs w:val="24"/>
        </w:rPr>
        <w:t xml:space="preserve"> gjeldende bestemmelsen er gjengitt i forslaget til § 14. Departementet vil i arbeidet med lovproposisjonen vurdere ulike andre lovtekniske løsninger for i en overgangsperiode å videreføre </w:t>
      </w:r>
      <w:r w:rsidR="00654DF3">
        <w:rPr>
          <w:rFonts w:cs="Times New Roman"/>
          <w:szCs w:val="24"/>
        </w:rPr>
        <w:t xml:space="preserve">realitetene i </w:t>
      </w:r>
      <w:r w:rsidR="00097395">
        <w:rPr>
          <w:rFonts w:cs="Times New Roman"/>
          <w:szCs w:val="24"/>
        </w:rPr>
        <w:t>de aktuelle bestemmelsene.</w:t>
      </w:r>
      <w:r w:rsidR="006C2ECF">
        <w:rPr>
          <w:rFonts w:cs="Times New Roman"/>
          <w:szCs w:val="24"/>
        </w:rPr>
        <w:t xml:space="preserve"> De er derfor satt i parantes i lovforslaget.</w:t>
      </w:r>
    </w:p>
    <w:p w:rsidR="00887B2C" w:rsidRDefault="00887B2C" w:rsidP="007B750F">
      <w:pPr>
        <w:rPr>
          <w:rFonts w:cs="Times New Roman"/>
          <w:szCs w:val="24"/>
        </w:rPr>
      </w:pPr>
      <w:r>
        <w:rPr>
          <w:rFonts w:cs="Times New Roman"/>
          <w:szCs w:val="24"/>
        </w:rPr>
        <w:t xml:space="preserve">Departementet foreslår </w:t>
      </w:r>
      <w:r w:rsidR="003B1CBA">
        <w:rPr>
          <w:rFonts w:cs="Times New Roman"/>
          <w:szCs w:val="24"/>
        </w:rPr>
        <w:t xml:space="preserve">etter dette </w:t>
      </w:r>
      <w:r>
        <w:rPr>
          <w:rFonts w:cs="Times New Roman"/>
          <w:szCs w:val="24"/>
        </w:rPr>
        <w:t>følgende bestemmels</w:t>
      </w:r>
      <w:r w:rsidR="00650654">
        <w:rPr>
          <w:rFonts w:cs="Times New Roman"/>
          <w:szCs w:val="24"/>
        </w:rPr>
        <w:t>er</w:t>
      </w:r>
      <w:r>
        <w:rPr>
          <w:rFonts w:cs="Times New Roman"/>
          <w:szCs w:val="24"/>
        </w:rPr>
        <w:t xml:space="preserve"> om prestetjenesten </w:t>
      </w:r>
      <w:r w:rsidR="00991317">
        <w:rPr>
          <w:rFonts w:cs="Times New Roman"/>
          <w:szCs w:val="24"/>
        </w:rPr>
        <w:t>m</w:t>
      </w:r>
      <w:r w:rsidR="003B1CBA">
        <w:rPr>
          <w:rFonts w:cs="Times New Roman"/>
          <w:szCs w:val="24"/>
        </w:rPr>
        <w:t xml:space="preserve">v. </w:t>
      </w:r>
      <w:r>
        <w:rPr>
          <w:rFonts w:cs="Times New Roman"/>
          <w:szCs w:val="24"/>
        </w:rPr>
        <w:t xml:space="preserve">i utkastet § </w:t>
      </w:r>
      <w:r w:rsidR="00FD7F9E">
        <w:rPr>
          <w:rFonts w:cs="Times New Roman"/>
          <w:szCs w:val="24"/>
        </w:rPr>
        <w:t>14</w:t>
      </w:r>
      <w:r>
        <w:rPr>
          <w:rFonts w:cs="Times New Roman"/>
          <w:szCs w:val="24"/>
        </w:rPr>
        <w:t xml:space="preserve">: </w:t>
      </w:r>
    </w:p>
    <w:p w:rsidR="00887B2C" w:rsidRPr="001763A6" w:rsidRDefault="00887B2C" w:rsidP="00D46082">
      <w:pPr>
        <w:pStyle w:val="blokksit"/>
        <w:rPr>
          <w:rStyle w:val="kursiv"/>
        </w:rPr>
      </w:pPr>
      <w:r w:rsidRPr="001763A6">
        <w:rPr>
          <w:rStyle w:val="kursiv"/>
        </w:rPr>
        <w:t>Hvert sokn skal være betjent av prest, hvert prosti av prost og hvert bispedømme av biskop.</w:t>
      </w:r>
    </w:p>
    <w:p w:rsidR="00887B2C" w:rsidRPr="001763A6" w:rsidRDefault="00887B2C" w:rsidP="00D46082">
      <w:pPr>
        <w:pStyle w:val="blokksit"/>
        <w:rPr>
          <w:rStyle w:val="kursiv"/>
        </w:rPr>
      </w:pPr>
      <w:r w:rsidRPr="001763A6">
        <w:rPr>
          <w:rStyle w:val="kursiv"/>
        </w:rPr>
        <w:t>All prestetjeneste skal organiseres slik at prestene kan utøve sin tjeneste i samsvar med ordinasjonens forutsetninger og forpliktelser.</w:t>
      </w:r>
    </w:p>
    <w:p w:rsidR="00245B56" w:rsidRPr="001763A6" w:rsidRDefault="00097395" w:rsidP="00D46082">
      <w:pPr>
        <w:pStyle w:val="blokksit"/>
        <w:rPr>
          <w:rStyle w:val="kursiv"/>
        </w:rPr>
      </w:pPr>
      <w:r w:rsidRPr="001763A6">
        <w:rPr>
          <w:rStyle w:val="kursiv"/>
        </w:rPr>
        <w:t>(</w:t>
      </w:r>
      <w:r w:rsidR="00245B56" w:rsidRPr="001763A6">
        <w:rPr>
          <w:rStyle w:val="kursiv"/>
        </w:rPr>
        <w:t>Departementet kan pålegge en kommune</w:t>
      </w:r>
      <w:r w:rsidR="00B36F24" w:rsidRPr="001763A6">
        <w:rPr>
          <w:rStyle w:val="kursiv"/>
        </w:rPr>
        <w:t xml:space="preserve"> å stille tjenes</w:t>
      </w:r>
      <w:r w:rsidR="00245B56" w:rsidRPr="001763A6">
        <w:rPr>
          <w:rStyle w:val="kursiv"/>
        </w:rPr>
        <w:t xml:space="preserve">tebolig til rådighet for </w:t>
      </w:r>
      <w:r w:rsidR="00B36F24" w:rsidRPr="001763A6">
        <w:rPr>
          <w:rStyle w:val="kursiv"/>
        </w:rPr>
        <w:t>prest i Den norske kirke. Staten dekker i tilfelle kommunens utgifter etter regler fastsatt av Kongen.</w:t>
      </w:r>
    </w:p>
    <w:p w:rsidR="00B36F24" w:rsidRPr="001763A6" w:rsidRDefault="003B1CBA" w:rsidP="00D46082">
      <w:pPr>
        <w:pStyle w:val="blokksit"/>
        <w:rPr>
          <w:rStyle w:val="kursiv"/>
        </w:rPr>
      </w:pPr>
      <w:r w:rsidRPr="001763A6">
        <w:rPr>
          <w:rStyle w:val="kursiv"/>
        </w:rPr>
        <w:t xml:space="preserve">Kirkelig tilsatte som </w:t>
      </w:r>
      <w:r w:rsidR="00A029A2" w:rsidRPr="001763A6">
        <w:rPr>
          <w:rStyle w:val="kursiv"/>
        </w:rPr>
        <w:t>er overført</w:t>
      </w:r>
      <w:r w:rsidRPr="001763A6">
        <w:rPr>
          <w:rStyle w:val="kursiv"/>
        </w:rPr>
        <w:t xml:space="preserve"> fra staten til Den norske kirke, </w:t>
      </w:r>
      <w:r w:rsidR="00A029A2" w:rsidRPr="001763A6">
        <w:rPr>
          <w:rStyle w:val="kursiv"/>
        </w:rPr>
        <w:t>har</w:t>
      </w:r>
      <w:r w:rsidRPr="001763A6">
        <w:rPr>
          <w:rStyle w:val="kursiv"/>
        </w:rPr>
        <w:t xml:space="preserve"> rett til uttak av avtalefestet pensjon tilsvarende ordningen i Hovedtariffavtalen i staten, i samsvar med det som er fastsatt i lov 25. juni 2010 nr. 28 om avtalefestet pensjon for medlemmer av Statens pensjonskasse og i lov 28. juli 1949 nr. 26 om Statens pensjonskasse. Retten til uttak forutsetter medlemskap i Statens pensjonskasse og gjelder fram til 1. januar 2021.</w:t>
      </w:r>
      <w:r w:rsidR="00097395" w:rsidRPr="001763A6">
        <w:rPr>
          <w:rStyle w:val="kursiv"/>
        </w:rPr>
        <w:t>)</w:t>
      </w:r>
    </w:p>
    <w:p w:rsidR="007B750F" w:rsidRDefault="007B750F" w:rsidP="007B750F">
      <w:pPr>
        <w:rPr>
          <w:rFonts w:cs="Times New Roman"/>
          <w:szCs w:val="24"/>
        </w:rPr>
      </w:pPr>
      <w:r>
        <w:rPr>
          <w:rFonts w:cs="Times New Roman"/>
          <w:szCs w:val="24"/>
        </w:rPr>
        <w:t xml:space="preserve">Kirkemøtet har i saken om Den norske kirkes grunnlag (KM sak 4/15) pekt på at Den norske kirke skal være "organisert etter demokratiske prinsipper og som et samvirke mellom representanter for medlemmene og representanter for den vigslede tjeneste med Ord og sakrament". Dette prinsippet om organisering og styring gjennom et samvirke mellom "embete og råd" er imidlertid ikke omtalt som et forhold som bør lovreguleres i Kirkemøtets vedtak i KM sak 11/15. Samvirkeprinsippet er tatt inn i </w:t>
      </w:r>
      <w:r w:rsidRPr="00420A73">
        <w:rPr>
          <w:rFonts w:cs="Times New Roman"/>
          <w:i/>
          <w:szCs w:val="24"/>
        </w:rPr>
        <w:t>lag om Svenska kyrkan</w:t>
      </w:r>
      <w:r>
        <w:rPr>
          <w:rFonts w:cs="Times New Roman"/>
          <w:szCs w:val="24"/>
        </w:rPr>
        <w:t xml:space="preserve"> 2 §. Departementet antar at Kirkemøtet eventuelt kan fastsette regler om dette på eget grunnlag, og departementet har ikke foreslått </w:t>
      </w:r>
      <w:r w:rsidR="001734FD">
        <w:rPr>
          <w:rFonts w:cs="Times New Roman"/>
          <w:szCs w:val="24"/>
        </w:rPr>
        <w:t>at dette forholdet lovreguleres</w:t>
      </w:r>
      <w:r>
        <w:rPr>
          <w:rFonts w:cs="Times New Roman"/>
          <w:szCs w:val="24"/>
        </w:rPr>
        <w:t xml:space="preserve">. </w:t>
      </w:r>
    </w:p>
    <w:p w:rsidR="007B750F" w:rsidRPr="007342BE" w:rsidRDefault="007B750F" w:rsidP="007B750F">
      <w:pPr>
        <w:pStyle w:val="Overskrift3"/>
      </w:pPr>
      <w:bookmarkStart w:id="1258" w:name="_Toc477535536"/>
      <w:bookmarkStart w:id="1259" w:name="_Toc477630669"/>
      <w:bookmarkStart w:id="1260" w:name="_Toc477693633"/>
      <w:bookmarkStart w:id="1261" w:name="_Toc477704007"/>
      <w:bookmarkStart w:id="1262" w:name="_Toc477799220"/>
      <w:bookmarkStart w:id="1263" w:name="_Toc477805822"/>
      <w:bookmarkStart w:id="1264" w:name="_Toc477878082"/>
      <w:bookmarkStart w:id="1265" w:name="_Toc477881485"/>
      <w:bookmarkStart w:id="1266" w:name="_Toc477885945"/>
      <w:bookmarkStart w:id="1267" w:name="_Toc478131374"/>
      <w:bookmarkStart w:id="1268" w:name="_Toc478138744"/>
      <w:bookmarkStart w:id="1269" w:name="_Toc478232272"/>
      <w:bookmarkStart w:id="1270" w:name="_Toc478237256"/>
      <w:bookmarkStart w:id="1271" w:name="_Toc481761795"/>
      <w:bookmarkStart w:id="1272" w:name="_Toc492900448"/>
      <w:r>
        <w:lastRenderedPageBreak/>
        <w:t>Saksbehandlingsregler – f</w:t>
      </w:r>
      <w:r w:rsidRPr="007342BE">
        <w:t>orvaltningsloven, offentleglova og arkivlova</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7B750F" w:rsidRPr="00153237" w:rsidRDefault="007B750F" w:rsidP="007B750F">
      <w:pPr>
        <w:rPr>
          <w:rFonts w:cs="Times New Roman"/>
          <w:szCs w:val="24"/>
        </w:rPr>
      </w:pPr>
      <w:r>
        <w:rPr>
          <w:rFonts w:cs="Times New Roman"/>
          <w:szCs w:val="24"/>
        </w:rPr>
        <w:t>Også etter lovendringene som trådte i kraft 1. januar 2017</w:t>
      </w:r>
      <w:r w:rsidR="00906EE5">
        <w:rPr>
          <w:rFonts w:cs="Times New Roman"/>
          <w:szCs w:val="24"/>
        </w:rPr>
        <w:t>,</w:t>
      </w:r>
      <w:r>
        <w:rPr>
          <w:rFonts w:cs="Times New Roman"/>
          <w:szCs w:val="24"/>
        </w:rPr>
        <w:t xml:space="preserve"> er forvaltningsloven og offentleglova </w:t>
      </w:r>
      <w:r w:rsidR="00DB285C">
        <w:rPr>
          <w:rFonts w:cs="Times New Roman"/>
          <w:szCs w:val="24"/>
        </w:rPr>
        <w:t>gjort gjeldende for virksomhet</w:t>
      </w:r>
      <w:r>
        <w:rPr>
          <w:rFonts w:cs="Times New Roman"/>
          <w:szCs w:val="24"/>
        </w:rPr>
        <w:t xml:space="preserve"> som drives av lovbestemte kirkelige organer, jf. kirkeloven § 38. Når det gjelder forvaltningsloven, kommer </w:t>
      </w:r>
      <w:r w:rsidRPr="00153237">
        <w:rPr>
          <w:rFonts w:cs="Times New Roman"/>
          <w:szCs w:val="24"/>
        </w:rPr>
        <w:t xml:space="preserve">bare </w:t>
      </w:r>
      <w:r>
        <w:rPr>
          <w:rFonts w:cs="Times New Roman"/>
          <w:szCs w:val="24"/>
        </w:rPr>
        <w:t xml:space="preserve">lovens </w:t>
      </w:r>
      <w:r w:rsidRPr="00153237">
        <w:rPr>
          <w:rFonts w:cs="Times New Roman"/>
          <w:szCs w:val="24"/>
        </w:rPr>
        <w:t>kapit</w:t>
      </w:r>
      <w:r>
        <w:rPr>
          <w:rFonts w:cs="Times New Roman"/>
          <w:szCs w:val="24"/>
        </w:rPr>
        <w:t>ler</w:t>
      </w:r>
      <w:r w:rsidRPr="00153237">
        <w:rPr>
          <w:rFonts w:cs="Times New Roman"/>
          <w:szCs w:val="24"/>
        </w:rPr>
        <w:t xml:space="preserve"> II og III</w:t>
      </w:r>
      <w:r>
        <w:rPr>
          <w:rFonts w:cs="Times New Roman"/>
          <w:szCs w:val="24"/>
        </w:rPr>
        <w:t xml:space="preserve"> </w:t>
      </w:r>
      <w:r w:rsidRPr="00153237">
        <w:rPr>
          <w:rFonts w:cs="Times New Roman"/>
          <w:szCs w:val="24"/>
        </w:rPr>
        <w:t>til anvendelse</w:t>
      </w:r>
      <w:r w:rsidRPr="008B2471">
        <w:rPr>
          <w:rFonts w:cs="Times New Roman"/>
          <w:szCs w:val="24"/>
        </w:rPr>
        <w:t xml:space="preserve"> </w:t>
      </w:r>
      <w:r>
        <w:rPr>
          <w:rFonts w:cs="Times New Roman"/>
          <w:szCs w:val="24"/>
        </w:rPr>
        <w:t>i</w:t>
      </w:r>
      <w:r w:rsidRPr="00153237">
        <w:rPr>
          <w:rFonts w:cs="Times New Roman"/>
          <w:szCs w:val="24"/>
        </w:rPr>
        <w:t xml:space="preserve"> personalsaker</w:t>
      </w:r>
      <w:r>
        <w:rPr>
          <w:rFonts w:cs="Times New Roman"/>
          <w:szCs w:val="24"/>
        </w:rPr>
        <w:t xml:space="preserve">, blant annet </w:t>
      </w:r>
      <w:r w:rsidR="00A029A2">
        <w:rPr>
          <w:rFonts w:cs="Times New Roman"/>
          <w:szCs w:val="24"/>
        </w:rPr>
        <w:t xml:space="preserve">ved </w:t>
      </w:r>
      <w:r>
        <w:rPr>
          <w:rFonts w:cs="Times New Roman"/>
          <w:szCs w:val="24"/>
        </w:rPr>
        <w:t>tilsetting og oppsigelse</w:t>
      </w:r>
      <w:r w:rsidRPr="00153237">
        <w:rPr>
          <w:rFonts w:cs="Times New Roman"/>
          <w:szCs w:val="24"/>
        </w:rPr>
        <w:t xml:space="preserve">. </w:t>
      </w:r>
      <w:r>
        <w:rPr>
          <w:rFonts w:cs="Times New Roman"/>
          <w:szCs w:val="24"/>
        </w:rPr>
        <w:t xml:space="preserve">Den gjeldende kirkeloven bestemmer i tillegg </w:t>
      </w:r>
      <w:r w:rsidRPr="00153237">
        <w:rPr>
          <w:rFonts w:cs="Times New Roman"/>
          <w:szCs w:val="24"/>
        </w:rPr>
        <w:t>at også reglene om offentlige organer i arkivlova skal gjelde.</w:t>
      </w:r>
    </w:p>
    <w:p w:rsidR="007B750F" w:rsidRPr="00153237" w:rsidRDefault="007B750F" w:rsidP="007B750F">
      <w:pPr>
        <w:rPr>
          <w:rFonts w:cs="Times New Roman"/>
          <w:szCs w:val="24"/>
        </w:rPr>
      </w:pPr>
      <w:r w:rsidRPr="00153237">
        <w:rPr>
          <w:rFonts w:cs="Times New Roman"/>
          <w:szCs w:val="24"/>
        </w:rPr>
        <w:t>Kirkemøtet har ment at "</w:t>
      </w:r>
      <w:r w:rsidR="00A029A2">
        <w:rPr>
          <w:rFonts w:cs="Times New Roman"/>
          <w:szCs w:val="24"/>
        </w:rPr>
        <w:t>(</w:t>
      </w:r>
      <w:r w:rsidRPr="00153237">
        <w:rPr>
          <w:rFonts w:cs="Times New Roman"/>
          <w:szCs w:val="24"/>
        </w:rPr>
        <w:t>r</w:t>
      </w:r>
      <w:r w:rsidR="00A029A2">
        <w:rPr>
          <w:rFonts w:cs="Times New Roman"/>
          <w:szCs w:val="24"/>
        </w:rPr>
        <w:t>)</w:t>
      </w:r>
      <w:r w:rsidRPr="00153237">
        <w:rPr>
          <w:rFonts w:cs="Times New Roman"/>
          <w:szCs w:val="24"/>
        </w:rPr>
        <w:t xml:space="preserve">elevant innhold i dagens forvaltningslov, offentleglova og annet statlig lovverk </w:t>
      </w:r>
      <w:r w:rsidR="00A029A2">
        <w:rPr>
          <w:rFonts w:cs="Times New Roman"/>
          <w:szCs w:val="24"/>
        </w:rPr>
        <w:t>(</w:t>
      </w:r>
      <w:r>
        <w:rPr>
          <w:rFonts w:cs="Times New Roman"/>
          <w:szCs w:val="24"/>
        </w:rPr>
        <w:t>bør</w:t>
      </w:r>
      <w:r w:rsidR="00A029A2">
        <w:rPr>
          <w:rFonts w:cs="Times New Roman"/>
          <w:szCs w:val="24"/>
        </w:rPr>
        <w:t>)</w:t>
      </w:r>
      <w:r>
        <w:rPr>
          <w:rFonts w:cs="Times New Roman"/>
          <w:szCs w:val="24"/>
        </w:rPr>
        <w:t xml:space="preserve"> </w:t>
      </w:r>
      <w:r w:rsidRPr="00153237">
        <w:rPr>
          <w:rFonts w:cs="Times New Roman"/>
          <w:szCs w:val="24"/>
        </w:rPr>
        <w:t>videreføres og innlemmes i Den norske kirkes regelverk. Det samme gjelder ordninger for klagebehandling" (KM sak 11/15).</w:t>
      </w:r>
    </w:p>
    <w:p w:rsidR="007B750F" w:rsidRDefault="007B750F" w:rsidP="007B750F">
      <w:pPr>
        <w:rPr>
          <w:rFonts w:cs="Times New Roman"/>
          <w:szCs w:val="24"/>
        </w:rPr>
      </w:pPr>
      <w:r w:rsidRPr="00153237">
        <w:rPr>
          <w:rFonts w:cs="Times New Roman"/>
          <w:szCs w:val="24"/>
        </w:rPr>
        <w:t xml:space="preserve">Med unntak for Kirkemøtet og menighetsrådet vil kirkelige organer etter forslaget her ikke lenger være bestemt direkte i lov. </w:t>
      </w:r>
      <w:r w:rsidR="00A029A2">
        <w:rPr>
          <w:rFonts w:cs="Times New Roman"/>
          <w:szCs w:val="24"/>
        </w:rPr>
        <w:t>D</w:t>
      </w:r>
      <w:r w:rsidR="007E565F">
        <w:rPr>
          <w:rFonts w:cs="Times New Roman"/>
          <w:szCs w:val="24"/>
        </w:rPr>
        <w:t>e</w:t>
      </w:r>
      <w:r w:rsidRPr="00153237">
        <w:rPr>
          <w:rFonts w:cs="Times New Roman"/>
          <w:szCs w:val="24"/>
        </w:rPr>
        <w:t xml:space="preserve"> vil </w:t>
      </w:r>
      <w:r w:rsidR="00A029A2">
        <w:rPr>
          <w:rFonts w:cs="Times New Roman"/>
          <w:szCs w:val="24"/>
        </w:rPr>
        <w:t xml:space="preserve">imidlertid </w:t>
      </w:r>
      <w:r w:rsidRPr="00153237">
        <w:rPr>
          <w:rFonts w:cs="Times New Roman"/>
          <w:szCs w:val="24"/>
        </w:rPr>
        <w:t xml:space="preserve">være </w:t>
      </w:r>
      <w:r w:rsidR="00FC46CF">
        <w:rPr>
          <w:rFonts w:cs="Times New Roman"/>
          <w:szCs w:val="24"/>
        </w:rPr>
        <w:t>opprettet</w:t>
      </w:r>
      <w:r w:rsidRPr="00153237">
        <w:rPr>
          <w:rFonts w:cs="Times New Roman"/>
          <w:szCs w:val="24"/>
        </w:rPr>
        <w:t xml:space="preserve"> av Kirkemøtet</w:t>
      </w:r>
      <w:r w:rsidR="00A029A2">
        <w:rPr>
          <w:rFonts w:cs="Times New Roman"/>
          <w:szCs w:val="24"/>
        </w:rPr>
        <w:t xml:space="preserve"> </w:t>
      </w:r>
      <w:r w:rsidR="00A029A2" w:rsidRPr="00A029A2">
        <w:rPr>
          <w:rFonts w:cs="Times New Roman"/>
          <w:i/>
          <w:szCs w:val="24"/>
        </w:rPr>
        <w:t>i medhold av lov</w:t>
      </w:r>
      <w:r w:rsidRPr="00153237">
        <w:rPr>
          <w:rFonts w:cs="Times New Roman"/>
          <w:szCs w:val="24"/>
        </w:rPr>
        <w:t xml:space="preserve">. </w:t>
      </w:r>
    </w:p>
    <w:p w:rsidR="00572789" w:rsidRDefault="00FC46CF" w:rsidP="007B750F">
      <w:pPr>
        <w:rPr>
          <w:rFonts w:cs="Times New Roman"/>
          <w:szCs w:val="24"/>
        </w:rPr>
      </w:pPr>
      <w:r>
        <w:rPr>
          <w:rFonts w:cs="Times New Roman"/>
          <w:szCs w:val="24"/>
        </w:rPr>
        <w:t>Den norske kirkes</w:t>
      </w:r>
      <w:r w:rsidR="007B750F">
        <w:rPr>
          <w:rFonts w:cs="Times New Roman"/>
          <w:szCs w:val="24"/>
        </w:rPr>
        <w:t xml:space="preserve"> særskilte karakter og </w:t>
      </w:r>
      <w:r>
        <w:rPr>
          <w:rFonts w:cs="Times New Roman"/>
          <w:szCs w:val="24"/>
        </w:rPr>
        <w:t xml:space="preserve">kirkens </w:t>
      </w:r>
      <w:r w:rsidR="007B750F">
        <w:rPr>
          <w:rFonts w:cs="Times New Roman"/>
          <w:szCs w:val="24"/>
        </w:rPr>
        <w:t xml:space="preserve">rolle i </w:t>
      </w:r>
      <w:r>
        <w:rPr>
          <w:rFonts w:cs="Times New Roman"/>
          <w:szCs w:val="24"/>
        </w:rPr>
        <w:t xml:space="preserve">det norske samfunnet </w:t>
      </w:r>
      <w:r w:rsidR="000D33E2">
        <w:rPr>
          <w:rFonts w:cs="Times New Roman"/>
          <w:szCs w:val="24"/>
        </w:rPr>
        <w:t>kunne tilsi</w:t>
      </w:r>
      <w:r>
        <w:rPr>
          <w:rFonts w:cs="Times New Roman"/>
          <w:szCs w:val="24"/>
        </w:rPr>
        <w:t xml:space="preserve"> at reglene</w:t>
      </w:r>
      <w:r w:rsidR="007B750F">
        <w:rPr>
          <w:rFonts w:cs="Times New Roman"/>
          <w:szCs w:val="24"/>
        </w:rPr>
        <w:t xml:space="preserve"> for det offentliges saksbehandling </w:t>
      </w:r>
      <w:r w:rsidR="007E565F">
        <w:rPr>
          <w:rFonts w:cs="Times New Roman"/>
          <w:szCs w:val="24"/>
        </w:rPr>
        <w:t xml:space="preserve">fortsatt </w:t>
      </w:r>
      <w:r w:rsidR="000D33E2">
        <w:rPr>
          <w:rFonts w:cs="Times New Roman"/>
          <w:szCs w:val="24"/>
        </w:rPr>
        <w:t>bu</w:t>
      </w:r>
      <w:r>
        <w:rPr>
          <w:rFonts w:cs="Times New Roman"/>
          <w:szCs w:val="24"/>
        </w:rPr>
        <w:t>r</w:t>
      </w:r>
      <w:r w:rsidR="000D33E2">
        <w:rPr>
          <w:rFonts w:cs="Times New Roman"/>
          <w:szCs w:val="24"/>
        </w:rPr>
        <w:t>de</w:t>
      </w:r>
      <w:r>
        <w:rPr>
          <w:rFonts w:cs="Times New Roman"/>
          <w:szCs w:val="24"/>
        </w:rPr>
        <w:t xml:space="preserve"> gjøres </w:t>
      </w:r>
      <w:r w:rsidR="007B750F">
        <w:rPr>
          <w:rFonts w:cs="Times New Roman"/>
          <w:szCs w:val="24"/>
        </w:rPr>
        <w:t xml:space="preserve">gjeldende for </w:t>
      </w:r>
      <w:r>
        <w:rPr>
          <w:rFonts w:cs="Times New Roman"/>
          <w:szCs w:val="24"/>
        </w:rPr>
        <w:t xml:space="preserve">virksomheten i </w:t>
      </w:r>
      <w:r w:rsidR="007B750F">
        <w:rPr>
          <w:rFonts w:cs="Times New Roman"/>
          <w:szCs w:val="24"/>
        </w:rPr>
        <w:t>kirkens organer</w:t>
      </w:r>
      <w:r w:rsidR="000D33E2">
        <w:rPr>
          <w:rFonts w:cs="Times New Roman"/>
          <w:szCs w:val="24"/>
        </w:rPr>
        <w:t>. Departementet vil imidlertid peke på at en slik regulering vil være såpass inngripende i kirkens virksomhet</w:t>
      </w:r>
      <w:r w:rsidR="007E565F">
        <w:rPr>
          <w:rFonts w:cs="Times New Roman"/>
          <w:szCs w:val="24"/>
        </w:rPr>
        <w:t xml:space="preserve">, </w:t>
      </w:r>
      <w:r w:rsidR="000D33E2">
        <w:rPr>
          <w:rFonts w:cs="Times New Roman"/>
          <w:szCs w:val="24"/>
        </w:rPr>
        <w:t xml:space="preserve">at det </w:t>
      </w:r>
      <w:r w:rsidR="00572789">
        <w:rPr>
          <w:rFonts w:cs="Times New Roman"/>
          <w:szCs w:val="24"/>
        </w:rPr>
        <w:t>bare kunne forsvares om det var</w:t>
      </w:r>
      <w:r w:rsidR="000D33E2">
        <w:rPr>
          <w:rFonts w:cs="Times New Roman"/>
          <w:szCs w:val="24"/>
        </w:rPr>
        <w:t xml:space="preserve"> tungtveiende </w:t>
      </w:r>
      <w:r w:rsidR="00572789">
        <w:rPr>
          <w:rFonts w:cs="Times New Roman"/>
          <w:szCs w:val="24"/>
        </w:rPr>
        <w:t xml:space="preserve">saklige </w:t>
      </w:r>
      <w:r w:rsidR="000D33E2">
        <w:rPr>
          <w:rFonts w:cs="Times New Roman"/>
          <w:szCs w:val="24"/>
        </w:rPr>
        <w:t>hensyn som tilsa en lovbestemmelse om dette</w:t>
      </w:r>
      <w:r w:rsidR="00572789">
        <w:rPr>
          <w:rFonts w:cs="Times New Roman"/>
          <w:szCs w:val="24"/>
        </w:rPr>
        <w:t>.</w:t>
      </w:r>
    </w:p>
    <w:p w:rsidR="000D33E2" w:rsidRDefault="00572789" w:rsidP="007B750F">
      <w:pPr>
        <w:rPr>
          <w:rFonts w:cs="Times New Roman"/>
          <w:szCs w:val="24"/>
        </w:rPr>
      </w:pPr>
      <w:r>
        <w:rPr>
          <w:rFonts w:cs="Times New Roman"/>
          <w:szCs w:val="24"/>
        </w:rPr>
        <w:t>Departementet har merket seg at Kirkemøtet ønsker at slike regler "videreføres og innlemmes i Den norske kirkes regelverk", og har kommet til at det bør overlates til Kirkemøtet å fastsette regler om dette.</w:t>
      </w:r>
      <w:r w:rsidR="000D33E2">
        <w:rPr>
          <w:rFonts w:cs="Times New Roman"/>
          <w:szCs w:val="24"/>
        </w:rPr>
        <w:t xml:space="preserve"> </w:t>
      </w:r>
      <w:r>
        <w:rPr>
          <w:rFonts w:cs="Times New Roman"/>
          <w:szCs w:val="24"/>
        </w:rPr>
        <w:t>For at det ikke skal være noen tvil om Kirkemøtets kompetanse til å fastsette at slike regler skal gjelde også for soknets organer, foreslår departementet at Kirkemøtets myndighet hjemles i lov.</w:t>
      </w:r>
    </w:p>
    <w:p w:rsidR="007B750F" w:rsidRDefault="00572789" w:rsidP="007B750F">
      <w:pPr>
        <w:rPr>
          <w:rFonts w:cs="Times New Roman"/>
          <w:szCs w:val="24"/>
        </w:rPr>
      </w:pPr>
      <w:r>
        <w:rPr>
          <w:rFonts w:cs="Times New Roman"/>
          <w:szCs w:val="24"/>
        </w:rPr>
        <w:t>Dette innebæ</w:t>
      </w:r>
      <w:r w:rsidR="00954F96">
        <w:rPr>
          <w:rFonts w:cs="Times New Roman"/>
          <w:szCs w:val="24"/>
        </w:rPr>
        <w:t>r</w:t>
      </w:r>
      <w:r>
        <w:rPr>
          <w:rFonts w:cs="Times New Roman"/>
          <w:szCs w:val="24"/>
        </w:rPr>
        <w:t xml:space="preserve">er at Kirkemøtet vil kunne beslutte at </w:t>
      </w:r>
      <w:r w:rsidR="007D020A">
        <w:rPr>
          <w:rFonts w:cs="Times New Roman"/>
          <w:szCs w:val="24"/>
        </w:rPr>
        <w:t xml:space="preserve">hovedtrekkene i den gjeldende bestemmelsen i kirkeloven § 38 videreføres. </w:t>
      </w:r>
      <w:r w:rsidR="00FD53EC">
        <w:rPr>
          <w:rFonts w:cs="Times New Roman"/>
          <w:szCs w:val="24"/>
        </w:rPr>
        <w:t>F</w:t>
      </w:r>
      <w:r w:rsidR="007D020A">
        <w:rPr>
          <w:rFonts w:cs="Times New Roman"/>
          <w:szCs w:val="24"/>
        </w:rPr>
        <w:t xml:space="preserve">ølgende bestemmelse </w:t>
      </w:r>
      <w:r w:rsidR="00E40868">
        <w:rPr>
          <w:rFonts w:cs="Times New Roman"/>
          <w:szCs w:val="24"/>
        </w:rPr>
        <w:t>foresl</w:t>
      </w:r>
      <w:r w:rsidR="00FD53EC">
        <w:rPr>
          <w:rFonts w:cs="Times New Roman"/>
          <w:szCs w:val="24"/>
        </w:rPr>
        <w:t xml:space="preserve">ås </w:t>
      </w:r>
      <w:r w:rsidR="007D020A">
        <w:rPr>
          <w:rFonts w:cs="Times New Roman"/>
          <w:szCs w:val="24"/>
        </w:rPr>
        <w:t xml:space="preserve">(utkastet § </w:t>
      </w:r>
      <w:r w:rsidR="00A029A2">
        <w:rPr>
          <w:rFonts w:cs="Times New Roman"/>
          <w:szCs w:val="24"/>
        </w:rPr>
        <w:t>16</w:t>
      </w:r>
      <w:r w:rsidR="007D020A">
        <w:rPr>
          <w:rFonts w:cs="Times New Roman"/>
          <w:szCs w:val="24"/>
        </w:rPr>
        <w:t xml:space="preserve">): </w:t>
      </w:r>
    </w:p>
    <w:p w:rsidR="007D020A" w:rsidRPr="001763A6" w:rsidRDefault="00FD53EC" w:rsidP="00D46082">
      <w:pPr>
        <w:pStyle w:val="blokksit"/>
        <w:rPr>
          <w:rStyle w:val="kursiv"/>
        </w:rPr>
      </w:pPr>
      <w:r w:rsidRPr="001763A6">
        <w:rPr>
          <w:rStyle w:val="kursiv"/>
        </w:rPr>
        <w:t>Kirkemøtet bes</w:t>
      </w:r>
      <w:r w:rsidR="00B5403C" w:rsidRPr="001763A6">
        <w:rPr>
          <w:rStyle w:val="kursiv"/>
        </w:rPr>
        <w:t>temmer</w:t>
      </w:r>
      <w:r w:rsidRPr="001763A6">
        <w:rPr>
          <w:rStyle w:val="kursiv"/>
        </w:rPr>
        <w:t xml:space="preserve"> om, og med hvilke unntak og særregler, f</w:t>
      </w:r>
      <w:r w:rsidR="007D020A" w:rsidRPr="001763A6">
        <w:rPr>
          <w:rStyle w:val="kursiv"/>
        </w:rPr>
        <w:t xml:space="preserve">orvaltningsloven, offentleglova og </w:t>
      </w:r>
      <w:r w:rsidR="007E565F" w:rsidRPr="001763A6">
        <w:rPr>
          <w:rStyle w:val="kursiv"/>
        </w:rPr>
        <w:t xml:space="preserve">regler om offentlige organer i </w:t>
      </w:r>
      <w:r w:rsidR="007D020A" w:rsidRPr="001763A6">
        <w:rPr>
          <w:rStyle w:val="kursiv"/>
        </w:rPr>
        <w:t>arkivlova</w:t>
      </w:r>
      <w:r w:rsidR="007E565F" w:rsidRPr="001763A6">
        <w:rPr>
          <w:rStyle w:val="kursiv"/>
        </w:rPr>
        <w:t xml:space="preserve"> </w:t>
      </w:r>
      <w:r w:rsidRPr="001763A6">
        <w:rPr>
          <w:rStyle w:val="kursiv"/>
        </w:rPr>
        <w:t>skal gjelde</w:t>
      </w:r>
      <w:r w:rsidR="007D020A" w:rsidRPr="001763A6">
        <w:rPr>
          <w:rStyle w:val="kursiv"/>
        </w:rPr>
        <w:t xml:space="preserve"> for </w:t>
      </w:r>
      <w:r w:rsidR="002C5190" w:rsidRPr="001763A6">
        <w:rPr>
          <w:rStyle w:val="kursiv"/>
        </w:rPr>
        <w:t>virksomhet</w:t>
      </w:r>
      <w:r w:rsidR="00616363" w:rsidRPr="001763A6">
        <w:rPr>
          <w:rStyle w:val="kursiv"/>
        </w:rPr>
        <w:t>en</w:t>
      </w:r>
      <w:r w:rsidR="002C5190" w:rsidRPr="001763A6">
        <w:rPr>
          <w:rStyle w:val="kursiv"/>
        </w:rPr>
        <w:t xml:space="preserve"> som drives av kirkelige organer</w:t>
      </w:r>
      <w:r w:rsidR="007D020A" w:rsidRPr="001763A6">
        <w:rPr>
          <w:rStyle w:val="kursiv"/>
        </w:rPr>
        <w:t>.</w:t>
      </w:r>
    </w:p>
    <w:p w:rsidR="000C6648" w:rsidRDefault="00277256">
      <w:r>
        <w:t xml:space="preserve">Kirkeloven § 24 inneholder i dag en bestemmelse om at "Kirkemøtet gir uttalelse i saker om viktige endringer i lover på det kirkelige området". Etter departementets oppfatning følger en slik regel uansett av alminnelige forvaltningsrettslige prinsipper og annet regelverk. </w:t>
      </w:r>
    </w:p>
    <w:p w:rsidR="00277256" w:rsidRDefault="0040725C">
      <w:r>
        <w:t>D</w:t>
      </w:r>
      <w:r w:rsidR="00277256">
        <w:t>epartementet</w:t>
      </w:r>
      <w:r>
        <w:t xml:space="preserve"> mener</w:t>
      </w:r>
      <w:r w:rsidR="00277256">
        <w:t xml:space="preserve"> det likevel </w:t>
      </w:r>
      <w:r>
        <w:t>kan</w:t>
      </w:r>
      <w:r w:rsidR="00277256">
        <w:t xml:space="preserve"> være grunn til å </w:t>
      </w:r>
      <w:r w:rsidR="00397975">
        <w:t>vurdere om</w:t>
      </w:r>
      <w:r w:rsidR="000C6648">
        <w:t xml:space="preserve"> den nye loven </w:t>
      </w:r>
      <w:r w:rsidR="00397975">
        <w:t xml:space="preserve">bør gi </w:t>
      </w:r>
      <w:r w:rsidR="00277256">
        <w:t xml:space="preserve">en </w:t>
      </w:r>
      <w:r w:rsidR="00397975">
        <w:t>uttrykkelig</w:t>
      </w:r>
      <w:r w:rsidR="00277256">
        <w:t xml:space="preserve"> regel om at Kirkemøtet skal uttale seg om </w:t>
      </w:r>
      <w:r w:rsidR="00397975">
        <w:t xml:space="preserve">forslag til </w:t>
      </w:r>
      <w:r w:rsidR="00277256">
        <w:t>endringer i de særlige bes</w:t>
      </w:r>
      <w:r w:rsidR="000C6648">
        <w:t>temmelsene om Den norske kirke</w:t>
      </w:r>
      <w:r w:rsidR="00277256">
        <w:t xml:space="preserve">. Grunnlaget for statens lovgivning </w:t>
      </w:r>
      <w:r w:rsidR="000C6648">
        <w:t xml:space="preserve">om Den norske kirke </w:t>
      </w:r>
      <w:r w:rsidR="00613BA2">
        <w:t>har en spesiell karakter,</w:t>
      </w:r>
      <w:r w:rsidR="000C6648">
        <w:t xml:space="preserve"> blant annet gjennom den saklige</w:t>
      </w:r>
      <w:r w:rsidR="00613BA2">
        <w:t xml:space="preserve"> avgrensningen til "ordning" i Grunn</w:t>
      </w:r>
      <w:r w:rsidR="000C6648">
        <w:t>loven § 16</w:t>
      </w:r>
      <w:r w:rsidR="00613BA2">
        <w:t xml:space="preserve"> tredje punktum. Departementet har ovenfor i punkt 6.2.3.2 pekt på at grensene for Stortingets lovgivningsmyndighet om Den norske kirke kan være uklare</w:t>
      </w:r>
      <w:r w:rsidR="000C6648">
        <w:t>, blant annet i lys av Den norske kirkes tros- og livssynsfrihet</w:t>
      </w:r>
      <w:r w:rsidR="00613BA2">
        <w:t xml:space="preserve">, og at Den norske kirkes syn på aktuell lovgivning </w:t>
      </w:r>
      <w:r w:rsidR="00397975">
        <w:t xml:space="preserve">på en kvalifisert måte </w:t>
      </w:r>
      <w:r w:rsidR="00613BA2">
        <w:t xml:space="preserve">kan være med på å påvirke hva Stortinget kan eller bør gi lovgivning om. Etter departementets </w:t>
      </w:r>
      <w:r w:rsidR="000C6648">
        <w:t>syn gir dette grunn til å ta inn en</w:t>
      </w:r>
      <w:r w:rsidR="00397975">
        <w:t xml:space="preserve"> særlig</w:t>
      </w:r>
      <w:r w:rsidR="00613BA2">
        <w:t xml:space="preserve"> saksbehandlingsreg</w:t>
      </w:r>
      <w:r w:rsidR="000C6648">
        <w:t xml:space="preserve">el som sikrer at Kirkemøtet gis mulighet til å uttale seg om forslag </w:t>
      </w:r>
      <w:r w:rsidR="00BA0881">
        <w:t xml:space="preserve">til </w:t>
      </w:r>
      <w:r w:rsidR="000C6648">
        <w:t>endring</w:t>
      </w:r>
      <w:r w:rsidR="00BA0881">
        <w:t>er</w:t>
      </w:r>
      <w:r w:rsidR="00613BA2">
        <w:t xml:space="preserve"> i den særlige lovgivningen om Den norske kirke. Departementet legger til grunn at det er nødvendig at </w:t>
      </w:r>
      <w:r w:rsidR="000C6648">
        <w:t xml:space="preserve">saken faktisk forelegges </w:t>
      </w:r>
      <w:r w:rsidR="00613BA2">
        <w:t>Ki</w:t>
      </w:r>
      <w:r w:rsidR="000C6648">
        <w:t>rkemøtet</w:t>
      </w:r>
      <w:r w:rsidR="00613BA2">
        <w:t xml:space="preserve">, og at det ikke er tilstrekkelig at for eksempel Kirkerådet </w:t>
      </w:r>
      <w:r w:rsidR="000C6648">
        <w:t xml:space="preserve">gis anledning til å uttale seg. </w:t>
      </w:r>
      <w:r w:rsidR="0005272E">
        <w:t xml:space="preserve">Det bør imidlertid være tale om endringer av vesentlig karakter. Endringer av mer lovteknisk karakter eller som ikke har noen vesentlig betydning for Den norske kirke, bør Kirkerådet kunne uttale seg om. </w:t>
      </w:r>
      <w:r w:rsidR="00A542CC">
        <w:t xml:space="preserve">Uavhengig av en slik særlig regel </w:t>
      </w:r>
      <w:r w:rsidR="0005272E">
        <w:t xml:space="preserve">om uttalelse fra Kirkemøtet, </w:t>
      </w:r>
      <w:r w:rsidR="00A542CC">
        <w:t xml:space="preserve">skal lovforslag naturligvis sendes på alminnelig </w:t>
      </w:r>
      <w:r w:rsidR="00A542CC">
        <w:lastRenderedPageBreak/>
        <w:t xml:space="preserve">høring, blant annet slik at andre tros- og livssynssamfunn kan gi uttalelse i saken. </w:t>
      </w:r>
      <w:r w:rsidR="000C6648">
        <w:t xml:space="preserve">Departementet foreslår følgende bestemmelse i utkastet § </w:t>
      </w:r>
      <w:r w:rsidR="00BA0881">
        <w:t>16</w:t>
      </w:r>
      <w:r>
        <w:t xml:space="preserve"> </w:t>
      </w:r>
      <w:r w:rsidR="00B5403C">
        <w:t>annet</w:t>
      </w:r>
      <w:r>
        <w:t xml:space="preserve"> ledd</w:t>
      </w:r>
      <w:r w:rsidR="000C6648">
        <w:t xml:space="preserve">: </w:t>
      </w:r>
    </w:p>
    <w:p w:rsidR="000C6648" w:rsidRPr="001763A6" w:rsidRDefault="000C6648" w:rsidP="00D46082">
      <w:pPr>
        <w:pStyle w:val="blokksit"/>
        <w:rPr>
          <w:rStyle w:val="kursiv"/>
        </w:rPr>
      </w:pPr>
      <w:r w:rsidRPr="001763A6">
        <w:rPr>
          <w:rStyle w:val="kursiv"/>
        </w:rPr>
        <w:t xml:space="preserve">Forslag til </w:t>
      </w:r>
      <w:r w:rsidR="00BA0881" w:rsidRPr="001763A6">
        <w:rPr>
          <w:rStyle w:val="kursiv"/>
        </w:rPr>
        <w:t xml:space="preserve">vesentlige </w:t>
      </w:r>
      <w:r w:rsidRPr="001763A6">
        <w:rPr>
          <w:rStyle w:val="kursiv"/>
        </w:rPr>
        <w:t xml:space="preserve">endringer i bestemmelsene i dette kapitlet skal forelegges Kirkemøtet. </w:t>
      </w:r>
    </w:p>
    <w:p w:rsidR="007B750F" w:rsidRPr="007342BE" w:rsidRDefault="0040725C" w:rsidP="007B750F">
      <w:pPr>
        <w:pStyle w:val="Overskrift3"/>
      </w:pPr>
      <w:bookmarkStart w:id="1273" w:name="_Toc477535537"/>
      <w:bookmarkStart w:id="1274" w:name="_Toc477630670"/>
      <w:bookmarkStart w:id="1275" w:name="_Toc477693634"/>
      <w:bookmarkStart w:id="1276" w:name="_Toc477704008"/>
      <w:bookmarkStart w:id="1277" w:name="_Toc477799221"/>
      <w:bookmarkStart w:id="1278" w:name="_Toc477805823"/>
      <w:bookmarkStart w:id="1279" w:name="_Toc477878083"/>
      <w:bookmarkStart w:id="1280" w:name="_Toc477881486"/>
      <w:bookmarkStart w:id="1281" w:name="_Toc477885946"/>
      <w:bookmarkStart w:id="1282" w:name="_Toc478131375"/>
      <w:bookmarkStart w:id="1283" w:name="_Toc478138745"/>
      <w:bookmarkStart w:id="1284" w:name="_Toc478232273"/>
      <w:bookmarkStart w:id="1285" w:name="_Toc478237257"/>
      <w:bookmarkStart w:id="1286" w:name="_Toc481761796"/>
      <w:bookmarkStart w:id="1287" w:name="_Toc492900449"/>
      <w:r>
        <w:t>Ø</w:t>
      </w:r>
      <w:r w:rsidR="007B750F" w:rsidRPr="007342BE">
        <w:t>konomiske forhold</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3E32A5" w:rsidRDefault="003E32A5" w:rsidP="007B750F">
      <w:pPr>
        <w:rPr>
          <w:rFonts w:cs="Times New Roman"/>
          <w:szCs w:val="24"/>
        </w:rPr>
      </w:pPr>
      <w:r>
        <w:rPr>
          <w:rFonts w:cs="Times New Roman"/>
          <w:szCs w:val="24"/>
        </w:rPr>
        <w:t>Departementet viser til drøft</w:t>
      </w:r>
      <w:r w:rsidR="001F5218">
        <w:rPr>
          <w:rFonts w:cs="Times New Roman"/>
          <w:szCs w:val="24"/>
        </w:rPr>
        <w:t xml:space="preserve">ingene </w:t>
      </w:r>
      <w:r>
        <w:rPr>
          <w:rFonts w:cs="Times New Roman"/>
          <w:szCs w:val="24"/>
        </w:rPr>
        <w:t>av finansieringsordning</w:t>
      </w:r>
      <w:r w:rsidR="001F5218">
        <w:rPr>
          <w:rFonts w:cs="Times New Roman"/>
          <w:szCs w:val="24"/>
        </w:rPr>
        <w:t>ene</w:t>
      </w:r>
      <w:r>
        <w:rPr>
          <w:rFonts w:cs="Times New Roman"/>
          <w:szCs w:val="24"/>
        </w:rPr>
        <w:t xml:space="preserve"> for Den norske kirke i kapittel 9 og forslaget til lovbestemmelser om finansiering. </w:t>
      </w:r>
      <w:r w:rsidR="00A811EB">
        <w:rPr>
          <w:rFonts w:cs="Times New Roman"/>
          <w:szCs w:val="24"/>
        </w:rPr>
        <w:t xml:space="preserve">De vilkårene som er gitt for tilskudd til tros- og livssynssamfunn, gjelder tilsvarende for Den norske kirke. </w:t>
      </w:r>
      <w:r w:rsidR="00BA0881">
        <w:rPr>
          <w:rFonts w:cs="Times New Roman"/>
          <w:szCs w:val="24"/>
        </w:rPr>
        <w:t>Alternative l</w:t>
      </w:r>
      <w:r w:rsidR="00A811EB">
        <w:rPr>
          <w:rFonts w:cs="Times New Roman"/>
          <w:szCs w:val="24"/>
        </w:rPr>
        <w:t>ovf</w:t>
      </w:r>
      <w:r>
        <w:rPr>
          <w:rFonts w:cs="Times New Roman"/>
          <w:szCs w:val="24"/>
        </w:rPr>
        <w:t xml:space="preserve">orslag </w:t>
      </w:r>
      <w:r w:rsidR="00A811EB">
        <w:rPr>
          <w:rFonts w:cs="Times New Roman"/>
          <w:szCs w:val="24"/>
        </w:rPr>
        <w:t>om finansiering av Den norske kirke</w:t>
      </w:r>
      <w:r>
        <w:rPr>
          <w:rFonts w:cs="Times New Roman"/>
          <w:szCs w:val="24"/>
        </w:rPr>
        <w:t xml:space="preserve"> er inntatt i utkastet til lov §</w:t>
      </w:r>
      <w:r w:rsidR="00A811EB">
        <w:rPr>
          <w:rFonts w:cs="Times New Roman"/>
          <w:szCs w:val="24"/>
        </w:rPr>
        <w:t>12</w:t>
      </w:r>
      <w:r w:rsidR="00F728DE">
        <w:rPr>
          <w:rFonts w:cs="Times New Roman"/>
          <w:szCs w:val="24"/>
        </w:rPr>
        <w:t xml:space="preserve">. </w:t>
      </w:r>
    </w:p>
    <w:p w:rsidR="007B750F" w:rsidRPr="00BC664C" w:rsidRDefault="007B750F" w:rsidP="007B750F">
      <w:pPr>
        <w:pStyle w:val="Overskrift3"/>
      </w:pPr>
      <w:bookmarkStart w:id="1288" w:name="_Toc477535538"/>
      <w:bookmarkStart w:id="1289" w:name="_Toc477630671"/>
      <w:bookmarkStart w:id="1290" w:name="_Toc477693635"/>
      <w:bookmarkStart w:id="1291" w:name="_Toc477704009"/>
      <w:bookmarkStart w:id="1292" w:name="_Toc477799222"/>
      <w:bookmarkStart w:id="1293" w:name="_Toc477805824"/>
      <w:bookmarkStart w:id="1294" w:name="_Toc477878084"/>
      <w:bookmarkStart w:id="1295" w:name="_Toc477881487"/>
      <w:bookmarkStart w:id="1296" w:name="_Toc477885947"/>
      <w:bookmarkStart w:id="1297" w:name="_Toc478131376"/>
      <w:bookmarkStart w:id="1298" w:name="_Toc478138746"/>
      <w:bookmarkStart w:id="1299" w:name="_Toc478232274"/>
      <w:bookmarkStart w:id="1300" w:name="_Toc478237258"/>
      <w:bookmarkStart w:id="1301" w:name="_Toc481761797"/>
      <w:bookmarkStart w:id="1302" w:name="_Toc492900450"/>
      <w:r w:rsidRPr="00BC664C">
        <w:t>Kirkebygg</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rsidR="007B750F" w:rsidRPr="00153237" w:rsidRDefault="00F728DE" w:rsidP="007B750F">
      <w:pPr>
        <w:rPr>
          <w:rFonts w:cs="Times New Roman"/>
          <w:szCs w:val="24"/>
        </w:rPr>
      </w:pPr>
      <w:r>
        <w:rPr>
          <w:rFonts w:cs="Times New Roman"/>
          <w:szCs w:val="24"/>
        </w:rPr>
        <w:t>K</w:t>
      </w:r>
      <w:r w:rsidR="007B750F" w:rsidRPr="00153237">
        <w:rPr>
          <w:rFonts w:cs="Times New Roman"/>
          <w:szCs w:val="24"/>
        </w:rPr>
        <w:t xml:space="preserve">irkeloven § 17 tredje ledd </w:t>
      </w:r>
      <w:r>
        <w:rPr>
          <w:rFonts w:cs="Times New Roman"/>
          <w:szCs w:val="24"/>
        </w:rPr>
        <w:t>fastslår at k</w:t>
      </w:r>
      <w:r w:rsidR="007B750F">
        <w:rPr>
          <w:rFonts w:cs="Times New Roman"/>
          <w:szCs w:val="24"/>
        </w:rPr>
        <w:t xml:space="preserve">irkene </w:t>
      </w:r>
      <w:r>
        <w:rPr>
          <w:rFonts w:cs="Times New Roman"/>
          <w:szCs w:val="24"/>
        </w:rPr>
        <w:t>er "</w:t>
      </w:r>
      <w:r w:rsidR="007B750F">
        <w:rPr>
          <w:rFonts w:cs="Times New Roman"/>
          <w:szCs w:val="24"/>
        </w:rPr>
        <w:t xml:space="preserve">soknets </w:t>
      </w:r>
      <w:r w:rsidR="007B750F" w:rsidRPr="00153237">
        <w:rPr>
          <w:rFonts w:cs="Times New Roman"/>
          <w:szCs w:val="24"/>
        </w:rPr>
        <w:t>eiendom, med mindre annet følger av særskilt rettsgrunnlag".</w:t>
      </w:r>
      <w:r w:rsidR="007B750F">
        <w:rPr>
          <w:rFonts w:cs="Times New Roman"/>
          <w:szCs w:val="24"/>
        </w:rPr>
        <w:t xml:space="preserve"> </w:t>
      </w:r>
      <w:r w:rsidR="00C96567">
        <w:rPr>
          <w:rFonts w:cs="Times New Roman"/>
          <w:szCs w:val="24"/>
        </w:rPr>
        <w:t xml:space="preserve">Denne </w:t>
      </w:r>
      <w:r w:rsidR="007B750F" w:rsidRPr="00153237">
        <w:rPr>
          <w:rFonts w:cs="Times New Roman"/>
          <w:szCs w:val="24"/>
        </w:rPr>
        <w:t>regel</w:t>
      </w:r>
      <w:r w:rsidR="00C96567">
        <w:rPr>
          <w:rFonts w:cs="Times New Roman"/>
          <w:szCs w:val="24"/>
        </w:rPr>
        <w:t>en</w:t>
      </w:r>
      <w:r w:rsidR="007B750F" w:rsidRPr="00153237">
        <w:rPr>
          <w:rFonts w:cs="Times New Roman"/>
          <w:szCs w:val="24"/>
        </w:rPr>
        <w:t xml:space="preserve"> </w:t>
      </w:r>
      <w:r w:rsidR="00C96567">
        <w:rPr>
          <w:rFonts w:cs="Times New Roman"/>
          <w:szCs w:val="24"/>
        </w:rPr>
        <w:t xml:space="preserve">er ført videre fra eldre lovgivning. Etter gjeldende </w:t>
      </w:r>
      <w:r w:rsidR="00020360">
        <w:rPr>
          <w:rFonts w:cs="Times New Roman"/>
          <w:szCs w:val="24"/>
        </w:rPr>
        <w:t>rett</w:t>
      </w:r>
      <w:r w:rsidR="00C96567">
        <w:rPr>
          <w:rFonts w:cs="Times New Roman"/>
          <w:szCs w:val="24"/>
        </w:rPr>
        <w:t xml:space="preserve"> har soknet eiendomsrett til</w:t>
      </w:r>
      <w:r w:rsidR="007B750F" w:rsidRPr="00153237">
        <w:rPr>
          <w:rFonts w:cs="Times New Roman"/>
          <w:szCs w:val="24"/>
        </w:rPr>
        <w:t xml:space="preserve"> kirkebygget og hele den matrikulerte eiendom</w:t>
      </w:r>
      <w:r w:rsidR="00C96567">
        <w:rPr>
          <w:rFonts w:cs="Times New Roman"/>
          <w:szCs w:val="24"/>
        </w:rPr>
        <w:t>men som kirken står på</w:t>
      </w:r>
      <w:r w:rsidR="007B750F" w:rsidRPr="00153237">
        <w:rPr>
          <w:rFonts w:cs="Times New Roman"/>
          <w:szCs w:val="24"/>
        </w:rPr>
        <w:t>.</w:t>
      </w:r>
    </w:p>
    <w:p w:rsidR="00C96567" w:rsidRDefault="00C96567" w:rsidP="007B750F">
      <w:pPr>
        <w:rPr>
          <w:rFonts w:cs="Times New Roman"/>
          <w:szCs w:val="24"/>
        </w:rPr>
      </w:pPr>
      <w:r>
        <w:rPr>
          <w:rFonts w:cs="Times New Roman"/>
          <w:szCs w:val="24"/>
        </w:rPr>
        <w:t>Etter departementets oppfatning kan denne lovbestemmelsen i dag vurderes</w:t>
      </w:r>
      <w:r w:rsidR="007B750F" w:rsidRPr="00153237">
        <w:rPr>
          <w:rFonts w:cs="Times New Roman"/>
          <w:szCs w:val="24"/>
        </w:rPr>
        <w:t xml:space="preserve"> </w:t>
      </w:r>
      <w:r>
        <w:rPr>
          <w:rFonts w:cs="Times New Roman"/>
          <w:szCs w:val="24"/>
        </w:rPr>
        <w:t xml:space="preserve">som overflødig. </w:t>
      </w:r>
      <w:r w:rsidR="007B750F" w:rsidRPr="00153237">
        <w:rPr>
          <w:rFonts w:cs="Times New Roman"/>
          <w:szCs w:val="24"/>
        </w:rPr>
        <w:t>Hovedregelen om at kirken er i soknets eie</w:t>
      </w:r>
      <w:r>
        <w:rPr>
          <w:rFonts w:cs="Times New Roman"/>
          <w:szCs w:val="24"/>
        </w:rPr>
        <w:t xml:space="preserve">, er ikke omtvistet, heller ikke at andre løsninger kan følge av særskilt rettsgrunnlag. </w:t>
      </w:r>
    </w:p>
    <w:p w:rsidR="007B750F" w:rsidRDefault="00C96567" w:rsidP="007B750F">
      <w:pPr>
        <w:rPr>
          <w:rFonts w:cs="Times New Roman"/>
          <w:szCs w:val="24"/>
        </w:rPr>
      </w:pPr>
      <w:r>
        <w:rPr>
          <w:rFonts w:cs="Times New Roman"/>
          <w:szCs w:val="24"/>
        </w:rPr>
        <w:t xml:space="preserve">Departementet er derfor i tvil om det er nødvendig å videreføre en slik bestemmelse, men har foreslått at den tas inn i utkastet § </w:t>
      </w:r>
      <w:r w:rsidR="0040725C">
        <w:rPr>
          <w:rFonts w:cs="Times New Roman"/>
          <w:szCs w:val="24"/>
        </w:rPr>
        <w:t>1</w:t>
      </w:r>
      <w:r w:rsidR="001F5218">
        <w:rPr>
          <w:rFonts w:cs="Times New Roman"/>
          <w:szCs w:val="24"/>
        </w:rPr>
        <w:t>3</w:t>
      </w:r>
      <w:r>
        <w:rPr>
          <w:rFonts w:cs="Times New Roman"/>
          <w:szCs w:val="24"/>
        </w:rPr>
        <w:t xml:space="preserve">. </w:t>
      </w:r>
      <w:r w:rsidR="00E94BBB">
        <w:rPr>
          <w:rFonts w:cs="Times New Roman"/>
          <w:szCs w:val="24"/>
        </w:rPr>
        <w:t xml:space="preserve">I tillegg har departementet foreslått </w:t>
      </w:r>
      <w:r w:rsidR="007B750F" w:rsidRPr="00153237">
        <w:rPr>
          <w:rFonts w:cs="Times New Roman"/>
          <w:szCs w:val="24"/>
        </w:rPr>
        <w:t>en eksplisitt hjemmel for at Kirkemøtet kan gi "regler om krav til kirke, forvaltning av kirke og tilhørende fond og om betaling for bruk av kirke".</w:t>
      </w:r>
      <w:r w:rsidR="007B750F">
        <w:rPr>
          <w:rFonts w:cs="Times New Roman"/>
          <w:szCs w:val="24"/>
        </w:rPr>
        <w:t xml:space="preserve"> Dette gir Kirkemøtet hjemmel fo</w:t>
      </w:r>
      <w:r w:rsidR="00E94BBB">
        <w:rPr>
          <w:rFonts w:cs="Times New Roman"/>
          <w:szCs w:val="24"/>
        </w:rPr>
        <w:t>r å fastsette regler som kan avløse ulike regler om forvaltning og bruk av kirker, jf. den gjeldende kirkeloven §§ 18–21 og regler gitt i medhold av disse bestemmelsene.</w:t>
      </w:r>
      <w:r w:rsidR="008B4BAA">
        <w:rPr>
          <w:rFonts w:cs="Times New Roman"/>
          <w:szCs w:val="24"/>
        </w:rPr>
        <w:t xml:space="preserve"> Departementet foreslår følgende bestemmelse om kirkebygg: </w:t>
      </w:r>
    </w:p>
    <w:p w:rsidR="008B4BAA" w:rsidRPr="001763A6" w:rsidRDefault="008B4BAA" w:rsidP="00D46082">
      <w:pPr>
        <w:pStyle w:val="blokksit"/>
        <w:rPr>
          <w:rStyle w:val="kursiv"/>
        </w:rPr>
      </w:pPr>
      <w:r w:rsidRPr="001763A6">
        <w:rPr>
          <w:rStyle w:val="kursiv"/>
        </w:rPr>
        <w:t>Kirkene er soknets eiendom med mindre annet følger av særskilt rettsgrunnlag. Kirkemøtet gir regler om krav til kirke, forvaltning av kirke og tilhørende kirkefond,</w:t>
      </w:r>
      <w:r w:rsidR="002851C6" w:rsidRPr="001763A6">
        <w:rPr>
          <w:rStyle w:val="kursiv"/>
        </w:rPr>
        <w:t xml:space="preserve"> kirkens inventar og utstyr,</w:t>
      </w:r>
      <w:r w:rsidRPr="001763A6">
        <w:rPr>
          <w:rStyle w:val="kursiv"/>
        </w:rPr>
        <w:t xml:space="preserve"> og om bruk av kirke, herunder betaling for bruk.</w:t>
      </w:r>
    </w:p>
    <w:p w:rsidR="001F5218" w:rsidRDefault="001F5218" w:rsidP="007B750F">
      <w:pPr>
        <w:rPr>
          <w:rFonts w:cs="Times New Roman"/>
          <w:szCs w:val="24"/>
        </w:rPr>
      </w:pPr>
      <w:r>
        <w:rPr>
          <w:rFonts w:cs="Times New Roman"/>
          <w:szCs w:val="24"/>
        </w:rPr>
        <w:t xml:space="preserve">Forslaget om Kirkemøtets myndighet til å gi regler om </w:t>
      </w:r>
      <w:r w:rsidR="00BC79CD">
        <w:rPr>
          <w:rFonts w:cs="Times New Roman"/>
          <w:szCs w:val="24"/>
        </w:rPr>
        <w:t xml:space="preserve">krav til </w:t>
      </w:r>
      <w:r>
        <w:rPr>
          <w:rFonts w:cs="Times New Roman"/>
          <w:szCs w:val="24"/>
        </w:rPr>
        <w:t xml:space="preserve">kirke m.m., er nærmere kommentert </w:t>
      </w:r>
      <w:r w:rsidR="00BC79CD">
        <w:rPr>
          <w:rFonts w:cs="Times New Roman"/>
          <w:szCs w:val="24"/>
        </w:rPr>
        <w:t xml:space="preserve">også </w:t>
      </w:r>
      <w:r>
        <w:rPr>
          <w:rFonts w:cs="Times New Roman"/>
          <w:szCs w:val="24"/>
        </w:rPr>
        <w:t>i kapittel 9.</w:t>
      </w:r>
      <w:r w:rsidR="00BC79CD">
        <w:rPr>
          <w:rFonts w:cs="Times New Roman"/>
          <w:szCs w:val="24"/>
        </w:rPr>
        <w:t>4.</w:t>
      </w:r>
      <w:r>
        <w:rPr>
          <w:rFonts w:cs="Times New Roman"/>
          <w:szCs w:val="24"/>
        </w:rPr>
        <w:t xml:space="preserve">  </w:t>
      </w:r>
    </w:p>
    <w:p w:rsidR="007B750F" w:rsidRDefault="007B750F" w:rsidP="007B750F">
      <w:pPr>
        <w:rPr>
          <w:rFonts w:cs="Times New Roman"/>
          <w:szCs w:val="24"/>
        </w:rPr>
      </w:pPr>
      <w:r>
        <w:rPr>
          <w:rFonts w:cs="Times New Roman"/>
          <w:szCs w:val="24"/>
        </w:rPr>
        <w:t>Departe</w:t>
      </w:r>
      <w:r w:rsidR="008B4BAA">
        <w:rPr>
          <w:rFonts w:cs="Times New Roman"/>
          <w:szCs w:val="24"/>
        </w:rPr>
        <w:t>mentet har ved delegasjon av egen</w:t>
      </w:r>
      <w:r>
        <w:rPr>
          <w:rFonts w:cs="Times New Roman"/>
          <w:szCs w:val="24"/>
        </w:rPr>
        <w:t xml:space="preserve"> myndighet etter gjeldende regler fastsatt at saker blant annet om ombygging og utvidelse av kirker skal forelegges Riksantikvaren før det treffes vedtak, og at Riksantikvaren eventuelt vil kunne klage vedtaket inn for departementet. Dette omfatter også kirker som ikke uten videre reguleres gjennom kulturminnelovens bestemmelser. Miljøverndepartementet og det daværende Kirkedepartementet har utarbeidet et eget rundskriv om saken (T</w:t>
      </w:r>
      <w:r w:rsidR="00A13110">
        <w:rPr>
          <w:rFonts w:cs="Times New Roman"/>
          <w:szCs w:val="24"/>
        </w:rPr>
        <w:t>-3</w:t>
      </w:r>
      <w:r>
        <w:rPr>
          <w:rFonts w:cs="Times New Roman"/>
          <w:szCs w:val="24"/>
        </w:rPr>
        <w:t>/2000).</w:t>
      </w:r>
    </w:p>
    <w:p w:rsidR="00BF6866" w:rsidRDefault="007B750F" w:rsidP="007B750F">
      <w:pPr>
        <w:rPr>
          <w:rFonts w:cs="Times New Roman"/>
          <w:szCs w:val="24"/>
        </w:rPr>
      </w:pPr>
      <w:r>
        <w:rPr>
          <w:rFonts w:cs="Times New Roman"/>
          <w:szCs w:val="24"/>
        </w:rPr>
        <w:t>Med den hjemmel som foreslås gitt til Kirkemøtet</w:t>
      </w:r>
      <w:r w:rsidR="00097172">
        <w:rPr>
          <w:rFonts w:cs="Times New Roman"/>
          <w:szCs w:val="24"/>
        </w:rPr>
        <w:t>,</w:t>
      </w:r>
      <w:r>
        <w:rPr>
          <w:rFonts w:cs="Times New Roman"/>
          <w:szCs w:val="24"/>
        </w:rPr>
        <w:t xml:space="preserve"> vil </w:t>
      </w:r>
      <w:r w:rsidR="00097172">
        <w:rPr>
          <w:rFonts w:cs="Times New Roman"/>
          <w:szCs w:val="24"/>
        </w:rPr>
        <w:t xml:space="preserve">Kirkemøtet </w:t>
      </w:r>
      <w:r>
        <w:rPr>
          <w:rFonts w:cs="Times New Roman"/>
          <w:szCs w:val="24"/>
        </w:rPr>
        <w:t>i samarbeid med Riksantikvaren kunne fastsette ordninger og saksbehandlingsregler som fortsatt sikrer en kulturminnefaglig behandling av kirkebyggsaker, ut over det som kan pålegges i medhold av kulturminnelovens gjeldende bestemmelser.</w:t>
      </w:r>
      <w:r w:rsidR="00BF6866" w:rsidRPr="00BF6866">
        <w:t xml:space="preserve"> </w:t>
      </w:r>
      <w:r w:rsidR="00BF6866">
        <w:rPr>
          <w:rFonts w:cs="Times New Roman"/>
          <w:szCs w:val="24"/>
        </w:rPr>
        <w:t>Departementet mener det er viktig</w:t>
      </w:r>
      <w:r w:rsidR="00BF6866" w:rsidRPr="00BF6866">
        <w:rPr>
          <w:rFonts w:cs="Times New Roman"/>
          <w:szCs w:val="24"/>
        </w:rPr>
        <w:t xml:space="preserve"> at det kommer på plass systemer som kan sikre kirkenes kulturhistoriske v</w:t>
      </w:r>
      <w:r w:rsidR="00BF6866">
        <w:rPr>
          <w:rFonts w:cs="Times New Roman"/>
          <w:szCs w:val="24"/>
        </w:rPr>
        <w:t xml:space="preserve">erdier, og er derfor i likhet med det berørte fagdepartementet </w:t>
      </w:r>
      <w:r w:rsidR="00BF6866" w:rsidRPr="00BF6866">
        <w:rPr>
          <w:rFonts w:cs="Times New Roman"/>
          <w:szCs w:val="24"/>
        </w:rPr>
        <w:t xml:space="preserve">opptatt av at det </w:t>
      </w:r>
      <w:r w:rsidR="00BF6866">
        <w:rPr>
          <w:rFonts w:cs="Times New Roman"/>
          <w:szCs w:val="24"/>
        </w:rPr>
        <w:t>er en god</w:t>
      </w:r>
      <w:r w:rsidR="00BF6866" w:rsidRPr="00BF6866">
        <w:rPr>
          <w:rFonts w:cs="Times New Roman"/>
          <w:szCs w:val="24"/>
        </w:rPr>
        <w:t xml:space="preserve"> dialog mellom kirken og Riksantikvaren knyttet til dette temaet. </w:t>
      </w:r>
      <w:r w:rsidR="00461027">
        <w:rPr>
          <w:rFonts w:cs="Times New Roman"/>
          <w:szCs w:val="24"/>
        </w:rPr>
        <w:t>Det vises ellers til kapittel 11 nedenfor om de kulturhistorisk verdifulle kirkebyggene.</w:t>
      </w:r>
      <w:r w:rsidR="00BF6866" w:rsidRPr="00BF6866">
        <w:rPr>
          <w:rFonts w:cs="Times New Roman"/>
          <w:szCs w:val="24"/>
        </w:rPr>
        <w:t xml:space="preserve"> </w:t>
      </w:r>
    </w:p>
    <w:p w:rsidR="007B750F" w:rsidRPr="007342BE" w:rsidRDefault="007B750F" w:rsidP="007B750F">
      <w:pPr>
        <w:pStyle w:val="Overskrift3"/>
      </w:pPr>
      <w:bookmarkStart w:id="1303" w:name="_Toc477535539"/>
      <w:bookmarkStart w:id="1304" w:name="_Toc477630672"/>
      <w:bookmarkStart w:id="1305" w:name="_Toc477693636"/>
      <w:bookmarkStart w:id="1306" w:name="_Toc477704010"/>
      <w:bookmarkStart w:id="1307" w:name="_Toc477799223"/>
      <w:bookmarkStart w:id="1308" w:name="_Toc477805825"/>
      <w:bookmarkStart w:id="1309" w:name="_Toc477878085"/>
      <w:bookmarkStart w:id="1310" w:name="_Toc477881488"/>
      <w:bookmarkStart w:id="1311" w:name="_Toc477885948"/>
      <w:bookmarkStart w:id="1312" w:name="_Toc478131377"/>
      <w:bookmarkStart w:id="1313" w:name="_Toc478138747"/>
      <w:bookmarkStart w:id="1314" w:name="_Toc478232275"/>
      <w:bookmarkStart w:id="1315" w:name="_Toc478237259"/>
      <w:bookmarkStart w:id="1316" w:name="_Toc481761798"/>
      <w:bookmarkStart w:id="1317" w:name="_Toc492900451"/>
      <w:r w:rsidRPr="007342BE">
        <w:lastRenderedPageBreak/>
        <w:t xml:space="preserve">Rett til </w:t>
      </w:r>
      <w:r w:rsidR="006C4CB7">
        <w:t xml:space="preserve">permisjon </w:t>
      </w:r>
      <w:r w:rsidRPr="007342BE">
        <w:t>fra arbeid</w:t>
      </w:r>
      <w:bookmarkEnd w:id="1303"/>
      <w:bookmarkEnd w:id="1304"/>
      <w:bookmarkEnd w:id="1305"/>
      <w:bookmarkEnd w:id="1306"/>
      <w:bookmarkEnd w:id="1307"/>
      <w:bookmarkEnd w:id="1308"/>
      <w:bookmarkEnd w:id="1309"/>
      <w:bookmarkEnd w:id="1310"/>
      <w:bookmarkEnd w:id="1311"/>
      <w:bookmarkEnd w:id="1312"/>
      <w:r w:rsidR="00A71C70">
        <w:t xml:space="preserve"> mv.</w:t>
      </w:r>
      <w:bookmarkEnd w:id="1313"/>
      <w:bookmarkEnd w:id="1314"/>
      <w:bookmarkEnd w:id="1315"/>
      <w:bookmarkEnd w:id="1316"/>
      <w:bookmarkEnd w:id="1317"/>
    </w:p>
    <w:p w:rsidR="002851C6" w:rsidRDefault="007B750F" w:rsidP="007B750F">
      <w:pPr>
        <w:rPr>
          <w:rFonts w:cs="Times New Roman"/>
          <w:szCs w:val="24"/>
        </w:rPr>
      </w:pPr>
      <w:r w:rsidRPr="00153237">
        <w:rPr>
          <w:rFonts w:cs="Times New Roman"/>
          <w:szCs w:val="24"/>
        </w:rPr>
        <w:t xml:space="preserve">Kirkemøtet (KM sak 11/15) mente </w:t>
      </w:r>
      <w:r w:rsidR="002851C6">
        <w:rPr>
          <w:rFonts w:cs="Times New Roman"/>
          <w:szCs w:val="24"/>
        </w:rPr>
        <w:t>at en framtidig rammelovgivning bør sikre</w:t>
      </w:r>
      <w:r w:rsidRPr="00153237">
        <w:rPr>
          <w:rFonts w:cs="Times New Roman"/>
          <w:szCs w:val="24"/>
        </w:rPr>
        <w:t xml:space="preserve"> at "demokratisk valgte representanter i Den norske kirkes organer gis rett til fri fra arbeid for å ivareta sine verv". </w:t>
      </w:r>
    </w:p>
    <w:p w:rsidR="007B750F" w:rsidRPr="00153237" w:rsidRDefault="002851C6" w:rsidP="007B750F">
      <w:pPr>
        <w:rPr>
          <w:rFonts w:cs="Times New Roman"/>
          <w:szCs w:val="24"/>
        </w:rPr>
      </w:pPr>
      <w:r>
        <w:rPr>
          <w:rFonts w:cs="Times New Roman"/>
          <w:szCs w:val="24"/>
        </w:rPr>
        <w:t>En slik rett til permisjon fra arbeid</w:t>
      </w:r>
      <w:r w:rsidR="007B750F" w:rsidRPr="00153237">
        <w:rPr>
          <w:rFonts w:cs="Times New Roman"/>
          <w:szCs w:val="24"/>
        </w:rPr>
        <w:t xml:space="preserve"> har </w:t>
      </w:r>
      <w:r>
        <w:rPr>
          <w:rFonts w:cs="Times New Roman"/>
          <w:szCs w:val="24"/>
        </w:rPr>
        <w:t>valgte medlemmer i kirkelige organer i dag</w:t>
      </w:r>
      <w:r w:rsidR="007B750F" w:rsidRPr="00153237">
        <w:rPr>
          <w:rFonts w:cs="Times New Roman"/>
          <w:szCs w:val="24"/>
        </w:rPr>
        <w:t xml:space="preserve"> etter </w:t>
      </w:r>
      <w:r>
        <w:rPr>
          <w:rFonts w:cs="Times New Roman"/>
          <w:szCs w:val="24"/>
        </w:rPr>
        <w:t xml:space="preserve">regelen i </w:t>
      </w:r>
      <w:r w:rsidR="007B750F" w:rsidRPr="00153237">
        <w:rPr>
          <w:rFonts w:cs="Times New Roman"/>
          <w:szCs w:val="24"/>
        </w:rPr>
        <w:t>arbeidsmiljøloven § 12</w:t>
      </w:r>
      <w:r w:rsidR="002159FC">
        <w:rPr>
          <w:rFonts w:cs="Times New Roman"/>
          <w:szCs w:val="24"/>
        </w:rPr>
        <w:t>–1</w:t>
      </w:r>
      <w:r w:rsidR="007B750F" w:rsidRPr="00153237">
        <w:rPr>
          <w:rFonts w:cs="Times New Roman"/>
          <w:szCs w:val="24"/>
        </w:rPr>
        <w:t xml:space="preserve">3. Bestemmelsen her gir arbeidstaker "rett til permisjon fra arbeid i det omfang det er nødvendig for å oppfylle lovbestemt møteplikt i offentlige organer". Bestemmelsen er gjentatt i kirkeloven § 30 første ledd annet punktum, og </w:t>
      </w:r>
      <w:r>
        <w:rPr>
          <w:rFonts w:cs="Times New Roman"/>
          <w:szCs w:val="24"/>
        </w:rPr>
        <w:t xml:space="preserve">den er i kirkeloven </w:t>
      </w:r>
      <w:r w:rsidR="007B750F" w:rsidRPr="00153237">
        <w:rPr>
          <w:rFonts w:cs="Times New Roman"/>
          <w:szCs w:val="24"/>
        </w:rPr>
        <w:t xml:space="preserve">utvidet til også å omfatte "utvalg oppnevnt av slikt organ". </w:t>
      </w:r>
      <w:r w:rsidR="00BF47DE">
        <w:rPr>
          <w:rFonts w:cs="Times New Roman"/>
          <w:szCs w:val="24"/>
        </w:rPr>
        <w:t>Møteplikten i et lovbestemt kirkelig organ følger av kirkeloven § 30 første punktum, og p</w:t>
      </w:r>
      <w:r w:rsidR="007B750F" w:rsidRPr="00153237">
        <w:rPr>
          <w:rFonts w:cs="Times New Roman"/>
          <w:szCs w:val="24"/>
        </w:rPr>
        <w:t xml:space="preserve">likten til å ta imot valg følger av </w:t>
      </w:r>
      <w:r>
        <w:rPr>
          <w:rFonts w:cs="Times New Roman"/>
          <w:szCs w:val="24"/>
        </w:rPr>
        <w:t>kirkeloven</w:t>
      </w:r>
      <w:r w:rsidR="007B750F" w:rsidRPr="00153237">
        <w:rPr>
          <w:rFonts w:cs="Times New Roman"/>
          <w:szCs w:val="24"/>
        </w:rPr>
        <w:t xml:space="preserve"> § 6.</w:t>
      </w:r>
    </w:p>
    <w:p w:rsidR="007B750F" w:rsidRPr="00153237" w:rsidRDefault="007B750F" w:rsidP="007B750F">
      <w:pPr>
        <w:rPr>
          <w:rFonts w:cs="Times New Roman"/>
          <w:szCs w:val="24"/>
        </w:rPr>
      </w:pPr>
      <w:r w:rsidRPr="00153237">
        <w:rPr>
          <w:rFonts w:cs="Times New Roman"/>
          <w:szCs w:val="24"/>
        </w:rPr>
        <w:t>Kirkemø</w:t>
      </w:r>
      <w:r w:rsidR="00BF47DE">
        <w:rPr>
          <w:rFonts w:cs="Times New Roman"/>
          <w:szCs w:val="24"/>
        </w:rPr>
        <w:t xml:space="preserve">tet </w:t>
      </w:r>
      <w:r w:rsidR="00BA0881">
        <w:rPr>
          <w:rFonts w:cs="Times New Roman"/>
          <w:szCs w:val="24"/>
        </w:rPr>
        <w:t>vil</w:t>
      </w:r>
      <w:r w:rsidR="00BF47DE">
        <w:rPr>
          <w:rFonts w:cs="Times New Roman"/>
          <w:szCs w:val="24"/>
        </w:rPr>
        <w:t xml:space="preserve"> med hjemmel i departementets forslag til § </w:t>
      </w:r>
      <w:r w:rsidR="00BA0881">
        <w:rPr>
          <w:rFonts w:cs="Times New Roman"/>
          <w:szCs w:val="24"/>
        </w:rPr>
        <w:t>10</w:t>
      </w:r>
      <w:r w:rsidR="00BF47DE">
        <w:rPr>
          <w:rFonts w:cs="Times New Roman"/>
          <w:szCs w:val="24"/>
        </w:rPr>
        <w:t xml:space="preserve"> </w:t>
      </w:r>
      <w:r w:rsidR="00BA0881">
        <w:rPr>
          <w:rFonts w:cs="Times New Roman"/>
          <w:szCs w:val="24"/>
        </w:rPr>
        <w:t xml:space="preserve">kunne </w:t>
      </w:r>
      <w:r w:rsidR="00BF47DE">
        <w:rPr>
          <w:rFonts w:cs="Times New Roman"/>
          <w:szCs w:val="24"/>
        </w:rPr>
        <w:t>fastsette hvilke organer Den norske kirke</w:t>
      </w:r>
      <w:r w:rsidRPr="00153237">
        <w:rPr>
          <w:rFonts w:cs="Times New Roman"/>
          <w:szCs w:val="24"/>
        </w:rPr>
        <w:t xml:space="preserve"> skal ha, og også gi bestemmelser om møteplikt og stemmerett som avløser</w:t>
      </w:r>
      <w:r w:rsidR="00BF47DE">
        <w:rPr>
          <w:rFonts w:cs="Times New Roman"/>
          <w:szCs w:val="24"/>
        </w:rPr>
        <w:t xml:space="preserve"> de gjeldende bestemmelsene i kirkeloven</w:t>
      </w:r>
      <w:r w:rsidRPr="00153237">
        <w:rPr>
          <w:rFonts w:cs="Times New Roman"/>
          <w:szCs w:val="24"/>
        </w:rPr>
        <w:t xml:space="preserve">. </w:t>
      </w:r>
    </w:p>
    <w:p w:rsidR="007B750F" w:rsidRPr="00EA2E47" w:rsidRDefault="00BF47DE" w:rsidP="007B750F">
      <w:pPr>
        <w:rPr>
          <w:rFonts w:cs="Times New Roman"/>
          <w:szCs w:val="24"/>
        </w:rPr>
      </w:pPr>
      <w:r>
        <w:rPr>
          <w:rFonts w:cs="Times New Roman"/>
          <w:szCs w:val="24"/>
        </w:rPr>
        <w:t xml:space="preserve">Ut fra hensynet til </w:t>
      </w:r>
      <w:r w:rsidR="007B750F" w:rsidRPr="00153237">
        <w:rPr>
          <w:rFonts w:cs="Times New Roman"/>
          <w:szCs w:val="24"/>
        </w:rPr>
        <w:t xml:space="preserve">likebehandling av alle tros- og livssynssamfunn </w:t>
      </w:r>
      <w:r>
        <w:rPr>
          <w:rFonts w:cs="Times New Roman"/>
          <w:szCs w:val="24"/>
        </w:rPr>
        <w:t xml:space="preserve">mener departementet at det ikke bør videreføres </w:t>
      </w:r>
      <w:r w:rsidR="007B750F" w:rsidRPr="00153237">
        <w:rPr>
          <w:rFonts w:cs="Times New Roman"/>
          <w:szCs w:val="24"/>
        </w:rPr>
        <w:t>særbestemmelse</w:t>
      </w:r>
      <w:r>
        <w:rPr>
          <w:rFonts w:cs="Times New Roman"/>
          <w:szCs w:val="24"/>
        </w:rPr>
        <w:t>r</w:t>
      </w:r>
      <w:r w:rsidR="007B750F" w:rsidRPr="00153237">
        <w:rPr>
          <w:rFonts w:cs="Times New Roman"/>
          <w:szCs w:val="24"/>
        </w:rPr>
        <w:t xml:space="preserve"> </w:t>
      </w:r>
      <w:r>
        <w:rPr>
          <w:rFonts w:cs="Times New Roman"/>
          <w:szCs w:val="24"/>
        </w:rPr>
        <w:t xml:space="preserve">om rett til permisjon fra arbeid for valgte medlemmer i Den norske kirkes organer. Og departementet mener det ikke bør innføres slike regler for valgte ombud i alle tros- eller livssynssamfunn. </w:t>
      </w:r>
    </w:p>
    <w:p w:rsidR="007B750F" w:rsidRDefault="007B750F" w:rsidP="007B750F">
      <w:pPr>
        <w:pStyle w:val="Overskrift3"/>
      </w:pPr>
      <w:bookmarkStart w:id="1318" w:name="_Toc477535541"/>
      <w:bookmarkStart w:id="1319" w:name="_Toc477630673"/>
      <w:bookmarkStart w:id="1320" w:name="_Toc477693637"/>
      <w:bookmarkStart w:id="1321" w:name="_Toc477704011"/>
      <w:bookmarkStart w:id="1322" w:name="_Toc477799224"/>
      <w:bookmarkStart w:id="1323" w:name="_Toc477805826"/>
      <w:bookmarkStart w:id="1324" w:name="_Toc477878086"/>
      <w:bookmarkStart w:id="1325" w:name="_Toc477881489"/>
      <w:bookmarkStart w:id="1326" w:name="_Toc477885949"/>
      <w:bookmarkStart w:id="1327" w:name="_Toc478131378"/>
      <w:bookmarkStart w:id="1328" w:name="_Toc478138748"/>
      <w:bookmarkStart w:id="1329" w:name="_Toc478232276"/>
      <w:bookmarkStart w:id="1330" w:name="_Toc478237260"/>
      <w:bookmarkStart w:id="1331" w:name="_Toc481761799"/>
      <w:bookmarkStart w:id="1332" w:name="_Toc492900452"/>
      <w:r>
        <w:t>Egen kirkelov eller særlige bestemmelser om Den norske kirke i en felles lov?</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t xml:space="preserve"> </w:t>
      </w:r>
    </w:p>
    <w:p w:rsidR="007B750F" w:rsidRDefault="007B750F" w:rsidP="007B750F">
      <w:pPr>
        <w:rPr>
          <w:rFonts w:cs="Times New Roman"/>
          <w:szCs w:val="24"/>
        </w:rPr>
      </w:pPr>
      <w:r>
        <w:rPr>
          <w:rFonts w:cs="Times New Roman"/>
          <w:szCs w:val="24"/>
        </w:rPr>
        <w:t xml:space="preserve">Kirkemøtet har ment at det bør gis en egen lov om Den norske kirke, jf. blant annet vedtaket i KM sak 11/15. </w:t>
      </w:r>
    </w:p>
    <w:p w:rsidR="007B750F" w:rsidRDefault="007B750F" w:rsidP="007B750F">
      <w:pPr>
        <w:rPr>
          <w:rFonts w:cs="Times New Roman"/>
          <w:szCs w:val="24"/>
        </w:rPr>
      </w:pPr>
      <w:r>
        <w:rPr>
          <w:rFonts w:cs="Times New Roman"/>
          <w:szCs w:val="24"/>
        </w:rPr>
        <w:t xml:space="preserve">Som det har framgått, foreslår departementet at den særlige lovgivningen om Den norske kirke </w:t>
      </w:r>
      <w:r w:rsidR="00104F5C">
        <w:rPr>
          <w:rFonts w:cs="Times New Roman"/>
          <w:szCs w:val="24"/>
        </w:rPr>
        <w:t>tas inn som et eget kapittel i en felles lov</w:t>
      </w:r>
      <w:r>
        <w:rPr>
          <w:rFonts w:cs="Times New Roman"/>
          <w:szCs w:val="24"/>
        </w:rPr>
        <w:t xml:space="preserve"> om tros- og livssynssamfunn. Spørsmålet om det heller skal gis en </w:t>
      </w:r>
      <w:r w:rsidRPr="00153237">
        <w:rPr>
          <w:rFonts w:cs="Times New Roman"/>
          <w:szCs w:val="24"/>
        </w:rPr>
        <w:t xml:space="preserve">egen lov for Den norske kirke, </w:t>
      </w:r>
      <w:r>
        <w:rPr>
          <w:rFonts w:cs="Times New Roman"/>
          <w:szCs w:val="24"/>
        </w:rPr>
        <w:t xml:space="preserve">har – slik departementet ser det – </w:t>
      </w:r>
      <w:r w:rsidRPr="00153237">
        <w:rPr>
          <w:rFonts w:cs="Times New Roman"/>
          <w:szCs w:val="24"/>
        </w:rPr>
        <w:t xml:space="preserve">primært </w:t>
      </w:r>
      <w:r>
        <w:rPr>
          <w:rFonts w:cs="Times New Roman"/>
          <w:szCs w:val="24"/>
        </w:rPr>
        <w:t>lovteknisk karakter. Det</w:t>
      </w:r>
      <w:r w:rsidRPr="00153237">
        <w:rPr>
          <w:rFonts w:cs="Times New Roman"/>
          <w:szCs w:val="24"/>
        </w:rPr>
        <w:t xml:space="preserve"> kan </w:t>
      </w:r>
      <w:r>
        <w:rPr>
          <w:rFonts w:cs="Times New Roman"/>
          <w:szCs w:val="24"/>
        </w:rPr>
        <w:t xml:space="preserve">naturligvis </w:t>
      </w:r>
      <w:r w:rsidRPr="00153237">
        <w:rPr>
          <w:rFonts w:cs="Times New Roman"/>
          <w:szCs w:val="24"/>
        </w:rPr>
        <w:t>ha</w:t>
      </w:r>
      <w:r>
        <w:rPr>
          <w:rFonts w:cs="Times New Roman"/>
          <w:szCs w:val="24"/>
        </w:rPr>
        <w:t xml:space="preserve"> en viss symbolsk betydning, men</w:t>
      </w:r>
      <w:r w:rsidRPr="00153237">
        <w:rPr>
          <w:rFonts w:cs="Times New Roman"/>
          <w:szCs w:val="24"/>
        </w:rPr>
        <w:t xml:space="preserve"> de</w:t>
      </w:r>
      <w:r w:rsidR="00104F5C">
        <w:rPr>
          <w:rFonts w:cs="Times New Roman"/>
          <w:szCs w:val="24"/>
        </w:rPr>
        <w:t>partementet mener at de</w:t>
      </w:r>
      <w:r w:rsidRPr="00153237">
        <w:rPr>
          <w:rFonts w:cs="Times New Roman"/>
          <w:szCs w:val="24"/>
        </w:rPr>
        <w:t xml:space="preserve"> </w:t>
      </w:r>
      <w:r>
        <w:rPr>
          <w:rFonts w:cs="Times New Roman"/>
          <w:szCs w:val="24"/>
        </w:rPr>
        <w:t xml:space="preserve">materielle vurderingene </w:t>
      </w:r>
      <w:r w:rsidR="00104F5C">
        <w:rPr>
          <w:rFonts w:cs="Times New Roman"/>
          <w:szCs w:val="24"/>
        </w:rPr>
        <w:t xml:space="preserve">av reguleringsbehovet </w:t>
      </w:r>
      <w:r>
        <w:rPr>
          <w:rFonts w:cs="Times New Roman"/>
          <w:szCs w:val="24"/>
        </w:rPr>
        <w:t xml:space="preserve">vil være de samme enten "kirkeparagrafene" gis </w:t>
      </w:r>
      <w:r w:rsidRPr="00153237">
        <w:rPr>
          <w:rFonts w:cs="Times New Roman"/>
          <w:szCs w:val="24"/>
        </w:rPr>
        <w:t>i en egen lov eller i en felles lov.</w:t>
      </w:r>
      <w:r>
        <w:rPr>
          <w:rFonts w:cs="Times New Roman"/>
          <w:szCs w:val="24"/>
        </w:rPr>
        <w:t xml:space="preserve"> </w:t>
      </w:r>
    </w:p>
    <w:p w:rsidR="00A71C70" w:rsidRDefault="00A71C70" w:rsidP="007B750F">
      <w:pPr>
        <w:rPr>
          <w:rFonts w:cs="Times New Roman"/>
          <w:szCs w:val="24"/>
        </w:rPr>
      </w:pPr>
      <w:r>
        <w:rPr>
          <w:rFonts w:cs="Times New Roman"/>
          <w:szCs w:val="24"/>
        </w:rPr>
        <w:t>Hensynet til forenkling og likebehandling ta</w:t>
      </w:r>
      <w:r w:rsidR="00020360">
        <w:rPr>
          <w:rFonts w:cs="Times New Roman"/>
          <w:szCs w:val="24"/>
        </w:rPr>
        <w:t>le</w:t>
      </w:r>
      <w:r>
        <w:rPr>
          <w:rFonts w:cs="Times New Roman"/>
          <w:szCs w:val="24"/>
        </w:rPr>
        <w:t>r for den løsningen som er foreslått her.</w:t>
      </w:r>
    </w:p>
    <w:p w:rsidR="00A62BB2" w:rsidRDefault="00A62BB2" w:rsidP="00A62BB2">
      <w:r>
        <w:br w:type="page"/>
      </w:r>
    </w:p>
    <w:p w:rsidR="00944062" w:rsidRDefault="00944062" w:rsidP="00944062">
      <w:pPr>
        <w:pStyle w:val="Overskrift1"/>
      </w:pPr>
      <w:bookmarkStart w:id="1333" w:name="_Toc470087677"/>
      <w:bookmarkStart w:id="1334" w:name="_Toc476320922"/>
      <w:bookmarkStart w:id="1335" w:name="_Toc477277227"/>
      <w:bookmarkStart w:id="1336" w:name="_Toc477535542"/>
      <w:bookmarkStart w:id="1337" w:name="_Toc477630674"/>
      <w:bookmarkStart w:id="1338" w:name="_Toc477693638"/>
      <w:bookmarkStart w:id="1339" w:name="_Toc477704012"/>
      <w:bookmarkStart w:id="1340" w:name="_Toc477799225"/>
      <w:bookmarkStart w:id="1341" w:name="_Toc477805827"/>
      <w:bookmarkStart w:id="1342" w:name="_Toc477878087"/>
      <w:bookmarkStart w:id="1343" w:name="_Toc477881490"/>
      <w:bookmarkStart w:id="1344" w:name="_Toc477885950"/>
      <w:bookmarkStart w:id="1345" w:name="_Toc478131379"/>
      <w:bookmarkStart w:id="1346" w:name="_Toc478138749"/>
      <w:bookmarkStart w:id="1347" w:name="_Toc478232277"/>
      <w:bookmarkStart w:id="1348" w:name="_Toc478237261"/>
      <w:bookmarkStart w:id="1349" w:name="_Toc481761800"/>
      <w:bookmarkStart w:id="1350" w:name="_Toc492900453"/>
      <w:r w:rsidRPr="00C6494B">
        <w:lastRenderedPageBreak/>
        <w:t>Finansieringen av Den norske kirke</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944062" w:rsidRPr="0084542C" w:rsidRDefault="00711065" w:rsidP="0084542C">
      <w:pPr>
        <w:pStyle w:val="Overskrift2"/>
      </w:pPr>
      <w:bookmarkStart w:id="1351" w:name="_Toc470087675"/>
      <w:bookmarkStart w:id="1352" w:name="_Toc476320923"/>
      <w:bookmarkStart w:id="1353" w:name="_Toc477277228"/>
      <w:bookmarkStart w:id="1354" w:name="_Toc477535543"/>
      <w:bookmarkStart w:id="1355" w:name="_Toc477630675"/>
      <w:bookmarkStart w:id="1356" w:name="_Toc477693639"/>
      <w:bookmarkStart w:id="1357" w:name="_Toc477704013"/>
      <w:bookmarkStart w:id="1358" w:name="_Toc477799226"/>
      <w:bookmarkStart w:id="1359" w:name="_Toc477805829"/>
      <w:bookmarkStart w:id="1360" w:name="_Toc477878089"/>
      <w:bookmarkStart w:id="1361" w:name="_Toc477881492"/>
      <w:bookmarkStart w:id="1362" w:name="_Toc477885952"/>
      <w:bookmarkStart w:id="1363" w:name="_Toc478131380"/>
      <w:bookmarkStart w:id="1364" w:name="_Toc478138750"/>
      <w:bookmarkStart w:id="1365" w:name="_Toc478232278"/>
      <w:bookmarkStart w:id="1366" w:name="_Toc478237262"/>
      <w:bookmarkStart w:id="1367" w:name="_Toc481761801"/>
      <w:bookmarkStart w:id="1368" w:name="_Toc492900454"/>
      <w:r w:rsidRPr="0084542C">
        <w:t>I</w:t>
      </w:r>
      <w:r w:rsidR="00944062" w:rsidRPr="0084542C">
        <w:t>nnledning</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EA2E2B" w:rsidRDefault="002625F2" w:rsidP="00A77302">
      <w:pPr>
        <w:rPr>
          <w:rFonts w:cs="Times New Roman"/>
          <w:szCs w:val="24"/>
        </w:rPr>
      </w:pPr>
      <w:r>
        <w:rPr>
          <w:rFonts w:cs="Times New Roman"/>
          <w:szCs w:val="24"/>
        </w:rPr>
        <w:t>Departementet viser til kap</w:t>
      </w:r>
      <w:r w:rsidR="00EA2F30">
        <w:rPr>
          <w:rFonts w:cs="Times New Roman"/>
          <w:szCs w:val="24"/>
        </w:rPr>
        <w:t xml:space="preserve">ittel </w:t>
      </w:r>
      <w:r w:rsidRPr="002625F2">
        <w:rPr>
          <w:rFonts w:cs="Times New Roman"/>
          <w:szCs w:val="24"/>
        </w:rPr>
        <w:t>6</w:t>
      </w:r>
      <w:r w:rsidR="009A1941">
        <w:rPr>
          <w:rFonts w:cs="Times New Roman"/>
          <w:szCs w:val="24"/>
        </w:rPr>
        <w:t xml:space="preserve">, blant annet om </w:t>
      </w:r>
      <w:r w:rsidRPr="002625F2">
        <w:rPr>
          <w:rFonts w:cs="Times New Roman"/>
          <w:szCs w:val="24"/>
        </w:rPr>
        <w:t>forståelsen av den understøttelsesplikt</w:t>
      </w:r>
      <w:r w:rsidR="00C51F95">
        <w:rPr>
          <w:rFonts w:cs="Times New Roman"/>
          <w:szCs w:val="24"/>
        </w:rPr>
        <w:t xml:space="preserve">en </w:t>
      </w:r>
      <w:r w:rsidRPr="002625F2">
        <w:rPr>
          <w:rFonts w:cs="Times New Roman"/>
          <w:szCs w:val="24"/>
        </w:rPr>
        <w:t>som staten har overfor Den norske kirke etter Grunnloven § 16</w:t>
      </w:r>
      <w:r w:rsidR="0083472B">
        <w:rPr>
          <w:rFonts w:cs="Times New Roman"/>
          <w:szCs w:val="24"/>
        </w:rPr>
        <w:t xml:space="preserve"> og verdien av en aktivt støttende tros- og livssynspolitikk.</w:t>
      </w:r>
      <w:r w:rsidR="009A1941">
        <w:rPr>
          <w:rFonts w:cs="Times New Roman"/>
          <w:szCs w:val="24"/>
        </w:rPr>
        <w:t xml:space="preserve"> </w:t>
      </w:r>
      <w:r w:rsidR="009A1941" w:rsidRPr="009A1941">
        <w:rPr>
          <w:rFonts w:cs="Times New Roman"/>
          <w:szCs w:val="24"/>
        </w:rPr>
        <w:t xml:space="preserve">Drøftingene </w:t>
      </w:r>
      <w:r w:rsidR="009A1941">
        <w:rPr>
          <w:rFonts w:cs="Times New Roman"/>
          <w:szCs w:val="24"/>
        </w:rPr>
        <w:t xml:space="preserve">der </w:t>
      </w:r>
      <w:r w:rsidR="0083472B">
        <w:rPr>
          <w:rFonts w:cs="Times New Roman"/>
          <w:szCs w:val="24"/>
        </w:rPr>
        <w:t xml:space="preserve">gir </w:t>
      </w:r>
      <w:r w:rsidR="009A1941" w:rsidRPr="009A1941">
        <w:rPr>
          <w:rFonts w:cs="Times New Roman"/>
          <w:szCs w:val="24"/>
        </w:rPr>
        <w:t>bakgrunn</w:t>
      </w:r>
      <w:r w:rsidR="0083472B">
        <w:rPr>
          <w:rFonts w:cs="Times New Roman"/>
          <w:szCs w:val="24"/>
        </w:rPr>
        <w:t xml:space="preserve">en for at </w:t>
      </w:r>
      <w:r>
        <w:rPr>
          <w:rFonts w:cs="Times New Roman"/>
          <w:szCs w:val="24"/>
        </w:rPr>
        <w:t>departementet</w:t>
      </w:r>
      <w:r w:rsidR="0083472B">
        <w:rPr>
          <w:rFonts w:cs="Times New Roman"/>
          <w:szCs w:val="24"/>
        </w:rPr>
        <w:t xml:space="preserve"> i forslaget til felles lov </w:t>
      </w:r>
      <w:r w:rsidR="00611515">
        <w:rPr>
          <w:rFonts w:cs="Times New Roman"/>
          <w:szCs w:val="24"/>
        </w:rPr>
        <w:t>om</w:t>
      </w:r>
      <w:r w:rsidR="0083472B">
        <w:rPr>
          <w:rFonts w:cs="Times New Roman"/>
          <w:szCs w:val="24"/>
        </w:rPr>
        <w:t xml:space="preserve"> tros- og livssynssamfunn går inn for å føre videre </w:t>
      </w:r>
      <w:r w:rsidR="00611515">
        <w:rPr>
          <w:rFonts w:cs="Times New Roman"/>
          <w:szCs w:val="24"/>
        </w:rPr>
        <w:t>en offentlig</w:t>
      </w:r>
      <w:r w:rsidR="0083472B">
        <w:rPr>
          <w:rFonts w:cs="Times New Roman"/>
          <w:szCs w:val="24"/>
        </w:rPr>
        <w:t xml:space="preserve"> finansiering av D</w:t>
      </w:r>
      <w:r w:rsidR="00EA2E2B">
        <w:rPr>
          <w:rFonts w:cs="Times New Roman"/>
          <w:szCs w:val="24"/>
        </w:rPr>
        <w:t xml:space="preserve">en norske kirke </w:t>
      </w:r>
      <w:r w:rsidR="0083472B">
        <w:rPr>
          <w:rFonts w:cs="Times New Roman"/>
          <w:szCs w:val="24"/>
        </w:rPr>
        <w:t xml:space="preserve">og andre tros- og livssynssamfunn. </w:t>
      </w:r>
    </w:p>
    <w:p w:rsidR="009A1941" w:rsidRDefault="00944062" w:rsidP="00A77302">
      <w:r>
        <w:t xml:space="preserve">Hovedspørsmålet </w:t>
      </w:r>
      <w:r w:rsidR="00EA2E2B">
        <w:t xml:space="preserve">som drøftes i </w:t>
      </w:r>
      <w:r>
        <w:t>det</w:t>
      </w:r>
      <w:r w:rsidR="00EA2E2B">
        <w:t xml:space="preserve"> følgende, </w:t>
      </w:r>
      <w:r>
        <w:t xml:space="preserve">er </w:t>
      </w:r>
      <w:r w:rsidR="00EA2E2B">
        <w:t xml:space="preserve">innretningen av den offentlige finansieringen av Den norske kirke, særlig om dagens </w:t>
      </w:r>
      <w:r>
        <w:t>økonomiske ansvarsdeling mellom staten og kommunene på kirkens område bør føres videre. Slik departementet ser det, er alternativet til dagens oppgavefordeling mellom staten og kommunene at staten tar over det offentlige finansieringsansvaret.</w:t>
      </w:r>
      <w:r w:rsidR="00EA2E2B">
        <w:t xml:space="preserve"> </w:t>
      </w:r>
      <w:r w:rsidR="009A1941">
        <w:t xml:space="preserve">Departementet har </w:t>
      </w:r>
      <w:r w:rsidR="009A1941">
        <w:rPr>
          <w:rFonts w:cs="Times New Roman"/>
          <w:szCs w:val="24"/>
        </w:rPr>
        <w:t xml:space="preserve">ikke tatt stilling i </w:t>
      </w:r>
      <w:r w:rsidR="0083472B">
        <w:rPr>
          <w:rFonts w:cs="Times New Roman"/>
          <w:szCs w:val="24"/>
        </w:rPr>
        <w:t xml:space="preserve">dette </w:t>
      </w:r>
      <w:r w:rsidR="009A1941">
        <w:rPr>
          <w:rFonts w:cs="Times New Roman"/>
          <w:szCs w:val="24"/>
        </w:rPr>
        <w:t xml:space="preserve">spørsmålet. </w:t>
      </w:r>
      <w:r w:rsidR="009A1941">
        <w:t xml:space="preserve">For å legge et godt grunnlag for høringen er </w:t>
      </w:r>
      <w:r w:rsidR="0083472B">
        <w:t xml:space="preserve">de to </w:t>
      </w:r>
      <w:r w:rsidR="009A1941">
        <w:t>alternativene drøftet relativt inngående.</w:t>
      </w:r>
    </w:p>
    <w:p w:rsidR="000353C8" w:rsidRDefault="000353C8" w:rsidP="000353C8">
      <w:pPr>
        <w:rPr>
          <w:rFonts w:cs="Times New Roman"/>
          <w:szCs w:val="24"/>
        </w:rPr>
      </w:pPr>
      <w:r>
        <w:rPr>
          <w:rFonts w:cs="Times New Roman"/>
          <w:szCs w:val="24"/>
        </w:rPr>
        <w:t>D</w:t>
      </w:r>
      <w:r w:rsidR="00577479">
        <w:rPr>
          <w:rFonts w:cs="Times New Roman"/>
          <w:szCs w:val="24"/>
        </w:rPr>
        <w:t xml:space="preserve">epartementet </w:t>
      </w:r>
      <w:r>
        <w:rPr>
          <w:rFonts w:cs="Times New Roman"/>
          <w:szCs w:val="24"/>
        </w:rPr>
        <w:t>viser ellers til</w:t>
      </w:r>
      <w:r w:rsidR="00577479">
        <w:rPr>
          <w:rFonts w:cs="Times New Roman"/>
          <w:szCs w:val="24"/>
        </w:rPr>
        <w:t xml:space="preserve"> </w:t>
      </w:r>
      <w:r w:rsidR="003134B0">
        <w:rPr>
          <w:rFonts w:cs="Times New Roman"/>
          <w:szCs w:val="24"/>
        </w:rPr>
        <w:t>kap</w:t>
      </w:r>
      <w:r w:rsidR="00611515">
        <w:rPr>
          <w:rFonts w:cs="Times New Roman"/>
          <w:szCs w:val="24"/>
        </w:rPr>
        <w:t>ittel</w:t>
      </w:r>
      <w:r w:rsidR="003134B0">
        <w:rPr>
          <w:rFonts w:cs="Times New Roman"/>
          <w:szCs w:val="24"/>
        </w:rPr>
        <w:t xml:space="preserve"> </w:t>
      </w:r>
      <w:r>
        <w:rPr>
          <w:rFonts w:cs="Times New Roman"/>
          <w:szCs w:val="24"/>
        </w:rPr>
        <w:t>10</w:t>
      </w:r>
      <w:r w:rsidR="00944062">
        <w:rPr>
          <w:rFonts w:cs="Times New Roman"/>
          <w:szCs w:val="24"/>
        </w:rPr>
        <w:t>, der spørsmålet om medlems</w:t>
      </w:r>
      <w:r w:rsidR="00BC79CD">
        <w:rPr>
          <w:rFonts w:cs="Times New Roman"/>
          <w:szCs w:val="24"/>
        </w:rPr>
        <w:t xml:space="preserve">kontingent </w:t>
      </w:r>
      <w:r w:rsidR="00944062">
        <w:rPr>
          <w:rFonts w:cs="Times New Roman"/>
          <w:szCs w:val="24"/>
        </w:rPr>
        <w:t>i Den norske kirke er særskilt drøftet</w:t>
      </w:r>
      <w:r w:rsidR="00734040">
        <w:rPr>
          <w:rFonts w:cs="Times New Roman"/>
          <w:szCs w:val="24"/>
        </w:rPr>
        <w:t xml:space="preserve">, og til </w:t>
      </w:r>
      <w:r w:rsidR="003134B0">
        <w:rPr>
          <w:rFonts w:cs="Times New Roman"/>
          <w:szCs w:val="24"/>
        </w:rPr>
        <w:t>kap</w:t>
      </w:r>
      <w:r w:rsidR="00611515">
        <w:rPr>
          <w:rFonts w:cs="Times New Roman"/>
          <w:szCs w:val="24"/>
        </w:rPr>
        <w:t>ittel</w:t>
      </w:r>
      <w:r w:rsidR="003134B0">
        <w:rPr>
          <w:rFonts w:cs="Times New Roman"/>
          <w:szCs w:val="24"/>
        </w:rPr>
        <w:t xml:space="preserve"> </w:t>
      </w:r>
      <w:r>
        <w:rPr>
          <w:rFonts w:cs="Times New Roman"/>
          <w:szCs w:val="24"/>
        </w:rPr>
        <w:t>11</w:t>
      </w:r>
      <w:r w:rsidR="00136678">
        <w:rPr>
          <w:rFonts w:cs="Times New Roman"/>
          <w:szCs w:val="24"/>
        </w:rPr>
        <w:t xml:space="preserve"> om </w:t>
      </w:r>
      <w:r w:rsidR="00A6627A">
        <w:rPr>
          <w:rFonts w:cs="Times New Roman"/>
          <w:szCs w:val="24"/>
        </w:rPr>
        <w:t>kulturhistorisk verdifulle kirkebygg.</w:t>
      </w:r>
      <w:r w:rsidR="00136678">
        <w:rPr>
          <w:rFonts w:cs="Times New Roman"/>
          <w:szCs w:val="24"/>
        </w:rPr>
        <w:t xml:space="preserve"> </w:t>
      </w:r>
      <w:r w:rsidR="00944062">
        <w:rPr>
          <w:rFonts w:cs="Times New Roman"/>
          <w:szCs w:val="24"/>
        </w:rPr>
        <w:t>Opplysningsvesenets fond og eierskapss</w:t>
      </w:r>
      <w:r w:rsidR="003134B0">
        <w:rPr>
          <w:rFonts w:cs="Times New Roman"/>
          <w:szCs w:val="24"/>
        </w:rPr>
        <w:t>pørsmålet er behandlet i kap</w:t>
      </w:r>
      <w:r w:rsidR="0005272E">
        <w:rPr>
          <w:rFonts w:cs="Times New Roman"/>
          <w:szCs w:val="24"/>
        </w:rPr>
        <w:t>ittel</w:t>
      </w:r>
      <w:r w:rsidR="003134B0">
        <w:rPr>
          <w:rFonts w:cs="Times New Roman"/>
          <w:szCs w:val="24"/>
        </w:rPr>
        <w:t xml:space="preserve"> 1</w:t>
      </w:r>
      <w:r>
        <w:rPr>
          <w:rFonts w:cs="Times New Roman"/>
          <w:szCs w:val="24"/>
        </w:rPr>
        <w:t>2</w:t>
      </w:r>
      <w:r w:rsidR="00944062">
        <w:rPr>
          <w:rFonts w:cs="Times New Roman"/>
          <w:szCs w:val="24"/>
        </w:rPr>
        <w:t xml:space="preserve">, mens spørsmålet om landets </w:t>
      </w:r>
      <w:r w:rsidR="00611515">
        <w:rPr>
          <w:rFonts w:cs="Times New Roman"/>
          <w:szCs w:val="24"/>
        </w:rPr>
        <w:t xml:space="preserve">offentlige </w:t>
      </w:r>
      <w:r w:rsidR="00944062">
        <w:rPr>
          <w:rFonts w:cs="Times New Roman"/>
          <w:szCs w:val="24"/>
        </w:rPr>
        <w:t xml:space="preserve">gravplasser bør forvaltes av </w:t>
      </w:r>
      <w:r w:rsidR="00B77BE1">
        <w:rPr>
          <w:rFonts w:cs="Times New Roman"/>
          <w:szCs w:val="24"/>
        </w:rPr>
        <w:t xml:space="preserve">kirkelige organer </w:t>
      </w:r>
      <w:r w:rsidR="00944062">
        <w:rPr>
          <w:rFonts w:cs="Times New Roman"/>
          <w:szCs w:val="24"/>
        </w:rPr>
        <w:t>eller overføres ti</w:t>
      </w:r>
      <w:r w:rsidR="003134B0">
        <w:rPr>
          <w:rFonts w:cs="Times New Roman"/>
          <w:szCs w:val="24"/>
        </w:rPr>
        <w:t>l kommunene, er drøftet i kap</w:t>
      </w:r>
      <w:r w:rsidR="00611515">
        <w:rPr>
          <w:rFonts w:cs="Times New Roman"/>
          <w:szCs w:val="24"/>
        </w:rPr>
        <w:t>ittel</w:t>
      </w:r>
      <w:r w:rsidR="003134B0">
        <w:rPr>
          <w:rFonts w:cs="Times New Roman"/>
          <w:szCs w:val="24"/>
        </w:rPr>
        <w:t xml:space="preserve"> </w:t>
      </w:r>
      <w:r>
        <w:rPr>
          <w:rFonts w:cs="Times New Roman"/>
          <w:szCs w:val="24"/>
        </w:rPr>
        <w:t>22</w:t>
      </w:r>
      <w:r w:rsidR="00944062">
        <w:rPr>
          <w:rFonts w:cs="Times New Roman"/>
          <w:szCs w:val="24"/>
        </w:rPr>
        <w:t>. Spørsmålene som drøftes i disse kapitlene</w:t>
      </w:r>
      <w:r w:rsidR="003134B0">
        <w:rPr>
          <w:rFonts w:cs="Times New Roman"/>
          <w:szCs w:val="24"/>
        </w:rPr>
        <w:t>,</w:t>
      </w:r>
      <w:r w:rsidR="00944062">
        <w:rPr>
          <w:rFonts w:cs="Times New Roman"/>
          <w:szCs w:val="24"/>
        </w:rPr>
        <w:t xml:space="preserve"> angår finansiering</w:t>
      </w:r>
      <w:r w:rsidR="00611515">
        <w:rPr>
          <w:rFonts w:cs="Times New Roman"/>
          <w:szCs w:val="24"/>
        </w:rPr>
        <w:t>sordningene for</w:t>
      </w:r>
      <w:r w:rsidR="00944062">
        <w:rPr>
          <w:rFonts w:cs="Times New Roman"/>
          <w:szCs w:val="24"/>
        </w:rPr>
        <w:t xml:space="preserve"> Den norske kirke, men har etter departementets syn ikke avgjørende betydning for den generelle innretningen av den offentlige finansiering</w:t>
      </w:r>
      <w:r w:rsidR="009A1941">
        <w:rPr>
          <w:rFonts w:cs="Times New Roman"/>
          <w:szCs w:val="24"/>
        </w:rPr>
        <w:t>sordningen for kirke</w:t>
      </w:r>
      <w:r w:rsidR="00097172">
        <w:rPr>
          <w:rFonts w:cs="Times New Roman"/>
          <w:szCs w:val="24"/>
        </w:rPr>
        <w:t>n</w:t>
      </w:r>
      <w:r w:rsidR="009A1941">
        <w:rPr>
          <w:rFonts w:cs="Times New Roman"/>
          <w:szCs w:val="24"/>
        </w:rPr>
        <w:t xml:space="preserve">. </w:t>
      </w:r>
      <w:r w:rsidR="00EA2E2B">
        <w:rPr>
          <w:rFonts w:cs="Times New Roman"/>
          <w:szCs w:val="24"/>
        </w:rPr>
        <w:t xml:space="preserve">Det vises ellers til </w:t>
      </w:r>
      <w:r w:rsidR="0083472B">
        <w:rPr>
          <w:rFonts w:cs="Times New Roman"/>
          <w:szCs w:val="24"/>
        </w:rPr>
        <w:t>kap</w:t>
      </w:r>
      <w:r w:rsidR="00611515">
        <w:rPr>
          <w:rFonts w:cs="Times New Roman"/>
          <w:szCs w:val="24"/>
        </w:rPr>
        <w:t>ittel</w:t>
      </w:r>
      <w:r w:rsidR="0083472B">
        <w:rPr>
          <w:rFonts w:cs="Times New Roman"/>
          <w:szCs w:val="24"/>
        </w:rPr>
        <w:t xml:space="preserve"> </w:t>
      </w:r>
      <w:r w:rsidR="000B4C2C">
        <w:rPr>
          <w:rFonts w:cs="Times New Roman"/>
          <w:szCs w:val="24"/>
        </w:rPr>
        <w:t>21 om å innføre l</w:t>
      </w:r>
      <w:r w:rsidR="00282E7F">
        <w:rPr>
          <w:rFonts w:cs="Times New Roman"/>
          <w:szCs w:val="24"/>
        </w:rPr>
        <w:t>ivssynsavgift som en alternativ finansieringsmodell</w:t>
      </w:r>
      <w:r w:rsidR="000B4C2C">
        <w:rPr>
          <w:rFonts w:cs="Times New Roman"/>
          <w:szCs w:val="24"/>
        </w:rPr>
        <w:t xml:space="preserve"> for alle tros- og livssynssamfunn. Som nevnt ser ikke </w:t>
      </w:r>
      <w:r w:rsidR="00282E7F">
        <w:rPr>
          <w:rFonts w:cs="Times New Roman"/>
          <w:szCs w:val="24"/>
        </w:rPr>
        <w:t xml:space="preserve">departementet </w:t>
      </w:r>
      <w:r w:rsidR="000B4C2C">
        <w:rPr>
          <w:rFonts w:cs="Times New Roman"/>
          <w:szCs w:val="24"/>
        </w:rPr>
        <w:t xml:space="preserve">en slik finansieringsordning som aktuell. </w:t>
      </w:r>
    </w:p>
    <w:p w:rsidR="00944062" w:rsidRPr="0084542C" w:rsidRDefault="00711065" w:rsidP="0084542C">
      <w:pPr>
        <w:pStyle w:val="Overskrift2"/>
      </w:pPr>
      <w:bookmarkStart w:id="1369" w:name="_Toc477890280"/>
      <w:bookmarkStart w:id="1370" w:name="_Toc477936637"/>
      <w:bookmarkStart w:id="1371" w:name="_Toc477937810"/>
      <w:bookmarkStart w:id="1372" w:name="_Toc470087672"/>
      <w:bookmarkStart w:id="1373" w:name="_Toc476320924"/>
      <w:bookmarkStart w:id="1374" w:name="_Toc477277229"/>
      <w:bookmarkStart w:id="1375" w:name="_Toc477535544"/>
      <w:bookmarkStart w:id="1376" w:name="_Toc477630676"/>
      <w:bookmarkStart w:id="1377" w:name="_Toc477693640"/>
      <w:bookmarkStart w:id="1378" w:name="_Toc477704014"/>
      <w:bookmarkStart w:id="1379" w:name="_Toc477799227"/>
      <w:bookmarkStart w:id="1380" w:name="_Toc477805830"/>
      <w:bookmarkStart w:id="1381" w:name="_Toc477878090"/>
      <w:bookmarkStart w:id="1382" w:name="_Toc477881493"/>
      <w:bookmarkStart w:id="1383" w:name="_Toc477885953"/>
      <w:bookmarkStart w:id="1384" w:name="_Toc478131381"/>
      <w:bookmarkStart w:id="1385" w:name="_Toc478138751"/>
      <w:bookmarkStart w:id="1386" w:name="_Toc478232279"/>
      <w:bookmarkStart w:id="1387" w:name="_Toc478237263"/>
      <w:bookmarkStart w:id="1388" w:name="_Toc481761802"/>
      <w:bookmarkStart w:id="1389" w:name="_Toc492900455"/>
      <w:bookmarkEnd w:id="1369"/>
      <w:bookmarkEnd w:id="1370"/>
      <w:bookmarkEnd w:id="1371"/>
      <w:r w:rsidRPr="0084542C">
        <w:t>K</w:t>
      </w:r>
      <w:r w:rsidR="00944062" w:rsidRPr="0084542C">
        <w:t>irke</w:t>
      </w:r>
      <w:bookmarkEnd w:id="1372"/>
      <w:r w:rsidR="00944062" w:rsidRPr="0084542C">
        <w:t>ns finansiering i dag</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r w:rsidR="00944062" w:rsidRPr="0084542C">
        <w:t xml:space="preserve"> </w:t>
      </w:r>
    </w:p>
    <w:p w:rsidR="00944062" w:rsidRDefault="00944062" w:rsidP="00A77302">
      <w:r>
        <w:t xml:space="preserve">Den norske kirke disponerer i dag rundt 5,5 mrd. kroner i offentlige overføringer fra staten og kommunene. Den offentlige finansieringen er i hovedsak innrettet mot kirkebyggene, gudstjenestene og de kirkelige handlingene som finner sted i kirkebygget, foruten kirkens forvaltning av landets offentlige gravplasser. Statens tilskudd er på rundt 2 mrd. kroner, hvorav nær halvparten finansierer prestetjenesten. </w:t>
      </w:r>
    </w:p>
    <w:p w:rsidR="00944062" w:rsidRDefault="00944062" w:rsidP="00A77302">
      <w:r>
        <w:t>Antallet lønnede årsverk i Den norske kirke er ca. 6 000. Omtrent 65 pst. av kirkens driftsutgifter er lønnsutgifter.</w:t>
      </w:r>
    </w:p>
    <w:p w:rsidR="00944062" w:rsidRDefault="00944062" w:rsidP="00A77302">
      <w:r>
        <w:t>Nær 1 630 kirkebygg tilhører Den norske kirke. Et stort antall kirkebygg har kulturhistorisk verdi og mange er fredet. Det vesentlige av de kommunale tilskuddene finansierer vedlikeholdet og driften av kirkebyggene og de offentlige gravplassene med tilhørende lønnsutgifter.</w:t>
      </w:r>
    </w:p>
    <w:p w:rsidR="00944062" w:rsidRDefault="00944062" w:rsidP="00A77302">
      <w:r>
        <w:t xml:space="preserve">I historisk perspektiv har kirkens økonomi vært dominert av henholdsvis </w:t>
      </w:r>
      <w:r w:rsidR="000A5E16">
        <w:t xml:space="preserve">prestenes og kirkebyggenes </w:t>
      </w:r>
      <w:r>
        <w:t>økonomiske forhold. De økonomiske ordningene for Den norske kirke i dag representerer langt på vei en videreføring av disse opprinnelige to systemene, som hadde sitt utspring i prestegården</w:t>
      </w:r>
      <w:r w:rsidRPr="005A2083">
        <w:t xml:space="preserve"> </w:t>
      </w:r>
      <w:r>
        <w:t>og kirkebygget.</w:t>
      </w:r>
    </w:p>
    <w:p w:rsidR="00944062" w:rsidRDefault="00944062" w:rsidP="00A77302">
      <w:r>
        <w:t xml:space="preserve">På 1900-tallet ble det en stadig klarere økonomisk ansvarsdeling mellom staten og kommunene på kirkens område. Etter hvert som prestegårdene under Opplysningsvesenets fond var utilstrekkelige som finansieringskilde for prestelønningene, fikk staten i økende grad </w:t>
      </w:r>
      <w:r>
        <w:lastRenderedPageBreak/>
        <w:t xml:space="preserve">det økonomiske ansvaret for prestene, mens kommunene fikk ansvaret for kirkebyggene, kirkegårdene og de kirkelige stillingene det var behov for utover presten (klokker, organist, kirketjener, kirkegårdsbetjening). </w:t>
      </w:r>
    </w:p>
    <w:p w:rsidR="00944062" w:rsidRDefault="00944062" w:rsidP="00A77302">
      <w:r w:rsidRPr="000B4E29">
        <w:t>Statens</w:t>
      </w:r>
      <w:r>
        <w:t xml:space="preserve"> oppgaver har de siste tretti årene blitt utvidet til å finansiere oppbyggingen av kirkens regionale og nasjonale organer (bispedømmerådene, Kirkerådet, Kirkemøtet). Det siste tiåret har staten i tillegg gitt betydelige tilskudd til kirkens trosopplæring. Det kommunale finansieringsansvaret har i disse årene i hovedsak ligget fast.</w:t>
      </w:r>
    </w:p>
    <w:p w:rsidR="00944062" w:rsidRDefault="00944062" w:rsidP="00A77302">
      <w:r>
        <w:t>Bestemmelser om statens økonomiske ansvar på kirkens område er gitt i kirkeloven § 2 a som lyder:</w:t>
      </w:r>
    </w:p>
    <w:p w:rsidR="00944062" w:rsidRPr="001763A6" w:rsidRDefault="004E621D" w:rsidP="00D46082">
      <w:pPr>
        <w:pStyle w:val="blokksit"/>
        <w:rPr>
          <w:rStyle w:val="kursiv"/>
        </w:rPr>
      </w:pPr>
      <w:r w:rsidRPr="001763A6">
        <w:rPr>
          <w:rStyle w:val="kursiv"/>
        </w:rPr>
        <w:t xml:space="preserve">§ 2 </w:t>
      </w:r>
      <w:r w:rsidR="00944062" w:rsidRPr="001763A6">
        <w:rPr>
          <w:rStyle w:val="kursiv"/>
        </w:rPr>
        <w:t>a</w:t>
      </w:r>
      <w:r w:rsidRPr="001763A6">
        <w:rPr>
          <w:rStyle w:val="kursiv"/>
        </w:rPr>
        <w:t>.</w:t>
      </w:r>
      <w:r w:rsidR="00944062" w:rsidRPr="001763A6">
        <w:rPr>
          <w:rStyle w:val="kursiv"/>
        </w:rPr>
        <w:t xml:space="preserve"> Statens økonomiske ansvar </w:t>
      </w:r>
      <w:r w:rsidR="00944062" w:rsidRPr="001763A6">
        <w:rPr>
          <w:rStyle w:val="kursiv"/>
        </w:rPr>
        <w:tab/>
      </w:r>
      <w:r w:rsidR="00944062" w:rsidRPr="001763A6">
        <w:rPr>
          <w:rStyle w:val="kursiv"/>
        </w:rPr>
        <w:tab/>
      </w:r>
      <w:r w:rsidR="00944062" w:rsidRPr="001763A6">
        <w:rPr>
          <w:rStyle w:val="kursiv"/>
        </w:rPr>
        <w:tab/>
      </w:r>
      <w:r w:rsidR="00944062" w:rsidRPr="001763A6">
        <w:rPr>
          <w:rStyle w:val="kursiv"/>
        </w:rPr>
        <w:tab/>
      </w:r>
      <w:r w:rsidR="00944062" w:rsidRPr="001763A6">
        <w:rPr>
          <w:rStyle w:val="kursiv"/>
        </w:rPr>
        <w:tab/>
      </w:r>
      <w:r w:rsidR="00944062" w:rsidRPr="001763A6">
        <w:rPr>
          <w:rStyle w:val="kursiv"/>
        </w:rPr>
        <w:tab/>
      </w:r>
      <w:r w:rsidR="00944062" w:rsidRPr="001763A6">
        <w:rPr>
          <w:rStyle w:val="kursiv"/>
        </w:rPr>
        <w:tab/>
        <w:t xml:space="preserve">                         Etter budsjettsøknad fra Kirkemøtet gir staten tilskudd til prestetjenesten og kirkens virksomhet regionalt og nasjonalt. Staten kan gi tilskudd også til andre kirkelige formål.</w:t>
      </w:r>
    </w:p>
    <w:p w:rsidR="00944062" w:rsidRDefault="00944062" w:rsidP="00A77302">
      <w:r>
        <w:t>Bestemmelsen kom inn ve</w:t>
      </w:r>
      <w:r w:rsidR="008E467F">
        <w:t xml:space="preserve">d endringene i kirkeloven </w:t>
      </w:r>
      <w:r w:rsidR="00B77BE1">
        <w:t xml:space="preserve">i 2016. </w:t>
      </w:r>
      <w:r>
        <w:t xml:space="preserve">Statens bevilgninger til Den norske kirke gis fra 2017 som et rammetilskudd, som i 2017 er på 1,97 mrd. kroner. Det er Kirkemøtet som disponerer og fordeler tilskuddet på kirkens sentrale og regionale administrasjon, prestetjenesten, kirkens trosopplæring og andre formål som Kirkemøtet ønsker å støtte. Tilskuddet kan ikke benyttes til formål som kommunene har et lovfestet ansvar for. </w:t>
      </w:r>
    </w:p>
    <w:p w:rsidR="00944062" w:rsidRDefault="00944062" w:rsidP="00A77302">
      <w:r>
        <w:t>Utover rammetilskuddet til Den norske kirke gir staten et særskilt driftstilskudd til Sjømannskirken. I 2017 er tilskuddet på 92 mill. kroner. Sjømannskirken betjener nordmenn i utlandet og regnes som en del av Den norske kirke. Dessuten gis det over Svalbardbudsjettet et tilskudd øremerket for Svalbard kirke, nær 5 mill. kroner i 2017. Videre har Kulturdepartementet gjennom mange år gitt et årlig tilskudd på rundt 10 mill. kroner til KA til særskilte oppgaver innen kirkebyggfeltet. KA er en arbeidsgiverorganisasjon</w:t>
      </w:r>
      <w:r w:rsidR="00734040">
        <w:t xml:space="preserve"> for kirkelige virksomheter</w:t>
      </w:r>
      <w:r>
        <w:t xml:space="preserve">, </w:t>
      </w:r>
      <w:r w:rsidR="00734040">
        <w:t>og</w:t>
      </w:r>
      <w:r>
        <w:t xml:space="preserve"> har bygget opp et særlig kompetansemiljø innen kirkebyggfeltet. </w:t>
      </w:r>
    </w:p>
    <w:p w:rsidR="00944062" w:rsidRDefault="00944062" w:rsidP="00A77302">
      <w:r>
        <w:t>Siden restaureringen av Nidarosdomen ble påbegynt i 1869 har staten ved Nidaros domkirkes restaureringsarbeider (NDR) hatt det økonomiske ansvaret for domkirkens restaurering og det antikvariske vedlikeholdet. Driftsbudsjettet for NDR i 2017 er på rundt 65 mill. kroner, men regnes ikke som bevilgning til Den norske kirke.</w:t>
      </w:r>
    </w:p>
    <w:p w:rsidR="00944062" w:rsidRDefault="00944062" w:rsidP="00A77302">
      <w:r w:rsidRPr="00980614">
        <w:t>Kommunenes ø</w:t>
      </w:r>
      <w:r>
        <w:t>konomiske ansvar overfor Den norske kirke framgår av kirkeloven § 15</w:t>
      </w:r>
      <w:r w:rsidR="006B72FC">
        <w:t>, som</w:t>
      </w:r>
      <w:r>
        <w:t xml:space="preserve"> lyder:</w:t>
      </w:r>
    </w:p>
    <w:p w:rsidR="008E467F" w:rsidRPr="00D46082" w:rsidRDefault="00944062" w:rsidP="001763A6">
      <w:pPr>
        <w:pStyle w:val="blokksit"/>
        <w:rPr>
          <w:rStyle w:val="kursiv"/>
        </w:rPr>
      </w:pPr>
      <w:r w:rsidRPr="00D46082">
        <w:rPr>
          <w:rStyle w:val="kursiv"/>
        </w:rPr>
        <w:t>§ 15</w:t>
      </w:r>
      <w:r w:rsidR="004E621D" w:rsidRPr="00D46082">
        <w:rPr>
          <w:rStyle w:val="kursiv"/>
        </w:rPr>
        <w:t>.</w:t>
      </w:r>
      <w:r w:rsidRPr="00D46082">
        <w:rPr>
          <w:rStyle w:val="kursiv"/>
        </w:rPr>
        <w:t xml:space="preserve"> Kommunenes økonomiske ansvar</w:t>
      </w:r>
      <w:r w:rsidRPr="00D46082">
        <w:rPr>
          <w:rStyle w:val="kursiv"/>
        </w:rPr>
        <w:tab/>
      </w:r>
    </w:p>
    <w:p w:rsidR="004E621D" w:rsidRPr="00D46082" w:rsidRDefault="00944062" w:rsidP="001763A6">
      <w:pPr>
        <w:pStyle w:val="blokksit"/>
        <w:rPr>
          <w:rStyle w:val="kursiv"/>
        </w:rPr>
      </w:pPr>
      <w:r w:rsidRPr="00D46082">
        <w:rPr>
          <w:rStyle w:val="kursiv"/>
        </w:rPr>
        <w:t>Kommunen utreder følgende utgifter etter budsjettforslag fra kirkelig fellesråd</w:t>
      </w:r>
      <w:r w:rsidR="004E621D" w:rsidRPr="00D46082">
        <w:rPr>
          <w:rStyle w:val="kursiv"/>
        </w:rPr>
        <w:t>:</w:t>
      </w:r>
    </w:p>
    <w:p w:rsidR="008E467F" w:rsidRPr="00D46082" w:rsidRDefault="00944062" w:rsidP="002834ED">
      <w:pPr>
        <w:pStyle w:val="alfaliste2"/>
        <w:numPr>
          <w:ilvl w:val="1"/>
          <w:numId w:val="34"/>
        </w:numPr>
        <w:rPr>
          <w:rStyle w:val="kursiv"/>
        </w:rPr>
      </w:pPr>
      <w:r w:rsidRPr="00D46082">
        <w:rPr>
          <w:rStyle w:val="kursiv"/>
        </w:rPr>
        <w:t>utgifter til bygging, drift og vedlikehold av kirker,</w:t>
      </w:r>
    </w:p>
    <w:p w:rsidR="008E467F" w:rsidRPr="00D46082" w:rsidRDefault="00944062" w:rsidP="002834ED">
      <w:pPr>
        <w:pStyle w:val="alfaliste2"/>
        <w:numPr>
          <w:ilvl w:val="1"/>
          <w:numId w:val="34"/>
        </w:numPr>
        <w:rPr>
          <w:rStyle w:val="kursiv"/>
        </w:rPr>
      </w:pPr>
      <w:r w:rsidRPr="00D46082">
        <w:rPr>
          <w:rStyle w:val="kursiv"/>
        </w:rPr>
        <w:t>utgifter til anlegg og drift av kirkegårder,</w:t>
      </w:r>
      <w:r w:rsidRPr="00D46082">
        <w:rPr>
          <w:rStyle w:val="kursiv"/>
        </w:rPr>
        <w:tab/>
      </w:r>
      <w:r w:rsidRPr="00D46082">
        <w:rPr>
          <w:rStyle w:val="kursiv"/>
        </w:rPr>
        <w:tab/>
      </w:r>
      <w:r w:rsidRPr="00D46082">
        <w:rPr>
          <w:rStyle w:val="kursiv"/>
        </w:rPr>
        <w:tab/>
      </w:r>
      <w:r w:rsidRPr="00D46082">
        <w:rPr>
          <w:rStyle w:val="kursiv"/>
        </w:rPr>
        <w:tab/>
        <w:t xml:space="preserve">         </w:t>
      </w:r>
      <w:r w:rsidR="008E467F" w:rsidRPr="00D46082">
        <w:rPr>
          <w:rStyle w:val="kursiv"/>
        </w:rPr>
        <w:t xml:space="preserve">                             </w:t>
      </w:r>
    </w:p>
    <w:p w:rsidR="008E467F" w:rsidRPr="00D46082" w:rsidRDefault="00944062" w:rsidP="002834ED">
      <w:pPr>
        <w:pStyle w:val="alfaliste2"/>
        <w:numPr>
          <w:ilvl w:val="1"/>
          <w:numId w:val="34"/>
        </w:numPr>
        <w:rPr>
          <w:rStyle w:val="kursiv"/>
        </w:rPr>
      </w:pPr>
      <w:r w:rsidRPr="00D46082">
        <w:rPr>
          <w:rStyle w:val="kursiv"/>
        </w:rPr>
        <w:t>utgifter til stillinger for kirketjener, klokker og organist/kantor ved hver kirke, og til dagli</w:t>
      </w:r>
      <w:r w:rsidR="008E467F" w:rsidRPr="00D46082">
        <w:rPr>
          <w:rStyle w:val="kursiv"/>
        </w:rPr>
        <w:t>g leder av</w:t>
      </w:r>
      <w:r w:rsidRPr="00D46082">
        <w:rPr>
          <w:rStyle w:val="kursiv"/>
        </w:rPr>
        <w:t xml:space="preserve"> kirkelig fellesråd,</w:t>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t xml:space="preserve">                                                </w:t>
      </w:r>
    </w:p>
    <w:p w:rsidR="004E621D" w:rsidRPr="00D46082" w:rsidRDefault="00944062" w:rsidP="002834ED">
      <w:pPr>
        <w:pStyle w:val="alfaliste2"/>
        <w:numPr>
          <w:ilvl w:val="1"/>
          <w:numId w:val="34"/>
        </w:numPr>
        <w:rPr>
          <w:rStyle w:val="kursiv"/>
        </w:rPr>
      </w:pPr>
      <w:r w:rsidRPr="00D46082">
        <w:rPr>
          <w:rStyle w:val="kursiv"/>
        </w:rPr>
        <w:t>driftsutgifter for fellesråd og menighetsråd, herunder utgifter til administrasjon og kontorhold,</w:t>
      </w:r>
    </w:p>
    <w:p w:rsidR="008E467F" w:rsidRPr="00D46082" w:rsidRDefault="00944062" w:rsidP="002834ED">
      <w:pPr>
        <w:pStyle w:val="alfaliste2"/>
        <w:numPr>
          <w:ilvl w:val="1"/>
          <w:numId w:val="34"/>
        </w:numPr>
        <w:rPr>
          <w:rStyle w:val="kursiv"/>
        </w:rPr>
      </w:pPr>
      <w:r w:rsidRPr="00D46082">
        <w:rPr>
          <w:rStyle w:val="kursiv"/>
        </w:rPr>
        <w:t xml:space="preserve">utgifter til lokaler, utstyr og materiell til konfirmasjonsopplæring,                                                                                                        </w:t>
      </w:r>
    </w:p>
    <w:p w:rsidR="008E467F" w:rsidRPr="00D46082" w:rsidRDefault="00944062" w:rsidP="002834ED">
      <w:pPr>
        <w:pStyle w:val="alfaliste2"/>
        <w:numPr>
          <w:ilvl w:val="1"/>
          <w:numId w:val="34"/>
        </w:numPr>
        <w:rPr>
          <w:rStyle w:val="kursiv"/>
        </w:rPr>
      </w:pPr>
      <w:r w:rsidRPr="00D46082">
        <w:rPr>
          <w:rStyle w:val="kursiv"/>
        </w:rPr>
        <w:t>utgifter til kontorhold for prester</w:t>
      </w:r>
      <w:r w:rsidR="004E621D" w:rsidRPr="00D46082">
        <w:rPr>
          <w:rStyle w:val="kursiv"/>
        </w:rPr>
        <w:t>.</w:t>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p>
    <w:p w:rsidR="008E467F" w:rsidRPr="00D46082" w:rsidRDefault="00944062" w:rsidP="00D46082">
      <w:pPr>
        <w:pStyle w:val="blokksit"/>
        <w:rPr>
          <w:rStyle w:val="kursiv"/>
        </w:rPr>
      </w:pPr>
      <w:r w:rsidRPr="00D46082">
        <w:rPr>
          <w:rStyle w:val="kursiv"/>
        </w:rPr>
        <w:t>Fellesrådets budsjettforslag skal også omfatte utgifter til kirkelig undervisning, diakoni, kirkemusikk og andre kirkelige tiltak i soknene.</w:t>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r w:rsidRPr="00D46082">
        <w:rPr>
          <w:rStyle w:val="kursiv"/>
        </w:rPr>
        <w:tab/>
      </w:r>
    </w:p>
    <w:p w:rsidR="008E467F" w:rsidRPr="00D46082" w:rsidRDefault="00944062" w:rsidP="00D46082">
      <w:pPr>
        <w:pStyle w:val="blokksit"/>
        <w:rPr>
          <w:rStyle w:val="kursiv"/>
        </w:rPr>
      </w:pPr>
      <w:r w:rsidRPr="00D46082">
        <w:rPr>
          <w:rStyle w:val="kursiv"/>
        </w:rPr>
        <w:lastRenderedPageBreak/>
        <w:t>Utgiftsdekningen skal gi grunnlag for at det i soknene kan holdes de gudstjenester biskopen forordner, at nødvendige kirkelige tjenester kan ytes, at arbeidsforholdene for de kirkelig tilsatte er tilfredsstillende og at menighetsråd og fellesråd har tilstrekkelig administrativ hjelp.</w:t>
      </w:r>
    </w:p>
    <w:p w:rsidR="00611515" w:rsidRPr="00D46082" w:rsidRDefault="00944062" w:rsidP="00D46082">
      <w:pPr>
        <w:pStyle w:val="blokksit"/>
        <w:rPr>
          <w:rStyle w:val="kursiv"/>
        </w:rPr>
      </w:pPr>
      <w:r w:rsidRPr="00D46082">
        <w:rPr>
          <w:rStyle w:val="kursiv"/>
        </w:rPr>
        <w:t>Etter avtale med kirkelig fellesråd kan kommunal tjenesteyting tre i stedet for særskilt bevilgning til formål som nevnt etter denne paragraf.</w:t>
      </w:r>
    </w:p>
    <w:p w:rsidR="00611515" w:rsidRPr="00D46082" w:rsidRDefault="00611515" w:rsidP="00D46082">
      <w:pPr>
        <w:pStyle w:val="blokksit"/>
        <w:rPr>
          <w:rStyle w:val="kursiv"/>
        </w:rPr>
      </w:pPr>
      <w:r w:rsidRPr="00D46082">
        <w:rPr>
          <w:rStyle w:val="kursiv"/>
        </w:rPr>
        <w:t>Kongen kan gi forskrift om kommunenes forpliktelser etter denne paragraf.</w:t>
      </w:r>
    </w:p>
    <w:p w:rsidR="001F3E57" w:rsidRPr="00D46082" w:rsidRDefault="00611515" w:rsidP="00D46082">
      <w:pPr>
        <w:pStyle w:val="blokksit"/>
        <w:rPr>
          <w:rStyle w:val="kursiv"/>
        </w:rPr>
      </w:pPr>
      <w:r w:rsidRPr="00D46082">
        <w:rPr>
          <w:rStyle w:val="kursiv"/>
        </w:rPr>
        <w:t>Kommunen kan ta opp lån for fi</w:t>
      </w:r>
      <w:r w:rsidR="001F3E57" w:rsidRPr="00D46082">
        <w:rPr>
          <w:rStyle w:val="kursiv"/>
        </w:rPr>
        <w:t>n</w:t>
      </w:r>
      <w:r w:rsidRPr="00D46082">
        <w:rPr>
          <w:rStyle w:val="kursiv"/>
        </w:rPr>
        <w:t>ansiering av sine</w:t>
      </w:r>
      <w:r w:rsidR="001F3E57" w:rsidRPr="00D46082">
        <w:rPr>
          <w:rStyle w:val="kursiv"/>
        </w:rPr>
        <w:t xml:space="preserve"> </w:t>
      </w:r>
      <w:r w:rsidRPr="00D46082">
        <w:rPr>
          <w:rStyle w:val="kursiv"/>
        </w:rPr>
        <w:t>f</w:t>
      </w:r>
      <w:r w:rsidR="001F3E57" w:rsidRPr="00D46082">
        <w:rPr>
          <w:rStyle w:val="kursiv"/>
        </w:rPr>
        <w:t>o</w:t>
      </w:r>
      <w:r w:rsidRPr="00D46082">
        <w:rPr>
          <w:rStyle w:val="kursiv"/>
        </w:rPr>
        <w:t>rpl</w:t>
      </w:r>
      <w:r w:rsidR="001F3E57" w:rsidRPr="00D46082">
        <w:rPr>
          <w:rStyle w:val="kursiv"/>
        </w:rPr>
        <w:t>i</w:t>
      </w:r>
      <w:r w:rsidRPr="00D46082">
        <w:rPr>
          <w:rStyle w:val="kursiv"/>
        </w:rPr>
        <w:t xml:space="preserve">ktelser etter første ledd bokstav a) og b). De nærmere vilkår for kommunens </w:t>
      </w:r>
      <w:r w:rsidR="001F3E57" w:rsidRPr="00D46082">
        <w:rPr>
          <w:rStyle w:val="kursiv"/>
        </w:rPr>
        <w:t>låneopptak fremgår av kommunelovens § 50.</w:t>
      </w:r>
    </w:p>
    <w:p w:rsidR="00944062" w:rsidRPr="00D46082" w:rsidRDefault="001F3E57" w:rsidP="00D46082">
      <w:pPr>
        <w:pStyle w:val="blokksit"/>
        <w:rPr>
          <w:rStyle w:val="kursiv"/>
        </w:rPr>
      </w:pPr>
      <w:r w:rsidRPr="00D46082">
        <w:rPr>
          <w:rStyle w:val="kursiv"/>
        </w:rPr>
        <w:t xml:space="preserve">Representant for kirkelig fellesråd kan gis møte- og talerett i kommunale organ når disse behandler saker som direkte berører fellesrådets virksomhet. </w:t>
      </w:r>
      <w:r w:rsidR="00944062" w:rsidRPr="00D46082">
        <w:rPr>
          <w:rStyle w:val="kursiv"/>
        </w:rPr>
        <w:tab/>
      </w:r>
      <w:r w:rsidR="00944062" w:rsidRPr="00D46082">
        <w:rPr>
          <w:rStyle w:val="kursiv"/>
        </w:rPr>
        <w:tab/>
      </w:r>
      <w:r w:rsidR="00944062" w:rsidRPr="00D46082">
        <w:rPr>
          <w:rStyle w:val="kursiv"/>
        </w:rPr>
        <w:tab/>
      </w:r>
    </w:p>
    <w:p w:rsidR="00944062" w:rsidRDefault="00944062" w:rsidP="00A77302">
      <w:r>
        <w:t>Det er det kirkelige fellesrådet i kommunen som på vegne av soknene mottar de kommunale bevilgningene til kirkens virksomhet. D</w:t>
      </w:r>
      <w:r w:rsidRPr="00243694">
        <w:t>e</w:t>
      </w:r>
      <w:r>
        <w:t>t vanlige er at de kommunale bevilgningene ikke er spesifisert på formål</w:t>
      </w:r>
      <w:r w:rsidRPr="00243694">
        <w:t xml:space="preserve"> </w:t>
      </w:r>
      <w:r>
        <w:t xml:space="preserve">nevnt i § 15, men gis som et rammetilskudd til fellesrådet, som forvalter og disponerer bevilgningene til kirkebyggenes drift og vedlikehold, til lønnsutgiftene for de kirkelig ansatte, til gravplassforvaltningen m.m. </w:t>
      </w:r>
    </w:p>
    <w:p w:rsidR="00944062" w:rsidRDefault="00944062" w:rsidP="00A77302">
      <w:r>
        <w:t xml:space="preserve">De </w:t>
      </w:r>
      <w:r w:rsidRPr="00243694">
        <w:t xml:space="preserve">kommunale </w:t>
      </w:r>
      <w:r>
        <w:t>drifts</w:t>
      </w:r>
      <w:r w:rsidRPr="00243694">
        <w:t xml:space="preserve">tilskuddene </w:t>
      </w:r>
      <w:r>
        <w:t xml:space="preserve">til Den norske kirke var </w:t>
      </w:r>
      <w:r w:rsidRPr="00243694">
        <w:t xml:space="preserve">på </w:t>
      </w:r>
      <w:r>
        <w:t xml:space="preserve">ca. 3 mrd. </w:t>
      </w:r>
      <w:r w:rsidRPr="00243694">
        <w:t>kroner</w:t>
      </w:r>
      <w:r>
        <w:t xml:space="preserve"> i</w:t>
      </w:r>
      <w:r w:rsidR="00157978">
        <w:t xml:space="preserve"> 2016</w:t>
      </w:r>
      <w:r w:rsidR="00E74FA6">
        <w:t>.</w:t>
      </w:r>
      <w:r>
        <w:t xml:space="preserve"> De kommunale investeringstilskuddene (i det vesentlige til kirkebygg og gravplasser) </w:t>
      </w:r>
      <w:r w:rsidR="004E621D">
        <w:t>kommer i tillegg. D</w:t>
      </w:r>
      <w:r w:rsidR="00360916">
        <w:t>isse</w:t>
      </w:r>
      <w:r w:rsidR="00E747CD">
        <w:t xml:space="preserve"> var</w:t>
      </w:r>
      <w:r w:rsidR="00B77BE1">
        <w:t xml:space="preserve"> i 201</w:t>
      </w:r>
      <w:r w:rsidR="00E74FA6">
        <w:t>6</w:t>
      </w:r>
      <w:r w:rsidR="00B77BE1">
        <w:t xml:space="preserve"> </w:t>
      </w:r>
      <w:r>
        <w:t xml:space="preserve">på </w:t>
      </w:r>
      <w:r w:rsidR="00157978">
        <w:t>730</w:t>
      </w:r>
      <w:r>
        <w:t xml:space="preserve"> mill. kroner.</w:t>
      </w:r>
    </w:p>
    <w:p w:rsidR="00944062" w:rsidRDefault="00944062" w:rsidP="00A77302">
      <w:r w:rsidRPr="00243694">
        <w:t>De kirkelige fellesrådenes drifts</w:t>
      </w:r>
      <w:r>
        <w:t xml:space="preserve">inntekter </w:t>
      </w:r>
      <w:r w:rsidRPr="00243694">
        <w:t xml:space="preserve">var </w:t>
      </w:r>
      <w:r w:rsidR="00157978">
        <w:t>i 2016</w:t>
      </w:r>
      <w:r>
        <w:t xml:space="preserve"> </w:t>
      </w:r>
      <w:r w:rsidRPr="00243694">
        <w:t>på</w:t>
      </w:r>
      <w:r w:rsidR="00157978">
        <w:t xml:space="preserve"> ca. 4,5</w:t>
      </w:r>
      <w:r>
        <w:t xml:space="preserve"> </w:t>
      </w:r>
      <w:r w:rsidRPr="00243694">
        <w:t>m</w:t>
      </w:r>
      <w:r>
        <w:t xml:space="preserve">rd. </w:t>
      </w:r>
      <w:r w:rsidRPr="00243694">
        <w:t xml:space="preserve">kroner, mens </w:t>
      </w:r>
      <w:r>
        <w:t xml:space="preserve">driftsutgiftene var på ca. 4,4 mrd. kroner. Fellesrådenes </w:t>
      </w:r>
      <w:r w:rsidRPr="00243694">
        <w:t>investering</w:t>
      </w:r>
      <w:r>
        <w:t xml:space="preserve">sinntekter </w:t>
      </w:r>
      <w:r w:rsidRPr="00243694">
        <w:t xml:space="preserve">var på </w:t>
      </w:r>
      <w:r>
        <w:t xml:space="preserve">ca. </w:t>
      </w:r>
      <w:r w:rsidR="00157978">
        <w:t>950 mill.</w:t>
      </w:r>
      <w:r>
        <w:t xml:space="preserve"> </w:t>
      </w:r>
      <w:r w:rsidRPr="00243694">
        <w:t xml:space="preserve">kroner. </w:t>
      </w:r>
      <w:r>
        <w:t xml:space="preserve">Investeringsutgiftene var på ca. </w:t>
      </w:r>
      <w:r w:rsidR="00157978">
        <w:t>1 mrd.</w:t>
      </w:r>
      <w:r>
        <w:t xml:space="preserve"> kroner. </w:t>
      </w:r>
    </w:p>
    <w:p w:rsidR="00944062" w:rsidRDefault="00944062" w:rsidP="00A77302">
      <w:r>
        <w:t xml:space="preserve">Som det framgår, utgjør overføringene fra kommunene hoveddelen av fellesrådenes inntekter. I tillegg kommer tilskudd fra staten, i det vesentlige til kirkens trosopplæring. </w:t>
      </w:r>
    </w:p>
    <w:p w:rsidR="00157978" w:rsidRPr="00157978" w:rsidRDefault="00157978" w:rsidP="00157978">
      <w:r w:rsidRPr="00157978">
        <w:t xml:space="preserve">Målt per innbygger utgjør det kommunale driftstilskuddet til fellesrådene i 2016 i snitt 578 </w:t>
      </w:r>
      <w:r w:rsidR="00734040">
        <w:t xml:space="preserve">kroner </w:t>
      </w:r>
      <w:r w:rsidRPr="00157978">
        <w:t xml:space="preserve">(803 </w:t>
      </w:r>
      <w:r w:rsidR="00734040">
        <w:t xml:space="preserve">kroner </w:t>
      </w:r>
      <w:r w:rsidRPr="00157978">
        <w:t xml:space="preserve">per kirkemedlem). Variasjonsbredden er betydelig, fra 355 </w:t>
      </w:r>
      <w:r w:rsidR="00734040">
        <w:t xml:space="preserve">kroner </w:t>
      </w:r>
      <w:r w:rsidRPr="00157978">
        <w:t xml:space="preserve">i snitt for de </w:t>
      </w:r>
      <w:r w:rsidR="00360916">
        <w:t>ti</w:t>
      </w:r>
      <w:r w:rsidRPr="00157978">
        <w:t xml:space="preserve"> kommunene med lavest beløp per innbygger, til 3 102 </w:t>
      </w:r>
      <w:r w:rsidR="00734040">
        <w:t xml:space="preserve">kroner </w:t>
      </w:r>
      <w:r w:rsidRPr="00157978">
        <w:t xml:space="preserve">i snitt for de ti kommunene med høyest beløp per innbygger. Målt per kirkemedlem er variasjonsbredden fra 518 </w:t>
      </w:r>
      <w:r w:rsidR="00734040">
        <w:t xml:space="preserve">kroner </w:t>
      </w:r>
      <w:r w:rsidRPr="00157978">
        <w:t>til 3 102</w:t>
      </w:r>
      <w:r w:rsidR="00734040">
        <w:t xml:space="preserve"> kroner</w:t>
      </w:r>
      <w:r w:rsidRPr="00157978">
        <w:t>.</w:t>
      </w:r>
    </w:p>
    <w:p w:rsidR="00944062" w:rsidRDefault="00944062" w:rsidP="00A77302">
      <w:r>
        <w:t>Utover statlige og kommunale tilskudd får Den norske kirke et finansielt tilskudd fra Opplysningsvesenets fond til felleskirkelige oppgaver. Tilskuddet, som disponeres av Kirkemøtet, har i senere år vært stabilt på rundt 25 mill. kroner. Fondet bidrar årlig også med ca. 15 mill. kroner som tilskudd til kirkens IKT-løsninger. Fondet har fortsatt et økonomisk ansvar for tjenesteboligene for prester, dvs. for de tjenesteboligene som fortsatt benyttes av prestene, selv om prestene ikke lenger har plikt til å bo i boligene.</w:t>
      </w:r>
    </w:p>
    <w:p w:rsidR="00944062" w:rsidRDefault="0064347D" w:rsidP="00A77302">
      <w:r>
        <w:t xml:space="preserve">Fondets bidrag til Den norske kirke inngår i </w:t>
      </w:r>
      <w:r w:rsidR="00944062">
        <w:t>grunnlaget for å beregne statens tilskudd til tros- og livssynssamfunn utenom Den norske kirke</w:t>
      </w:r>
      <w:r w:rsidR="00136678">
        <w:t xml:space="preserve">. </w:t>
      </w:r>
      <w:r w:rsidR="00467103">
        <w:t>Beløpet som inng</w:t>
      </w:r>
      <w:r>
        <w:t>år</w:t>
      </w:r>
      <w:r w:rsidR="00467103">
        <w:t xml:space="preserve"> i </w:t>
      </w:r>
      <w:r>
        <w:t>beregnings</w:t>
      </w:r>
      <w:r w:rsidR="00467103">
        <w:t xml:space="preserve">grunnlaget </w:t>
      </w:r>
      <w:r>
        <w:t xml:space="preserve">for </w:t>
      </w:r>
      <w:r w:rsidR="00467103">
        <w:t>201</w:t>
      </w:r>
      <w:r w:rsidR="00CB7D05">
        <w:t>7</w:t>
      </w:r>
      <w:r w:rsidR="00467103">
        <w:t xml:space="preserve">, </w:t>
      </w:r>
      <w:r>
        <w:t xml:space="preserve">er </w:t>
      </w:r>
      <w:r w:rsidR="00CE1047">
        <w:t>107 mill</w:t>
      </w:r>
      <w:r w:rsidR="00944062">
        <w:t>.</w:t>
      </w:r>
      <w:r w:rsidR="00CE1047">
        <w:t xml:space="preserve"> kroner.</w:t>
      </w:r>
      <w:r w:rsidR="00944062">
        <w:t xml:space="preserve"> </w:t>
      </w:r>
    </w:p>
    <w:p w:rsidR="00944062" w:rsidRDefault="00944062" w:rsidP="00A77302">
      <w:r w:rsidRPr="00243694">
        <w:t xml:space="preserve">Givertjenester, ofringer m.m. </w:t>
      </w:r>
      <w:r>
        <w:t xml:space="preserve">til Den norske kirke </w:t>
      </w:r>
      <w:r w:rsidR="009C3ED9">
        <w:t>summerte seg i 2016</w:t>
      </w:r>
      <w:r w:rsidRPr="00243694">
        <w:t xml:space="preserve"> til ca. </w:t>
      </w:r>
      <w:r w:rsidR="009C3ED9">
        <w:t>31</w:t>
      </w:r>
      <w:r>
        <w:t>0</w:t>
      </w:r>
      <w:r w:rsidRPr="00243694">
        <w:t xml:space="preserve"> mill. kroner</w:t>
      </w:r>
      <w:r>
        <w:t xml:space="preserve">. Beløpet </w:t>
      </w:r>
      <w:r w:rsidRPr="00243694">
        <w:t>omfatter gaver ikke bare til menighetene, men også til kirkelige formål utenfor menighetene</w:t>
      </w:r>
      <w:r>
        <w:t xml:space="preserve">, </w:t>
      </w:r>
      <w:r w:rsidRPr="00243694">
        <w:t>bla</w:t>
      </w:r>
      <w:r w:rsidR="000A5E16">
        <w:t xml:space="preserve">nt annet </w:t>
      </w:r>
      <w:r w:rsidRPr="00243694">
        <w:t>til frivillige kristelige organisasjoner.</w:t>
      </w:r>
      <w:r>
        <w:t xml:space="preserve"> Gaver til Den norske kirke er omfattet av den generelle ordningen for skattefradrag for gaver til frivillige organisasjoner.</w:t>
      </w:r>
    </w:p>
    <w:p w:rsidR="00944062" w:rsidRDefault="00944062" w:rsidP="0084542C">
      <w:pPr>
        <w:pStyle w:val="Overskrift2"/>
      </w:pPr>
      <w:bookmarkStart w:id="1390" w:name="_Toc476320925"/>
      <w:bookmarkStart w:id="1391" w:name="_Toc477277230"/>
      <w:bookmarkStart w:id="1392" w:name="_Toc477535545"/>
      <w:bookmarkStart w:id="1393" w:name="_Toc477630677"/>
      <w:bookmarkStart w:id="1394" w:name="_Toc477693641"/>
      <w:bookmarkStart w:id="1395" w:name="_Toc477704015"/>
      <w:bookmarkStart w:id="1396" w:name="_Toc477799228"/>
      <w:bookmarkStart w:id="1397" w:name="_Toc477805831"/>
      <w:bookmarkStart w:id="1398" w:name="_Toc477878091"/>
      <w:bookmarkStart w:id="1399" w:name="_Toc477881494"/>
      <w:bookmarkStart w:id="1400" w:name="_Toc477885954"/>
      <w:bookmarkStart w:id="1401" w:name="_Toc478131382"/>
      <w:bookmarkStart w:id="1402" w:name="_Toc478138752"/>
      <w:bookmarkStart w:id="1403" w:name="_Toc478232280"/>
      <w:bookmarkStart w:id="1404" w:name="_Toc478237264"/>
      <w:bookmarkStart w:id="1405" w:name="_Toc481761803"/>
      <w:bookmarkStart w:id="1406" w:name="_Toc492900456"/>
      <w:bookmarkStart w:id="1407" w:name="_Toc470087676"/>
      <w:r>
        <w:lastRenderedPageBreak/>
        <w:t>Bakgrunn og utgangspunkter</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t xml:space="preserve"> </w:t>
      </w:r>
      <w:bookmarkEnd w:id="1407"/>
    </w:p>
    <w:p w:rsidR="00944062" w:rsidRDefault="00282E7F" w:rsidP="00A77302">
      <w:r>
        <w:t xml:space="preserve">En viktig bakgrunn </w:t>
      </w:r>
      <w:r w:rsidR="00944062">
        <w:t xml:space="preserve">for drøftingene i det følgende er målsettingen om at statens lovregulering av Den norske kirke bygges ned, slik at Den norske kirke </w:t>
      </w:r>
      <w:r>
        <w:t xml:space="preserve">får større frihet til å </w:t>
      </w:r>
      <w:r w:rsidR="00944062">
        <w:t>gi bestemmelser om kirkens ordning. Innretningen av den offentlige finansieringsordningen vil i denne sammenhengen kunne ha betydning. Generelt vil det være slik at dess mer omfattende den offentlige finansieringen er regulert i lov, dess mer vil lovreguleringen kunne påvirke kirkeordningen og begrense Den norske kirkes frihet til å organisere seg og fastsette kirkeordningen på selvstendig grunnlag.</w:t>
      </w:r>
    </w:p>
    <w:p w:rsidR="00944062" w:rsidRDefault="00944062" w:rsidP="00A77302">
      <w:r w:rsidRPr="00EE715C">
        <w:rPr>
          <w:color w:val="000000"/>
        </w:rPr>
        <w:t xml:space="preserve">En rekke lovbestemmelser om Den norske kirke er i dag en funksjon av kirkelovens bestemmelser </w:t>
      </w:r>
      <w:r>
        <w:rPr>
          <w:color w:val="000000"/>
        </w:rPr>
        <w:t xml:space="preserve">i § 15 </w:t>
      </w:r>
      <w:r w:rsidRPr="00EE715C">
        <w:rPr>
          <w:color w:val="000000"/>
        </w:rPr>
        <w:t xml:space="preserve">om kommunenes finansieringsoppgaver overfor kirken. </w:t>
      </w:r>
      <w:r>
        <w:rPr>
          <w:color w:val="000000"/>
        </w:rPr>
        <w:t>Bla</w:t>
      </w:r>
      <w:r w:rsidR="006B72FC">
        <w:rPr>
          <w:color w:val="000000"/>
        </w:rPr>
        <w:t>nt annet</w:t>
      </w:r>
      <w:r>
        <w:rPr>
          <w:color w:val="000000"/>
        </w:rPr>
        <w:t xml:space="preserve"> er k</w:t>
      </w:r>
      <w:r w:rsidRPr="00EE715C">
        <w:rPr>
          <w:color w:val="000000"/>
        </w:rPr>
        <w:t>irkeloven</w:t>
      </w:r>
      <w:r>
        <w:rPr>
          <w:color w:val="000000"/>
        </w:rPr>
        <w:t>s</w:t>
      </w:r>
      <w:r w:rsidRPr="00EE715C">
        <w:rPr>
          <w:color w:val="000000"/>
        </w:rPr>
        <w:t xml:space="preserve"> bestemmelser om </w:t>
      </w:r>
      <w:r>
        <w:rPr>
          <w:color w:val="000000"/>
        </w:rPr>
        <w:t xml:space="preserve">Den norske kirkes </w:t>
      </w:r>
      <w:r w:rsidRPr="00EE715C">
        <w:rPr>
          <w:color w:val="000000"/>
        </w:rPr>
        <w:t>inndeling i sokn</w:t>
      </w:r>
      <w:r>
        <w:rPr>
          <w:color w:val="000000"/>
        </w:rPr>
        <w:t xml:space="preserve">, </w:t>
      </w:r>
      <w:r w:rsidRPr="00EE715C">
        <w:rPr>
          <w:color w:val="000000"/>
        </w:rPr>
        <w:t xml:space="preserve">om kirkebygg m.m. </w:t>
      </w:r>
      <w:r>
        <w:rPr>
          <w:color w:val="000000"/>
        </w:rPr>
        <w:t>l</w:t>
      </w:r>
      <w:r w:rsidRPr="00EE715C">
        <w:rPr>
          <w:color w:val="000000"/>
        </w:rPr>
        <w:t xml:space="preserve">angt på vei </w:t>
      </w:r>
      <w:r>
        <w:rPr>
          <w:color w:val="000000"/>
        </w:rPr>
        <w:t xml:space="preserve">avledet av bestemmelsene i </w:t>
      </w:r>
      <w:r w:rsidRPr="00EE715C">
        <w:rPr>
          <w:color w:val="000000"/>
        </w:rPr>
        <w:t xml:space="preserve">§ 15. </w:t>
      </w:r>
      <w:r>
        <w:rPr>
          <w:color w:val="000000"/>
        </w:rPr>
        <w:t xml:space="preserve">Skal </w:t>
      </w:r>
      <w:r>
        <w:t xml:space="preserve">målet om færre reguleringer av kirkens ordning i lov kunne nås, er det etter departementets syn nødvendig å endre kirkeloven § 15 og de tilknyttede lovbestemmelsene. </w:t>
      </w:r>
    </w:p>
    <w:p w:rsidR="00944062" w:rsidRDefault="00944062" w:rsidP="00A77302">
      <w:r>
        <w:t xml:space="preserve">Ved utformingen av nye lovbestemmelser og gjennomgang av mulige nye finansieringsordninger for Den norske kirke, mener departementet at den offentlige finansieringen bør innrettes slik at den gir kirken mulighet til å utnytte de offentlige midlene på den mest hensiktsmessige måten og ut fra kirkens selvstendige vurdering av innsatsområder og utgiftsbehov. </w:t>
      </w:r>
    </w:p>
    <w:p w:rsidR="00944062" w:rsidRDefault="00944062" w:rsidP="00A77302">
      <w:r>
        <w:t>D</w:t>
      </w:r>
      <w:r w:rsidRPr="00712B0A">
        <w:t>epartementet</w:t>
      </w:r>
      <w:r>
        <w:t xml:space="preserve">s utgangspunkt er videre at </w:t>
      </w:r>
      <w:r w:rsidRPr="00712B0A">
        <w:t xml:space="preserve">den offentlige finansieringen av Den norske kirke bør utformes slik at den </w:t>
      </w:r>
      <w:r>
        <w:t xml:space="preserve">ikke </w:t>
      </w:r>
      <w:r w:rsidRPr="00712B0A">
        <w:t xml:space="preserve">begrenser </w:t>
      </w:r>
      <w:r>
        <w:t xml:space="preserve">kirkens </w:t>
      </w:r>
      <w:r w:rsidRPr="00712B0A">
        <w:t>muligheter til å organisere seg og løse sine oppgaver slik kirken selv mener er hensiktsmessig. Tilsvarende bør den organisatoriske oppbyggingen av Den norske kirke og hvordan Den norske kirke velger å fordele oppgave</w:t>
      </w:r>
      <w:r w:rsidR="004E621D">
        <w:t>r</w:t>
      </w:r>
      <w:r w:rsidRPr="00712B0A">
        <w:t xml:space="preserve"> og ansvar innad i kirken ikke være bestemmende for hvordan den offentlige finansieringen innrettes.</w:t>
      </w:r>
      <w:r>
        <w:t xml:space="preserve"> </w:t>
      </w:r>
    </w:p>
    <w:p w:rsidR="00944062" w:rsidRDefault="00944062" w:rsidP="00A77302">
      <w:r>
        <w:t>Som innledning til drøftingen</w:t>
      </w:r>
      <w:r w:rsidR="00864A8B">
        <w:t>e av nye finansieringsordninger</w:t>
      </w:r>
      <w:r>
        <w:t xml:space="preserve"> er det nedenfor gjort greie for forslag som knytter seg til dagens lovbestemmelser om kirkens organisering, kirkens inndeling i sokn og krav til kirkebygg. I dag inneholder kirkeloven </w:t>
      </w:r>
      <w:r w:rsidR="00097172">
        <w:t xml:space="preserve">flere </w:t>
      </w:r>
      <w:r>
        <w:t>bestemmelser på disse områdene som departementet mener ikke lenger bør gis i lov, men bestemmes i en kirkeordning fastsatt av Kirkemøtet. Slike lovmessige endringer vil være viktige forutsetninger ved drøftingen av nye finansieringsordninger for kirken.</w:t>
      </w:r>
    </w:p>
    <w:p w:rsidR="00944062" w:rsidRDefault="00944062" w:rsidP="00A77302">
      <w:r>
        <w:t>I alt 1 629 kirkebygg hører inn under Den norske kirke. Betydelige midler benyttes hvert år på driften og vedlikeholdet av kirkebyggene. En stor andel er fredet eller regnet som kulturhistorisk verdifulle. Mange kirkebygg har et stort vedlikeholdsetterslep, beregnet til flere milliarder kroner. Som bakgrunn for den generelle drøftingen av nye finansieringsordninger for Den norske kirke, ser departementet det som hensiktsmessig å drøfte forvaltningen og finansieringen av kirkebyggene særskilt. Både størrelsen på de løpende utgiftene til kirkebyggenes drift og vedlikehold, det betydelige vedlikeholdsetterslepet og den store andelen kulturhistorisk verdifulle kirkebygg, tilsier at forhold rundt kirkebyggenes forvaltning og finansiering blir godt belyst som innledning til drøftingen av finansiering</w:t>
      </w:r>
      <w:r w:rsidR="00282E7F">
        <w:t xml:space="preserve">sordningene for </w:t>
      </w:r>
      <w:r>
        <w:t xml:space="preserve">Den norske kirke. </w:t>
      </w:r>
      <w:r w:rsidR="00734040">
        <w:t xml:space="preserve">Det vises ellers til kapittel 11, der det </w:t>
      </w:r>
      <w:r w:rsidR="0064347D">
        <w:t xml:space="preserve">er </w:t>
      </w:r>
      <w:r w:rsidR="00734040">
        <w:t>gitt en mer utførlig omtale av de kulturhistorisk verdifulle kirkebyggene</w:t>
      </w:r>
      <w:r w:rsidR="00360916">
        <w:t>.</w:t>
      </w:r>
    </w:p>
    <w:p w:rsidR="00944062" w:rsidRPr="0025460D" w:rsidRDefault="00D37503" w:rsidP="0084542C">
      <w:pPr>
        <w:pStyle w:val="Overskrift2"/>
      </w:pPr>
      <w:bookmarkStart w:id="1408" w:name="_Toc470087679"/>
      <w:bookmarkStart w:id="1409" w:name="_Toc476320926"/>
      <w:bookmarkStart w:id="1410" w:name="_Toc477277231"/>
      <w:bookmarkStart w:id="1411" w:name="_Toc477535546"/>
      <w:bookmarkStart w:id="1412" w:name="_Toc477630678"/>
      <w:bookmarkStart w:id="1413" w:name="_Toc477693642"/>
      <w:bookmarkStart w:id="1414" w:name="_Toc477704016"/>
      <w:bookmarkStart w:id="1415" w:name="_Toc477799229"/>
      <w:bookmarkStart w:id="1416" w:name="_Toc477805832"/>
      <w:bookmarkStart w:id="1417" w:name="_Toc477871490"/>
      <w:bookmarkStart w:id="1418" w:name="_Toc477878092"/>
      <w:bookmarkStart w:id="1419" w:name="_Toc477881495"/>
      <w:bookmarkStart w:id="1420" w:name="_Toc477885955"/>
      <w:bookmarkStart w:id="1421" w:name="_Toc478131383"/>
      <w:bookmarkStart w:id="1422" w:name="_Toc478138753"/>
      <w:bookmarkStart w:id="1423" w:name="_Toc478232281"/>
      <w:bookmarkStart w:id="1424" w:name="_Toc478237265"/>
      <w:bookmarkStart w:id="1425" w:name="_Toc481761804"/>
      <w:bookmarkStart w:id="1426" w:name="_Toc492900457"/>
      <w:r>
        <w:lastRenderedPageBreak/>
        <w:t>D</w:t>
      </w:r>
      <w:r w:rsidR="00944062">
        <w:t xml:space="preserve">en norske kirkes </w:t>
      </w:r>
      <w:r w:rsidR="00944062" w:rsidRPr="0025460D">
        <w:t>lokale organisering, inndeling</w:t>
      </w:r>
      <w:r w:rsidR="00944062">
        <w:t>en</w:t>
      </w:r>
      <w:r w:rsidR="00944062" w:rsidRPr="0025460D">
        <w:t xml:space="preserve"> i sokn og lovkravene til kirkebygg</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944062" w:rsidRPr="0084542C" w:rsidRDefault="00944062" w:rsidP="0084542C">
      <w:pPr>
        <w:pStyle w:val="Overskrift3"/>
      </w:pPr>
      <w:bookmarkStart w:id="1427" w:name="_Toc470087680"/>
      <w:bookmarkStart w:id="1428" w:name="_Toc476320927"/>
      <w:bookmarkStart w:id="1429" w:name="_Toc477277232"/>
      <w:bookmarkStart w:id="1430" w:name="_Toc477535547"/>
      <w:bookmarkStart w:id="1431" w:name="_Toc477630679"/>
      <w:bookmarkStart w:id="1432" w:name="_Toc477693643"/>
      <w:bookmarkStart w:id="1433" w:name="_Toc477704017"/>
      <w:bookmarkStart w:id="1434" w:name="_Toc477799230"/>
      <w:bookmarkStart w:id="1435" w:name="_Toc477805833"/>
      <w:bookmarkStart w:id="1436" w:name="_Toc477878093"/>
      <w:bookmarkStart w:id="1437" w:name="_Toc477881496"/>
      <w:bookmarkStart w:id="1438" w:name="_Toc477885956"/>
      <w:bookmarkStart w:id="1439" w:name="_Toc478131384"/>
      <w:bookmarkStart w:id="1440" w:name="_Toc478138754"/>
      <w:bookmarkStart w:id="1441" w:name="_Toc478232282"/>
      <w:bookmarkStart w:id="1442" w:name="_Toc478237266"/>
      <w:bookmarkStart w:id="1443" w:name="_Toc481761805"/>
      <w:bookmarkStart w:id="1444" w:name="_Toc492900458"/>
      <w:r w:rsidRPr="0084542C">
        <w:t>Bakgrunn</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rsidR="00944062" w:rsidRDefault="00944062" w:rsidP="00A77302">
      <w:r>
        <w:t xml:space="preserve">Ved de seneste endringene i kirkeloven ble tidligere lovbestemmelser om Den norske kirkes regionale og sentrale organer endret. De regionale bispedømmerådene var tidligere lovregulert, der det i lov var angitt hvilket ansvars- og myndighetsområde rådene hadde. Slike bestemmelser er nå i det store og hele opphevet. Med unntak for enkelte oppgaver bispedømmerådene har innen gravplassforvaltningen, som er regulert i gravferdsloven, er det Kirkemøtet som nå bestemmer hvilke oppgaver bispedømmerådene skal ha. </w:t>
      </w:r>
    </w:p>
    <w:p w:rsidR="00944062" w:rsidRDefault="00944062" w:rsidP="00A77302">
      <w:r>
        <w:t>Den norske kirkes lokale organisering og inndeling i sokn er i dag regulert i kirkeloven. Også forhold som berører kirkebyggene er regulert der. Det gjelder bla</w:t>
      </w:r>
      <w:r w:rsidR="006B72FC">
        <w:t>nt annet</w:t>
      </w:r>
      <w:r>
        <w:t xml:space="preserve"> lovkrav om kirkebyggets størrelse, om når det skal bygges kirke, om godkjenning av kirketomt, tegninger m.m. Som nevnt er det en sammenheng mellom disse bestemmelsene og bestemmelsene i kirkeloven § 15 om kommunenes økonomiske ansvar. </w:t>
      </w:r>
    </w:p>
    <w:p w:rsidR="00944062" w:rsidRPr="001E4A53" w:rsidRDefault="00944062" w:rsidP="00A77302">
      <w:r>
        <w:t xml:space="preserve">Av forarbeidene til endringene i kirkeloven </w:t>
      </w:r>
      <w:r w:rsidR="00864A8B">
        <w:t>i</w:t>
      </w:r>
      <w:r>
        <w:t xml:space="preserve"> 2016 går det fram at departementet mente at spørsmål om Den norske kirke</w:t>
      </w:r>
      <w:r w:rsidRPr="00013133">
        <w:t xml:space="preserve">s </w:t>
      </w:r>
      <w:r>
        <w:t xml:space="preserve">lokale </w:t>
      </w:r>
      <w:r w:rsidRPr="00013133">
        <w:t>organisering, kirkens inndeling i sokn og bestemmel</w:t>
      </w:r>
      <w:r>
        <w:t>ser om kirkeb</w:t>
      </w:r>
      <w:r w:rsidRPr="00013133">
        <w:t>ygg</w:t>
      </w:r>
      <w:r>
        <w:t xml:space="preserve"> burde tas opp i neste reformfase, dvs. under arbeidet med rammelovgivningen for Den norske kirke. Departementet framholdt at slike spørsmål </w:t>
      </w:r>
      <w:r w:rsidRPr="000E4B33">
        <w:rPr>
          <w:color w:val="000000"/>
        </w:rPr>
        <w:t xml:space="preserve">henger tett sammen med lovreguleringen av det kommunale finansieringsansvaret og </w:t>
      </w:r>
      <w:r>
        <w:rPr>
          <w:color w:val="000000"/>
        </w:rPr>
        <w:t xml:space="preserve">burde </w:t>
      </w:r>
      <w:r w:rsidRPr="000E4B33">
        <w:rPr>
          <w:color w:val="000000"/>
        </w:rPr>
        <w:t xml:space="preserve">vurderes i sammenheng med </w:t>
      </w:r>
      <w:r>
        <w:rPr>
          <w:color w:val="000000"/>
        </w:rPr>
        <w:t xml:space="preserve">ny lovgivning. </w:t>
      </w:r>
      <w:r>
        <w:t xml:space="preserve">I lovproposisjonen, jf. </w:t>
      </w:r>
      <w:r w:rsidRPr="001E4A53">
        <w:t>Prop. 55 L (2015–2016)</w:t>
      </w:r>
      <w:r w:rsidR="00864A8B">
        <w:t xml:space="preserve"> </w:t>
      </w:r>
      <w:r w:rsidR="00864A8B" w:rsidRPr="001E491E">
        <w:t>s</w:t>
      </w:r>
      <w:r w:rsidR="00282E7F">
        <w:t>ide</w:t>
      </w:r>
      <w:r w:rsidR="00864A8B" w:rsidRPr="001E491E">
        <w:t xml:space="preserve"> </w:t>
      </w:r>
      <w:r w:rsidR="00282E7F" w:rsidRPr="001E491E">
        <w:t>14</w:t>
      </w:r>
      <w:r>
        <w:t>, uttalte departementet:</w:t>
      </w:r>
      <w:r w:rsidRPr="001E4A53">
        <w:t xml:space="preserve"> </w:t>
      </w:r>
    </w:p>
    <w:p w:rsidR="00944062" w:rsidRPr="00D46082" w:rsidRDefault="00944062" w:rsidP="00D46082">
      <w:pPr>
        <w:pStyle w:val="blokksit"/>
        <w:rPr>
          <w:rStyle w:val="kursiv"/>
        </w:rPr>
      </w:pPr>
      <w:r w:rsidRPr="00D46082">
        <w:rPr>
          <w:rStyle w:val="kursiv"/>
        </w:rPr>
        <w:t>Departementet antar at kirken under denne reformfasen bl.a. vil gjennomgå kirkens organisering og soknenes plass i kirkeordningen, kirkens forvaltningsnivåer og de kirkelige organenes innbyrdes myndighetsfordeling, med sikte på at slike spørsmål blir regulert i en kirkeordning som Kirkemøtet gjør vedtak om. En rekke bestemmelser i kirkeloven vil da kunne oppheves og statens lovregulering reduseres til en kortfattet rammelovgivning for kirken. En slik rammelovgivning for Den norske kirke vil reise spørsmål om en omlegging av dagens finansieringsordninger for kirken, slik at kirken også på det økonomiske området blir mer fristilt og selvstendig. Det er særlig spørsmålet om endringer i dagens bestemmelser i kirkeloven § 15 om kommunenes økonomiske oppgaver overfor Den norske kirke som da er aktuelle å ta opp. I dag innebærer kirkeloven § 15 begrensninger i kirkens myndighet til blant annet å treffe vedtak om kirkens organisering, den kirkelige inndelingen og om kirkebyggene. Dette er bestemmelser som ikke foreslås endret ved de lo</w:t>
      </w:r>
      <w:r w:rsidR="00864A8B" w:rsidRPr="00D46082">
        <w:rPr>
          <w:rStyle w:val="kursiv"/>
        </w:rPr>
        <w:t>vforslagene som nå legges fram.</w:t>
      </w:r>
      <w:r w:rsidRPr="00D46082">
        <w:rPr>
          <w:rStyle w:val="kursiv"/>
        </w:rPr>
        <w:t xml:space="preserve"> </w:t>
      </w:r>
    </w:p>
    <w:p w:rsidR="00944062" w:rsidRDefault="00944062" w:rsidP="00A77302">
      <w:pPr>
        <w:rPr>
          <w:i/>
        </w:rPr>
      </w:pPr>
      <w:r>
        <w:t>Som bakgrunn for departementets forslag om å oppheve lovreguleringen på de nevnte områdene, er det i det følgende gitt en oversikt over dagens bestemmelser.</w:t>
      </w:r>
      <w:r w:rsidRPr="00466AF6">
        <w:rPr>
          <w:i/>
        </w:rPr>
        <w:t xml:space="preserve"> </w:t>
      </w:r>
    </w:p>
    <w:p w:rsidR="00944062" w:rsidRPr="0084542C" w:rsidRDefault="00944062" w:rsidP="0084542C">
      <w:pPr>
        <w:pStyle w:val="Overskrift3"/>
      </w:pPr>
      <w:bookmarkStart w:id="1445" w:name="_Toc470087681"/>
      <w:bookmarkStart w:id="1446" w:name="_Toc476320928"/>
      <w:bookmarkStart w:id="1447" w:name="_Toc477277233"/>
      <w:bookmarkStart w:id="1448" w:name="_Toc477535548"/>
      <w:bookmarkStart w:id="1449" w:name="_Toc477630680"/>
      <w:bookmarkStart w:id="1450" w:name="_Toc477693644"/>
      <w:bookmarkStart w:id="1451" w:name="_Toc477704018"/>
      <w:bookmarkStart w:id="1452" w:name="_Toc477799231"/>
      <w:bookmarkStart w:id="1453" w:name="_Toc477805834"/>
      <w:bookmarkStart w:id="1454" w:name="_Toc477878094"/>
      <w:bookmarkStart w:id="1455" w:name="_Toc477881497"/>
      <w:bookmarkStart w:id="1456" w:name="_Toc477885957"/>
      <w:bookmarkStart w:id="1457" w:name="_Toc478131385"/>
      <w:bookmarkStart w:id="1458" w:name="_Toc478138755"/>
      <w:bookmarkStart w:id="1459" w:name="_Toc478232283"/>
      <w:bookmarkStart w:id="1460" w:name="_Toc478237267"/>
      <w:bookmarkStart w:id="1461" w:name="_Toc481761806"/>
      <w:bookmarkStart w:id="1462" w:name="_Toc492900459"/>
      <w:r w:rsidRPr="0084542C">
        <w:t>Gjeldende rett</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84542C">
        <w:t xml:space="preserve"> </w:t>
      </w:r>
    </w:p>
    <w:p w:rsidR="00944062" w:rsidRPr="0084542C" w:rsidRDefault="00944062" w:rsidP="0084542C">
      <w:pPr>
        <w:pStyle w:val="Overskrift4"/>
      </w:pPr>
      <w:r w:rsidRPr="0084542C">
        <w:t xml:space="preserve">Kirkens lokale inndeling og organisering </w:t>
      </w:r>
    </w:p>
    <w:p w:rsidR="00944062" w:rsidRDefault="00944062" w:rsidP="00A77302">
      <w:r w:rsidRPr="0041618A">
        <w:t xml:space="preserve">Med kirkelig inndeling menes i denne sammenhengen </w:t>
      </w:r>
      <w:r>
        <w:t xml:space="preserve">kirkens inndeling i sokn. Soknet er geografisk avgrenset. Alle kirkens medlemmer som har bostedsadresse i soknet, tilhører soknet. Soknet er den grunnleggende enheten i Den norske kirke, med en rettslig og økonomisk selvstendighet (eget rettssubjekt). Soknet kan ikke løses fra Den norske kirke. </w:t>
      </w:r>
    </w:p>
    <w:p w:rsidR="00944062" w:rsidRDefault="00944062" w:rsidP="00A77302">
      <w:r>
        <w:t>Etter kirkeloven § 5 skal ethvert sokn ha et menighetsråd</w:t>
      </w:r>
      <w:r w:rsidR="00025037">
        <w:t xml:space="preserve"> og egen</w:t>
      </w:r>
      <w:r>
        <w:t xml:space="preserve"> kirke. Det er menighetsrådet som i utgangspunktet repr</w:t>
      </w:r>
      <w:r w:rsidR="00864A8B">
        <w:t>esenterer soknet. I de tilfellene</w:t>
      </w:r>
      <w:r>
        <w:t xml:space="preserve"> det er to eller flere </w:t>
      </w:r>
      <w:r>
        <w:lastRenderedPageBreak/>
        <w:t>menighetsråd i en kommune</w:t>
      </w:r>
      <w:r w:rsidR="00025037">
        <w:t>,</w:t>
      </w:r>
      <w:r>
        <w:t xml:space="preserve"> skal menighetsrådene velge et kirkelig fellesråd, som da er et fellesorgan for sok</w:t>
      </w:r>
      <w:r w:rsidR="006462FB">
        <w:t xml:space="preserve">nene. Den norske kirke har rundt </w:t>
      </w:r>
      <w:r>
        <w:t xml:space="preserve">1 </w:t>
      </w:r>
      <w:r w:rsidR="006462FB">
        <w:t>20</w:t>
      </w:r>
      <w:r>
        <w:t>0 sokn</w:t>
      </w:r>
      <w:r w:rsidR="00866CEC">
        <w:t xml:space="preserve"> og </w:t>
      </w:r>
      <w:r w:rsidR="006462FB">
        <w:t>415 kirkelig</w:t>
      </w:r>
      <w:r w:rsidR="00866CEC">
        <w:t>e</w:t>
      </w:r>
      <w:r w:rsidR="006462FB">
        <w:t xml:space="preserve"> fellesråd</w:t>
      </w:r>
      <w:r>
        <w:t xml:space="preserve">. </w:t>
      </w:r>
    </w:p>
    <w:p w:rsidR="00944062" w:rsidRDefault="00944062" w:rsidP="00A77302">
      <w:r>
        <w:t xml:space="preserve">Før kirkeloven kom i 1996 var det kommunene som i de fleste administrative, økonomiske og personalmessige </w:t>
      </w:r>
      <w:r w:rsidR="006B72FC">
        <w:t>forhold</w:t>
      </w:r>
      <w:r>
        <w:t xml:space="preserve"> representerte soknene. Ved loven i 1996 ble ansvaret for denne typen oppgaver overført fra kommunen til soknet. Behovet for et kirkelig organ som på vegne av de enkelte soknene i kommunen kunne ta imot disse oppgavene, var bakgrunnen for lovfestingen i 1996 av kirkelig fellesråd. Fellesrådet </w:t>
      </w:r>
      <w:r w:rsidR="00864A8B">
        <w:t>representerer soknene i de sakene</w:t>
      </w:r>
      <w:r>
        <w:t xml:space="preserve"> som etter loven er lagt til fellesrådet. Menighetsrådets og fellesrådets ansvars- og myndighetsområde framgår av kirkeloven § 9 (menighetsrådet) og § 14 (kirkelig fellesråd).</w:t>
      </w:r>
    </w:p>
    <w:p w:rsidR="00944062" w:rsidRDefault="00944062" w:rsidP="00A77302">
      <w:r>
        <w:t xml:space="preserve">Fellesrådet skal på vegne av soknene i kommunen </w:t>
      </w:r>
      <w:r w:rsidR="006B72FC">
        <w:t>bl</w:t>
      </w:r>
      <w:r>
        <w:t>a</w:t>
      </w:r>
      <w:r w:rsidR="006B72FC">
        <w:t>nt annet</w:t>
      </w:r>
      <w:r>
        <w:t xml:space="preserve"> motta de kommunale bevilgningene til kirkens virksomhet og disponere disse.</w:t>
      </w:r>
      <w:r w:rsidRPr="00263C69">
        <w:t xml:space="preserve"> </w:t>
      </w:r>
      <w:r>
        <w:t xml:space="preserve">Under fellesrådets ansvarsområde hører gravplassforvaltningen og forvaltningen av kirkebyggene. De fleste lokalkirkelige stillinger er organisert under fellesrådet, som dermed også har ansvaret for de personaladministrative oppgavene. Gjennom lovens bestemmelser om fellesrådets oppgaver er fellesrådets geografiske virkeområde bundet til kommuneinndelingen. </w:t>
      </w:r>
    </w:p>
    <w:p w:rsidR="00944062" w:rsidRPr="0084542C" w:rsidRDefault="00944062" w:rsidP="0084542C">
      <w:pPr>
        <w:pStyle w:val="Overskrift4"/>
      </w:pPr>
      <w:r w:rsidRPr="0084542C">
        <w:t xml:space="preserve">Kommunenes ansvar etter kirkeloven § 15 </w:t>
      </w:r>
    </w:p>
    <w:p w:rsidR="00944062" w:rsidRPr="00243694" w:rsidRDefault="00944062" w:rsidP="00A77302">
      <w:r w:rsidRPr="00243694">
        <w:t>Bestemmelsene</w:t>
      </w:r>
      <w:r>
        <w:t xml:space="preserve"> i kirkeloven § 15 forplikter kommunene til å dekke </w:t>
      </w:r>
      <w:r w:rsidRPr="00243694">
        <w:t>utgifter som gjelder kirkebyggene og gravplassene (drift, vedlikehold og nybygg/nyanlegg) og til personell som trengs for å benytte kirkebyggene til gudstjenester og kirkelige handlinger</w:t>
      </w:r>
      <w:r>
        <w:t xml:space="preserve">. Kommunen </w:t>
      </w:r>
      <w:r w:rsidRPr="00243694">
        <w:t xml:space="preserve">skal </w:t>
      </w:r>
      <w:r>
        <w:t>også dekke</w:t>
      </w:r>
      <w:r w:rsidRPr="00243694">
        <w:t xml:space="preserve"> administrative utgifte</w:t>
      </w:r>
      <w:r>
        <w:t xml:space="preserve">r </w:t>
      </w:r>
      <w:r w:rsidRPr="00243694">
        <w:t xml:space="preserve">(kontorlokaler, utstyr, </w:t>
      </w:r>
      <w:r>
        <w:t>administrativt personell)</w:t>
      </w:r>
      <w:r w:rsidRPr="00243694">
        <w:t xml:space="preserve"> til menighetsrådene og det kirkelige fellesrådet. Med unntak for visse utgi</w:t>
      </w:r>
      <w:r>
        <w:t>fter til konfirmasjonsopplæring</w:t>
      </w:r>
      <w:r w:rsidRPr="00243694">
        <w:t xml:space="preserve"> har ikke kommunene økonomiske forpliktelser til trosopplæring, diakoni, kirkemusikk eller an</w:t>
      </w:r>
      <w:r>
        <w:t xml:space="preserve">nen kirkelig virksomhet. </w:t>
      </w:r>
      <w:r w:rsidRPr="00243694">
        <w:t xml:space="preserve">Kommunene kan likevel gi økonomisk støtte til </w:t>
      </w:r>
      <w:r>
        <w:t>slike formål.</w:t>
      </w:r>
      <w:r w:rsidRPr="00243694">
        <w:t xml:space="preserve"> </w:t>
      </w:r>
    </w:p>
    <w:p w:rsidR="00944062" w:rsidRDefault="00944062" w:rsidP="00A77302">
      <w:r w:rsidRPr="00243694">
        <w:t xml:space="preserve">De kommunale budsjettvedtakene er </w:t>
      </w:r>
      <w:r>
        <w:t xml:space="preserve">normalt </w:t>
      </w:r>
      <w:r w:rsidRPr="00243694">
        <w:t>ikke spesifisert på de enkelte utgiftsformålene</w:t>
      </w:r>
      <w:r>
        <w:t xml:space="preserve"> som er nevnt </w:t>
      </w:r>
      <w:r w:rsidR="00E52454">
        <w:t xml:space="preserve">i </w:t>
      </w:r>
      <w:r>
        <w:t xml:space="preserve">§ 15. </w:t>
      </w:r>
      <w:r w:rsidRPr="00243694">
        <w:t>Hovedregelen er at det kirkelige fellesrådet mottar et rammetilskudd fra kommunen</w:t>
      </w:r>
      <w:r>
        <w:t xml:space="preserve"> som</w:t>
      </w:r>
      <w:r w:rsidRPr="00243694">
        <w:t xml:space="preserve"> skal dekke de utgiftene som kommunen er forpliktet på etter § 15. Selv om kommunene kan stille vilkår ved tildelingen, er det i alminnelighet </w:t>
      </w:r>
      <w:r>
        <w:t xml:space="preserve">de kirkelige </w:t>
      </w:r>
      <w:r w:rsidRPr="00243694">
        <w:t>fellesrådenes ansvar å prioritere og fordele midlene på de enkelte utgifts</w:t>
      </w:r>
      <w:r>
        <w:t>formålene</w:t>
      </w:r>
      <w:r w:rsidRPr="00243694">
        <w:t xml:space="preserve">. </w:t>
      </w:r>
    </w:p>
    <w:p w:rsidR="00944062" w:rsidRDefault="00944062" w:rsidP="00A77302">
      <w:r>
        <w:t>Det framgår av § 15 at kommunene kan yte tjenester til de kirkelige fellesrådene. Disse kommer da utenom de finansielle overføringene. For det meste gjelder dette IKT-tjenester og tjenester innen regnskap, men kan også være tjenester innen personalforvaltning og annen økonomiforvaltning. Ofte får dessuten fellesrådene levert tjenester fra kommunens tekniske etat innen bygningsforvaltningen og gravplassforvaltningen. Slike tjenester skal verdsettes og framgå i fellesrådenes regnskaper. Verdien av ytelsene, på linje med de finansielle overføringene, skal inngå i beregningen av tilskuddet til andre tros- og livssynssamfunn som har medlemmer bosatt i kommunen. Ifølge fellesrådenes regnskaper var ytelsene verdsatt til 12</w:t>
      </w:r>
      <w:r w:rsidR="00E74FA6">
        <w:t>6</w:t>
      </w:r>
      <w:r>
        <w:t xml:space="preserve"> mill. kroner i 201</w:t>
      </w:r>
      <w:r w:rsidR="00E74FA6">
        <w:t>6</w:t>
      </w:r>
      <w:r>
        <w:t xml:space="preserve">. I 2005 var ytelsene verdsatt til </w:t>
      </w:r>
      <w:r w:rsidR="00E74FA6">
        <w:t>ru</w:t>
      </w:r>
      <w:r w:rsidR="00E74FA6" w:rsidRPr="00E74FA6">
        <w:t xml:space="preserve">ndt </w:t>
      </w:r>
      <w:r w:rsidRPr="00E74FA6">
        <w:t>85 mil</w:t>
      </w:r>
      <w:r>
        <w:t xml:space="preserve">l. kroner. Veksten skyldes antakelig en stadig mer korrekt verdsetting og regnskapsføring av ytelsene, ikke en reell vekst i ytelsene. </w:t>
      </w:r>
    </w:p>
    <w:p w:rsidR="00944062" w:rsidRDefault="00944062" w:rsidP="00A77302">
      <w:r>
        <w:t>Bestemmelsen i § 15 om kommunal tjenesteyting har sin bakgrunn i at det de fleste steder ikke fantes noen egen kirkelig administrasjon i kommunene før vedtakelsen av kirkeloven i 1996, som lovfestet et kirkelig fellesråd i hver kommune. Fram til da hadde den kirkelige forvaltningen oftest vært en del av kommuneforvaltningen. Gjennom den nevnte bestemmelsen i § 15 kunne de praktiske, tekniske og administrative løsninge</w:t>
      </w:r>
      <w:r w:rsidR="0005272E">
        <w:t>ne</w:t>
      </w:r>
      <w:r>
        <w:t xml:space="preserve"> for kirken som kommunene sørget for, fortsette.</w:t>
      </w:r>
    </w:p>
    <w:p w:rsidR="00944062" w:rsidRDefault="00944062" w:rsidP="00A77302">
      <w:r>
        <w:lastRenderedPageBreak/>
        <w:t xml:space="preserve">Ved selvstendiggjøringen av kirken fra kommunene gjennom kirkeloven fra 1996 måtte det avklares hvilke bestemmelser som skulle gjelde for menighetsrådenes og de kirkelige fellesrådenes regnskaper og økonomiforvaltning. Departementet fikk i medhold av kirkeloven myndighet til å gi nærmere bestemmelser om dette. Slike bestemmelser er fastsatt i </w:t>
      </w:r>
      <w:r w:rsidRPr="000A152F">
        <w:t xml:space="preserve">forskrift </w:t>
      </w:r>
      <w:r>
        <w:t xml:space="preserve">nr. </w:t>
      </w:r>
      <w:r w:rsidRPr="000A152F">
        <w:t>1215 av 25. september 2003</w:t>
      </w:r>
      <w:r>
        <w:t xml:space="preserve"> </w:t>
      </w:r>
      <w:r w:rsidRPr="00320970">
        <w:rPr>
          <w:i/>
        </w:rPr>
        <w:t>O</w:t>
      </w:r>
      <w:r w:rsidRPr="00320970">
        <w:rPr>
          <w:i/>
          <w:kern w:val="36"/>
        </w:rPr>
        <w:t>m økonomiforvaltningen for kirkelige fellesråd og menighetsråd i Den norske kirke</w:t>
      </w:r>
      <w:r>
        <w:rPr>
          <w:i/>
          <w:kern w:val="36"/>
        </w:rPr>
        <w:t>.</w:t>
      </w:r>
      <w:r>
        <w:t xml:space="preserve"> Forskriften er basert på og ligger tett opp til tilsvarende forskrift for kommunene.</w:t>
      </w:r>
    </w:p>
    <w:p w:rsidR="00944062" w:rsidRPr="0084542C" w:rsidRDefault="00944062" w:rsidP="0084542C">
      <w:pPr>
        <w:pStyle w:val="Overskrift4"/>
      </w:pPr>
      <w:r w:rsidRPr="0084542C">
        <w:t>Kirkelovens bestemmelser om kirkebygg</w:t>
      </w:r>
    </w:p>
    <w:p w:rsidR="00944062" w:rsidRDefault="00944062" w:rsidP="00A77302">
      <w:r>
        <w:t xml:space="preserve">Som nevnt stiller </w:t>
      </w:r>
      <w:r w:rsidRPr="00243694">
        <w:t xml:space="preserve">kirkeloven </w:t>
      </w:r>
      <w:r>
        <w:t>krav om at det skal være</w:t>
      </w:r>
      <w:r w:rsidRPr="00243694">
        <w:t xml:space="preserve"> kirke i hvert sokn</w:t>
      </w:r>
      <w:r>
        <w:t>. I</w:t>
      </w:r>
      <w:r w:rsidRPr="00243694">
        <w:t xml:space="preserve"> § 21 er det stilt krav </w:t>
      </w:r>
      <w:r w:rsidR="006B72FC">
        <w:t>bl</w:t>
      </w:r>
      <w:r w:rsidRPr="00243694">
        <w:t>a</w:t>
      </w:r>
      <w:r w:rsidR="006B72FC">
        <w:t>nt annet</w:t>
      </w:r>
      <w:r w:rsidRPr="00243694">
        <w:t xml:space="preserve"> om antallet sitteplasser i </w:t>
      </w:r>
      <w:r>
        <w:t xml:space="preserve">ny </w:t>
      </w:r>
      <w:r w:rsidRPr="00243694">
        <w:t xml:space="preserve">kirke som </w:t>
      </w:r>
      <w:r>
        <w:t>bygges</w:t>
      </w:r>
      <w:r w:rsidRPr="00243694">
        <w:t xml:space="preserve">. </w:t>
      </w:r>
      <w:r>
        <w:t>Disse b</w:t>
      </w:r>
      <w:r w:rsidRPr="00243694">
        <w:t>estemmelsen</w:t>
      </w:r>
      <w:r>
        <w:t>e</w:t>
      </w:r>
      <w:r w:rsidRPr="00243694">
        <w:t xml:space="preserve"> innebærer at det ikke kan treffes vedtak om utskilling av sokn uten at </w:t>
      </w:r>
      <w:r>
        <w:t>kommunen forplikter seg til å finansiere o</w:t>
      </w:r>
      <w:r w:rsidRPr="00243694">
        <w:t>ppføring</w:t>
      </w:r>
      <w:r>
        <w:t>en</w:t>
      </w:r>
      <w:r w:rsidRPr="00243694">
        <w:t xml:space="preserve"> av </w:t>
      </w:r>
      <w:r>
        <w:t xml:space="preserve">nytt </w:t>
      </w:r>
      <w:r w:rsidRPr="00243694">
        <w:t>kirke</w:t>
      </w:r>
      <w:r>
        <w:t>bygg</w:t>
      </w:r>
      <w:r w:rsidRPr="00243694">
        <w:t xml:space="preserve"> i det nye soknet</w:t>
      </w:r>
      <w:r>
        <w:t xml:space="preserve">, dersom det ikke allerede finnes et egnet og stort nok kirkebygg i det nye </w:t>
      </w:r>
      <w:r w:rsidRPr="00243694">
        <w:t>soknet</w:t>
      </w:r>
      <w:r>
        <w:t>.</w:t>
      </w:r>
      <w:r w:rsidRPr="00243694">
        <w:t xml:space="preserve"> Ved utskillingen av nytt sokn vil det komme også andre merutgifter, </w:t>
      </w:r>
      <w:r w:rsidR="006B72FC">
        <w:t>bl</w:t>
      </w:r>
      <w:r w:rsidRPr="00243694">
        <w:t>a</w:t>
      </w:r>
      <w:r w:rsidR="006B72FC">
        <w:t>nt annet</w:t>
      </w:r>
      <w:r w:rsidRPr="00243694">
        <w:t xml:space="preserve"> til administrasjon av det nye soknet og til driften av det nye kirkebygget</w:t>
      </w:r>
      <w:r>
        <w:t>, noe kommunen også er forpliktet til å bære utgiftene for</w:t>
      </w:r>
      <w:r w:rsidRPr="00243694">
        <w:t>.</w:t>
      </w:r>
      <w:r>
        <w:t xml:space="preserve"> </w:t>
      </w:r>
    </w:p>
    <w:p w:rsidR="00944062" w:rsidRDefault="00944062" w:rsidP="00A77302">
      <w:pPr>
        <w:rPr>
          <w:i/>
        </w:rPr>
      </w:pPr>
      <w:r w:rsidRPr="00243694">
        <w:t xml:space="preserve">Etter </w:t>
      </w:r>
      <w:r>
        <w:t xml:space="preserve">kirkeloven </w:t>
      </w:r>
      <w:r w:rsidRPr="00243694">
        <w:t>§ 21 skal departementet godkjenne oppføring, ombygging, utvidelse og nedlegging av kirke, og dessuten kirketomt, tegninger</w:t>
      </w:r>
      <w:r>
        <w:t>,</w:t>
      </w:r>
      <w:r w:rsidRPr="00243694">
        <w:t xml:space="preserve"> kostnadsoverslag og finansieringsplan.</w:t>
      </w:r>
      <w:r>
        <w:t xml:space="preserve"> Bakgrunnen for at departementet er gitt godkjenningsmyndighet på disse områdene, er det kommunale utgiftsansvaret for kirkebyggene. Ofte er det kirkelige instanser som forbereder og utreder planer om nybygg, utvidelser eller andre endringer. Kirkelige instanser skal ikke i slike planprosesser kunne treffe vedtak som binder kommunen, uten at departementets godkjenning foreligger. I tillegg skal departementet påse at kirkelovens bestemmelser om kravene til et kirkebygg blir ivaretatt, at det tas antikvariske hensyn ved ombygginger m.m. </w:t>
      </w:r>
    </w:p>
    <w:p w:rsidR="00944062" w:rsidRPr="0084542C" w:rsidRDefault="00944062" w:rsidP="0084542C">
      <w:pPr>
        <w:pStyle w:val="Overskrift3"/>
      </w:pPr>
      <w:bookmarkStart w:id="1463" w:name="_Toc470087682"/>
      <w:bookmarkStart w:id="1464" w:name="_Toc476320929"/>
      <w:bookmarkStart w:id="1465" w:name="_Toc477277234"/>
      <w:bookmarkStart w:id="1466" w:name="_Toc477535549"/>
      <w:bookmarkStart w:id="1467" w:name="_Toc477630681"/>
      <w:bookmarkStart w:id="1468" w:name="_Toc477693645"/>
      <w:bookmarkStart w:id="1469" w:name="_Toc477704019"/>
      <w:bookmarkStart w:id="1470" w:name="_Toc477799232"/>
      <w:bookmarkStart w:id="1471" w:name="_Toc477805835"/>
      <w:bookmarkStart w:id="1472" w:name="_Toc477878095"/>
      <w:bookmarkStart w:id="1473" w:name="_Toc477881498"/>
      <w:bookmarkStart w:id="1474" w:name="_Toc477885958"/>
      <w:bookmarkStart w:id="1475" w:name="_Toc478131386"/>
      <w:bookmarkStart w:id="1476" w:name="_Toc478138756"/>
      <w:bookmarkStart w:id="1477" w:name="_Toc478232284"/>
      <w:bookmarkStart w:id="1478" w:name="_Toc478237268"/>
      <w:bookmarkStart w:id="1479" w:name="_Toc481761807"/>
      <w:bookmarkStart w:id="1480" w:name="_Toc492900460"/>
      <w:r w:rsidRPr="0084542C">
        <w:t>Departementets vurderinger</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r w:rsidRPr="0084542C">
        <w:t xml:space="preserve"> </w:t>
      </w:r>
    </w:p>
    <w:p w:rsidR="00944062" w:rsidRDefault="00944062" w:rsidP="00A77302">
      <w:r>
        <w:t>Departementet mener at</w:t>
      </w:r>
      <w:r w:rsidRPr="00243694">
        <w:t xml:space="preserve"> Den norske kirke selv </w:t>
      </w:r>
      <w:r>
        <w:t xml:space="preserve">bør </w:t>
      </w:r>
      <w:r w:rsidRPr="00243694">
        <w:t>bestemme sin sokneinndeling</w:t>
      </w:r>
      <w:r>
        <w:t xml:space="preserve"> og at d</w:t>
      </w:r>
      <w:r w:rsidRPr="00243694">
        <w:t>agens lovbestemmelse om at det skal være kirke i hvert sokn</w:t>
      </w:r>
      <w:r>
        <w:t>,</w:t>
      </w:r>
      <w:r w:rsidRPr="00243694">
        <w:t xml:space="preserve"> bør utgå fra lovgivningen. Det samme </w:t>
      </w:r>
      <w:r>
        <w:t>gjelder lovkravet</w:t>
      </w:r>
      <w:r w:rsidRPr="00243694">
        <w:t xml:space="preserve"> til kirkebyggenes størrelse </w:t>
      </w:r>
      <w:r>
        <w:t xml:space="preserve">og </w:t>
      </w:r>
      <w:r w:rsidRPr="00243694">
        <w:t xml:space="preserve">om når det skal bygges kirke. </w:t>
      </w:r>
      <w:r>
        <w:t xml:space="preserve">Departementet kan ikke se det er grunn for staten til å lovregulere slike forhold. </w:t>
      </w:r>
    </w:p>
    <w:p w:rsidR="00944062" w:rsidRDefault="00944062" w:rsidP="00A77302">
      <w:r>
        <w:t>Departementet kan heller ikke se at staten i framtiden bør være godkjenningsinstans ved oppføring av kirkebygg</w:t>
      </w:r>
      <w:r w:rsidR="00662A62">
        <w:t xml:space="preserve">, og heller ikke </w:t>
      </w:r>
      <w:r>
        <w:t xml:space="preserve">ved </w:t>
      </w:r>
      <w:r w:rsidR="00D10E36">
        <w:t xml:space="preserve">påbygg, </w:t>
      </w:r>
      <w:r>
        <w:t>ombygging</w:t>
      </w:r>
      <w:r w:rsidR="00D10E36">
        <w:t xml:space="preserve"> </w:t>
      </w:r>
      <w:r w:rsidR="00662A62">
        <w:t>o.l. av kirkebygg –</w:t>
      </w:r>
      <w:r w:rsidR="00D10E36">
        <w:t xml:space="preserve"> med unntak for de tilfelle</w:t>
      </w:r>
      <w:r w:rsidR="00122169">
        <w:t>ne</w:t>
      </w:r>
      <w:r w:rsidR="00D10E36">
        <w:t xml:space="preserve"> der </w:t>
      </w:r>
      <w:r w:rsidR="00662A62">
        <w:t xml:space="preserve">hensynet til </w:t>
      </w:r>
      <w:r w:rsidR="00D10E36">
        <w:t>kulturminne</w:t>
      </w:r>
      <w:r w:rsidR="00122169">
        <w:t>vern</w:t>
      </w:r>
      <w:r w:rsidR="00662A62">
        <w:t xml:space="preserve">et krever tillatelse av antikvariske myndigheter. </w:t>
      </w:r>
      <w:r w:rsidRPr="00243694">
        <w:t xml:space="preserve">Hvilke vilkår som skal stilles for utskilling av sokn, og hvilke prosedyrer </w:t>
      </w:r>
      <w:r>
        <w:t xml:space="preserve">for godkjenning av nye kirkebygg som skal gjelde, bør etter departementets syn </w:t>
      </w:r>
      <w:r w:rsidRPr="00243694">
        <w:t xml:space="preserve">bestemmes av </w:t>
      </w:r>
      <w:r>
        <w:t>kirkelige myndigheter.</w:t>
      </w:r>
    </w:p>
    <w:p w:rsidR="00944062" w:rsidRDefault="00944062" w:rsidP="00A77302">
      <w:r>
        <w:t xml:space="preserve">Departementet mener at også </w:t>
      </w:r>
      <w:r w:rsidRPr="00243694">
        <w:t>andre av kirkelovens bestemmelser om kirke</w:t>
      </w:r>
      <w:r>
        <w:t xml:space="preserve">bygg bør </w:t>
      </w:r>
      <w:r w:rsidRPr="00243694">
        <w:t>oppheves. Det gjelder bl</w:t>
      </w:r>
      <w:r w:rsidR="006B72FC">
        <w:t>ant annet</w:t>
      </w:r>
      <w:r w:rsidRPr="00243694">
        <w:t xml:space="preserve"> bestemmelsene i § 18 om at kirker ikke kan avhendes, pantsettes eller påheftes bruksretter. Bestemmelsen om at departementet kan samtykke i salg av kirke, </w:t>
      </w:r>
      <w:r>
        <w:t xml:space="preserve">bør også </w:t>
      </w:r>
      <w:r w:rsidRPr="00243694">
        <w:t xml:space="preserve">utgå. </w:t>
      </w:r>
      <w:r>
        <w:t>E</w:t>
      </w:r>
      <w:r w:rsidRPr="00243694">
        <w:t xml:space="preserve">ventuelle vilkår for salg m.m. </w:t>
      </w:r>
      <w:r>
        <w:t xml:space="preserve">bør etter departementets syn </w:t>
      </w:r>
      <w:r w:rsidRPr="00243694">
        <w:t xml:space="preserve">fastsettes av </w:t>
      </w:r>
      <w:r w:rsidR="00662A62">
        <w:t>vedkommende kirkelig</w:t>
      </w:r>
      <w:r>
        <w:t xml:space="preserve"> myndighet.</w:t>
      </w:r>
    </w:p>
    <w:p w:rsidR="000D1D17" w:rsidRDefault="00944062" w:rsidP="00A77302">
      <w:r>
        <w:t>Også b</w:t>
      </w:r>
      <w:r w:rsidRPr="00243694">
        <w:t xml:space="preserve">estemmelsen i § 21 om at det i spredtbygd område ikke kan være bebyggelse nærmere enn 60 meter fra en kirke uten at det foreligger tillatelse fra departementet, bør </w:t>
      </w:r>
      <w:r>
        <w:t xml:space="preserve">etter departementets syn utgå fra </w:t>
      </w:r>
      <w:r w:rsidRPr="00243694">
        <w:t>lovgivningen</w:t>
      </w:r>
      <w:r>
        <w:t>.</w:t>
      </w:r>
      <w:r w:rsidR="000D1D17">
        <w:t xml:space="preserve"> Dette er et spørsmål som på vanlig måte bør avklares gjennom kommunale reguleringsplaner og kommunens behandling av byggesaker.</w:t>
      </w:r>
    </w:p>
    <w:p w:rsidR="004A2A39" w:rsidRDefault="004A2A39" w:rsidP="004A2A39">
      <w:r>
        <w:lastRenderedPageBreak/>
        <w:t xml:space="preserve">Departementet mener at lovgivningen fortsatt bør regulere soknet som den grunnleggende enheten i Den norske kirke, med samme rettsstilling som i dag, og at det av denne grunn er nødvendig å lovfeste menighetsrådet som organ for soknet. Ved utforming av ny lovgivning bør det samtidig legges til rette for at Den norske kirke får større frihet til organisere seg slik kirken finner hensiktsmessig. Departementet kan etter dette ikke se at et fellesorgan for soknene, i dag det kirkelige fellesrådet, i framtiden bør være regulert i lov. Bestemmelser om et slikt felleskirkelig organ for soknene bør etter departementets syn gis i den kirkeordningen som Kirkemøtet fastsetter, ikke av staten gjennom lov. Kirkemøtet vil da stå fritt til å videreføre bestemmelsene om kirkelig fellesråd eller gi nye bestemmelser om et fellesorgan for soknene. Tilsvarende bør det ikke lenger være staten gjennom lov som regulerer myndighets- og ansvarsdelingen mellom soknets organer, jf. kapittel 8. I tråd med dette bør også menighetsrådets oppgaver, myndighet og ansvar reguleres i den kirkeordningen som Kirkemøtet fastsetter. </w:t>
      </w:r>
    </w:p>
    <w:p w:rsidR="00944062" w:rsidRDefault="004A2A39" w:rsidP="00A77302">
      <w:r>
        <w:t xml:space="preserve">Etter departementets forslag vil Kirkemøtet få myndighet </w:t>
      </w:r>
      <w:r w:rsidR="00944062">
        <w:t>til å bestemme den lokale kirkes organisering, noe Kirkemøtet ikke har i dag. Departementet kan ikke se at Stortinget, ved sin lovgivningsmyndighet, er nærmere eller bedre egnet enn Kirkemøtet til å regulere slike spørsmål i Den norske kirke. Når det ellers gjelder sokne</w:t>
      </w:r>
      <w:r w:rsidR="006B72FC">
        <w:t>t</w:t>
      </w:r>
      <w:r w:rsidR="00944062">
        <w:t>s rett</w:t>
      </w:r>
      <w:r w:rsidR="004D5F06">
        <w:t>slige stilling, vises til kap</w:t>
      </w:r>
      <w:r w:rsidR="006B72FC">
        <w:t>ittel</w:t>
      </w:r>
      <w:r w:rsidR="004D5F06">
        <w:t xml:space="preserve"> </w:t>
      </w:r>
      <w:r w:rsidR="000D1D17">
        <w:t>8</w:t>
      </w:r>
      <w:r w:rsidR="006B72FC">
        <w:t>.</w:t>
      </w:r>
      <w:r w:rsidR="00944062">
        <w:t xml:space="preserve"> </w:t>
      </w:r>
    </w:p>
    <w:p w:rsidR="00944062" w:rsidRDefault="00944062" w:rsidP="00A77302">
      <w:r>
        <w:t xml:space="preserve">For det nasjonale rettssubjektet for Den norske kirke gjelder regnskapsloven. For soknene gjelder i dag departementets forskrift om økonomiforvaltningen for kirkelige fellesråd og menighetsråd. Departementet kan ikke se at staten i framtiden bør gi egne regler på dette området. Om ikke annet bestemmes særskilt i lov, vil regnskapsloven gjelde </w:t>
      </w:r>
      <w:r w:rsidR="004D3BEA">
        <w:t xml:space="preserve">også </w:t>
      </w:r>
      <w:r>
        <w:t xml:space="preserve">for soknene. </w:t>
      </w:r>
    </w:p>
    <w:p w:rsidR="00933461" w:rsidRDefault="00730F4A" w:rsidP="00A77302">
      <w:r>
        <w:t>Departementets lovforslag på de omtalte områdene er</w:t>
      </w:r>
      <w:r w:rsidR="00933461">
        <w:t xml:space="preserve"> inntatt i lovutkastet §§ </w:t>
      </w:r>
      <w:r w:rsidR="006B72FC">
        <w:t>1</w:t>
      </w:r>
      <w:r w:rsidR="0005272E">
        <w:t>0</w:t>
      </w:r>
      <w:r w:rsidR="00933461">
        <w:t xml:space="preserve"> og </w:t>
      </w:r>
      <w:r w:rsidR="006B72FC">
        <w:t>1</w:t>
      </w:r>
      <w:r w:rsidR="0005272E">
        <w:t>3</w:t>
      </w:r>
      <w:r w:rsidR="006B72FC">
        <w:t>,</w:t>
      </w:r>
      <w:r w:rsidR="00933461">
        <w:t xml:space="preserve"> med slik ordlyd:</w:t>
      </w:r>
    </w:p>
    <w:p w:rsidR="006B72FC" w:rsidRPr="009C082C" w:rsidRDefault="006B72FC" w:rsidP="001763A6">
      <w:pPr>
        <w:pStyle w:val="blokksit"/>
      </w:pPr>
      <w:r w:rsidRPr="009C082C">
        <w:t>§ 1</w:t>
      </w:r>
      <w:r w:rsidR="0005272E">
        <w:t>0</w:t>
      </w:r>
      <w:r w:rsidRPr="009C082C">
        <w:t xml:space="preserve"> annet ledd  </w:t>
      </w:r>
    </w:p>
    <w:p w:rsidR="00933461" w:rsidRDefault="006B72FC" w:rsidP="001763A6">
      <w:pPr>
        <w:pStyle w:val="blokksit"/>
        <w:rPr>
          <w:i/>
        </w:rPr>
      </w:pPr>
      <w:r>
        <w:rPr>
          <w:i/>
        </w:rPr>
        <w:t>Kirkemøtet gir n</w:t>
      </w:r>
      <w:r w:rsidR="00933461" w:rsidRPr="00933461">
        <w:rPr>
          <w:i/>
        </w:rPr>
        <w:t>ærmere bestemmelser om kirkens organi</w:t>
      </w:r>
      <w:r w:rsidR="00933461">
        <w:rPr>
          <w:i/>
        </w:rPr>
        <w:t>s</w:t>
      </w:r>
      <w:r w:rsidR="00933461" w:rsidRPr="00933461">
        <w:rPr>
          <w:i/>
        </w:rPr>
        <w:t>ering, kirkel</w:t>
      </w:r>
      <w:r w:rsidR="00933461">
        <w:rPr>
          <w:i/>
        </w:rPr>
        <w:t>i</w:t>
      </w:r>
      <w:r w:rsidR="00933461" w:rsidRPr="00933461">
        <w:rPr>
          <w:i/>
        </w:rPr>
        <w:t>g inndeling, kirkelige organer og om valg til disse.</w:t>
      </w:r>
    </w:p>
    <w:p w:rsidR="006B72FC" w:rsidRPr="009C082C" w:rsidRDefault="006B72FC" w:rsidP="001763A6">
      <w:pPr>
        <w:pStyle w:val="blokksit"/>
      </w:pPr>
      <w:r w:rsidRPr="009C082C">
        <w:t>§ 1</w:t>
      </w:r>
      <w:r w:rsidR="001377A2">
        <w:t>3</w:t>
      </w:r>
      <w:r w:rsidRPr="009C082C">
        <w:t xml:space="preserve"> </w:t>
      </w:r>
      <w:r w:rsidR="009C082C">
        <w:t>annet punktum</w:t>
      </w:r>
    </w:p>
    <w:p w:rsidR="00933461" w:rsidRDefault="00933461" w:rsidP="001763A6">
      <w:pPr>
        <w:pStyle w:val="blokksit"/>
      </w:pPr>
      <w:r>
        <w:rPr>
          <w:i/>
        </w:rPr>
        <w:t xml:space="preserve">Kirkemøtet gir regler om krav til kirke, forvaltning av kirke og tilhørende fond, kirkens inventar og utstyr, og om bruk av kirke, herunder betaling for bruk. </w:t>
      </w:r>
    </w:p>
    <w:p w:rsidR="00944062" w:rsidRDefault="00944062" w:rsidP="00A77302">
      <w:r>
        <w:t xml:space="preserve">De </w:t>
      </w:r>
      <w:r w:rsidR="00730F4A">
        <w:t>lov</w:t>
      </w:r>
      <w:r>
        <w:t>endringene som foreslå</w:t>
      </w:r>
      <w:r w:rsidR="00730F4A">
        <w:t>s</w:t>
      </w:r>
      <w:r>
        <w:t xml:space="preserve">, etablerer etter departementets syn et nytt grunnlag for utformingen av den offentlige finansieringen av Den norske kirke. </w:t>
      </w:r>
    </w:p>
    <w:p w:rsidR="00944062" w:rsidRPr="0084542C" w:rsidRDefault="00944062" w:rsidP="0084542C">
      <w:pPr>
        <w:pStyle w:val="Overskrift2"/>
      </w:pPr>
      <w:bookmarkStart w:id="1481" w:name="_Toc470087683"/>
      <w:bookmarkStart w:id="1482" w:name="_Toc476320930"/>
      <w:bookmarkStart w:id="1483" w:name="_Toc477277235"/>
      <w:bookmarkStart w:id="1484" w:name="_Toc477535550"/>
      <w:bookmarkStart w:id="1485" w:name="_Toc477630682"/>
      <w:bookmarkStart w:id="1486" w:name="_Toc477693646"/>
      <w:bookmarkStart w:id="1487" w:name="_Toc477704020"/>
      <w:bookmarkStart w:id="1488" w:name="_Toc477799233"/>
      <w:bookmarkStart w:id="1489" w:name="_Toc477805836"/>
      <w:bookmarkStart w:id="1490" w:name="_Toc477878096"/>
      <w:bookmarkStart w:id="1491" w:name="_Toc477881499"/>
      <w:bookmarkStart w:id="1492" w:name="_Toc477885959"/>
      <w:bookmarkStart w:id="1493" w:name="_Toc478131387"/>
      <w:bookmarkStart w:id="1494" w:name="_Toc478138757"/>
      <w:bookmarkStart w:id="1495" w:name="_Toc478232285"/>
      <w:bookmarkStart w:id="1496" w:name="_Toc478237269"/>
      <w:bookmarkStart w:id="1497" w:name="_Toc481761808"/>
      <w:bookmarkStart w:id="1498" w:name="_Toc492900461"/>
      <w:r w:rsidRPr="0084542C">
        <w:t>Forvaltningen og finansieringen av kirkebyggene</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84542C">
        <w:t xml:space="preserve"> </w:t>
      </w:r>
    </w:p>
    <w:p w:rsidR="00944062" w:rsidRPr="0084542C" w:rsidRDefault="00944062" w:rsidP="0084542C">
      <w:pPr>
        <w:pStyle w:val="Overskrift3"/>
      </w:pPr>
      <w:bookmarkStart w:id="1499" w:name="_Toc470087684"/>
      <w:bookmarkStart w:id="1500" w:name="_Toc476320931"/>
      <w:bookmarkStart w:id="1501" w:name="_Toc477277236"/>
      <w:bookmarkStart w:id="1502" w:name="_Toc477535551"/>
      <w:bookmarkStart w:id="1503" w:name="_Toc477630683"/>
      <w:bookmarkStart w:id="1504" w:name="_Toc477693647"/>
      <w:bookmarkStart w:id="1505" w:name="_Toc477704021"/>
      <w:bookmarkStart w:id="1506" w:name="_Toc477799234"/>
      <w:bookmarkStart w:id="1507" w:name="_Toc477805837"/>
      <w:bookmarkStart w:id="1508" w:name="_Toc477878097"/>
      <w:bookmarkStart w:id="1509" w:name="_Toc477881500"/>
      <w:bookmarkStart w:id="1510" w:name="_Toc477885960"/>
      <w:bookmarkStart w:id="1511" w:name="_Toc478131388"/>
      <w:bookmarkStart w:id="1512" w:name="_Toc478138758"/>
      <w:bookmarkStart w:id="1513" w:name="_Toc478232286"/>
      <w:bookmarkStart w:id="1514" w:name="_Toc478237270"/>
      <w:bookmarkStart w:id="1515" w:name="_Toc481761809"/>
      <w:bookmarkStart w:id="1516" w:name="_Toc492900462"/>
      <w:r w:rsidRPr="0084542C">
        <w:t>Situasjonen i dag</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84542C">
        <w:t xml:space="preserve"> </w:t>
      </w:r>
    </w:p>
    <w:p w:rsidR="00944062" w:rsidRDefault="00944062" w:rsidP="00697087">
      <w:r w:rsidRPr="00533062">
        <w:t xml:space="preserve">Blant de viktigste oppgavene kommunene har overfor Den norske kirke, er å finansiere driften og vedlikeholdet av de </w:t>
      </w:r>
      <w:r>
        <w:t>n</w:t>
      </w:r>
      <w:r w:rsidRPr="00533062">
        <w:t>ær 1 630 kirkebygg</w:t>
      </w:r>
      <w:r>
        <w:t>ene</w:t>
      </w:r>
      <w:r w:rsidRPr="00533062">
        <w:t xml:space="preserve"> </w:t>
      </w:r>
      <w:r>
        <w:t xml:space="preserve">som </w:t>
      </w:r>
      <w:r w:rsidRPr="00533062">
        <w:t>hører inn under Den norske kirke.</w:t>
      </w:r>
      <w:r>
        <w:t xml:space="preserve"> </w:t>
      </w:r>
      <w:r w:rsidRPr="00533062">
        <w:t>Så godt som alle byggene</w:t>
      </w:r>
      <w:r>
        <w:t xml:space="preserve"> </w:t>
      </w:r>
      <w:r w:rsidRPr="00533062">
        <w:t>eies av Den norske kirke ved vedkommende sokn</w:t>
      </w:r>
      <w:r>
        <w:t>,</w:t>
      </w:r>
      <w:r w:rsidRPr="00533062">
        <w:t xml:space="preserve"> og forvaltes av den som representerer soknet, dvs. menighetsrådet eller det kirkelige fellesrådet i kommunen. Nærmere 1 000 kirkebygg er regnet som kulturhistorisk verdifulle</w:t>
      </w:r>
      <w:r w:rsidR="00273E24">
        <w:t xml:space="preserve">, hvorav </w:t>
      </w:r>
      <w:r w:rsidRPr="00533062">
        <w:t>2</w:t>
      </w:r>
      <w:r w:rsidR="00417E02">
        <w:t>15</w:t>
      </w:r>
      <w:r w:rsidRPr="00533062">
        <w:t xml:space="preserve"> </w:t>
      </w:r>
      <w:r w:rsidR="00685016">
        <w:t xml:space="preserve">er </w:t>
      </w:r>
      <w:r w:rsidRPr="00533062">
        <w:t xml:space="preserve">fredet, </w:t>
      </w:r>
      <w:r w:rsidR="00273E24">
        <w:t xml:space="preserve">jf. nærmere omtale </w:t>
      </w:r>
      <w:r w:rsidR="00685016">
        <w:t xml:space="preserve">i kapittel 11. </w:t>
      </w:r>
      <w:r>
        <w:t>I årene 2012</w:t>
      </w:r>
      <w:r>
        <w:softHyphen/>
        <w:t>–201</w:t>
      </w:r>
      <w:r w:rsidR="00DB2A51">
        <w:t>6</w:t>
      </w:r>
      <w:r>
        <w:t xml:space="preserve"> ble det </w:t>
      </w:r>
      <w:r w:rsidR="009C082C">
        <w:t>i snitt</w:t>
      </w:r>
      <w:r>
        <w:t xml:space="preserve"> </w:t>
      </w:r>
      <w:r w:rsidR="00097172">
        <w:t xml:space="preserve">utgiftsført </w:t>
      </w:r>
      <w:r>
        <w:t xml:space="preserve">rundt 700 mill. kroner hvert år til </w:t>
      </w:r>
      <w:r w:rsidR="0075672B">
        <w:t xml:space="preserve">investeringer og vedlikehold av </w:t>
      </w:r>
      <w:r>
        <w:t xml:space="preserve">kirkebyggene, i hovedsak gjennom kommunale bevilgninger til de kirkelige fellesrådene. </w:t>
      </w:r>
    </w:p>
    <w:p w:rsidR="00944062" w:rsidRPr="00533062" w:rsidRDefault="00944062" w:rsidP="00697087">
      <w:r w:rsidRPr="00533062">
        <w:lastRenderedPageBreak/>
        <w:t xml:space="preserve">Gjennom tilstandsundersøkelser er det kommet fram at mange kirkebygg har et stort restaurerings- og vedlikeholdsbehov, bygget opp gjennom mange år. </w:t>
      </w:r>
      <w:r w:rsidR="00C2194B">
        <w:t>A</w:t>
      </w:r>
      <w:r w:rsidRPr="00533062">
        <w:t>rbeidsgiverorganisasjonen</w:t>
      </w:r>
      <w:r w:rsidR="00C2194B">
        <w:t xml:space="preserve"> for kirkelige virksomheter </w:t>
      </w:r>
      <w:r>
        <w:t>(</w:t>
      </w:r>
      <w:r w:rsidRPr="00533062">
        <w:t>KA</w:t>
      </w:r>
      <w:r>
        <w:t>)</w:t>
      </w:r>
      <w:r w:rsidRPr="00533062">
        <w:t>, som de</w:t>
      </w:r>
      <w:r w:rsidR="00417E02">
        <w:t>t</w:t>
      </w:r>
      <w:r w:rsidR="00C2194B">
        <w:t xml:space="preserve"> siste tiåret </w:t>
      </w:r>
      <w:r w:rsidRPr="00533062">
        <w:t xml:space="preserve">har gjennomført tilstandsundersøkelser av kirkebyggene, har anslått at det samlede istandsettingsbehovet er på </w:t>
      </w:r>
      <w:r>
        <w:t xml:space="preserve">godt over </w:t>
      </w:r>
      <w:r w:rsidRPr="00533062">
        <w:t>10 mrd. kroner dersom byggene skal bringes opp til et normalt vedlikeholdsnivå.</w:t>
      </w:r>
    </w:p>
    <w:p w:rsidR="00944062" w:rsidRPr="00533062" w:rsidRDefault="00944062" w:rsidP="00697087">
      <w:r w:rsidRPr="00533062">
        <w:t>Utgifts</w:t>
      </w:r>
      <w:r>
        <w:t xml:space="preserve">behovet </w:t>
      </w:r>
      <w:r w:rsidRPr="00533062">
        <w:t xml:space="preserve">som kirkebyggene representerer for kommunene, er ikke jevnt fordelt kommunene imellom. Verken antallet kirkebygg i en kommune eller antallet </w:t>
      </w:r>
      <w:r w:rsidR="00C2194B">
        <w:t xml:space="preserve">kulturhistorisk verdifulle kirkebygg </w:t>
      </w:r>
      <w:r w:rsidRPr="00533062">
        <w:t xml:space="preserve">inngår som fordelingsfaktor i inntektssystemet for kommunene. I mindre kommuner kan det være flere kulturhistorisk verdifulle kirkebygg. </w:t>
      </w:r>
    </w:p>
    <w:p w:rsidR="00944062" w:rsidRPr="00533062" w:rsidRDefault="00944062" w:rsidP="00697087">
      <w:r w:rsidRPr="00533062">
        <w:t>Staten har i senere tid anerkjent behovet for å bistå kommunene</w:t>
      </w:r>
      <w:r>
        <w:t xml:space="preserve"> i deres økonomiske ansvar for </w:t>
      </w:r>
      <w:r w:rsidRPr="00533062">
        <w:t>kirkebyggene. I statsbudsjettet for 2005 ble det innført en rentekompensasjonsordning for istandsetting av kirkebygg. Ordningen innebærer at kommunene kan søke om statstilskudd til</w:t>
      </w:r>
      <w:r>
        <w:t>s</w:t>
      </w:r>
      <w:r w:rsidRPr="00533062">
        <w:t xml:space="preserve">varende renteutgiften for investeringen i kirkebygget. De kulturhistorisk verdifulle kirkene har prioritet under ordningen. I tillegg har Kulturdepartementet ved årlige bevilgninger til KA gjennom </w:t>
      </w:r>
      <w:r w:rsidR="009C082C">
        <w:t xml:space="preserve">de seneste </w:t>
      </w:r>
      <w:r w:rsidRPr="00533062">
        <w:t xml:space="preserve">20 år </w:t>
      </w:r>
      <w:r>
        <w:t xml:space="preserve">bidratt til å </w:t>
      </w:r>
      <w:r w:rsidRPr="00533062">
        <w:t>etabler</w:t>
      </w:r>
      <w:r>
        <w:t>e</w:t>
      </w:r>
      <w:r w:rsidRPr="00533062">
        <w:t xml:space="preserve"> et nasjonalt kompetansemiljø</w:t>
      </w:r>
      <w:r>
        <w:t xml:space="preserve"> </w:t>
      </w:r>
      <w:r w:rsidRPr="00533062">
        <w:t>for kirkebygg som i samarbeid med andre fagmiljøer</w:t>
      </w:r>
      <w:r w:rsidR="00025037">
        <w:t>,</w:t>
      </w:r>
      <w:r w:rsidRPr="00533062">
        <w:t xml:space="preserve"> bistår kommuner og kirkeeiere i den bygningsmessige forvaltningen. I 2017 har staten gitt en ekstraordinær bevilgning på 25 mill. kroner til istandsetting av ni kulturhistorisk verdifulle kirker. Disse er lokalisert i områder hvor det er behov for sysselsettingstiltak, noe som danner bakgrunnen for den ekstraordinære bevilgningen i 2017. </w:t>
      </w:r>
    </w:p>
    <w:p w:rsidR="00944062" w:rsidRPr="00533062" w:rsidRDefault="00944062" w:rsidP="00697087">
      <w:r w:rsidRPr="00533062">
        <w:t xml:space="preserve">Siden 2005 er det under rentekompensasjonsordningen investert rundt 3,5 mrd. kroner i kirkebyggene. Uten rentekompensasjonsordningen ville investeringene vært langt lavere. De seneste tilstandsundersøkelsene viser at det samlede vedlikeholdsetterslepet har stabilisert seg. </w:t>
      </w:r>
    </w:p>
    <w:p w:rsidR="00944062" w:rsidRDefault="00566ACF" w:rsidP="00697087">
      <w:r>
        <w:t xml:space="preserve">Departementets vurderinger i det følgende om kirkebyggenes forvaltning og finansiering gjelder for alle kirkebyggene i Den norske kirke. </w:t>
      </w:r>
      <w:r w:rsidR="00747A59">
        <w:t xml:space="preserve">Det vises ellers til </w:t>
      </w:r>
      <w:r w:rsidR="00C0095B">
        <w:t>kapittel 11</w:t>
      </w:r>
      <w:r w:rsidR="00747A59">
        <w:t xml:space="preserve">, </w:t>
      </w:r>
      <w:r w:rsidR="00C2194B">
        <w:t>der</w:t>
      </w:r>
      <w:r w:rsidR="00747A59">
        <w:t xml:space="preserve"> </w:t>
      </w:r>
      <w:r w:rsidR="00C0095B">
        <w:t>d</w:t>
      </w:r>
      <w:r w:rsidR="00222815">
        <w:t>e kulturhistorisk verdifulle kirkebyggene</w:t>
      </w:r>
      <w:r w:rsidR="00747A59">
        <w:t xml:space="preserve"> er særskilt omtalt</w:t>
      </w:r>
      <w:r w:rsidR="00C0095B">
        <w:t>.</w:t>
      </w:r>
      <w:r w:rsidR="00222815">
        <w:t xml:space="preserve"> </w:t>
      </w:r>
    </w:p>
    <w:p w:rsidR="00944062" w:rsidRPr="0084542C" w:rsidRDefault="00944062" w:rsidP="0084542C">
      <w:pPr>
        <w:pStyle w:val="Overskrift3"/>
      </w:pPr>
      <w:bookmarkStart w:id="1517" w:name="_Toc470087685"/>
      <w:bookmarkStart w:id="1518" w:name="_Toc476320932"/>
      <w:bookmarkStart w:id="1519" w:name="_Toc477277237"/>
      <w:bookmarkStart w:id="1520" w:name="_Toc477535552"/>
      <w:bookmarkStart w:id="1521" w:name="_Toc477630684"/>
      <w:bookmarkStart w:id="1522" w:name="_Toc477693648"/>
      <w:bookmarkStart w:id="1523" w:name="_Toc477704022"/>
      <w:bookmarkStart w:id="1524" w:name="_Toc477799235"/>
      <w:bookmarkStart w:id="1525" w:name="_Toc477805838"/>
      <w:bookmarkStart w:id="1526" w:name="_Toc477878098"/>
      <w:bookmarkStart w:id="1527" w:name="_Toc477881501"/>
      <w:bookmarkStart w:id="1528" w:name="_Toc477885961"/>
      <w:bookmarkStart w:id="1529" w:name="_Toc478131389"/>
      <w:bookmarkStart w:id="1530" w:name="_Toc478138759"/>
      <w:bookmarkStart w:id="1531" w:name="_Toc478232287"/>
      <w:bookmarkStart w:id="1532" w:name="_Toc478237271"/>
      <w:bookmarkStart w:id="1533" w:name="_Toc481761810"/>
      <w:bookmarkStart w:id="1534" w:name="_Toc492900463"/>
      <w:r w:rsidRPr="0084542C">
        <w:t>Departementets vurderinger</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rsidR="00944062" w:rsidRPr="0084542C" w:rsidRDefault="00944062" w:rsidP="0084542C">
      <w:pPr>
        <w:pStyle w:val="Overskrift4"/>
      </w:pPr>
      <w:r w:rsidRPr="0084542C">
        <w:t>Kirkebyggenes forvaltning</w:t>
      </w:r>
    </w:p>
    <w:p w:rsidR="00944062" w:rsidRDefault="00944062" w:rsidP="00697087">
      <w:r>
        <w:t xml:space="preserve">Forvaltningsnivået for kirkebyggene er i dag bundet til kommunenivået. Dette følger av lovbestemmelsen om at kirkelig fellesråd (eventuelt menighetsrådet) på vegne av eieren (soknet) er ansvarlig for forvaltningen av kirkebyggene. Etter departementets syn kan det reises spørsmål om kommunenivået alltid er et egnet forvaltningsnivå. Særlig gjelder dette for de mange kirkebyggene som har verneverdi og ofte er lokalisert i små kommuner. </w:t>
      </w:r>
      <w:r w:rsidR="00C2194B">
        <w:t>O</w:t>
      </w:r>
      <w:r>
        <w:t>mbygging eller utbedring av disse kirkebyggene krever spesialisert kunnskap, bla</w:t>
      </w:r>
      <w:r w:rsidR="009C082C">
        <w:t>nt annet</w:t>
      </w:r>
      <w:r>
        <w:t xml:space="preserve"> om eldre byggeskikker og gamle håndverkstradisjoner. Det kan ikke utelukkes at manglende fagkunnskap kan være blant årsakene til at det antikvariske vedlikeholdet ikke har vært forsvarlig alle steder. </w:t>
      </w:r>
      <w:r w:rsidRPr="00F72CFE">
        <w:rPr>
          <w:color w:val="000000"/>
        </w:rPr>
        <w:t>Riksantikvaren har</w:t>
      </w:r>
      <w:r>
        <w:rPr>
          <w:color w:val="000000"/>
        </w:rPr>
        <w:t xml:space="preserve"> </w:t>
      </w:r>
      <w:r w:rsidRPr="00F72CFE">
        <w:rPr>
          <w:color w:val="000000"/>
        </w:rPr>
        <w:t xml:space="preserve">påpekt at kommuner og </w:t>
      </w:r>
      <w:r>
        <w:rPr>
          <w:color w:val="000000"/>
        </w:rPr>
        <w:t xml:space="preserve">fellesråd </w:t>
      </w:r>
      <w:r w:rsidRPr="00F72CFE">
        <w:rPr>
          <w:color w:val="000000"/>
        </w:rPr>
        <w:t xml:space="preserve">ofte har begrenset kunnskap om de faglige kravene som stilles ved istandsetting av kirker. Den spesialiserte </w:t>
      </w:r>
      <w:r w:rsidR="00DE2603" w:rsidRPr="00F72CFE">
        <w:rPr>
          <w:color w:val="000000"/>
        </w:rPr>
        <w:t>h</w:t>
      </w:r>
      <w:r w:rsidR="00BC79CD">
        <w:rPr>
          <w:color w:val="000000"/>
        </w:rPr>
        <w:t>å</w:t>
      </w:r>
      <w:r w:rsidR="00DE2603" w:rsidRPr="00F72CFE">
        <w:rPr>
          <w:color w:val="000000"/>
        </w:rPr>
        <w:t>ndverkskompetansen</w:t>
      </w:r>
      <w:r w:rsidRPr="00F72CFE">
        <w:rPr>
          <w:color w:val="000000"/>
        </w:rPr>
        <w:t xml:space="preserve"> som </w:t>
      </w:r>
      <w:r>
        <w:rPr>
          <w:color w:val="000000"/>
        </w:rPr>
        <w:t xml:space="preserve">ofte </w:t>
      </w:r>
      <w:r w:rsidRPr="00F72CFE">
        <w:rPr>
          <w:color w:val="000000"/>
        </w:rPr>
        <w:t xml:space="preserve">trengs, er lokalisert til få fagmiljøer og er ikke uten videre tilgjengelig. </w:t>
      </w:r>
      <w:r>
        <w:t xml:space="preserve">Behovet for å bistå fellesrådene ved forvaltningen av kirkebyggene er en viktig grunn til at KA gjennom økonomisk støtte fra Kulturdepartementet har bygget opp et kompetansemiljø for forvaltningen av kirkebygg, med oppgave </w:t>
      </w:r>
      <w:r w:rsidR="009C082C">
        <w:t>blant annet</w:t>
      </w:r>
      <w:r>
        <w:t xml:space="preserve"> å veilede det enkelte fellesråd.</w:t>
      </w:r>
    </w:p>
    <w:p w:rsidR="00944062" w:rsidRDefault="00944062" w:rsidP="00697087">
      <w:r>
        <w:lastRenderedPageBreak/>
        <w:t xml:space="preserve">At forvaltningsnivået for kirkebyggene er kommunenivået, innebærer at </w:t>
      </w:r>
      <w:r w:rsidRPr="00712B0A">
        <w:t>ressursinnsatsen overfor kirkebyggene</w:t>
      </w:r>
      <w:r>
        <w:t xml:space="preserve"> ikke vurderes på tvers av kommunegrenser. K</w:t>
      </w:r>
      <w:r w:rsidRPr="00712B0A">
        <w:t>irkebyggene</w:t>
      </w:r>
      <w:r>
        <w:t>s ressursbehov</w:t>
      </w:r>
      <w:r w:rsidRPr="00712B0A">
        <w:t xml:space="preserve"> </w:t>
      </w:r>
      <w:r>
        <w:t xml:space="preserve">prioriteres og </w:t>
      </w:r>
      <w:r w:rsidRPr="00712B0A">
        <w:t xml:space="preserve">vurderes opp mot </w:t>
      </w:r>
      <w:r>
        <w:t xml:space="preserve">andre kirkelige </w:t>
      </w:r>
      <w:r w:rsidRPr="00712B0A">
        <w:t>ressursb</w:t>
      </w:r>
      <w:r>
        <w:t xml:space="preserve">ehov i den enkelte </w:t>
      </w:r>
      <w:r w:rsidRPr="00712B0A">
        <w:t xml:space="preserve">kommune. </w:t>
      </w:r>
      <w:r>
        <w:t xml:space="preserve">Ofte vil det oppstå vanskelige budsjettmessige prioriteringer mellom kirkebyggets utgiftsbehov på den ene siden og andre kirkelige utgiftsbehov på den andre siden. </w:t>
      </w:r>
    </w:p>
    <w:p w:rsidR="00944062" w:rsidRDefault="00944062" w:rsidP="00697087">
      <w:r>
        <w:t>Departementet vil dessuten peke på at d</w:t>
      </w:r>
      <w:r w:rsidRPr="00712B0A">
        <w:t xml:space="preserve">et kommunale finansieringsansvaret </w:t>
      </w:r>
      <w:r>
        <w:t xml:space="preserve">for kirkebyggene </w:t>
      </w:r>
      <w:r w:rsidRPr="00712B0A">
        <w:t xml:space="preserve">innebærer at </w:t>
      </w:r>
      <w:r>
        <w:t xml:space="preserve">kirken lokalt, som eier og forvaltningsansvarlig for kirkebyggene, i utgangspunktet </w:t>
      </w:r>
      <w:r w:rsidRPr="00712B0A">
        <w:t xml:space="preserve">ikke </w:t>
      </w:r>
      <w:r w:rsidR="00360916">
        <w:t xml:space="preserve">har egne økonomiske insitamenter </w:t>
      </w:r>
      <w:r w:rsidRPr="00712B0A">
        <w:t>for å redusere de bygningsmessige kostnadene, for eksempel ved å ta kirkebygg ut av bruk</w:t>
      </w:r>
      <w:r w:rsidR="00360916">
        <w:t>.</w:t>
      </w:r>
      <w:r>
        <w:t xml:space="preserve"> </w:t>
      </w:r>
      <w:r w:rsidR="00E66ECE">
        <w:t xml:space="preserve">Kommunenes økonomiske ansvar for kirkebyggene innebærer at </w:t>
      </w:r>
      <w:r>
        <w:t xml:space="preserve">eventuelle </w:t>
      </w:r>
      <w:r w:rsidRPr="00712B0A">
        <w:t>kostnadsreduksjone</w:t>
      </w:r>
      <w:r>
        <w:t>r</w:t>
      </w:r>
      <w:r w:rsidRPr="00712B0A">
        <w:t xml:space="preserve"> </w:t>
      </w:r>
      <w:r w:rsidR="00E66ECE">
        <w:t xml:space="preserve">på dette området i praksis vil kunne </w:t>
      </w:r>
      <w:r w:rsidRPr="00712B0A">
        <w:t>kom</w:t>
      </w:r>
      <w:r w:rsidR="00E66ECE">
        <w:t>m</w:t>
      </w:r>
      <w:r w:rsidRPr="00712B0A">
        <w:t>e kommunen</w:t>
      </w:r>
      <w:r>
        <w:t xml:space="preserve">, </w:t>
      </w:r>
      <w:r w:rsidRPr="00712B0A">
        <w:t>ikke</w:t>
      </w:r>
      <w:r>
        <w:t xml:space="preserve"> </w:t>
      </w:r>
      <w:r w:rsidRPr="00712B0A">
        <w:t>vedkommende sokn eller Den norske kirke</w:t>
      </w:r>
      <w:r w:rsidR="003B1DC3">
        <w:t>,</w:t>
      </w:r>
      <w:r>
        <w:t xml:space="preserve"> til gode.</w:t>
      </w:r>
      <w:r w:rsidRPr="00712B0A">
        <w:t xml:space="preserve"> </w:t>
      </w:r>
    </w:p>
    <w:p w:rsidR="00944062" w:rsidRDefault="00944062" w:rsidP="00697087">
      <w:r w:rsidRPr="00712B0A">
        <w:t xml:space="preserve">Å holde </w:t>
      </w:r>
      <w:r>
        <w:t xml:space="preserve">et bygg </w:t>
      </w:r>
      <w:r w:rsidRPr="00712B0A">
        <w:t>i stand, slik at de</w:t>
      </w:r>
      <w:r>
        <w:t>t</w:t>
      </w:r>
      <w:r w:rsidRPr="00712B0A">
        <w:t xml:space="preserve"> kan tjene sitt formål, er </w:t>
      </w:r>
      <w:r>
        <w:t xml:space="preserve">et ansvar som påhviler eieren av bygget. Dette gjelder generelt og gjelder også for kirkebyggene, også når kirkebygget har kulturhistorisk verdi. Den norske kirke er </w:t>
      </w:r>
      <w:r w:rsidR="0075672B">
        <w:t xml:space="preserve">i utgangspunktet </w:t>
      </w:r>
      <w:r>
        <w:t>her i samme stilling som andre eiere av kulturhistorisk verdifulle bygg</w:t>
      </w:r>
      <w:r w:rsidR="0075672B">
        <w:t>, selv om kirken er avhengig av offentlig finansiering.</w:t>
      </w:r>
      <w:r>
        <w:t xml:space="preserve"> Som nevnt er det soknet, eller flere sokn i felleskap, som er eier av nær alle kirkebyggene som hører inn under Den norske kirke. Hvem som på soknets vegne representerer eieren, er i dag regulert i lovgivningen, og vil i de fleste tilfellene være kirkelig fellesråd. </w:t>
      </w:r>
    </w:p>
    <w:p w:rsidR="00944062" w:rsidRDefault="00061A5A" w:rsidP="00697087">
      <w:r>
        <w:t>Som nevnt foran foreslår d</w:t>
      </w:r>
      <w:r w:rsidR="00944062">
        <w:t>epartementet at lovreguleringen av kirkelig fellesråd oppheves</w:t>
      </w:r>
      <w:r>
        <w:t>.</w:t>
      </w:r>
      <w:r w:rsidR="00944062">
        <w:t xml:space="preserve"> Menighetsrådet vil imidlertid fortsatt være lovfestet som organ for soknet, med oppgaver fastsatt av Kirkemøtet. En viktig konsekvens av forslaget om å oppheve lovbestemmelsen om kirkelig fellesråd, er at Kirkemøtet får myndighet til å bestemme hvem som i framtiden skal ha forvaltningsansvaret for kirkebyggene. </w:t>
      </w:r>
    </w:p>
    <w:p w:rsidR="00944062" w:rsidRDefault="00944062" w:rsidP="00697087">
      <w:r>
        <w:t>Kirkebyggene er i</w:t>
      </w:r>
      <w:r w:rsidRPr="00712B0A">
        <w:t>kke kommunal eiendom</w:t>
      </w:r>
      <w:r>
        <w:t xml:space="preserve">, men eies av Den norske kirke ved soknene. Med det ansvaret for kirkebyggene som følger av eierskapet, </w:t>
      </w:r>
      <w:r w:rsidR="002F5D34">
        <w:t xml:space="preserve">er det departementets syn at </w:t>
      </w:r>
      <w:r>
        <w:t xml:space="preserve">myndigheten til å avgjøre hvordan forvaltningen av kirkebyggene skal være organisert, </w:t>
      </w:r>
      <w:r w:rsidR="002F5D34">
        <w:t xml:space="preserve">bør </w:t>
      </w:r>
      <w:r>
        <w:t>ligge til Den norske kirke, slik departementets forslag innebærer. I utgangspunktet må dette etter departementets syn også gjelde for de kulturhistorisk verdifulle kirkebyggene. Om det ikke ved budsjettvedtak i kommune eller stat er øremerket midler til kirkebyggene, bør det tilsvarende være Den norske kirke som bestemmer hvilken ressursinnsats som skal komme kirkebyggene til gode i form av investerings-, drifts- og vedlikeholdsmidler.</w:t>
      </w:r>
    </w:p>
    <w:p w:rsidR="00944062" w:rsidRDefault="00944062" w:rsidP="00697087">
      <w:r>
        <w:t>En ny organisering av kirkebyggenes forvaltning bør etter departementets syn kunne gi et bedre grunnlag enn i dag for sikring og vedlikehold</w:t>
      </w:r>
      <w:r w:rsidR="00C2194B">
        <w:t>, også av de kulturhistorisk verdifulle kirkebyggene</w:t>
      </w:r>
      <w:r>
        <w:t xml:space="preserve">. Antakelig bør forvaltningen av kirkebyggene </w:t>
      </w:r>
      <w:r w:rsidR="003C5EA9">
        <w:t xml:space="preserve">mange steder vurderes </w:t>
      </w:r>
      <w:r>
        <w:t>innordne</w:t>
      </w:r>
      <w:r w:rsidR="003C5EA9">
        <w:t>t</w:t>
      </w:r>
      <w:r>
        <w:t xml:space="preserve"> i et større forvaltningsområde enn kommunenivået</w:t>
      </w:r>
      <w:r w:rsidR="003C5EA9">
        <w:t xml:space="preserve">, for slik å styrke mulighetene for </w:t>
      </w:r>
      <w:r w:rsidR="00566ACF">
        <w:t xml:space="preserve">oppbygging av større faglig og spesialisert kompetanse i kirkebyggenes forvaltning. </w:t>
      </w:r>
      <w:r w:rsidR="00BE6F03">
        <w:t xml:space="preserve">Hvilke </w:t>
      </w:r>
      <w:r>
        <w:t>områder eller regioner</w:t>
      </w:r>
      <w:r w:rsidR="00BE6F03">
        <w:t xml:space="preserve"> som kan være aktuelle å innordne bygningsforvaltningen i, </w:t>
      </w:r>
      <w:r>
        <w:t>ser ikke departementet grunn til å gå nærmere inn på. Dette vil det være Kirkemøtets oppgave å gi bestemmelser om.</w:t>
      </w:r>
      <w:r w:rsidRPr="00D3572F">
        <w:t xml:space="preserve"> </w:t>
      </w:r>
      <w:r>
        <w:t xml:space="preserve">Kirkemøtets ansvar i denne sammenhengen er å </w:t>
      </w:r>
      <w:r w:rsidR="003C5EA9">
        <w:t xml:space="preserve">vurdere </w:t>
      </w:r>
      <w:r>
        <w:t xml:space="preserve">bestemmelser om organiseringen som kan gi en </w:t>
      </w:r>
      <w:r w:rsidR="00566ACF">
        <w:t xml:space="preserve">faglig forsvarlig og mer </w:t>
      </w:r>
      <w:r w:rsidRPr="00712B0A">
        <w:t>målrettet og planmessig istandsetting av kirkebyggene</w:t>
      </w:r>
      <w:r>
        <w:t xml:space="preserve">, </w:t>
      </w:r>
      <w:r w:rsidR="00566ACF">
        <w:t xml:space="preserve">og slik at </w:t>
      </w:r>
      <w:r>
        <w:t>v</w:t>
      </w:r>
      <w:r w:rsidRPr="00712B0A">
        <w:t xml:space="preserve">edlikeholdsinnsatsen overfor kirkebyggene </w:t>
      </w:r>
      <w:r>
        <w:t xml:space="preserve">kan skje </w:t>
      </w:r>
      <w:r w:rsidR="00BE6F03">
        <w:t>ut fra et bredere og mer helhetlig perspektiv.</w:t>
      </w:r>
      <w:r>
        <w:t xml:space="preserve"> </w:t>
      </w:r>
    </w:p>
    <w:p w:rsidR="00944062" w:rsidRPr="0084542C" w:rsidRDefault="00944062" w:rsidP="0084542C">
      <w:pPr>
        <w:pStyle w:val="Overskrift4"/>
      </w:pPr>
      <w:r w:rsidRPr="0084542C">
        <w:t>Kirkebyggenes finansiering</w:t>
      </w:r>
    </w:p>
    <w:p w:rsidR="00944062" w:rsidRDefault="00944062" w:rsidP="00697087">
      <w:r>
        <w:t>Gjennom årene har det både på kommunalt og kirkelig hold vært framholdt at staten bør ta et større økonomisk ansvar for kirkebyggene, i hvert fall for kirkebygg av kulturhistorisk verdi</w:t>
      </w:r>
      <w:r w:rsidR="00566ACF">
        <w:t>.</w:t>
      </w:r>
    </w:p>
    <w:p w:rsidR="00944062" w:rsidRDefault="00944062" w:rsidP="004D5F06">
      <w:r>
        <w:lastRenderedPageBreak/>
        <w:t xml:space="preserve">Gjennom særskilte tilskudd har staten gjennom de seneste </w:t>
      </w:r>
      <w:r w:rsidR="00E86CEC">
        <w:t xml:space="preserve">10-15 </w:t>
      </w:r>
      <w:r>
        <w:t xml:space="preserve">årene bidratt til å styrke forvaltningen og vedlikeholdet av kirkebyggene. Det kommunale finansieringsansvaret for kirkebyggene har imidlertid ligget fast. Spørsmålet </w:t>
      </w:r>
      <w:r w:rsidR="009C082C">
        <w:t>som drøftes i det følgende,</w:t>
      </w:r>
      <w:r>
        <w:t xml:space="preserve"> er om det kommunale ansvaret for kirkebyggene bør føres videre, eller om den offentlige finansieringsoppgaven overfor landets kirkebygg, eventuelt avgrenset til de kulturhistorisk verdifulle kirkebyggene, bør overtas av staten.</w:t>
      </w:r>
    </w:p>
    <w:p w:rsidR="00944062" w:rsidRDefault="00944062" w:rsidP="00697087">
      <w:r>
        <w:t xml:space="preserve">Dersom kommunenes økonomiske ansvar for kirkebyggene opprettholdes, samtidig som forvaltningen av kirkebyggene flere steder samordnes på et høyere forvaltningsnivå enn kommunenivået etter Kirkemøtets bestemmelse, følger det at én kommunes bevilgninger blir disponert sammen med tilsvarende bevilgninger fra andre kommuner. </w:t>
      </w:r>
      <w:r w:rsidR="00061A5A">
        <w:t xml:space="preserve">Etter departementets syn </w:t>
      </w:r>
      <w:r>
        <w:t xml:space="preserve">kan </w:t>
      </w:r>
      <w:r w:rsidR="00061A5A">
        <w:t xml:space="preserve">dette </w:t>
      </w:r>
      <w:r>
        <w:t xml:space="preserve">gi en </w:t>
      </w:r>
      <w:r w:rsidR="00061A5A">
        <w:t xml:space="preserve">mer </w:t>
      </w:r>
      <w:r>
        <w:t>hensiktsmessig utnytting av de samlede kommunale bevilgningene til kirkebyggene i et område, så lenge hver enkelt kommune i ettertid blir orientert om hvordan bevilgningene er anvendt og kan kontrollere bruken.</w:t>
      </w:r>
    </w:p>
    <w:p w:rsidR="00944062" w:rsidRDefault="00944062" w:rsidP="00697087">
      <w:r>
        <w:t>De kommunale tilskuddene gis normalt til kirken som rammetilskudd, uten spesifikasjon på de enkelte kirkelige utgiftsformålene, for eksempel til vedlikehold av kirkebyggene. Dette bør fortsatt være hovedregelen. Dersom Kirkemøtet åpner for å opprettholde en kirkelig forvaltningsenhet på kommunenivået, men bestemmer at den bygningsmessige forvaltningen av kirkebyggene skal legges et annet sted, antar departementet at det i tilfelle må være vedkommende kirkelige forvaltningsorgan i den enkelte kommune som bestemmer hvor stor del av det kommunale rammetilskuddet som skal disponeres for kirkebyggene i kommunen. Trolig vil det mange steder være aktuelt at forvaltningen av kirkebyggene og andre kirkelige forvaltningsoppgaver samordnes på et høyere forvaltningsnivå enn kommunenivået. Andre steder vil slik samordning antakelig være mindre aktuelt.</w:t>
      </w:r>
      <w:r w:rsidR="00E86CEC">
        <w:t xml:space="preserve"> Det vises i denne sammenheng til kapittel 22, der departementet foreslår å føre videre dagens bestemmelse om at Den norske kirke lokalt </w:t>
      </w:r>
      <w:r w:rsidR="00D50582">
        <w:t xml:space="preserve">(soknene) </w:t>
      </w:r>
      <w:r w:rsidR="00E86CEC">
        <w:t xml:space="preserve">fortsatt skal ha forvaltningsansvaret for gravplassene. </w:t>
      </w:r>
    </w:p>
    <w:p w:rsidR="00944062" w:rsidRDefault="00944062" w:rsidP="00697087">
      <w:r>
        <w:t>Departementet ser ikke grunn til å gå nærmere inn på disse spørsmålene, som handler om hvordan den kirkelige forvaltningen best bør organiseres</w:t>
      </w:r>
      <w:r w:rsidR="00B5449B">
        <w:t>.</w:t>
      </w:r>
      <w:r>
        <w:t xml:space="preserve"> Dette er spørsmål Kirkemøtet må ta stilling til. Departementet kan imidlertid ikke se at kirkens organisering kan gis noen vesentlig vekt i spørsmålet om å videreføre det kommunale ansvaret for kirkebyggene. På kirkebyggfeltet, som på andre områder, vil det ligge til Den norske kirke å organisere seg slik at ikke organiseringen svekker tilliten til at de kommunale bevilgningene anvendes til beste for kirkens virksomhet i kommunen. </w:t>
      </w:r>
    </w:p>
    <w:p w:rsidR="00944062" w:rsidRDefault="00944062" w:rsidP="00697087">
      <w:r>
        <w:t xml:space="preserve">Dersom </w:t>
      </w:r>
      <w:r w:rsidRPr="00B73943">
        <w:t>staten</w:t>
      </w:r>
      <w:r>
        <w:t xml:space="preserve"> skulle ta over kommunenes økonomiske ansvar for kirkebyggenes drift og vedlikehold, antar departementet at dette i tilfelle må skje ved uttrekk av statens rammetilskudd til kommunene og innarbeides som en del av statens rammetilskudd til Den norske kirke, med Kirkemøtet som mottaker. Kirkemøtet må da foreta en videre tildeling til det aktuelle forvaltningsnivået. </w:t>
      </w:r>
    </w:p>
    <w:p w:rsidR="00944062" w:rsidRDefault="00944062" w:rsidP="00697087">
      <w:r>
        <w:t xml:space="preserve">Departementet kan ikke se at det foreligger hensyn som kan begrunne at ett bestemt utgiftsområde for Den norske kirke som kommunene i dag har ansvaret for, bør trekkes ut og bli statens ansvar. En eventuell avgrensning mellom de kulturhistorisk verdifulle </w:t>
      </w:r>
      <w:r w:rsidR="00BC79CD">
        <w:t>kirkebyggene og andre kirkebygg</w:t>
      </w:r>
      <w:r>
        <w:t xml:space="preserve"> synes ikke å være hensiktsmessig, dels fordi antallet kulturhistorisk verdifulle kirkebygg er så vidt høyt, dels fordi antallet bestemmes etter vurderinger av Riksantikvaren. Et selektivt uttrekk måtte i tilfelle vært begrunnet i at utgiftsoppgavene overfor kirkebyggene fordeler seg svært ulikt kommunene imellom. Selv om kirkebyggenes utgiftsbehov kan fordele seg ujevnt mellom kommunene, enten det skyldes ulikheter i antallet, kirkebyggenes størrelse eller kirkebyggenes </w:t>
      </w:r>
      <w:r w:rsidR="00A86353">
        <w:t>alder</w:t>
      </w:r>
      <w:r>
        <w:t xml:space="preserve">, kan ikke </w:t>
      </w:r>
      <w:r>
        <w:lastRenderedPageBreak/>
        <w:t xml:space="preserve">departementet se at forskjellene kan gis slik vekt at de kan begrunne en statlig overtakelse av ansvaret. </w:t>
      </w:r>
    </w:p>
    <w:p w:rsidR="00944062" w:rsidRPr="0084542C" w:rsidRDefault="00D37503" w:rsidP="00697087">
      <w:pPr>
        <w:pStyle w:val="Overskrift2"/>
      </w:pPr>
      <w:bookmarkStart w:id="1535" w:name="_Toc470087686"/>
      <w:bookmarkStart w:id="1536" w:name="_Toc476320933"/>
      <w:bookmarkStart w:id="1537" w:name="_Toc477277238"/>
      <w:bookmarkStart w:id="1538" w:name="_Toc477535553"/>
      <w:bookmarkStart w:id="1539" w:name="_Toc477630685"/>
      <w:bookmarkStart w:id="1540" w:name="_Toc477693649"/>
      <w:bookmarkStart w:id="1541" w:name="_Toc477704023"/>
      <w:bookmarkStart w:id="1542" w:name="_Toc477799236"/>
      <w:bookmarkStart w:id="1543" w:name="_Toc477805839"/>
      <w:bookmarkStart w:id="1544" w:name="_Toc477878099"/>
      <w:bookmarkStart w:id="1545" w:name="_Toc477881502"/>
      <w:bookmarkStart w:id="1546" w:name="_Toc477885962"/>
      <w:bookmarkStart w:id="1547" w:name="_Toc478131390"/>
      <w:bookmarkStart w:id="1548" w:name="_Toc478138760"/>
      <w:bookmarkStart w:id="1549" w:name="_Toc478232288"/>
      <w:bookmarkStart w:id="1550" w:name="_Toc478237272"/>
      <w:bookmarkStart w:id="1551" w:name="_Toc481761811"/>
      <w:bookmarkStart w:id="1552" w:name="_Toc492900464"/>
      <w:r w:rsidRPr="0084542C">
        <w:t>D</w:t>
      </w:r>
      <w:r w:rsidR="00944062" w:rsidRPr="0084542C">
        <w:t>en økonomiske ansvarsdelingen mellom staten og kommunene</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00944062" w:rsidRPr="0084542C">
        <w:t xml:space="preserve"> </w:t>
      </w:r>
    </w:p>
    <w:p w:rsidR="00944062" w:rsidRPr="0084542C" w:rsidRDefault="00944062" w:rsidP="0084542C">
      <w:pPr>
        <w:pStyle w:val="Overskrift3"/>
      </w:pPr>
      <w:bookmarkStart w:id="1553" w:name="_Toc470087687"/>
      <w:bookmarkStart w:id="1554" w:name="_Toc476320934"/>
      <w:bookmarkStart w:id="1555" w:name="_Toc477277239"/>
      <w:bookmarkStart w:id="1556" w:name="_Toc477535554"/>
      <w:bookmarkStart w:id="1557" w:name="_Toc477630686"/>
      <w:bookmarkStart w:id="1558" w:name="_Toc477693650"/>
      <w:bookmarkStart w:id="1559" w:name="_Toc477704024"/>
      <w:bookmarkStart w:id="1560" w:name="_Toc477799237"/>
      <w:bookmarkStart w:id="1561" w:name="_Toc477805840"/>
      <w:bookmarkStart w:id="1562" w:name="_Toc477878100"/>
      <w:bookmarkStart w:id="1563" w:name="_Toc477881503"/>
      <w:bookmarkStart w:id="1564" w:name="_Toc477885963"/>
      <w:bookmarkStart w:id="1565" w:name="_Toc478131391"/>
      <w:bookmarkStart w:id="1566" w:name="_Toc478138761"/>
      <w:bookmarkStart w:id="1567" w:name="_Toc478232289"/>
      <w:bookmarkStart w:id="1568" w:name="_Toc478237273"/>
      <w:bookmarkStart w:id="1569" w:name="_Toc481761812"/>
      <w:bookmarkStart w:id="1570" w:name="_Toc492900465"/>
      <w:r w:rsidRPr="0084542C">
        <w:t>Innledning</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rsidR="00944062" w:rsidRDefault="00944062" w:rsidP="00697087">
      <w:r>
        <w:t>Opprinnelsen til kommunenes finansieringsoppgaver overfor Den norske kirke går langt tilbake i tid. Helt fra kristningen av Norge har lokalsamfunnet hatt ansvaret for kirkebyggene og sørget for klokker, kirketjener og organist ved hver kirke. Kommunenes oppgaver på kirkens område springer ut av dette lokale ansvaret.</w:t>
      </w:r>
      <w:r w:rsidRPr="004E5B5F">
        <w:t xml:space="preserve"> </w:t>
      </w:r>
    </w:p>
    <w:p w:rsidR="00944062" w:rsidRPr="00712B0A" w:rsidRDefault="00944062" w:rsidP="00697087">
      <w:r w:rsidRPr="00712B0A">
        <w:t>Bestemmelsene i kirkeloven § 15 angir hvilke kirkelige oppgaver eller formål kommunene har en lovfestet plikt til å finansiere</w:t>
      </w:r>
      <w:r>
        <w:t xml:space="preserve">. </w:t>
      </w:r>
      <w:r w:rsidRPr="00712B0A">
        <w:t xml:space="preserve">Også utgiftsoppgavene for staten er innrettet mot bestemte kirkelige oppgaver eller formål. Som følge av utskillingen av Den norske kirke fra staten skjer nå statens finansiering av de kirkelige oppgavene gjennom et rammetilskudd til Den norske kirke. Det er Kirkemøtet som disponerer tilskuddet, i alt </w:t>
      </w:r>
      <w:r>
        <w:t>2</w:t>
      </w:r>
      <w:r w:rsidRPr="00712B0A">
        <w:t xml:space="preserve"> mrd. kroner i 2017. Ca. ¾ av tilskuddet finansierer prestetjenesten og andre deler av kirkens arbeid lokalt. Den resterende delen av tilskuddet dekker kirkens administrasjon på nasjonalt og regionalt nivå (Kirkerådet og bispedømmerådene). </w:t>
      </w:r>
    </w:p>
    <w:p w:rsidR="00944062" w:rsidRDefault="00944062" w:rsidP="00697087">
      <w:r w:rsidRPr="00712B0A">
        <w:t>Utskillingen av Den norske kirke fra staten og omleggingen av statens finansieringsform var en naturlig oppfølging av grunnlovsendringene i 2012. Endringene innebar et langt skritt i selvstendiggjør</w:t>
      </w:r>
      <w:r>
        <w:t xml:space="preserve">ingen av </w:t>
      </w:r>
      <w:r w:rsidRPr="00712B0A">
        <w:t xml:space="preserve">Den norske kirke. Mens Kongen tidligere var en del av kirkestyret og hadde ansvaret for </w:t>
      </w:r>
      <w:r>
        <w:t xml:space="preserve">ivaretakelsen av </w:t>
      </w:r>
      <w:r w:rsidRPr="00712B0A">
        <w:t>kirke</w:t>
      </w:r>
      <w:r>
        <w:t xml:space="preserve">lige </w:t>
      </w:r>
      <w:r w:rsidRPr="00712B0A">
        <w:t>oppgaver</w:t>
      </w:r>
      <w:r>
        <w:t>,</w:t>
      </w:r>
      <w:r w:rsidRPr="00712B0A">
        <w:t xml:space="preserve"> bla</w:t>
      </w:r>
      <w:r w:rsidR="00C33565">
        <w:t>nt annet</w:t>
      </w:r>
      <w:r w:rsidRPr="00712B0A">
        <w:t xml:space="preserve"> prestetjenesten, er disse oppgavene nå lagt til en selvstendiggjort kirke utenfor staten. </w:t>
      </w:r>
    </w:p>
    <w:p w:rsidR="00944062" w:rsidRDefault="00944062" w:rsidP="00697087">
      <w:r w:rsidRPr="00712B0A">
        <w:t>Statens rammefinansiering av Den norske kirke er i tråd med det finansielle ansvarsprinsippet, som innebærer at den som har ansvaret for å løse en oppgave, også har ansvaret for å finansiere oppgaven. Det</w:t>
      </w:r>
      <w:r>
        <w:t xml:space="preserve"> finansielle ansvarsprinsippet </w:t>
      </w:r>
      <w:r w:rsidRPr="00712B0A">
        <w:t xml:space="preserve">skal sikre at oppgavene blir løst på den mest hensiktsmessige måten, at oppgavene blir sett i sammenheng og vurdert opp mot hverandre. </w:t>
      </w:r>
      <w:r>
        <w:t>A</w:t>
      </w:r>
      <w:r w:rsidRPr="00712B0A">
        <w:t>nsvarsprinsippet er gjort gjeldende for Den norske kirke også på kommunenivået</w:t>
      </w:r>
      <w:r>
        <w:t>,</w:t>
      </w:r>
      <w:r w:rsidRPr="00712B0A">
        <w:t xml:space="preserve"> i den forstand at det er Den norske kirke lokalt som har ansvaret for å løse kirkens oppgaver der, innenfor rammen av de tilskuddene kommunene bevilger. </w:t>
      </w:r>
      <w:r>
        <w:t>D</w:t>
      </w:r>
      <w:r w:rsidRPr="00712B0A">
        <w:t xml:space="preserve">ette </w:t>
      </w:r>
      <w:r>
        <w:t xml:space="preserve">er </w:t>
      </w:r>
      <w:r w:rsidRPr="00712B0A">
        <w:t>andre oppgaver enn de staten finansierer, noe som kommer til uttrykk bla</w:t>
      </w:r>
      <w:r w:rsidR="00097172">
        <w:t xml:space="preserve">nt annet </w:t>
      </w:r>
      <w:r w:rsidRPr="00712B0A">
        <w:t xml:space="preserve">ved at Kirkemøtet ikke har anledning til å anvende rammetilskuddet fra staten på utgiftsformål som kommunene har ansvaret for. </w:t>
      </w:r>
    </w:p>
    <w:p w:rsidR="00944062" w:rsidRDefault="00944062" w:rsidP="00697087">
      <w:r w:rsidRPr="00712B0A">
        <w:t>Oppgavefordelingen mellom staten og kommunene innebærer at Den norske kirke ikke blir finansiert av det offentlige som én virksomhet. Den kommunale finansieringen er innrettet mot soknene i Den norske kirke, dvs. mot kirkelige oppgave</w:t>
      </w:r>
      <w:r>
        <w:t>r</w:t>
      </w:r>
      <w:r w:rsidRPr="00712B0A">
        <w:t xml:space="preserve"> som soknene har ansvaret for. Staten finansierer i første rekke oppgaver som Den norske kirke nasjonalt – det nye rettssubjektet for Den norske kirke – har ansvaret for. I den offentlige finansieringen av Den norske kirke er det ved dette gjort et skille basert på hvilke enheter i Den norske kirke som har ansvaret for hvilke oppgaver. </w:t>
      </w:r>
      <w:r>
        <w:t>U</w:t>
      </w:r>
      <w:r w:rsidRPr="00712B0A">
        <w:t xml:space="preserve">tskillingen av Den norske kirke fra staten </w:t>
      </w:r>
      <w:r>
        <w:t>og dannelsen av en ny rettslig og økonomisk selvstendig enhet i Den norske kirke fra 1. januar 2017, gir e</w:t>
      </w:r>
      <w:r w:rsidRPr="00712B0A">
        <w:t>tter departementets syn</w:t>
      </w:r>
      <w:r>
        <w:t xml:space="preserve"> grunn til på ny å vurdere om </w:t>
      </w:r>
      <w:r w:rsidRPr="00712B0A">
        <w:t>oppgavefordeling</w:t>
      </w:r>
      <w:r>
        <w:t>en</w:t>
      </w:r>
      <w:r w:rsidRPr="00712B0A">
        <w:t xml:space="preserve"> mellom staten og kommunene på kirkens område</w:t>
      </w:r>
      <w:r>
        <w:t xml:space="preserve"> er hensiktsmessig.</w:t>
      </w:r>
    </w:p>
    <w:p w:rsidR="00061A5A" w:rsidRDefault="00643686" w:rsidP="001E491E">
      <w:pPr>
        <w:pStyle w:val="Overskrift3"/>
      </w:pPr>
      <w:bookmarkStart w:id="1571" w:name="_Toc478131392"/>
      <w:bookmarkStart w:id="1572" w:name="_Toc478138762"/>
      <w:bookmarkStart w:id="1573" w:name="_Toc478232290"/>
      <w:bookmarkStart w:id="1574" w:name="_Toc478237274"/>
      <w:bookmarkStart w:id="1575" w:name="_Toc481761813"/>
      <w:bookmarkStart w:id="1576" w:name="_Toc492900466"/>
      <w:r>
        <w:lastRenderedPageBreak/>
        <w:t>T</w:t>
      </w:r>
      <w:r w:rsidR="00061A5A">
        <w:t>idligere forslag om endringer i oppgavefordelingen</w:t>
      </w:r>
      <w:bookmarkEnd w:id="1571"/>
      <w:bookmarkEnd w:id="1572"/>
      <w:bookmarkEnd w:id="1573"/>
      <w:bookmarkEnd w:id="1574"/>
      <w:bookmarkEnd w:id="1575"/>
      <w:bookmarkEnd w:id="1576"/>
    </w:p>
    <w:p w:rsidR="00527F26" w:rsidRDefault="00527F26" w:rsidP="00527F26">
      <w:r w:rsidRPr="00712B0A">
        <w:t>Oppgavefordelingen mellom staten og kommunene på kirkens område har vært gjeldende i lang tid</w:t>
      </w:r>
      <w:r>
        <w:t xml:space="preserve">. De justeringer som er blitt foretatt, har hatt et beskjedent omfang. Imidlertid har det fra tid til annen, også i senere tid, vært tatt opp forslag om større endringer. </w:t>
      </w:r>
    </w:p>
    <w:p w:rsidR="00944062" w:rsidRDefault="00944062" w:rsidP="00697087">
      <w:r>
        <w:t xml:space="preserve">St.meld. nr. 14 (2000–2001) </w:t>
      </w:r>
      <w:r w:rsidRPr="00833D1F">
        <w:rPr>
          <w:i/>
        </w:rPr>
        <w:t>Børs og katedral –</w:t>
      </w:r>
      <w:r>
        <w:rPr>
          <w:i/>
        </w:rPr>
        <w:t xml:space="preserve"> </w:t>
      </w:r>
      <w:r w:rsidRPr="00833D1F">
        <w:rPr>
          <w:i/>
        </w:rPr>
        <w:t>om økonomien i Den norske kyrkja</w:t>
      </w:r>
      <w:r>
        <w:rPr>
          <w:i/>
        </w:rPr>
        <w:t xml:space="preserve"> </w:t>
      </w:r>
      <w:r w:rsidRPr="00EF2274">
        <w:t>gjennomgikk</w:t>
      </w:r>
      <w:r>
        <w:rPr>
          <w:i/>
        </w:rPr>
        <w:t xml:space="preserve"> </w:t>
      </w:r>
      <w:r>
        <w:t>oppgavefordelingen mellom staten og kommunene på kirkens område og drøftet hvilke kirkelige oppgaver som naturlig burde finansieres lokalt og hvilke oppgaver staten burde ha ansvaret for. I meldingen ble det framholdt at flere av statens finansieringsoppgaver, bla</w:t>
      </w:r>
      <w:r w:rsidR="00C33565">
        <w:t>nt annet</w:t>
      </w:r>
      <w:r>
        <w:t xml:space="preserve"> kirkens kateket- og diakonitjeneste, burde legges til kommunene. De fleste forslagene i meldingen ble ikke fulgt opp. Utviklingen i årene etter viser at statens finansieringsoppgaver overfor Den norske kirke er blitt utvidet, </w:t>
      </w:r>
      <w:r w:rsidR="00C33565">
        <w:t>bl</w:t>
      </w:r>
      <w:r>
        <w:t>a</w:t>
      </w:r>
      <w:r w:rsidR="00C33565">
        <w:t>nt annet</w:t>
      </w:r>
      <w:r>
        <w:t xml:space="preserve"> ved statens betydelige tilskudd til trosopplæringen i Den norske kirke. De kommunale utgiftsoppgavene har i hovedsak vært de samme. </w:t>
      </w:r>
    </w:p>
    <w:p w:rsidR="00944062" w:rsidRDefault="00944062" w:rsidP="00697087">
      <w:r>
        <w:t>I den kirkelige utredningen fra 2002,</w:t>
      </w:r>
      <w:r w:rsidRPr="00B53A14">
        <w:rPr>
          <w:i/>
        </w:rPr>
        <w:t xml:space="preserve"> Samme kirke – ny ordning</w:t>
      </w:r>
      <w:r>
        <w:t xml:space="preserve"> (Bakkevig I), gikk flertallet inn for at kirken i større grad ble finansiert ved en medlemsavgift</w:t>
      </w:r>
      <w:r w:rsidR="004D5F06">
        <w:t>,</w:t>
      </w:r>
      <w:r>
        <w:t xml:space="preserve"> og at staten tok et større ansvar for den offentlige finansieringen ellers.</w:t>
      </w:r>
    </w:p>
    <w:p w:rsidR="00944062" w:rsidRDefault="00944062" w:rsidP="004D5F06">
      <w:r>
        <w:t>F</w:t>
      </w:r>
      <w:r w:rsidRPr="0031616C">
        <w:t xml:space="preserve">lertallet i utvalget som la fram NOU 2006: 2 </w:t>
      </w:r>
      <w:r w:rsidRPr="0031616C">
        <w:rPr>
          <w:i/>
        </w:rPr>
        <w:t xml:space="preserve">Staten og Den norske kirke </w:t>
      </w:r>
      <w:r w:rsidRPr="0031616C">
        <w:t>(Gjønnes</w:t>
      </w:r>
      <w:r>
        <w:t>-</w:t>
      </w:r>
      <w:r w:rsidRPr="0031616C">
        <w:t xml:space="preserve">utvalget), foreslo en vesentlig omfordeling mellom staten og kommunene av finansieringsansvaret for </w:t>
      </w:r>
      <w:r>
        <w:t>kirken.</w:t>
      </w:r>
      <w:r w:rsidRPr="0031616C">
        <w:t xml:space="preserve"> Flertallet mente at staten burde ta over finansieringen av alle kirkens administrasjons- og personalkostnader. Det kommunale ansvaret burde begrenses til </w:t>
      </w:r>
      <w:r>
        <w:t>nye kirke</w:t>
      </w:r>
      <w:r w:rsidRPr="0031616C">
        <w:t>bygg</w:t>
      </w:r>
      <w:r>
        <w:t xml:space="preserve"> og til </w:t>
      </w:r>
      <w:r w:rsidR="00097172">
        <w:t xml:space="preserve">bygningsmessig </w:t>
      </w:r>
      <w:r>
        <w:t xml:space="preserve">drift og </w:t>
      </w:r>
      <w:r w:rsidRPr="0031616C">
        <w:t>vedlikehold</w:t>
      </w:r>
      <w:r>
        <w:t xml:space="preserve"> av kirkebyggene. I</w:t>
      </w:r>
      <w:r w:rsidRPr="0031616C">
        <w:t xml:space="preserve">standsetting og vedlikehold av kulturhistorisk verdifulle kirkebygg burde imidlertid staten ha </w:t>
      </w:r>
      <w:r>
        <w:t xml:space="preserve">et </w:t>
      </w:r>
      <w:r w:rsidRPr="0031616C">
        <w:t xml:space="preserve">ansvar for gjennom særskilte tilskuddsordninger. Under høringen på NOU 2006: 2 </w:t>
      </w:r>
      <w:r>
        <w:t xml:space="preserve">ga </w:t>
      </w:r>
      <w:r w:rsidRPr="0031616C">
        <w:t>et flertall av de som uttalte seg, støtte til forslag</w:t>
      </w:r>
      <w:r>
        <w:t>et</w:t>
      </w:r>
      <w:r w:rsidRPr="0031616C">
        <w:t xml:space="preserve"> om at hoveddelen av den offentlige finansieringen burde overtas av staten. </w:t>
      </w:r>
      <w:r>
        <w:t xml:space="preserve">Også </w:t>
      </w:r>
      <w:r w:rsidRPr="0031616C">
        <w:t xml:space="preserve">Kirkemøtet 2006 understreket behovet for en mer </w:t>
      </w:r>
      <w:r w:rsidRPr="0031616C">
        <w:rPr>
          <w:bCs/>
          <w:iCs/>
        </w:rPr>
        <w:t>samlet, samordnet og enhetlig finansieringsordning for Den norske kirke</w:t>
      </w:r>
      <w:r w:rsidR="00923586">
        <w:rPr>
          <w:bCs/>
          <w:iCs/>
        </w:rPr>
        <w:t xml:space="preserve">. Kirkemøtet 2006 </w:t>
      </w:r>
      <w:r w:rsidRPr="0031616C">
        <w:rPr>
          <w:bCs/>
          <w:iCs/>
        </w:rPr>
        <w:t xml:space="preserve">sluttet seg til </w:t>
      </w:r>
      <w:r>
        <w:rPr>
          <w:bCs/>
          <w:iCs/>
        </w:rPr>
        <w:t xml:space="preserve">hovedpunktene i </w:t>
      </w:r>
      <w:r w:rsidRPr="0031616C">
        <w:rPr>
          <w:bCs/>
          <w:iCs/>
        </w:rPr>
        <w:t>forslaget fra flertallet i Gjønnes</w:t>
      </w:r>
      <w:r>
        <w:rPr>
          <w:bCs/>
          <w:iCs/>
        </w:rPr>
        <w:softHyphen/>
        <w:t>-</w:t>
      </w:r>
      <w:r w:rsidRPr="0031616C">
        <w:rPr>
          <w:bCs/>
          <w:iCs/>
        </w:rPr>
        <w:t>utvalget</w:t>
      </w:r>
      <w:r w:rsidR="00923586">
        <w:rPr>
          <w:bCs/>
          <w:iCs/>
        </w:rPr>
        <w:t xml:space="preserve"> og </w:t>
      </w:r>
      <w:r w:rsidRPr="0031616C">
        <w:t>uttalte</w:t>
      </w:r>
      <w:r w:rsidR="004D5F06">
        <w:t>:</w:t>
      </w:r>
    </w:p>
    <w:p w:rsidR="00944062" w:rsidRPr="00EA4493" w:rsidRDefault="00944062" w:rsidP="00EA4493">
      <w:pPr>
        <w:pStyle w:val="blokksit"/>
        <w:rPr>
          <w:rStyle w:val="kursiv"/>
        </w:rPr>
      </w:pPr>
      <w:r w:rsidRPr="00EA4493">
        <w:rPr>
          <w:rStyle w:val="kursiv"/>
        </w:rPr>
        <w:t xml:space="preserve">Kirkemøtet går inn for en finansieringsordning basert på offentlige bevilgninger, men med en endring av ansvarsfordelingen mellom stat og kommune slik at staten </w:t>
      </w:r>
      <w:r w:rsidR="004D5F06" w:rsidRPr="00EA4493">
        <w:rPr>
          <w:rStyle w:val="kursiv"/>
        </w:rPr>
        <w:t>får et finansielt hovedansvar.</w:t>
      </w:r>
    </w:p>
    <w:p w:rsidR="00643686" w:rsidRDefault="00643686" w:rsidP="00643686">
      <w:pPr>
        <w:pStyle w:val="Overskrift3"/>
      </w:pPr>
      <w:bookmarkStart w:id="1577" w:name="_Toc478232291"/>
      <w:bookmarkStart w:id="1578" w:name="_Toc478237275"/>
      <w:bookmarkStart w:id="1579" w:name="_Toc481761814"/>
      <w:bookmarkStart w:id="1580" w:name="_Toc492900467"/>
      <w:r>
        <w:t>Kirkemøtets uttalelse i 2015</w:t>
      </w:r>
      <w:bookmarkEnd w:id="1577"/>
      <w:bookmarkEnd w:id="1578"/>
      <w:bookmarkEnd w:id="1579"/>
      <w:bookmarkEnd w:id="1580"/>
    </w:p>
    <w:p w:rsidR="00643686" w:rsidRDefault="00643686" w:rsidP="00643686">
      <w:r>
        <w:t xml:space="preserve">Kirkemøtet 2015 </w:t>
      </w:r>
      <w:r w:rsidR="00097172">
        <w:t xml:space="preserve">framholdt </w:t>
      </w:r>
      <w:r>
        <w:t>at visse forutsetninger burde legges til grunn under arbeidet med en rammelovgivning for Den norske kirke. Blant disse forutsetningene var at kommunen</w:t>
      </w:r>
      <w:r w:rsidR="001377A2">
        <w:t>e</w:t>
      </w:r>
      <w:r>
        <w:t>s ansvar for å finansiere den lokale kirke skulle videreføres</w:t>
      </w:r>
      <w:r w:rsidR="00097172">
        <w:t>, jf. foran under kapittel 8.2.2.3.</w:t>
      </w:r>
    </w:p>
    <w:p w:rsidR="00061A5A" w:rsidRDefault="00923586" w:rsidP="001E491E">
      <w:pPr>
        <w:pStyle w:val="Overskrift3"/>
      </w:pPr>
      <w:bookmarkStart w:id="1581" w:name="_Toc478131393"/>
      <w:bookmarkStart w:id="1582" w:name="_Toc478138763"/>
      <w:bookmarkStart w:id="1583" w:name="_Toc478232292"/>
      <w:bookmarkStart w:id="1584" w:name="_Toc478237276"/>
      <w:bookmarkStart w:id="1585" w:name="_Toc481761815"/>
      <w:bookmarkStart w:id="1586" w:name="_Toc492900468"/>
      <w:r>
        <w:t>Utgangspunkter for departementets drøftinger</w:t>
      </w:r>
      <w:bookmarkEnd w:id="1581"/>
      <w:bookmarkEnd w:id="1582"/>
      <w:bookmarkEnd w:id="1583"/>
      <w:bookmarkEnd w:id="1584"/>
      <w:bookmarkEnd w:id="1585"/>
      <w:bookmarkEnd w:id="1586"/>
    </w:p>
    <w:p w:rsidR="00944062" w:rsidRDefault="00944062" w:rsidP="00697087">
      <w:r>
        <w:t xml:space="preserve">Departementet har på ny vurdert om det kan være grunn til å foreta endringer i dagens oppgavefordeling mellom staten og kommunene på kirkens område, enten ved at kommunene tar over enkelte kirkelige utgiftsoppgaver som ligger til staten i dag, eller ved at staten tar over enkelte oppgaver som nå ligger til kommunene. Spørsmålet om statlig overtakelse av </w:t>
      </w:r>
      <w:r w:rsidR="00D50582">
        <w:t xml:space="preserve">kommunenes økonomiske </w:t>
      </w:r>
      <w:r>
        <w:t>ansvar for kirkebyggene er drøftet særskilt foran</w:t>
      </w:r>
      <w:r w:rsidR="00E30D11">
        <w:t xml:space="preserve"> under punkt 9.5</w:t>
      </w:r>
      <w:r>
        <w:t>.</w:t>
      </w:r>
      <w:r w:rsidR="00127393">
        <w:t>2.</w:t>
      </w:r>
    </w:p>
    <w:p w:rsidR="00944062" w:rsidRDefault="00944062" w:rsidP="00697087">
      <w:r>
        <w:t xml:space="preserve">Departementet er kommet til at dersom kommunene fortsatt skal ha et </w:t>
      </w:r>
      <w:r w:rsidR="00923586">
        <w:t xml:space="preserve">lovregulert </w:t>
      </w:r>
      <w:r>
        <w:t xml:space="preserve">økonomisk ansvar overfor Den norske kirke, bør oppgavefordelingen mellom staten og kommunene være omtrent som i dag. I praksis betyr dette at de kommunale finansieringsoppgavene </w:t>
      </w:r>
      <w:r>
        <w:lastRenderedPageBreak/>
        <w:t xml:space="preserve">overfor Den norske kirke i hovedsak fortsatt bør være innrettet mot kirkebyggene og de kirkelige stillingene som trengs </w:t>
      </w:r>
      <w:r w:rsidRPr="009A3C05">
        <w:t>for at kirkebygge</w:t>
      </w:r>
      <w:r>
        <w:t>t</w:t>
      </w:r>
      <w:r w:rsidRPr="009A3C05">
        <w:t xml:space="preserve"> kan benyttes til </w:t>
      </w:r>
      <w:r>
        <w:t>sitt formål, i første rekke til gudstjenester og kirkelige handlinge</w:t>
      </w:r>
      <w:r w:rsidR="008F3646">
        <w:t>r</w:t>
      </w:r>
      <w:r>
        <w:t xml:space="preserve"> </w:t>
      </w:r>
      <w:r w:rsidR="008F3646">
        <w:t>(</w:t>
      </w:r>
      <w:r>
        <w:t>dåp, konfirmasjon</w:t>
      </w:r>
      <w:r w:rsidR="008F3646">
        <w:t>, vigsel</w:t>
      </w:r>
      <w:r>
        <w:t xml:space="preserve"> og gravferd</w:t>
      </w:r>
      <w:r w:rsidR="008F3646">
        <w:t>)</w:t>
      </w:r>
      <w:r>
        <w:t>. Det er denne delen av kirkens virksomhet som lokalsamfunnet og senere kommunene historisk har hatt ansvaret for, og som i tilfelle bør videreføres</w:t>
      </w:r>
      <w:r w:rsidR="00127393">
        <w:t>.</w:t>
      </w:r>
    </w:p>
    <w:p w:rsidR="00944062" w:rsidRDefault="00944062" w:rsidP="00697087">
      <w:r>
        <w:t>I p</w:t>
      </w:r>
      <w:r w:rsidR="00C33565">
        <w:t>unk</w:t>
      </w:r>
      <w:r>
        <w:t xml:space="preserve">t </w:t>
      </w:r>
      <w:r w:rsidR="00923586">
        <w:t>9</w:t>
      </w:r>
      <w:r>
        <w:t>.6.</w:t>
      </w:r>
      <w:r w:rsidR="00C33565">
        <w:t>5</w:t>
      </w:r>
      <w:r>
        <w:t xml:space="preserve"> nedenfor gjennomgår departementet hensyn som kan tilsi at kommunenes finansieringsansvar overfor Den norske kirke bør opprettholdes, med utkast til ny lovbestemmelse om kommunenes ansvar. Som nevnt mener departementet at dagens lovbestemmelse på området</w:t>
      </w:r>
      <w:r w:rsidR="005E6E2B">
        <w:t>,</w:t>
      </w:r>
      <w:r>
        <w:t xml:space="preserve"> </w:t>
      </w:r>
      <w:r w:rsidR="005E6E2B">
        <w:t xml:space="preserve">jf. </w:t>
      </w:r>
      <w:r>
        <w:t>kirkeloven § 15, i alle tilfeller bør endres.</w:t>
      </w:r>
    </w:p>
    <w:p w:rsidR="00944062" w:rsidRDefault="00944062" w:rsidP="00697087">
      <w:r>
        <w:t>I p</w:t>
      </w:r>
      <w:r w:rsidR="00C33565">
        <w:t>unkt</w:t>
      </w:r>
      <w:r>
        <w:t xml:space="preserve"> </w:t>
      </w:r>
      <w:r w:rsidR="00923586">
        <w:t>9</w:t>
      </w:r>
      <w:r>
        <w:t>.6.</w:t>
      </w:r>
      <w:r w:rsidR="00C33565">
        <w:t>6</w:t>
      </w:r>
      <w:r>
        <w:t xml:space="preserve"> gjennomgår departementet hensyn som kan tilsi at staten helt og fullt tar over det offentlige finansieringsansvaret for Den norske kirke. </w:t>
      </w:r>
    </w:p>
    <w:p w:rsidR="00944062" w:rsidRDefault="00C33565" w:rsidP="00697087">
      <w:r>
        <w:t>Departementet har ikke tatt stilling til de</w:t>
      </w:r>
      <w:r w:rsidR="00944062">
        <w:t xml:space="preserve"> to alternativene for den offentlige finansieringen av Den norske kirke</w:t>
      </w:r>
      <w:r>
        <w:t>. I</w:t>
      </w:r>
      <w:r w:rsidR="00944062">
        <w:t xml:space="preserve">mplikasjoner og virkninger </w:t>
      </w:r>
      <w:r>
        <w:t>av de</w:t>
      </w:r>
      <w:r w:rsidR="00944062">
        <w:t xml:space="preserve"> to </w:t>
      </w:r>
      <w:r>
        <w:t xml:space="preserve">alternativene er drøftet mer inngående </w:t>
      </w:r>
      <w:r w:rsidR="00944062">
        <w:t>under p</w:t>
      </w:r>
      <w:r>
        <w:t>unkt</w:t>
      </w:r>
      <w:r w:rsidR="00944062">
        <w:t xml:space="preserve"> </w:t>
      </w:r>
      <w:r>
        <w:t>9</w:t>
      </w:r>
      <w:r w:rsidR="00944062">
        <w:t>.</w:t>
      </w:r>
      <w:r>
        <w:t>6.7.</w:t>
      </w:r>
      <w:r w:rsidR="00944062">
        <w:t xml:space="preserve"> </w:t>
      </w:r>
    </w:p>
    <w:p w:rsidR="001B0EFA" w:rsidRDefault="001B0EFA" w:rsidP="001B0EFA">
      <w:r>
        <w:t>Når det gjelder gravplassene og forvaltningen av disse, ser departementet det i alle tilfeller som uaktuelt å gjøre endringer i det kommunale finansieringsansvaret på området. I kapittel 22 foreslår departementet å føre videre kirkens forvaltningsansvar for gravplassene. Forvaltningsoppgavene på dette området er oppgaver som kirken (soknene) utfører på vegne av fellesskapet</w:t>
      </w:r>
      <w:r w:rsidR="001F1CC9">
        <w:t>. D</w:t>
      </w:r>
      <w:r>
        <w:t xml:space="preserve">en kommunale finansieringen </w:t>
      </w:r>
      <w:r w:rsidR="001F1CC9">
        <w:t xml:space="preserve">av disse oppgavene </w:t>
      </w:r>
      <w:r>
        <w:t>k</w:t>
      </w:r>
      <w:r w:rsidR="00B5449B">
        <w:t>an</w:t>
      </w:r>
      <w:r>
        <w:t xml:space="preserve"> ikke regnes som en del av finansieringen av Den norske kirke som sådan. </w:t>
      </w:r>
    </w:p>
    <w:p w:rsidR="00944062" w:rsidRPr="0084542C" w:rsidRDefault="00944062" w:rsidP="0084542C">
      <w:pPr>
        <w:pStyle w:val="Overskrift3"/>
      </w:pPr>
      <w:bookmarkStart w:id="1587" w:name="_Toc476320935"/>
      <w:bookmarkStart w:id="1588" w:name="_Toc477277240"/>
      <w:bookmarkStart w:id="1589" w:name="_Toc477535555"/>
      <w:bookmarkStart w:id="1590" w:name="_Toc477630687"/>
      <w:bookmarkStart w:id="1591" w:name="_Toc477693651"/>
      <w:bookmarkStart w:id="1592" w:name="_Toc477704025"/>
      <w:bookmarkStart w:id="1593" w:name="_Toc477799238"/>
      <w:bookmarkStart w:id="1594" w:name="_Toc477805841"/>
      <w:bookmarkStart w:id="1595" w:name="_Toc477878101"/>
      <w:bookmarkStart w:id="1596" w:name="_Toc477881504"/>
      <w:bookmarkStart w:id="1597" w:name="_Toc477885964"/>
      <w:bookmarkStart w:id="1598" w:name="_Toc478131394"/>
      <w:bookmarkStart w:id="1599" w:name="_Toc478138764"/>
      <w:bookmarkStart w:id="1600" w:name="_Toc478232293"/>
      <w:bookmarkStart w:id="1601" w:name="_Toc478237277"/>
      <w:bookmarkStart w:id="1602" w:name="_Toc481761816"/>
      <w:bookmarkStart w:id="1603" w:name="_Toc492900469"/>
      <w:bookmarkStart w:id="1604" w:name="_Toc470087688"/>
      <w:r w:rsidRPr="0084542C">
        <w:t>Spørsmålet om å videreføre det kommunale utgiftsansvaret</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84542C">
        <w:t xml:space="preserve"> </w:t>
      </w:r>
      <w:bookmarkEnd w:id="1604"/>
    </w:p>
    <w:p w:rsidR="00944062" w:rsidRDefault="00944062" w:rsidP="00697087">
      <w:r>
        <w:t xml:space="preserve">Av hensyn som kan tilsi at kommunenes finansieringsoppgaver overfor Den norske kirke bør føres videre, vil departementet særlig nevne: </w:t>
      </w:r>
    </w:p>
    <w:p w:rsidR="004D5F06" w:rsidRPr="001735E5" w:rsidRDefault="00944062" w:rsidP="001763A6">
      <w:pPr>
        <w:pStyle w:val="Listebombe2"/>
      </w:pPr>
      <w:r w:rsidRPr="001735E5">
        <w:t xml:space="preserve">Gjennom de reformene som er gjennomført på kirkens område siden 1980-tallet og til i dag, er det skjedd store endringer i kirkens rettslige, økonomiske og organisatoriske rammebetingelser. Reformene i kirkeordningen de siste 20–30 årene har vært blant de mest omformende i kirkens historie. Sentrale hensyn under reformarbeidet har vært å sikre stabilitet og kontinuitet. Reformene skulle ikke etablere en ny kirke eller utfordre de egenskapene som kjennetegner Den norske kirke som folkekirke. </w:t>
      </w:r>
      <w:r w:rsidR="00923586">
        <w:t>H</w:t>
      </w:r>
      <w:r w:rsidRPr="001735E5">
        <w:t>ensyn</w:t>
      </w:r>
      <w:r w:rsidR="00923586">
        <w:t>et</w:t>
      </w:r>
      <w:r w:rsidRPr="001735E5">
        <w:t xml:space="preserve"> til stabilitet og kontinuitet kan tilsi at det kommunale finansieringsansvaret overfor Den norske kirke bør føres videre. </w:t>
      </w:r>
    </w:p>
    <w:p w:rsidR="00944062" w:rsidRPr="004D5F06" w:rsidRDefault="00944062" w:rsidP="001763A6">
      <w:pPr>
        <w:pStyle w:val="Listebombe2"/>
      </w:pPr>
      <w:r w:rsidRPr="004D5F06">
        <w:t xml:space="preserve">Kommunenes finansieringsoppgaver på kirkens område har hatt stor betydning for oppgave- og myndighetsfordelingen innad i Den norske kirke. Kirken i Norge har i stor grad vært finansiert nedenfra, så å si, noe som er en vesentlig grunn til at Den norske kirke i dag har en mer desentralisert organisasjonsstruktur enn mange andre kirkesamfunn. Dette har medført en kirkeordning som gjennom årene har balansert Kongens myndighet som øverste kirkestyre mot soknenes selvstendighet og demokratiske basis. Opprettholdelsen av det kommunale finansieringsansvaret for kirkens virksomhet kan bidra til </w:t>
      </w:r>
      <w:r w:rsidR="00923586">
        <w:t xml:space="preserve">å videreføre </w:t>
      </w:r>
      <w:r w:rsidR="00923586" w:rsidRPr="004D5F06">
        <w:t>en balanse i myndighetsfordelingen i Den norske kirke.</w:t>
      </w:r>
      <w:r w:rsidRPr="004D5F06">
        <w:t xml:space="preserve"> </w:t>
      </w:r>
    </w:p>
    <w:p w:rsidR="00944062" w:rsidRPr="004D5F06" w:rsidRDefault="00944062" w:rsidP="001763A6">
      <w:pPr>
        <w:pStyle w:val="Listebombe2"/>
      </w:pPr>
      <w:r w:rsidRPr="004D5F06">
        <w:t xml:space="preserve">Kommunenes finansieringsansvar overfor kirken har fra sin begynnelse bidratt til et nært samarbeid mellom kommune og kirke. Opp gjennom historien har nærheten og samarbeidet mellom kommunene og kirken etter departementets </w:t>
      </w:r>
      <w:r w:rsidRPr="004D5F06">
        <w:lastRenderedPageBreak/>
        <w:t xml:space="preserve">syn representert en verdi ikke bare for kirken, men også for det norske samfunnet. Kommunene som bevilgende myndighet har sikret en direkte kontakt mellom kommune og kirke, for lokalt samarbeid og praktiske, lokalt tilpassede løsninger, forankret i lokale særpreg og tradisjoner. En oppheving av det kommunale finansieringsansvaret for kirken vil </w:t>
      </w:r>
      <w:r w:rsidR="00E34505">
        <w:t>d</w:t>
      </w:r>
      <w:r w:rsidR="004459FE">
        <w:t>a</w:t>
      </w:r>
      <w:r w:rsidR="00E34505">
        <w:t xml:space="preserve"> </w:t>
      </w:r>
      <w:r w:rsidRPr="004D5F06">
        <w:t xml:space="preserve">kunne </w:t>
      </w:r>
      <w:r w:rsidR="00E34505">
        <w:t xml:space="preserve">ses som </w:t>
      </w:r>
      <w:r w:rsidRPr="004D5F06">
        <w:t>svekke</w:t>
      </w:r>
      <w:r w:rsidR="00E34505">
        <w:t>lse av</w:t>
      </w:r>
      <w:r w:rsidRPr="004D5F06">
        <w:t xml:space="preserve"> kirkens lokale forankring og det mangeårige, godt fungerende samvirke mellom kommune</w:t>
      </w:r>
      <w:r w:rsidR="00BC79CD">
        <w:t xml:space="preserve"> og kirke</w:t>
      </w:r>
      <w:r w:rsidRPr="004D5F06">
        <w:t>.</w:t>
      </w:r>
    </w:p>
    <w:p w:rsidR="00944062" w:rsidRPr="004D5F06" w:rsidRDefault="00944062" w:rsidP="001763A6">
      <w:pPr>
        <w:pStyle w:val="Listebombe2"/>
      </w:pPr>
      <w:r w:rsidRPr="004D5F06">
        <w:t>Dersom kommunenes lovregulerte ansvar for kirken blir opphevet, vil soknenes økonomi være undergitt andre finansieringskilder og andre rammevilkår. Nasjonal styring og samordning av kirkens og soknenes økonomi vil redusere den økonomiske selvstendigheten soknene har i dag. Et syn om at soknene i Den norske kirke bør ha stor grad av økonomisk selvstendighet, kan tilsi en videreføring av kommunenes finansieringsansvar.</w:t>
      </w:r>
    </w:p>
    <w:p w:rsidR="00944062" w:rsidRPr="004D5F06" w:rsidRDefault="00944062" w:rsidP="001763A6">
      <w:pPr>
        <w:pStyle w:val="Listebombe2"/>
      </w:pPr>
      <w:r w:rsidRPr="004D5F06">
        <w:t xml:space="preserve">En fortsatt lovregulering av et kommunalt og statlig finansieringsansvar for Den norske kirke gir kirken tilgang til flere offentlige finansieringskilder. Kirken vil så å si ha flere økonomiske ben å bygge sin virksomhet på.  </w:t>
      </w:r>
    </w:p>
    <w:p w:rsidR="00944062" w:rsidRDefault="00944062" w:rsidP="00697087">
      <w:r>
        <w:t>Som det framgår mener departementet det foreligger hensyn som kan tilsi at det kommunale finansieringsansvaret overfor Den norske kirke bør føres videre. Spørsmålet er på hvilken måte dette kommunale ansvaret i tilfelle bør reguleres i en lovgivning for Den norske kirke der det er forutsatt at Den norske kirke skal ha frihet til å bestemme sin organisering, sin inndeling i sokn, hvilke krav som skal stilles til et kirkebygg og hvordan kirkebyggenes forvaltning skal organiseres, jf. foran under p</w:t>
      </w:r>
      <w:r w:rsidR="00420B1B">
        <w:t>unkt</w:t>
      </w:r>
      <w:r>
        <w:t xml:space="preserve"> </w:t>
      </w:r>
      <w:r w:rsidR="001355BC">
        <w:t>9</w:t>
      </w:r>
      <w:r>
        <w:t xml:space="preserve">.4 og </w:t>
      </w:r>
      <w:r w:rsidR="00420B1B">
        <w:t>9</w:t>
      </w:r>
      <w:r>
        <w:t xml:space="preserve">.5. </w:t>
      </w:r>
    </w:p>
    <w:p w:rsidR="00944062" w:rsidRDefault="00944062" w:rsidP="00697087">
      <w:r>
        <w:t>Departementet er kommet til at lovb</w:t>
      </w:r>
      <w:r w:rsidRPr="00E53E3C">
        <w:t xml:space="preserve">estemmelser om kommunenes økonomiske ansvar </w:t>
      </w:r>
      <w:r>
        <w:t>ikke kan gå lenger enn å</w:t>
      </w:r>
      <w:r w:rsidRPr="00E53E3C">
        <w:t xml:space="preserve"> </w:t>
      </w:r>
      <w:r>
        <w:t xml:space="preserve">angi </w:t>
      </w:r>
      <w:r w:rsidRPr="00E53E3C">
        <w:t xml:space="preserve">hvilke </w:t>
      </w:r>
      <w:r>
        <w:t xml:space="preserve">kirkelige formål </w:t>
      </w:r>
      <w:r w:rsidRPr="00E53E3C">
        <w:t>det kommunale ansvaret retter seg mot</w:t>
      </w:r>
      <w:r>
        <w:t xml:space="preserve">. Det sentrale med lovbestemmelsen bør være å klargjøre ansvarsdelingen mellom staten og kommunene på kirkens område. </w:t>
      </w:r>
    </w:p>
    <w:p w:rsidR="00944062" w:rsidRDefault="00944062" w:rsidP="00697087">
      <w:r>
        <w:t xml:space="preserve">Statens ansvar etter </w:t>
      </w:r>
      <w:r w:rsidR="008544EE">
        <w:t xml:space="preserve">dagens </w:t>
      </w:r>
      <w:r>
        <w:t xml:space="preserve">kirkelov § 2 a innebærer et betydelig handlingsrom når det gjelder å definere de budsjettmessige forpliktelsene som følger av ansvaret. Tilsvarende bør kommunene ha et </w:t>
      </w:r>
      <w:r w:rsidR="00420B1B">
        <w:t>budsjettmessig</w:t>
      </w:r>
      <w:r>
        <w:t xml:space="preserve"> handlingsrom. Til en viss grad vil o</w:t>
      </w:r>
      <w:r w:rsidRPr="00E53E3C">
        <w:t>mfanget</w:t>
      </w:r>
      <w:r w:rsidRPr="009A3C05">
        <w:t xml:space="preserve"> eller rekkevidden av </w:t>
      </w:r>
      <w:r>
        <w:t xml:space="preserve">det økonomiske </w:t>
      </w:r>
      <w:r w:rsidRPr="009A3C05">
        <w:t>ansvar</w:t>
      </w:r>
      <w:r>
        <w:t xml:space="preserve">et kunne utledes av de formålene som er angitt i loven, men de konkrete, budsjettmessige virkningene bør ikke utledes direkte av loven. Disse bør være gjenstand for vanlig budsjettbehandling i kommunen. I praksis er dette langt på vei situasjonen i dag. </w:t>
      </w:r>
    </w:p>
    <w:p w:rsidR="00944062" w:rsidRPr="009A3C05" w:rsidRDefault="00944062" w:rsidP="00697087">
      <w:r>
        <w:t>Mens det i dagens lovgivning er bestemt hvilket kirkelig organ som disponerer de kommunale bevilgningene, vil dette et</w:t>
      </w:r>
      <w:r w:rsidRPr="009A3C05">
        <w:t xml:space="preserve">ter departementets </w:t>
      </w:r>
      <w:r>
        <w:t xml:space="preserve">forslag ikke lenger bli regulert i lov, men av bestemmelser gitt av Kirkemøtet. Kirkemøtet kan derfor bestemme en kirkelig organisering som bryter med kommunenivået, slik at de kommunale bevilgningene i tilfelle blir forvaltet på et annet nivå enn kommunenivået, for eksempel på et nivå som omfatter flere kommuner. Departementet ser ikke dette som en hindring for et fortsatt kommunalt finansieringsansvar for kirken. Det viktige i dette spørsmålet er </w:t>
      </w:r>
      <w:r w:rsidRPr="009A3C05">
        <w:t xml:space="preserve">om </w:t>
      </w:r>
      <w:r>
        <w:t xml:space="preserve">mottakende instans i Den norske kirke </w:t>
      </w:r>
      <w:r w:rsidRPr="009A3C05">
        <w:t xml:space="preserve">kan bekrefte at </w:t>
      </w:r>
      <w:r>
        <w:t xml:space="preserve">de kommunale bevilgningene er anvendt </w:t>
      </w:r>
      <w:r w:rsidRPr="009A3C05">
        <w:t xml:space="preserve">i tråd med de forutsetningene som </w:t>
      </w:r>
      <w:r>
        <w:t xml:space="preserve">er gitt. Det blir da </w:t>
      </w:r>
      <w:r w:rsidRPr="009A3C05">
        <w:t xml:space="preserve">Den norske kirkes ansvar å organisere seg slik at ikke organiseringen </w:t>
      </w:r>
      <w:r>
        <w:t>s</w:t>
      </w:r>
      <w:r w:rsidRPr="009A3C05">
        <w:t xml:space="preserve">vekker tilliten til at de kommunale tilskuddene anvendes til beste for </w:t>
      </w:r>
      <w:r>
        <w:t xml:space="preserve">kirkens virksomhet i </w:t>
      </w:r>
      <w:r w:rsidRPr="009A3C05">
        <w:t xml:space="preserve">kommunen. </w:t>
      </w:r>
    </w:p>
    <w:p w:rsidR="00944062" w:rsidRPr="009A3C05" w:rsidRDefault="00944062" w:rsidP="00697087">
      <w:r>
        <w:t>I en rammelovgiv</w:t>
      </w:r>
      <w:r w:rsidR="00097172">
        <w:t>n</w:t>
      </w:r>
      <w:r>
        <w:t>ing for Den norske kirke bør</w:t>
      </w:r>
      <w:r w:rsidR="0062526F">
        <w:t xml:space="preserve"> som nevnt </w:t>
      </w:r>
      <w:r>
        <w:t xml:space="preserve">kirken få frihet til å bestemme </w:t>
      </w:r>
      <w:r w:rsidRPr="009A3C05">
        <w:t xml:space="preserve">soknestrukturen. Vedtak om opprettelse og nedleggelse av sokn </w:t>
      </w:r>
      <w:r>
        <w:t xml:space="preserve">bør </w:t>
      </w:r>
      <w:r w:rsidRPr="009A3C05">
        <w:t xml:space="preserve">Den norske kirke </w:t>
      </w:r>
      <w:r>
        <w:t xml:space="preserve">kunne </w:t>
      </w:r>
      <w:r w:rsidRPr="009A3C05">
        <w:t xml:space="preserve">foreta på selvstendig grunnlag, siden det ikke lenger vil være et lovbestemt krav om at det </w:t>
      </w:r>
      <w:r w:rsidRPr="009A3C05">
        <w:lastRenderedPageBreak/>
        <w:t xml:space="preserve">skal være kirke i soknet. Om det ved utskilling av nytt sokn er behov for ny kirke der, må dette tas opp med kommunen som en budsjettsak. Om kommunen av budsjettmessige grunner ikke finner å kunne gi tilskudd til ny kirke, kan Den norske kirke likevel bestemme at soknet dannes. </w:t>
      </w:r>
    </w:p>
    <w:p w:rsidR="00944062" w:rsidRDefault="00944062" w:rsidP="00697087">
      <w:r>
        <w:t>Dersom det kommunale finansieringsansvaret for Den norske kirke skal føres videre, foreslår departementet at lovbestemmelsen utformes slik</w:t>
      </w:r>
      <w:r w:rsidR="00420B1B">
        <w:t>, jf. lovutkastet § 1</w:t>
      </w:r>
      <w:r w:rsidR="001377A2">
        <w:t>2</w:t>
      </w:r>
      <w:r w:rsidR="009A56C0">
        <w:t xml:space="preserve"> fjerde, femte og sjette ledd</w:t>
      </w:r>
      <w:r>
        <w:t>:</w:t>
      </w:r>
    </w:p>
    <w:p w:rsidR="00982757" w:rsidRPr="00EA4493" w:rsidRDefault="00982757" w:rsidP="00EA4493">
      <w:pPr>
        <w:pStyle w:val="blokksit"/>
        <w:rPr>
          <w:rStyle w:val="kursiv"/>
        </w:rPr>
      </w:pPr>
      <w:r w:rsidRPr="00EA4493">
        <w:rPr>
          <w:rStyle w:val="kursiv"/>
        </w:rPr>
        <w:t xml:space="preserve">Kommunen gir tilskudd til kirkelig virksomhet i kommunen, herunder tilskudd til bygging, vedlikehold og drift av kirkebygg. Tilskuddet skal sørge for at kirkebyggene holdes i forsvarlig stand og kan benyttes til gudstjenester og kirkelige handlinger. Tilskuddet skal også sørge for at soknene har tilfredsstillende bemanning ved gudstjenester og kirkelige handlinger og tilstrekkelig administrativ hjelp. </w:t>
      </w:r>
    </w:p>
    <w:p w:rsidR="00982757" w:rsidRPr="00EA4493" w:rsidRDefault="00982757" w:rsidP="00EA4493">
      <w:pPr>
        <w:pStyle w:val="blokksit"/>
        <w:rPr>
          <w:rStyle w:val="kursiv"/>
        </w:rPr>
      </w:pPr>
      <w:r w:rsidRPr="00EA4493">
        <w:rPr>
          <w:rStyle w:val="kursiv"/>
        </w:rPr>
        <w:t xml:space="preserve">Kommunal tjenesteyting kan tre i stedet for tilskudd etter første ledd. </w:t>
      </w:r>
      <w:r w:rsidRPr="00EA4493">
        <w:rPr>
          <w:rStyle w:val="kursiv"/>
        </w:rPr>
        <w:tab/>
      </w:r>
      <w:r w:rsidRPr="00EA4493">
        <w:rPr>
          <w:rStyle w:val="kursiv"/>
        </w:rPr>
        <w:tab/>
      </w:r>
      <w:r w:rsidRPr="00EA4493">
        <w:rPr>
          <w:rStyle w:val="kursiv"/>
        </w:rPr>
        <w:tab/>
      </w:r>
    </w:p>
    <w:p w:rsidR="00982757" w:rsidRPr="00EA4493" w:rsidRDefault="00982757" w:rsidP="00EA4493">
      <w:pPr>
        <w:pStyle w:val="blokksit"/>
        <w:rPr>
          <w:rStyle w:val="kursiv"/>
        </w:rPr>
      </w:pPr>
      <w:r w:rsidRPr="00EA4493">
        <w:rPr>
          <w:rStyle w:val="kursiv"/>
        </w:rPr>
        <w:t>Kommune</w:t>
      </w:r>
      <w:r w:rsidR="009F6944" w:rsidRPr="00EA4493">
        <w:rPr>
          <w:rStyle w:val="kursiv"/>
        </w:rPr>
        <w:t>n</w:t>
      </w:r>
      <w:r w:rsidRPr="00EA4493">
        <w:rPr>
          <w:rStyle w:val="kursiv"/>
        </w:rPr>
        <w:t xml:space="preserve"> kan ta opp lån for å finansiere disse formålene, og kommuneloven § 50 gjelder da tilsvarende. </w:t>
      </w:r>
    </w:p>
    <w:p w:rsidR="002B0813" w:rsidRPr="002B0813" w:rsidRDefault="002B0813" w:rsidP="001763A6">
      <w:r w:rsidRPr="002B0813">
        <w:t>For å harm</w:t>
      </w:r>
      <w:r>
        <w:t>o</w:t>
      </w:r>
      <w:r w:rsidRPr="002B0813">
        <w:t>ni</w:t>
      </w:r>
      <w:r>
        <w:t>s</w:t>
      </w:r>
      <w:r w:rsidRPr="002B0813">
        <w:t>ere dagens b</w:t>
      </w:r>
      <w:r>
        <w:t>e</w:t>
      </w:r>
      <w:r w:rsidRPr="002B0813">
        <w:t>stemmelse om s</w:t>
      </w:r>
      <w:r>
        <w:t>t</w:t>
      </w:r>
      <w:r w:rsidRPr="002B0813">
        <w:t>atens økonomiske ansvar</w:t>
      </w:r>
      <w:r w:rsidR="00CE77F6">
        <w:t xml:space="preserve"> overfor Den norske kirke</w:t>
      </w:r>
      <w:r w:rsidR="003E24FB" w:rsidRPr="003E24FB">
        <w:t xml:space="preserve"> </w:t>
      </w:r>
      <w:r w:rsidR="003E24FB">
        <w:t xml:space="preserve">med </w:t>
      </w:r>
      <w:r w:rsidR="003E24FB" w:rsidRPr="002B0813">
        <w:t xml:space="preserve">bestemmelsen </w:t>
      </w:r>
      <w:r w:rsidR="003E24FB">
        <w:t>ovenfor om kommunenes ansvar</w:t>
      </w:r>
      <w:r w:rsidRPr="002B0813">
        <w:t>, foreslås det at bestemmelsen om s</w:t>
      </w:r>
      <w:r>
        <w:t>t</w:t>
      </w:r>
      <w:r w:rsidRPr="002B0813">
        <w:t>atens økonomiske ansvar får slik ordlyd</w:t>
      </w:r>
      <w:r w:rsidR="00420B1B">
        <w:t>, jf</w:t>
      </w:r>
      <w:r w:rsidR="009F6944">
        <w:t>.</w:t>
      </w:r>
      <w:r w:rsidR="00420B1B">
        <w:t xml:space="preserve"> lovutkastet §</w:t>
      </w:r>
      <w:r w:rsidR="009F6944">
        <w:t xml:space="preserve"> 1</w:t>
      </w:r>
      <w:r w:rsidR="001377A2">
        <w:t>2</w:t>
      </w:r>
      <w:r w:rsidR="009A56C0">
        <w:t xml:space="preserve"> første ledd</w:t>
      </w:r>
      <w:r w:rsidRPr="002B0813">
        <w:t>:</w:t>
      </w:r>
    </w:p>
    <w:p w:rsidR="002B0813" w:rsidRPr="00EA4493" w:rsidRDefault="002B0813" w:rsidP="00EA4493">
      <w:pPr>
        <w:pStyle w:val="blokksit"/>
        <w:rPr>
          <w:rStyle w:val="kursiv"/>
        </w:rPr>
      </w:pPr>
      <w:r w:rsidRPr="00EA4493">
        <w:rPr>
          <w:rStyle w:val="kursiv"/>
        </w:rPr>
        <w:t xml:space="preserve">Staten gir tilskudd til prestetjenesten og kirkens virksomhet nasjonalt og regionalt. Staten kan </w:t>
      </w:r>
      <w:r w:rsidR="009A56C0" w:rsidRPr="00EA4493">
        <w:rPr>
          <w:rStyle w:val="kursiv"/>
        </w:rPr>
        <w:t xml:space="preserve">også </w:t>
      </w:r>
      <w:r w:rsidRPr="00EA4493">
        <w:rPr>
          <w:rStyle w:val="kursiv"/>
        </w:rPr>
        <w:t>gi tilskudd til andre kirkelige formål.</w:t>
      </w:r>
    </w:p>
    <w:p w:rsidR="002B0813" w:rsidRDefault="002B0813" w:rsidP="001763A6">
      <w:r w:rsidRPr="002B0813">
        <w:t>Endringen innebærer</w:t>
      </w:r>
      <w:r>
        <w:t xml:space="preserve"> at det ikke lenger i lov er bestemt at statens </w:t>
      </w:r>
      <w:r w:rsidR="005E6E2B">
        <w:t>og</w:t>
      </w:r>
      <w:r>
        <w:t xml:space="preserve"> kommunens tilskudd til Den norske kirke skal være basert på budsjettforslag fra kirken. Etter departementets syn følger dette av god forvaltningspraksis</w:t>
      </w:r>
      <w:r w:rsidR="00C51CD6">
        <w:t xml:space="preserve">. Departementet </w:t>
      </w:r>
      <w:r w:rsidR="00B04F72">
        <w:t>ser d</w:t>
      </w:r>
      <w:r w:rsidR="00C51CD6">
        <w:t>et som selvsagt at staten og kommunene innhenter budsjettforslag og annen dokumentasjon fra kirken under sitt budsjettarbeid</w:t>
      </w:r>
      <w:r>
        <w:t xml:space="preserve">. </w:t>
      </w:r>
    </w:p>
    <w:p w:rsidR="00C51CD6" w:rsidRPr="002B0813" w:rsidRDefault="008A79FC" w:rsidP="001763A6">
      <w:r>
        <w:t xml:space="preserve">Bestemmelsen om kommunenes økonomiske ansvar er utformet slik at den forplikter kommunene til å finansiere kirkelige formål og oppgaver. </w:t>
      </w:r>
      <w:r w:rsidR="002A0A81">
        <w:t xml:space="preserve">Det er i første rekke gjennom lov at slike forpliktelser kan legges på kommunene. </w:t>
      </w:r>
      <w:r w:rsidR="00B04F72">
        <w:t xml:space="preserve">Samme </w:t>
      </w:r>
      <w:r w:rsidR="001C3685">
        <w:t xml:space="preserve">lovkrav </w:t>
      </w:r>
      <w:r w:rsidR="002A0A81">
        <w:t xml:space="preserve">gjelder ikke </w:t>
      </w:r>
      <w:r w:rsidR="009F6944">
        <w:t>for regulering av</w:t>
      </w:r>
      <w:r w:rsidR="002A0A81">
        <w:t xml:space="preserve"> statens økonomiske ansvar</w:t>
      </w:r>
      <w:r w:rsidR="00CE77F6">
        <w:t>. D</w:t>
      </w:r>
      <w:r w:rsidR="002A0A81">
        <w:t xml:space="preserve">epartementet kan ikke se det er grunn til at staten skal </w:t>
      </w:r>
      <w:r w:rsidR="00CD4C95">
        <w:t>lov</w:t>
      </w:r>
      <w:r w:rsidR="009F6944">
        <w:t>regulere</w:t>
      </w:r>
      <w:r w:rsidR="002A0A81">
        <w:t xml:space="preserve"> sine økonomiske forpliktelser </w:t>
      </w:r>
      <w:r w:rsidR="001C3685">
        <w:t xml:space="preserve">overfor Den norske kirke </w:t>
      </w:r>
      <w:r w:rsidR="002A0A81">
        <w:t xml:space="preserve">utover det som framgår av </w:t>
      </w:r>
      <w:r w:rsidR="001C3685">
        <w:t>lov</w:t>
      </w:r>
      <w:r w:rsidR="002A0A81">
        <w:t xml:space="preserve">bestemmelsen. </w:t>
      </w:r>
    </w:p>
    <w:p w:rsidR="00944062" w:rsidRPr="0084542C" w:rsidRDefault="00944062" w:rsidP="0084542C">
      <w:pPr>
        <w:pStyle w:val="Overskrift3"/>
      </w:pPr>
      <w:bookmarkStart w:id="1605" w:name="_Toc476320936"/>
      <w:bookmarkStart w:id="1606" w:name="_Toc477277241"/>
      <w:bookmarkStart w:id="1607" w:name="_Toc477535556"/>
      <w:bookmarkStart w:id="1608" w:name="_Toc477630688"/>
      <w:bookmarkStart w:id="1609" w:name="_Toc477693652"/>
      <w:bookmarkStart w:id="1610" w:name="_Toc477704026"/>
      <w:bookmarkStart w:id="1611" w:name="_Toc477799239"/>
      <w:bookmarkStart w:id="1612" w:name="_Toc477805842"/>
      <w:bookmarkStart w:id="1613" w:name="_Toc477878102"/>
      <w:bookmarkStart w:id="1614" w:name="_Toc477881505"/>
      <w:bookmarkStart w:id="1615" w:name="_Toc477885965"/>
      <w:bookmarkStart w:id="1616" w:name="_Toc478131395"/>
      <w:bookmarkStart w:id="1617" w:name="_Toc478138765"/>
      <w:bookmarkStart w:id="1618" w:name="_Toc478232294"/>
      <w:bookmarkStart w:id="1619" w:name="_Toc478237278"/>
      <w:bookmarkStart w:id="1620" w:name="_Toc481761817"/>
      <w:bookmarkStart w:id="1621" w:name="_Toc492900470"/>
      <w:bookmarkStart w:id="1622" w:name="_Toc470087689"/>
      <w:r w:rsidRPr="0084542C">
        <w:t>Spørsmålet om statlig overtakelse av finansieringsansvaret</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r w:rsidRPr="0084542C">
        <w:t xml:space="preserve"> </w:t>
      </w:r>
      <w:bookmarkEnd w:id="1622"/>
    </w:p>
    <w:p w:rsidR="00944062" w:rsidRDefault="00944062" w:rsidP="00A5514D">
      <w:r w:rsidRPr="00232126">
        <w:t xml:space="preserve">Av hensyn som kan tilsi at </w:t>
      </w:r>
      <w:r>
        <w:t>den økonomiske oppgavefordelingen mellom staten og kommunene endres ved at staten tar over det fulle finansieringsansvaret for Den norske kirke, vil departementet særlig nevne:</w:t>
      </w:r>
    </w:p>
    <w:p w:rsidR="00944062" w:rsidRPr="00F97F86" w:rsidRDefault="00944062" w:rsidP="001763A6">
      <w:pPr>
        <w:pStyle w:val="Listebombe2"/>
      </w:pPr>
      <w:r w:rsidRPr="00F97F86">
        <w:t xml:space="preserve">Ved etableringen av det nye rettssubjektet for Den norske kirke fra 1. januar 2017 er det </w:t>
      </w:r>
      <w:r w:rsidR="009E244C">
        <w:t>dannet</w:t>
      </w:r>
      <w:r w:rsidRPr="00F97F86">
        <w:t xml:space="preserve"> en økonomisk og rettslig selvstendig </w:t>
      </w:r>
      <w:r>
        <w:t xml:space="preserve">enhet </w:t>
      </w:r>
      <w:r w:rsidRPr="00F97F86">
        <w:t xml:space="preserve">på nasjonalt nivå i Den norske kirke. Det finnes derfor </w:t>
      </w:r>
      <w:r>
        <w:t>nå</w:t>
      </w:r>
      <w:r w:rsidRPr="00F97F86">
        <w:t xml:space="preserve"> en </w:t>
      </w:r>
      <w:r>
        <w:t xml:space="preserve">selvstendig </w:t>
      </w:r>
      <w:r w:rsidRPr="00F97F86">
        <w:t xml:space="preserve">kirkelig forvaltningsorganisasjon utenfor staten som på Den norske kirkes vegne kan motta og fordele de samlede offentlige overføringene til Den norske kirke. </w:t>
      </w:r>
    </w:p>
    <w:p w:rsidR="00944062" w:rsidRPr="00BA71EE" w:rsidRDefault="00944062" w:rsidP="001763A6">
      <w:pPr>
        <w:pStyle w:val="Listebombe2"/>
      </w:pPr>
      <w:r w:rsidRPr="00903EEA">
        <w:t xml:space="preserve">Ved </w:t>
      </w:r>
      <w:r>
        <w:t xml:space="preserve">full </w:t>
      </w:r>
      <w:r w:rsidRPr="00903EEA">
        <w:t xml:space="preserve">rammefinansiering av Den norske kirke over statsbudsjettet vil Den norske kirke få </w:t>
      </w:r>
      <w:r>
        <w:t>anledning til</w:t>
      </w:r>
      <w:r w:rsidRPr="00903EEA">
        <w:t xml:space="preserve"> å se alle sine oppgaver i sammenheng og </w:t>
      </w:r>
      <w:r>
        <w:t xml:space="preserve">på selvstendig grunnlag kunne </w:t>
      </w:r>
      <w:r w:rsidRPr="00903EEA">
        <w:t xml:space="preserve">fordele myndighet og ansvar, oppgaver og </w:t>
      </w:r>
      <w:r w:rsidRPr="00903EEA">
        <w:lastRenderedPageBreak/>
        <w:t xml:space="preserve">ressurser til de enkelte organene eller instansene i </w:t>
      </w:r>
      <w:r>
        <w:t>kirken</w:t>
      </w:r>
      <w:r w:rsidRPr="00903EEA">
        <w:t xml:space="preserve">. </w:t>
      </w:r>
      <w:r>
        <w:t xml:space="preserve">Kirkens organisering og kirkens </w:t>
      </w:r>
      <w:r w:rsidR="00A5514D">
        <w:t>ressurser kan ses i sammenheng</w:t>
      </w:r>
      <w:r w:rsidR="0062526F">
        <w:t>.</w:t>
      </w:r>
    </w:p>
    <w:p w:rsidR="00944062" w:rsidRDefault="00944062" w:rsidP="001763A6">
      <w:pPr>
        <w:pStyle w:val="Listebombe2"/>
      </w:pPr>
      <w:r w:rsidRPr="006E5E07">
        <w:t xml:space="preserve">Den norske kirke </w:t>
      </w:r>
      <w:r>
        <w:t xml:space="preserve">kan på </w:t>
      </w:r>
      <w:r w:rsidRPr="006E5E07">
        <w:t xml:space="preserve">nasjonalt </w:t>
      </w:r>
      <w:r>
        <w:t xml:space="preserve">nivå </w:t>
      </w:r>
      <w:r w:rsidRPr="006E5E07">
        <w:t xml:space="preserve">vurdere ressursbruken på kirkebyggenes drift og vedlikehold i sammenheng med andre deler av kirkens utgiftsoppgaver. </w:t>
      </w:r>
      <w:r>
        <w:t xml:space="preserve">Nasjonal styring på kirkebyggområdet gir Den norske kirke større </w:t>
      </w:r>
      <w:r w:rsidRPr="006E5E07">
        <w:t>muligheter for e</w:t>
      </w:r>
      <w:r>
        <w:t>t</w:t>
      </w:r>
      <w:r w:rsidRPr="006E5E07">
        <w:t xml:space="preserve"> målrettet og planmessig </w:t>
      </w:r>
      <w:r>
        <w:t xml:space="preserve">vedlikehold </w:t>
      </w:r>
      <w:r w:rsidRPr="006E5E07">
        <w:t xml:space="preserve">av </w:t>
      </w:r>
      <w:r>
        <w:t xml:space="preserve">sine </w:t>
      </w:r>
      <w:r w:rsidRPr="006E5E07">
        <w:t>kirkebygg</w:t>
      </w:r>
      <w:r>
        <w:t xml:space="preserve"> enn ved en videreføring av det kommunale fi</w:t>
      </w:r>
      <w:r w:rsidR="00A5514D">
        <w:t>nansieringsansvaret på området.</w:t>
      </w:r>
    </w:p>
    <w:p w:rsidR="00944062" w:rsidRPr="00E5510F" w:rsidRDefault="00944062" w:rsidP="001763A6">
      <w:pPr>
        <w:pStyle w:val="Listebombe2"/>
      </w:pPr>
      <w:r w:rsidRPr="00E5510F">
        <w:t xml:space="preserve">Full finansiering over statsbudsjettet innebærer en betydelig forenkling av den offentlige finansieringsordningen for Den norske kirke.  </w:t>
      </w:r>
    </w:p>
    <w:p w:rsidR="00944062" w:rsidRDefault="00CE77F6" w:rsidP="00697087">
      <w:r>
        <w:t xml:space="preserve">Spørsmålet om staten bør ta et større ansvar for finansieringen av Den norske kirke ble </w:t>
      </w:r>
      <w:r w:rsidR="00022996">
        <w:t xml:space="preserve">som nevnt </w:t>
      </w:r>
      <w:r w:rsidR="00944062">
        <w:t xml:space="preserve">særskilt vurdert av </w:t>
      </w:r>
      <w:r w:rsidR="00022996" w:rsidRPr="00D27430">
        <w:t>Bakkevig-utvalget</w:t>
      </w:r>
      <w:r w:rsidR="00022996">
        <w:t xml:space="preserve"> i u</w:t>
      </w:r>
      <w:r w:rsidR="00944062" w:rsidRPr="00D27430">
        <w:t xml:space="preserve">tredningen </w:t>
      </w:r>
      <w:r w:rsidR="00944062" w:rsidRPr="00D27430">
        <w:rPr>
          <w:i/>
        </w:rPr>
        <w:t>Samme kirke – ny ordning</w:t>
      </w:r>
      <w:r w:rsidR="00944062" w:rsidRPr="00D27430">
        <w:t xml:space="preserve"> </w:t>
      </w:r>
      <w:r w:rsidR="00022996">
        <w:t xml:space="preserve">fra 2002. </w:t>
      </w:r>
      <w:r w:rsidR="00944062" w:rsidRPr="00D27430">
        <w:t xml:space="preserve">I omtalen av finansieringsordninger for Den norske kirke pekte utvalget på at den to-delte finansieringsordningen </w:t>
      </w:r>
      <w:r w:rsidR="00944062">
        <w:t xml:space="preserve">mellom kommune og stat </w:t>
      </w:r>
      <w:r w:rsidR="00944062" w:rsidRPr="00D27430">
        <w:t>har fordeler, men også at den medfører at ingen instans i kirken har eller kan ta et overordnet ansvar for Den norske kirkes økonomi</w:t>
      </w:r>
      <w:r w:rsidR="001355BC">
        <w:t xml:space="preserve">. Utvalget framholdt </w:t>
      </w:r>
      <w:r w:rsidR="00944062" w:rsidRPr="00D27430">
        <w:t>at</w:t>
      </w:r>
      <w:r w:rsidR="001355BC" w:rsidRPr="001355BC">
        <w:t xml:space="preserve"> </w:t>
      </w:r>
      <w:r w:rsidR="001355BC" w:rsidRPr="00D27430">
        <w:t>finansieringsordningen</w:t>
      </w:r>
      <w:r w:rsidR="00944062" w:rsidRPr="00D27430">
        <w:t xml:space="preserve"> medfører en oppdeling av arbeids</w:t>
      </w:r>
      <w:r w:rsidR="001355BC">
        <w:t>giver</w:t>
      </w:r>
      <w:r w:rsidR="00944062" w:rsidRPr="00D27430">
        <w:t>ansvaret i kirken</w:t>
      </w:r>
      <w:r w:rsidR="001355BC">
        <w:t>,</w:t>
      </w:r>
      <w:r w:rsidR="00944062" w:rsidRPr="00D27430">
        <w:t xml:space="preserve"> med ulike regler for de kirkelig ansattes arbeidsvilkår</w:t>
      </w:r>
      <w:r w:rsidR="0062526F">
        <w:t>, og at d</w:t>
      </w:r>
      <w:r>
        <w:t>en to-delte f</w:t>
      </w:r>
      <w:r w:rsidR="00944062" w:rsidRPr="00D27430">
        <w:t xml:space="preserve">inansieringsordningen vanskeliggjør en samlet, strategisk styring av Den norske kirke. </w:t>
      </w:r>
      <w:r w:rsidR="000C66DD">
        <w:t>Under h</w:t>
      </w:r>
      <w:r w:rsidR="00944062" w:rsidRPr="00D27430">
        <w:t xml:space="preserve">øringen </w:t>
      </w:r>
      <w:r w:rsidR="00944062">
        <w:t xml:space="preserve">i Den norske kirke på forslagene i </w:t>
      </w:r>
      <w:r w:rsidR="00944062" w:rsidRPr="00D27430">
        <w:rPr>
          <w:i/>
        </w:rPr>
        <w:t>Samme kirke – ny ordning</w:t>
      </w:r>
      <w:r w:rsidR="00944062" w:rsidRPr="00D27430">
        <w:t xml:space="preserve"> </w:t>
      </w:r>
      <w:r w:rsidR="000C66DD">
        <w:t xml:space="preserve">var det mange som framhevet behovet for </w:t>
      </w:r>
      <w:r w:rsidR="00A579FD">
        <w:t xml:space="preserve">en </w:t>
      </w:r>
      <w:r w:rsidR="00944062" w:rsidRPr="00D27430">
        <w:t xml:space="preserve">mer enhetlig kirkelig økonomi og </w:t>
      </w:r>
      <w:r w:rsidR="000C66DD">
        <w:t xml:space="preserve">bedre </w:t>
      </w:r>
      <w:r w:rsidR="00944062" w:rsidRPr="00D27430">
        <w:t>samordning av arbeidsgiveransvaret i kirken</w:t>
      </w:r>
      <w:r w:rsidR="0062526F">
        <w:t>.</w:t>
      </w:r>
      <w:r w:rsidR="00944062" w:rsidRPr="00D27430">
        <w:t xml:space="preserve"> </w:t>
      </w:r>
      <w:r w:rsidR="00A579FD">
        <w:t xml:space="preserve">Også </w:t>
      </w:r>
      <w:r w:rsidR="00944062" w:rsidRPr="00D27430">
        <w:t xml:space="preserve">Kirkemøtet 2002 </w:t>
      </w:r>
      <w:r w:rsidR="000C66DD">
        <w:t xml:space="preserve">så dette som viktige </w:t>
      </w:r>
      <w:r w:rsidR="00A579FD">
        <w:t xml:space="preserve">temaer </w:t>
      </w:r>
      <w:r w:rsidR="000C66DD">
        <w:t xml:space="preserve">å arbeide videre med framover. </w:t>
      </w:r>
    </w:p>
    <w:p w:rsidR="00CE77F6" w:rsidRDefault="00CE77F6" w:rsidP="00CE77F6">
      <w:r>
        <w:t xml:space="preserve">I NOU 2016:2 </w:t>
      </w:r>
      <w:r w:rsidRPr="00BE4CED">
        <w:rPr>
          <w:i/>
        </w:rPr>
        <w:t>Staten og Den norske kirke</w:t>
      </w:r>
      <w:r>
        <w:t xml:space="preserve"> tok </w:t>
      </w:r>
      <w:r w:rsidR="00022996">
        <w:t xml:space="preserve">som nevnt </w:t>
      </w:r>
      <w:r>
        <w:t>også Gjønnes-utvalget opp forslag om endringer i kirkens finansieringsordninger</w:t>
      </w:r>
      <w:r w:rsidR="00022996">
        <w:t>, der f</w:t>
      </w:r>
      <w:r>
        <w:t>lertallet gikk inn for å utvide statens finansieringsoppgaver, mot tilsvarende nedbygging av kommunenes ansvar, noe Kirkemøtet 2006 sluttet seg til.</w:t>
      </w:r>
    </w:p>
    <w:p w:rsidR="00944062" w:rsidRDefault="00944062" w:rsidP="00697087">
      <w:r>
        <w:t xml:space="preserve">Ved statlig overtakelse av finansieringsansvaret for Den norske kirke antar departementet at bevilgningene til Den norske kirke bør gis som et rammetilskudd til Kirkemøtets disposisjon, slik ordningen er for statens rammetilskudd i dag. </w:t>
      </w:r>
      <w:r w:rsidRPr="00712B0A">
        <w:t>Med Kirkemøtet som mottaker</w:t>
      </w:r>
      <w:r>
        <w:t>,</w:t>
      </w:r>
      <w:r w:rsidRPr="00712B0A">
        <w:t xml:space="preserve"> vil det ligge til Kirkemøtet å bestemme fordelingen av de</w:t>
      </w:r>
      <w:r>
        <w:t xml:space="preserve">t samlede rammetilskuddet </w:t>
      </w:r>
      <w:r w:rsidRPr="00712B0A">
        <w:t xml:space="preserve">på oppgavene og de organisatoriske enhetene i Den norske kirke. </w:t>
      </w:r>
    </w:p>
    <w:p w:rsidR="00944062" w:rsidRDefault="00944062" w:rsidP="00697087">
      <w:r w:rsidRPr="00712B0A">
        <w:t xml:space="preserve">Ved </w:t>
      </w:r>
      <w:r>
        <w:t xml:space="preserve">eventuell </w:t>
      </w:r>
      <w:r w:rsidRPr="00712B0A">
        <w:t>statlig overtakelse av den offentlige finansieringen legger departementet til grunn at de offentlige bevilgningene til kirke</w:t>
      </w:r>
      <w:r>
        <w:t>n</w:t>
      </w:r>
      <w:r w:rsidRPr="00712B0A">
        <w:t xml:space="preserve"> </w:t>
      </w:r>
      <w:r>
        <w:t xml:space="preserve">i utgangspunktet </w:t>
      </w:r>
      <w:r w:rsidRPr="00712B0A">
        <w:t>skal være på samme nivå som i dag</w:t>
      </w:r>
      <w:r>
        <w:t>, i praksis ved at det g</w:t>
      </w:r>
      <w:r w:rsidRPr="00712B0A">
        <w:t>jøres et uttrekk av statens rammetilskudd til kommunene tilsvarende det statens bevilgninger til Den norske kirke øker med. Dette er den vanlige framgangsmåten ved endringer i oppgavefordelingen mellom staten og kommunene</w:t>
      </w:r>
      <w:r w:rsidR="00CE77F6">
        <w:t>.</w:t>
      </w:r>
      <w:r w:rsidRPr="00712B0A">
        <w:t xml:space="preserve"> Rammetilskuddet fra staten til Den norske kirke vil i tilfelle øke fra ca. 2 mrd. kroner i dag til rundt 5 mrd. kroner</w:t>
      </w:r>
      <w:r w:rsidR="001355BC">
        <w:t xml:space="preserve">, når </w:t>
      </w:r>
      <w:r w:rsidR="0062526F">
        <w:t xml:space="preserve">de kommunale overføringene </w:t>
      </w:r>
      <w:r w:rsidR="001355BC">
        <w:t>til gravplassforvaltningen holdes utenom</w:t>
      </w:r>
      <w:r>
        <w:t>.</w:t>
      </w:r>
    </w:p>
    <w:p w:rsidR="001355BC" w:rsidRDefault="001355BC" w:rsidP="001E491E">
      <w:r>
        <w:t>Departementet foreslår at lovbestemmelsen om den offentlige finansieringen av Den norske kirke i tilfelle skal lyde</w:t>
      </w:r>
      <w:r w:rsidR="003F1156">
        <w:t>, jf. lovutkastet § 1</w:t>
      </w:r>
      <w:r w:rsidR="001377A2">
        <w:t>2</w:t>
      </w:r>
      <w:r w:rsidR="000F69D1">
        <w:t xml:space="preserve"> første og annet ledd</w:t>
      </w:r>
      <w:r>
        <w:t>:</w:t>
      </w:r>
    </w:p>
    <w:p w:rsidR="008E2BBA" w:rsidRPr="00EA4493" w:rsidRDefault="008E2BBA" w:rsidP="00EA4493">
      <w:pPr>
        <w:pStyle w:val="blokksit"/>
        <w:rPr>
          <w:rStyle w:val="kursiv"/>
        </w:rPr>
      </w:pPr>
      <w:r w:rsidRPr="00EA4493">
        <w:rPr>
          <w:rStyle w:val="kursiv"/>
        </w:rPr>
        <w:t xml:space="preserve">Staten gir tilskudd til prestetjenesten og kirkens virksomhet nasjonalt og regionalt. </w:t>
      </w:r>
    </w:p>
    <w:p w:rsidR="008E2BBA" w:rsidRPr="00EA4493" w:rsidRDefault="008E2BBA" w:rsidP="00EA4493">
      <w:pPr>
        <w:pStyle w:val="blokksit"/>
        <w:rPr>
          <w:rStyle w:val="kursiv"/>
        </w:rPr>
      </w:pPr>
      <w:r w:rsidRPr="00EA4493">
        <w:rPr>
          <w:rStyle w:val="kursiv"/>
        </w:rPr>
        <w:t xml:space="preserve">Staten gir også tilskudd til kirkelig virksomhet lokalt, herunder tilskudd til bygging, vedlikehold og drift av kirkebygg. Tilskuddet skal sørge for at kirkebyggene holdes i forsvarlig stand og kan benyttes til gudstjenester og kirkelige handlinger. Tilskuddet skal også sørge for at soknene har tilfredsstillende bemanning ved gudstjenester og kirkelige handlinger og tilstrekkelig administrativ hjelp. </w:t>
      </w:r>
    </w:p>
    <w:p w:rsidR="00944062" w:rsidRDefault="00A5514D" w:rsidP="00697087">
      <w:r>
        <w:lastRenderedPageBreak/>
        <w:t>I kap</w:t>
      </w:r>
      <w:r w:rsidR="003F1156">
        <w:t>ittel</w:t>
      </w:r>
      <w:r>
        <w:t xml:space="preserve"> </w:t>
      </w:r>
      <w:r w:rsidR="00497949">
        <w:t>22</w:t>
      </w:r>
      <w:r w:rsidR="00944062">
        <w:t xml:space="preserve"> drøftes spørsmålet om forvaltningen av </w:t>
      </w:r>
      <w:r w:rsidR="009024B5">
        <w:t xml:space="preserve">de </w:t>
      </w:r>
      <w:r w:rsidR="003F1156">
        <w:t>offentlige</w:t>
      </w:r>
      <w:r w:rsidR="009024B5">
        <w:t xml:space="preserve"> </w:t>
      </w:r>
      <w:r w:rsidR="00944062">
        <w:t>gravplasse</w:t>
      </w:r>
      <w:r w:rsidR="009024B5">
        <w:t>ne</w:t>
      </w:r>
      <w:r w:rsidR="00944062">
        <w:t xml:space="preserve"> bør være e</w:t>
      </w:r>
      <w:r w:rsidR="00F366F0">
        <w:t>n</w:t>
      </w:r>
      <w:r w:rsidR="00944062">
        <w:t xml:space="preserve"> lovregulert </w:t>
      </w:r>
      <w:r w:rsidR="00F366F0">
        <w:t xml:space="preserve">oppgave </w:t>
      </w:r>
      <w:r w:rsidR="00944062">
        <w:t xml:space="preserve">for kirkelige organer, slik det er i dag, eller om </w:t>
      </w:r>
      <w:r w:rsidR="00F366F0">
        <w:t xml:space="preserve">oppgaven </w:t>
      </w:r>
      <w:r w:rsidR="00944062">
        <w:t>bør overføres til kommunene. Som det framgår</w:t>
      </w:r>
      <w:r w:rsidR="00022996">
        <w:t>,</w:t>
      </w:r>
      <w:r w:rsidR="00944062">
        <w:t xml:space="preserve"> mener departementet at </w:t>
      </w:r>
      <w:r w:rsidR="00CD4C95">
        <w:t xml:space="preserve">dagens </w:t>
      </w:r>
      <w:r w:rsidR="00F366F0">
        <w:t>lov</w:t>
      </w:r>
      <w:r w:rsidR="00CD4C95">
        <w:t xml:space="preserve">bestemmelser </w:t>
      </w:r>
      <w:r w:rsidR="00F366F0">
        <w:t xml:space="preserve">på området </w:t>
      </w:r>
      <w:r w:rsidR="00CD4C95">
        <w:t xml:space="preserve">bør føres videre, </w:t>
      </w:r>
      <w:r w:rsidR="00F366F0">
        <w:t xml:space="preserve">men at </w:t>
      </w:r>
      <w:r w:rsidR="00F366F0">
        <w:rPr>
          <w:rFonts w:cs="Arial"/>
        </w:rPr>
        <w:t>fylkesmannen, etter søknad fra kommunen, kan bestemme at oppgaven skal overføres til kommunen.</w:t>
      </w:r>
      <w:r w:rsidR="00944062">
        <w:t xml:space="preserve"> </w:t>
      </w:r>
      <w:r w:rsidR="001F1CC9">
        <w:t>Som nevnt mener d</w:t>
      </w:r>
      <w:r w:rsidR="00944062">
        <w:t xml:space="preserve">epartementet det er uaktuelt at </w:t>
      </w:r>
      <w:r w:rsidR="00944062" w:rsidRPr="00F366F0">
        <w:t>finansieringsansvaret</w:t>
      </w:r>
      <w:r w:rsidR="00944062" w:rsidRPr="00F366F0">
        <w:rPr>
          <w:i/>
        </w:rPr>
        <w:t xml:space="preserve"> </w:t>
      </w:r>
      <w:r w:rsidR="00944062">
        <w:t>på området skal ligge et annet sted enn hos kommunene, selv om staten eventuelt tar over finansiering</w:t>
      </w:r>
      <w:r w:rsidR="00D37503">
        <w:t xml:space="preserve">en av kirkens oppgaver ellers. </w:t>
      </w:r>
    </w:p>
    <w:p w:rsidR="00944062" w:rsidRPr="0084542C" w:rsidRDefault="00944062" w:rsidP="0084542C">
      <w:pPr>
        <w:pStyle w:val="Overskrift3"/>
      </w:pPr>
      <w:r w:rsidRPr="0084542C">
        <w:t xml:space="preserve"> </w:t>
      </w:r>
      <w:bookmarkStart w:id="1623" w:name="_Toc481761818"/>
      <w:bookmarkStart w:id="1624" w:name="_Toc492900471"/>
      <w:bookmarkStart w:id="1625" w:name="_Toc470087690"/>
      <w:bookmarkStart w:id="1626" w:name="_Toc476320937"/>
      <w:bookmarkStart w:id="1627" w:name="_Toc477277242"/>
      <w:bookmarkStart w:id="1628" w:name="_Toc477535557"/>
      <w:bookmarkStart w:id="1629" w:name="_Toc477630689"/>
      <w:bookmarkStart w:id="1630" w:name="_Toc477693653"/>
      <w:bookmarkStart w:id="1631" w:name="_Toc477704027"/>
      <w:bookmarkStart w:id="1632" w:name="_Toc477799240"/>
      <w:bookmarkStart w:id="1633" w:name="_Toc477805843"/>
      <w:bookmarkStart w:id="1634" w:name="_Toc477871501"/>
      <w:bookmarkStart w:id="1635" w:name="_Toc477878103"/>
      <w:bookmarkStart w:id="1636" w:name="_Toc477881506"/>
      <w:bookmarkStart w:id="1637" w:name="_Toc477885966"/>
      <w:bookmarkStart w:id="1638" w:name="_Toc478131396"/>
      <w:bookmarkStart w:id="1639" w:name="_Toc478138766"/>
      <w:bookmarkStart w:id="1640" w:name="_Toc478232295"/>
      <w:bookmarkStart w:id="1641" w:name="_Toc478237279"/>
      <w:r w:rsidRPr="0084542C">
        <w:t xml:space="preserve">Departementets </w:t>
      </w:r>
      <w:r w:rsidR="00CE77F6">
        <w:t>drøfting av alternativene</w:t>
      </w:r>
      <w:bookmarkEnd w:id="1623"/>
      <w:bookmarkEnd w:id="1624"/>
      <w:r w:rsidR="00CE77F6">
        <w:t xml:space="preserve"> </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p>
    <w:p w:rsidR="00A5514D" w:rsidRDefault="00A5514D" w:rsidP="00A5514D">
      <w:pPr>
        <w:pStyle w:val="Overskrift4"/>
      </w:pPr>
      <w:r>
        <w:t>Innledning</w:t>
      </w:r>
    </w:p>
    <w:p w:rsidR="00944062" w:rsidRDefault="00944062" w:rsidP="009024B5">
      <w:r>
        <w:t xml:space="preserve">Som nevnt ser departementet begge de to alternativene for den offentlige finansieringen av Den norske kirke som </w:t>
      </w:r>
      <w:r w:rsidR="009024B5">
        <w:t>aktuelle</w:t>
      </w:r>
      <w:r>
        <w:t>. Begge ivaretar viktige hensyn, og det er etter departementets syn ikke åpenbart hvilket alternativ som vil være den beste løsningen, alle hensyn vurdert samlet. Departementet håper høringen vil gi det grunnlaget som trengs for å avklare spørsmålet.</w:t>
      </w:r>
    </w:p>
    <w:p w:rsidR="00944062" w:rsidRDefault="00944062" w:rsidP="00697087">
      <w:r>
        <w:t>I det følgende vil departementet gi noen utdypende kommentarer til de to alternativene. Formålet er å identifisere viktige konsekvenser og implikasjoner av alternativene</w:t>
      </w:r>
      <w:r w:rsidR="00CE77F6">
        <w:t xml:space="preserve">, </w:t>
      </w:r>
      <w:r>
        <w:t>slik departementet ser dem</w:t>
      </w:r>
      <w:r w:rsidR="00CE77F6">
        <w:t xml:space="preserve">, </w:t>
      </w:r>
      <w:r>
        <w:t>for slik å bidra til at høringen blir så god som mulig.</w:t>
      </w:r>
    </w:p>
    <w:p w:rsidR="00944062" w:rsidRPr="00A5514D" w:rsidRDefault="00944062" w:rsidP="00A5514D">
      <w:pPr>
        <w:pStyle w:val="Overskrift4"/>
      </w:pPr>
      <w:r w:rsidRPr="00A5514D">
        <w:t xml:space="preserve">Strukturell endring </w:t>
      </w:r>
    </w:p>
    <w:p w:rsidR="00944062" w:rsidRDefault="00944062" w:rsidP="00697087">
      <w:r>
        <w:t>Reformer i kirkens rettslige og økonomiske rammer har gjennom de seneste 50 årene skjedd gradvis. Endringene har vært forberedt gjennom utviklings- og utredningsprosesser over lang tid. Det sentrale hensynet har vært å sikre at Den norske kirke gjennom endringene i de ytre rammene ikke endrer karakter som folkekirke eller framtrer som en annen eller annerledes kirke. Det har vært viktig å unngå at endringene virker negativt inn på den grunnleggende tilhørigheten til Den norske kirke som mange kirkemedlemmer har.</w:t>
      </w:r>
      <w:r w:rsidRPr="00C12555">
        <w:t xml:space="preserve"> </w:t>
      </w:r>
    </w:p>
    <w:p w:rsidR="00944062" w:rsidRDefault="00944062" w:rsidP="00697087">
      <w:r w:rsidRPr="00846843">
        <w:t xml:space="preserve">Full rammefinansiering </w:t>
      </w:r>
      <w:r>
        <w:t xml:space="preserve">av Den norske kirke </w:t>
      </w:r>
      <w:r w:rsidRPr="00846843">
        <w:t xml:space="preserve">over statsbudsjettet </w:t>
      </w:r>
      <w:r>
        <w:t xml:space="preserve">vil </w:t>
      </w:r>
      <w:r w:rsidRPr="00846843">
        <w:t>representere e</w:t>
      </w:r>
      <w:r>
        <w:t xml:space="preserve">n vesentlig strukturell endring i </w:t>
      </w:r>
      <w:r w:rsidRPr="00846843">
        <w:t xml:space="preserve">hvordan kirken </w:t>
      </w:r>
      <w:r w:rsidRPr="00712B0A">
        <w:t>gjennom mange år har vært finansiert</w:t>
      </w:r>
      <w:r>
        <w:t xml:space="preserve">. Den kan ikke gjennomføres skrittvis over tid. Etter departementets syn er det vanskelig å si noe sikkert om hvilken betydning </w:t>
      </w:r>
      <w:r w:rsidR="00816038">
        <w:t xml:space="preserve">en slik </w:t>
      </w:r>
      <w:r>
        <w:t xml:space="preserve">endring vil ha for kirkens framtidige rolle og posisjon som folkekirke. </w:t>
      </w:r>
    </w:p>
    <w:p w:rsidR="00944062" w:rsidRDefault="00944062" w:rsidP="00697087">
      <w:r>
        <w:t xml:space="preserve">Så lenge kirkens samlede ressursgrunnlag vil være som før, kan et syn være at hvilken offentlig </w:t>
      </w:r>
      <w:r w:rsidRPr="004A3D61">
        <w:t xml:space="preserve">finansieringskilde </w:t>
      </w:r>
      <w:r>
        <w:t xml:space="preserve">som velges, </w:t>
      </w:r>
      <w:r w:rsidRPr="00A2722B">
        <w:t>e</w:t>
      </w:r>
      <w:r>
        <w:t xml:space="preserve">r mindre vesentlig enn hvordan kirkens ressurser benyttes. Og hvordan de offentlige overføringene til kirken benyttes, enten overføringene kommer fra staten eller kommunene, vil </w:t>
      </w:r>
      <w:r w:rsidR="00816038">
        <w:t xml:space="preserve">det </w:t>
      </w:r>
      <w:r>
        <w:t>i alle tilfeller ligge til kirken å bestemme. I et slikt perspektiv kan et synspunkt være at full finansiering over statsbudsjettet gir kirken muligheter for å se sin samlede ressursbruk i en større helhet og sammenheng</w:t>
      </w:r>
      <w:r w:rsidR="001F1CC9">
        <w:t>,</w:t>
      </w:r>
      <w:r>
        <w:t xml:space="preserve"> uten de begrensninger som et to-delt finansieringssystem gjennom staten og kommunene representerer, og at </w:t>
      </w:r>
      <w:r w:rsidR="002D619E">
        <w:t xml:space="preserve">dette </w:t>
      </w:r>
      <w:r w:rsidR="00AF4775">
        <w:t xml:space="preserve">kan bidra til å </w:t>
      </w:r>
      <w:r>
        <w:t xml:space="preserve">styrke </w:t>
      </w:r>
      <w:r w:rsidR="005E6E2B">
        <w:t xml:space="preserve">mer enn å svekke </w:t>
      </w:r>
      <w:r>
        <w:t xml:space="preserve">kirkens rolle som folkekirke. </w:t>
      </w:r>
    </w:p>
    <w:p w:rsidR="00944062" w:rsidRPr="00C215EA" w:rsidRDefault="00944062" w:rsidP="0084542C">
      <w:pPr>
        <w:pStyle w:val="Overskrift4"/>
      </w:pPr>
      <w:r w:rsidRPr="00C215EA">
        <w:t>Kommune og kirke</w:t>
      </w:r>
    </w:p>
    <w:p w:rsidR="00944062" w:rsidRDefault="0026628E" w:rsidP="00697087">
      <w:r>
        <w:t>E</w:t>
      </w:r>
      <w:r w:rsidR="00944062">
        <w:t xml:space="preserve">tter departementets syn </w:t>
      </w:r>
      <w:r>
        <w:t>har den mangeårige lovregulerte tilknytningen mellom kommune</w:t>
      </w:r>
      <w:r w:rsidR="00816038">
        <w:t xml:space="preserve"> og kirke</w:t>
      </w:r>
      <w:r>
        <w:t xml:space="preserve"> </w:t>
      </w:r>
      <w:r w:rsidR="00944062">
        <w:t>vært med å underbygge Den norske kirke som en landsdekkende kirke, med lokal tilhørighet og lokal identitet. Å oppheve denne lovregulerte, historiske tilknytningen mellom kirken og lokalsamfunnet, mellom kommune og kirke, kan ut fra en slik forståelse medføre en mulig svekkelse av kirkens identitet og kjennetegn som folkekirke.</w:t>
      </w:r>
    </w:p>
    <w:p w:rsidR="00944062" w:rsidRDefault="00944062" w:rsidP="00697087">
      <w:r>
        <w:lastRenderedPageBreak/>
        <w:t xml:space="preserve">På den annen side; selv om </w:t>
      </w:r>
      <w:r w:rsidRPr="00A43BA3">
        <w:t xml:space="preserve">kommunenes </w:t>
      </w:r>
      <w:r>
        <w:t xml:space="preserve">lovregulerte ansvar </w:t>
      </w:r>
      <w:r w:rsidRPr="00A43BA3">
        <w:t xml:space="preserve">overfor Den norske kirke </w:t>
      </w:r>
      <w:r>
        <w:t xml:space="preserve">oppheves, vil det </w:t>
      </w:r>
      <w:r w:rsidRPr="00A43BA3">
        <w:t xml:space="preserve">ikke </w:t>
      </w:r>
      <w:r>
        <w:t>være noe til hinder for at det nære samarbeidet mellom kommune og kirke kan føres videre. K</w:t>
      </w:r>
      <w:r w:rsidRPr="00A43BA3">
        <w:t xml:space="preserve">ommunene </w:t>
      </w:r>
      <w:r>
        <w:t>vil fortsatt kunne bidra til</w:t>
      </w:r>
      <w:r w:rsidRPr="00A43BA3">
        <w:t xml:space="preserve"> kirkens </w:t>
      </w:r>
      <w:r>
        <w:t xml:space="preserve">arbeid og </w:t>
      </w:r>
      <w:r w:rsidRPr="00A43BA3">
        <w:t xml:space="preserve">virksomhet </w:t>
      </w:r>
      <w:r>
        <w:t>i lokalsamfunn</w:t>
      </w:r>
      <w:r w:rsidRPr="00A43BA3">
        <w:t>e</w:t>
      </w:r>
      <w:r>
        <w:t>t</w:t>
      </w:r>
      <w:r w:rsidR="00CE77F6">
        <w:t>. De</w:t>
      </w:r>
      <w:r>
        <w:t>partementet holder det for lite sannsynlig at en oppheving av kommunenes lovregulerte ansvar vil medføre en generell avvikling eller nedbygging av den mangeårige og vel etablerte kontakten mellom kommune og kirke. M</w:t>
      </w:r>
      <w:r w:rsidRPr="00A43BA3">
        <w:t xml:space="preserve">ange kommuner vil utvilsomt fortsatt </w:t>
      </w:r>
      <w:r>
        <w:t xml:space="preserve">se verdien av kirkens arbeid og fortsatt støtte opp under </w:t>
      </w:r>
      <w:r w:rsidRPr="00A43BA3">
        <w:t>kirkens barne- og ungdomsarbeid, kirkens diakonitjeneste m.m.</w:t>
      </w:r>
      <w:r>
        <w:t xml:space="preserve"> Slike</w:t>
      </w:r>
      <w:r w:rsidRPr="00A43BA3">
        <w:t xml:space="preserve"> kommunale </w:t>
      </w:r>
      <w:r>
        <w:t xml:space="preserve">bidrag vil da </w:t>
      </w:r>
      <w:r w:rsidRPr="00A43BA3">
        <w:t>skje på fritt grunnlag</w:t>
      </w:r>
      <w:r>
        <w:t xml:space="preserve">, og </w:t>
      </w:r>
      <w:r w:rsidRPr="00A43BA3">
        <w:t xml:space="preserve">Den norske kirke </w:t>
      </w:r>
      <w:r>
        <w:t xml:space="preserve">vil </w:t>
      </w:r>
      <w:r w:rsidRPr="00A43BA3">
        <w:t>komme</w:t>
      </w:r>
      <w:r>
        <w:t xml:space="preserve"> </w:t>
      </w:r>
      <w:r w:rsidRPr="00A43BA3">
        <w:t>i samme stilling overfor kommunen som andre ideelle organisasjoner</w:t>
      </w:r>
      <w:r>
        <w:t xml:space="preserve">, lag og foreninger </w:t>
      </w:r>
      <w:r w:rsidRPr="00A43BA3">
        <w:t xml:space="preserve">som arbeider til beste for </w:t>
      </w:r>
      <w:r>
        <w:t>lokalsamfunnet.</w:t>
      </w:r>
      <w:r w:rsidRPr="00A43BA3">
        <w:t xml:space="preserve"> </w:t>
      </w:r>
      <w:r>
        <w:t xml:space="preserve">Kanskje er dette i framtiden et like godt utgangspunkt for samarbeid og kontakt mellom kommune og kirke, og for kommunale bidrag til kirken, </w:t>
      </w:r>
      <w:r w:rsidR="00156417">
        <w:t>som</w:t>
      </w:r>
      <w:r>
        <w:t xml:space="preserve"> at kommunene er lovpålagt et særskilt ansvar for Den norske kirke. Departementet viser ellers til kap</w:t>
      </w:r>
      <w:r w:rsidR="00816038">
        <w:t>ittel</w:t>
      </w:r>
      <w:r>
        <w:t xml:space="preserve"> </w:t>
      </w:r>
      <w:r w:rsidR="00497949">
        <w:t>22</w:t>
      </w:r>
      <w:r>
        <w:t xml:space="preserve"> om gravplassforvaltningen</w:t>
      </w:r>
      <w:r w:rsidR="00A240F8">
        <w:t>.</w:t>
      </w:r>
      <w:r w:rsidR="00CE77F6">
        <w:t xml:space="preserve"> </w:t>
      </w:r>
      <w:r w:rsidR="00A240F8">
        <w:t xml:space="preserve">Departementet foreslår der </w:t>
      </w:r>
      <w:r>
        <w:t xml:space="preserve">et kirkelig ansvar for denne samfunnsoppgaven, </w:t>
      </w:r>
      <w:r w:rsidR="00CE77F6">
        <w:t xml:space="preserve">slik som nå, </w:t>
      </w:r>
      <w:r w:rsidR="00A240F8">
        <w:t>med kommunen som finansieringskilde. Det vil d</w:t>
      </w:r>
      <w:r w:rsidR="0062526F">
        <w:t xml:space="preserve">ermed fortsatt bestå </w:t>
      </w:r>
      <w:r>
        <w:t>e</w:t>
      </w:r>
      <w:r w:rsidR="0062526F">
        <w:t>t samarbeid og en</w:t>
      </w:r>
      <w:r>
        <w:t xml:space="preserve"> </w:t>
      </w:r>
      <w:r w:rsidR="0062526F">
        <w:t xml:space="preserve">lovregulert forbindelse </w:t>
      </w:r>
      <w:r>
        <w:t xml:space="preserve">mellom kommune og kirke. </w:t>
      </w:r>
    </w:p>
    <w:p w:rsidR="00944062" w:rsidRDefault="00944062" w:rsidP="00697087">
      <w:r>
        <w:t>Det er ellers neppe mulig i dag å ha klare oppfatninger om hvordan kommunereformen med sammenslåing av kommuner vil påvirke kontakten, samarbeidet og samvirket mellom kommune og kirke i framtiden. Muligheten for at nærheten mellom kommune og kirke vil bli svekket, er til stede, men synes ikke å være noen klar eller nødvendig konsekvens. Det avgjørende vil antakelig være hvilke samarbeidsrelasjoner mellom kommune og kirke som etableres</w:t>
      </w:r>
      <w:r w:rsidR="00DB2A51">
        <w:t xml:space="preserve">, hvor omfattende kommunereformen blir </w:t>
      </w:r>
      <w:r w:rsidR="00E7738B">
        <w:t>og</w:t>
      </w:r>
      <w:r>
        <w:t xml:space="preserve"> hvordan kirken organiserer seg og tilpasser seg en ny kommuneinndeling. </w:t>
      </w:r>
    </w:p>
    <w:p w:rsidR="00944062" w:rsidRDefault="00C51F95" w:rsidP="0084542C">
      <w:pPr>
        <w:pStyle w:val="Overskrift4"/>
        <w:rPr>
          <w:b/>
        </w:rPr>
      </w:pPr>
      <w:r>
        <w:t>Forholdet mellom n</w:t>
      </w:r>
      <w:r w:rsidR="00944062">
        <w:t xml:space="preserve">asjonal samordning </w:t>
      </w:r>
      <w:r>
        <w:t xml:space="preserve">og </w:t>
      </w:r>
      <w:r w:rsidR="00944062">
        <w:t>lokal</w:t>
      </w:r>
      <w:r>
        <w:t>t selvstyre</w:t>
      </w:r>
      <w:r w:rsidR="00944062" w:rsidRPr="0054309E">
        <w:rPr>
          <w:b/>
        </w:rPr>
        <w:t xml:space="preserve"> </w:t>
      </w:r>
    </w:p>
    <w:p w:rsidR="00944062" w:rsidRDefault="00944062" w:rsidP="00697087">
      <w:r>
        <w:t xml:space="preserve">En viktig konsekvens ved en eventuell statlig overtakelse av den offentlige finansieringen av Den norske kirke, er det nasjonale ansvaret som Den norske kirke får for kirkens samlede økonomi. Som nevnt mener departementet at det i tilfelle må være Kirkemøtet som får i oppgave å fordele de økonomiske overføringene fra staten til kirkens ulike forvaltningsnivåer og oppgavefelt. Kirkemøtet vil dermed få et overordnet økonomisk ansvar for hele Den norske kirke, ikke bare for det nasjonale rettssubjektet, slik som i dag. </w:t>
      </w:r>
    </w:p>
    <w:p w:rsidR="00944062" w:rsidRDefault="00944062" w:rsidP="00697087">
      <w:r>
        <w:t xml:space="preserve">Trolig vil flere hevde at nasjonal styring av kirkens ressurser gjennom Kirkemøtet er uheldig. Andre vil antakelig hevde at det oppstår gevinster, muligheter og handlingsrom for Den norske kirke som et to-delt finansieringssystem er til hinder for. </w:t>
      </w:r>
    </w:p>
    <w:p w:rsidR="00944062" w:rsidRDefault="00944062" w:rsidP="00697087">
      <w:r>
        <w:t>For departementet framstår det som forholdsvis klart at en fortsatt kommunal finansiering begrense</w:t>
      </w:r>
      <w:r w:rsidR="00497949">
        <w:t>r</w:t>
      </w:r>
      <w:r>
        <w:t xml:space="preserve"> mulighetene for en helhetlig og samordnet styring av kirkens ressurser. Siden de kommunale bevilgningene skal finansiere oppgavene </w:t>
      </w:r>
      <w:r w:rsidRPr="004D4887">
        <w:rPr>
          <w:i/>
        </w:rPr>
        <w:t>soknene</w:t>
      </w:r>
      <w:r>
        <w:t xml:space="preserve"> har, vil de kommunale overføringene være overføringer til soknene og bli disponert av soknets organer. De kommunale overføringene vil med andre ord ikke kunne disponeres av andre kirkelige organer enn de som er valgt til å representere soknene. Kirkemøtet vil neppe ved bestemmelser om kirkens organisering og om oppgave og -ansvarsfordelingen mellom kirkens ulike organer kunne avskjære eller på annen måte begrense denne selvstendigheten.</w:t>
      </w:r>
      <w:r w:rsidRPr="00712B0A">
        <w:t xml:space="preserve"> </w:t>
      </w:r>
    </w:p>
    <w:p w:rsidR="00944062" w:rsidRDefault="00944062" w:rsidP="00697087">
      <w:r w:rsidRPr="00712B0A">
        <w:t xml:space="preserve">Departementet kan ikke se at </w:t>
      </w:r>
      <w:r>
        <w:t xml:space="preserve">en full finansiering av kirken over statsbudsjettet trenger å medføre en endring i </w:t>
      </w:r>
      <w:r w:rsidRPr="00712B0A">
        <w:t xml:space="preserve">soknenes økonomiske grunnlag. Så lenge de offentlige overføringene til Den norske kirke videreføres på samme nivå som i dag, </w:t>
      </w:r>
      <w:r>
        <w:t xml:space="preserve">noe som vil være departementets utgangspunkt ved en omlegging, </w:t>
      </w:r>
      <w:r w:rsidRPr="00712B0A">
        <w:t>kan Kirkemøtet</w:t>
      </w:r>
      <w:r>
        <w:t xml:space="preserve"> gjennom sin fordeling av ressursene </w:t>
      </w:r>
      <w:r w:rsidRPr="00712B0A">
        <w:lastRenderedPageBreak/>
        <w:t>bestemme at de enkelte sokn</w:t>
      </w:r>
      <w:r>
        <w:t>ene</w:t>
      </w:r>
      <w:r w:rsidRPr="00712B0A">
        <w:t xml:space="preserve"> skal ha det samme ressursgrunnlaget som før</w:t>
      </w:r>
      <w:r>
        <w:t>.</w:t>
      </w:r>
      <w:r w:rsidRPr="00150737">
        <w:rPr>
          <w:rStyle w:val="halvfet"/>
        </w:rPr>
        <w:t xml:space="preserve"> </w:t>
      </w:r>
      <w:r w:rsidRPr="007B4B7C">
        <w:t>Depart</w:t>
      </w:r>
      <w:r>
        <w:t>e</w:t>
      </w:r>
      <w:r w:rsidRPr="007B4B7C">
        <w:t xml:space="preserve">mentet vil samtidig peke på at </w:t>
      </w:r>
      <w:r>
        <w:t xml:space="preserve">det </w:t>
      </w:r>
      <w:r w:rsidR="00022996">
        <w:t xml:space="preserve">i dag </w:t>
      </w:r>
      <w:r>
        <w:t xml:space="preserve">er store variasjoner i </w:t>
      </w:r>
      <w:r w:rsidRPr="007B4B7C">
        <w:t>soknenes ressursgrunnlag</w:t>
      </w:r>
      <w:r>
        <w:t xml:space="preserve">, noe som ikke bare er et resultat av variasjonene i antallet kirkebygg, kirkebyggenes driftskostnader m.m., men også av ulikheter </w:t>
      </w:r>
      <w:r w:rsidR="007B4449">
        <w:t xml:space="preserve">blant annet i </w:t>
      </w:r>
      <w:r>
        <w:t>kommunenes økonomiske situasjon</w:t>
      </w:r>
      <w:r w:rsidR="007B4449">
        <w:t xml:space="preserve">. </w:t>
      </w:r>
    </w:p>
    <w:p w:rsidR="00944062" w:rsidRPr="00C82D97" w:rsidRDefault="00944062" w:rsidP="00697087">
      <w:r>
        <w:t>Gjennom rapporteringen av de kirkelige fellesrådenes regnskaper til Statistisk sentralbyrå har departementet år for år fulgt utviklingen av de kommunale bevilgningene til de kirkelige fellesrådene. Den gjennomgående tendensen har vært at økningen i de kommunale overføringene til fellesrådene, landet sett under sett, minst har vært på nivå med lønns- og prisveksten i kommunesektoren. I årene 2010–201</w:t>
      </w:r>
      <w:r w:rsidR="00F377DD">
        <w:t>6</w:t>
      </w:r>
      <w:r>
        <w:t xml:space="preserve"> hadde de kommunale overføringene en vekst på </w:t>
      </w:r>
      <w:r w:rsidR="00816038">
        <w:t>27</w:t>
      </w:r>
      <w:r>
        <w:t xml:space="preserve"> pst., mens lønns- og prisveksten i kommunesektoren var på </w:t>
      </w:r>
      <w:r w:rsidR="00F377DD">
        <w:t xml:space="preserve">21 </w:t>
      </w:r>
      <w:r>
        <w:t xml:space="preserve">pst. Dette er imidlertid et landsgjennomsnitt. I samme periode har de kommunale overføringene til fellesrådene mange steder vært godt under den generelle lønns- og prisveksten. </w:t>
      </w:r>
      <w:r w:rsidRPr="00C82D97">
        <w:t xml:space="preserve">En nasjonal fordeling </w:t>
      </w:r>
      <w:r>
        <w:t xml:space="preserve">av kirkens samlede ressursene kan åpne </w:t>
      </w:r>
      <w:r w:rsidRPr="00C82D97">
        <w:t xml:space="preserve">for </w:t>
      </w:r>
      <w:r w:rsidR="00AF4775">
        <w:t xml:space="preserve">en </w:t>
      </w:r>
      <w:r w:rsidR="00F41B26">
        <w:t>viss</w:t>
      </w:r>
      <w:r w:rsidR="00AF4775">
        <w:t xml:space="preserve"> grad av </w:t>
      </w:r>
      <w:r w:rsidRPr="00C82D97">
        <w:t xml:space="preserve">økonomisk </w:t>
      </w:r>
      <w:r>
        <w:t xml:space="preserve">utjevning </w:t>
      </w:r>
      <w:r w:rsidR="00AF4775">
        <w:t xml:space="preserve">mellom </w:t>
      </w:r>
      <w:r>
        <w:t>soknene</w:t>
      </w:r>
      <w:r w:rsidR="00AF4775">
        <w:t>.</w:t>
      </w:r>
    </w:p>
    <w:p w:rsidR="00497949" w:rsidRDefault="00497949" w:rsidP="001E491E">
      <w:pPr>
        <w:pStyle w:val="Overskrift4"/>
      </w:pPr>
      <w:r>
        <w:t>Demokratihensyn</w:t>
      </w:r>
    </w:p>
    <w:p w:rsidR="00944062" w:rsidRDefault="00944062" w:rsidP="00697087">
      <w:r>
        <w:t>En fortsatt kommunal finansiering av soknene kan sies å ha et demokratiaspekt ved seg, siden det vil være soknenes valgte organer som vil ha disposisjonsretten over de kommunale bevilgningene. Disse er valgt av kirkemedlemmer bosatt i soknene. Gjennom den kommunale fina</w:t>
      </w:r>
      <w:r w:rsidR="00A240F8">
        <w:t>nsieringen av soknenes oppgaver</w:t>
      </w:r>
      <w:r>
        <w:t xml:space="preserve"> vil det være en nær sammenheng mellom finansieringskilden, soknets ressurser, soknets organer og soknets kirkemedlemmer. En slik sammenheng er mindre tydelig om Den norske kirke og de enkelte soknene finansieres over statsbudsjettet. Soknenes oppgaver vil da være finansiert ovenfra, så å si, og Kirkemøtet vil kunne stille krav og betingelser ved ressurstildelingen til soknene. Det selvstendige ansvaret for soknets økonomi som soknets valgte organer har ved en kommunal finansiering av kirken, vil være mer uinnskrenket enn om soknene finansieres gjennom ressurstildelinger etter vedtak i Kirkemøtet. Imidlertid er det etter departementets syn uklart hvor stor vekt dette hensynet bør ha. Det betydelige antallet valgte organer i kirken – 1 20</w:t>
      </w:r>
      <w:r w:rsidR="006E3D22">
        <w:t>0</w:t>
      </w:r>
      <w:r>
        <w:t xml:space="preserve"> menighetsråd </w:t>
      </w:r>
      <w:r w:rsidR="006E3D22">
        <w:t>og 415</w:t>
      </w:r>
      <w:r>
        <w:t xml:space="preserve"> kirkelige fellesråd – representerer en demokratisk styrke for kirken, men også en fare for fragmentering, med de begrens</w:t>
      </w:r>
      <w:r w:rsidR="00816038">
        <w:t>n</w:t>
      </w:r>
      <w:r>
        <w:t xml:space="preserve">inger dette gir for helhetlig styring og samordning av kirkens ressurser. </w:t>
      </w:r>
    </w:p>
    <w:p w:rsidR="00944062" w:rsidRDefault="00944062" w:rsidP="00697087">
      <w:r>
        <w:t xml:space="preserve">Departementet ser det som viktig å få belyst og drøftet hvordan myndighetsrelasjonene innad i Den norske kirke påvirkes gjennom valg av finansieringsordninger for kirken. Om Kirkemøtet gis myndighet til å bestemme kirkens organisering og oppgavefordelingen mellom alle kirkens organer, i tillegg til ressursfordelingen i kirken, gir dette betydelig myndighet til kirkens nasjonale nivå. Dette reiser naturlig spørsmålet om Kirkemøtets representativitet, dvs. om </w:t>
      </w:r>
      <w:r w:rsidR="00816038">
        <w:t>Kirkemøtet</w:t>
      </w:r>
      <w:r>
        <w:t xml:space="preserve"> i dag har den nødvendige legitimitet som nasjonalt organ for menighetsrådene og soknene, eller om en slik overføring av organisasjons- og budsjettmyndighet til Kirkemøtet krever nye bestemmelser om Kirkemøtets sammensetning og valgordning.</w:t>
      </w:r>
    </w:p>
    <w:p w:rsidR="00944062" w:rsidRDefault="00944062" w:rsidP="00697087">
      <w:r>
        <w:t xml:space="preserve">I utgangspunktet mener departementet det er Den norske kirke, dvs. Kirkemøtet og andre av kirkens organer, som i første rekke må avveie de hensyn som inngår i en drøfting av forholdet mellom kirkens nasjonale styring og </w:t>
      </w:r>
      <w:r w:rsidR="0026628E">
        <w:t xml:space="preserve">soknenes </w:t>
      </w:r>
      <w:r>
        <w:t>selvstendighet og hvilken betydning slik</w:t>
      </w:r>
      <w:r w:rsidR="0026628E">
        <w:t>e</w:t>
      </w:r>
      <w:r>
        <w:t xml:space="preserve"> hensyn skal gis ved valg av finansieringsordning. I utgangspunktet er det vanskelig å se at det kan være statens oppgave – etter at kirken nå er selvstendiggjort som trossamfunn – å avveie slike hensyn ved innretningen av den offentlige finansieringen. </w:t>
      </w:r>
    </w:p>
    <w:p w:rsidR="00944062" w:rsidRPr="00E423EB" w:rsidRDefault="00944062" w:rsidP="0084542C">
      <w:pPr>
        <w:pStyle w:val="Overskrift4"/>
      </w:pPr>
      <w:r w:rsidRPr="00E423EB">
        <w:lastRenderedPageBreak/>
        <w:t>Kirkebyggene</w:t>
      </w:r>
    </w:p>
    <w:p w:rsidR="00944062" w:rsidRDefault="00944062" w:rsidP="00697087">
      <w:r>
        <w:t xml:space="preserve">Et særlig viktig spørsmål som reises ved valg av finansieringsordning for Den norske kirke, er hvilken betydning finansieringsordningene vil få for den framtidige forvaltningen, driften og vedlikeholdet av kirkebyggene. Ved et fortsatt kommunalt finansieringsansvar vil </w:t>
      </w:r>
      <w:r w:rsidR="002854BF">
        <w:t xml:space="preserve">en vesentlig del av </w:t>
      </w:r>
      <w:r>
        <w:t xml:space="preserve">dette ansvaret være rettet mot </w:t>
      </w:r>
      <w:r w:rsidR="002854BF">
        <w:t xml:space="preserve">driften og vedlikeholdet av </w:t>
      </w:r>
      <w:r>
        <w:t>kirkebyggene</w:t>
      </w:r>
      <w:r w:rsidR="002854BF">
        <w:t>, s</w:t>
      </w:r>
      <w:r>
        <w:t xml:space="preserve">lik det er i dag. </w:t>
      </w:r>
    </w:p>
    <w:p w:rsidR="00944062" w:rsidRDefault="00944062" w:rsidP="00697087">
      <w:r>
        <w:t xml:space="preserve">Kirkebygget </w:t>
      </w:r>
      <w:r w:rsidRPr="00712B0A">
        <w:t>er sentrum og samlingspunkt for kirkens virksomhet i alle lokalsamfunn</w:t>
      </w:r>
      <w:r>
        <w:t xml:space="preserve">. Kirkebyggene </w:t>
      </w:r>
      <w:r w:rsidR="00A240F8">
        <w:t>gir</w:t>
      </w:r>
      <w:r>
        <w:t xml:space="preserve"> lokal identitet og tilhørighet og er i mange lokalsamfunn det kulturhistorisk mest verdifulle bygget. De er levende kulturminner, fortsatt i bruk som menighetskirker, som gudstjenestested og ramme rundt livsritualer for de generasjoner og slekter som utgjør et lokalsamfunn. Det er lokalsamfunnet som har reist kirkebyggene. I en viss forstand tilhører de lokalsamfunnet like mye som de tilhører Den norske kirke. I denne stedlige tilknytningen som preger og karakteriserer nær sagt alle landets kirkebygg, ligger etter departementets syn en viktig begrunnelse for at lokalsamfunnet – kommunen – fortsatt bør finansiere kirkebyggenes drift og vedlikehold. </w:t>
      </w:r>
    </w:p>
    <w:p w:rsidR="00944062" w:rsidRDefault="00944062" w:rsidP="00697087">
      <w:r>
        <w:t xml:space="preserve">På den annen side: Kirkebyggene eies av soknene i Den norske kirke. Etter at det kommunale forvaltningsansvaret for kirkebyggene ble overført til soknene ved kirkeloven i 1996, disponeres </w:t>
      </w:r>
      <w:r w:rsidR="007B4449">
        <w:t xml:space="preserve">nå </w:t>
      </w:r>
      <w:r>
        <w:t>de kommunale bevilgningene til kirkebyggene av soknene innenfor en økonomisk ramme som skal gi dekning også for andre kirkelige oppgaver.</w:t>
      </w:r>
      <w:r w:rsidR="00E26A7A">
        <w:t xml:space="preserve"> </w:t>
      </w:r>
      <w:r w:rsidR="005F4C75">
        <w:t>K</w:t>
      </w:r>
      <w:r w:rsidR="00E26A7A">
        <w:t xml:space="preserve">irkebyggenes drift og vedlikehold er </w:t>
      </w:r>
      <w:r w:rsidR="007B4449">
        <w:t xml:space="preserve">normalt </w:t>
      </w:r>
      <w:r w:rsidR="005F4C75">
        <w:t xml:space="preserve">ikke </w:t>
      </w:r>
      <w:r w:rsidR="00E26A7A">
        <w:t>finansiert gjennom s</w:t>
      </w:r>
      <w:r w:rsidR="005F4C75">
        <w:t>æ</w:t>
      </w:r>
      <w:r w:rsidR="00E26A7A">
        <w:t>r</w:t>
      </w:r>
      <w:r w:rsidR="005F4C75">
        <w:t>s</w:t>
      </w:r>
      <w:r w:rsidR="00E26A7A">
        <w:t xml:space="preserve">kilte </w:t>
      </w:r>
      <w:r w:rsidR="005F4C75">
        <w:t xml:space="preserve">og </w:t>
      </w:r>
      <w:r w:rsidR="00E26A7A">
        <w:t xml:space="preserve">øremerkete </w:t>
      </w:r>
      <w:r w:rsidR="005F4C75">
        <w:t xml:space="preserve">kommunale tilskudd, men inngår </w:t>
      </w:r>
      <w:r w:rsidR="00E26A7A">
        <w:t>i</w:t>
      </w:r>
      <w:r>
        <w:t xml:space="preserve"> den kommunale </w:t>
      </w:r>
      <w:r w:rsidRPr="00140B0C">
        <w:t>rammefinansieringen</w:t>
      </w:r>
      <w:r w:rsidRPr="003B762C">
        <w:rPr>
          <w:i/>
        </w:rPr>
        <w:t xml:space="preserve"> </w:t>
      </w:r>
      <w:r>
        <w:t xml:space="preserve">av kirkens virksomhet. </w:t>
      </w:r>
      <w:r w:rsidR="005F4C75">
        <w:t xml:space="preserve">Til grunn både for </w:t>
      </w:r>
      <w:r>
        <w:t xml:space="preserve">statens og kommunenes rammefinansiering av kirken ligger det en anerkjennelse </w:t>
      </w:r>
      <w:r w:rsidR="00A240F8">
        <w:t xml:space="preserve">av </w:t>
      </w:r>
      <w:r>
        <w:t>at kirken selv bør ha ansvaret for å prioritere og bestemme bruken av de offentlige bevilgningene.</w:t>
      </w:r>
    </w:p>
    <w:p w:rsidR="00944062" w:rsidRDefault="00944062" w:rsidP="00697087">
      <w:r>
        <w:t xml:space="preserve">Det følger av dette at det i utgangspunktet også må være Den norske kirke, innenfor rammen av de bestemmelser som generelt gjelder for eiere av kulturhistorisk verdifulle bygg, som må bestemme hvilken prioritet driften og vedlikeholdet av kirkebyggene skal ha i forhold til andre kirkelige utgifter. </w:t>
      </w:r>
    </w:p>
    <w:p w:rsidR="00944062" w:rsidRDefault="00944062" w:rsidP="00697087">
      <w:r w:rsidRPr="00712B0A">
        <w:t xml:space="preserve">Etter departementets syn vil en statlig overtakelse av den offentlige finansieringen av Den norske kirke </w:t>
      </w:r>
      <w:r>
        <w:t xml:space="preserve">gi et generelt bedre grunnlag for Den norske kirkes </w:t>
      </w:r>
      <w:r w:rsidRPr="00712B0A">
        <w:t xml:space="preserve">forvaltning </w:t>
      </w:r>
      <w:r>
        <w:t xml:space="preserve">og ivaretakelse </w:t>
      </w:r>
      <w:r w:rsidRPr="00712B0A">
        <w:t xml:space="preserve">av </w:t>
      </w:r>
      <w:r>
        <w:t xml:space="preserve">sine </w:t>
      </w:r>
      <w:r w:rsidRPr="00712B0A">
        <w:t>kirkebygg.</w:t>
      </w:r>
      <w:r>
        <w:t xml:space="preserve"> F</w:t>
      </w:r>
      <w:r w:rsidRPr="00712B0A">
        <w:t>inansiering</w:t>
      </w:r>
      <w:r>
        <w:t xml:space="preserve">sordningen </w:t>
      </w:r>
      <w:r w:rsidRPr="00712B0A">
        <w:t>innebærer at Den norske kirke</w:t>
      </w:r>
      <w:r>
        <w:t xml:space="preserve"> får et nasjonalt ansvar </w:t>
      </w:r>
      <w:r w:rsidRPr="00712B0A">
        <w:t xml:space="preserve">for </w:t>
      </w:r>
      <w:r>
        <w:t>kirke</w:t>
      </w:r>
      <w:r w:rsidRPr="00712B0A">
        <w:t>byggene</w:t>
      </w:r>
      <w:r>
        <w:t>; ansvaret vil ikke være soknenes ansvar alene.</w:t>
      </w:r>
      <w:r w:rsidRPr="00712B0A">
        <w:t xml:space="preserve"> </w:t>
      </w:r>
      <w:r>
        <w:t>Istandsetting og v</w:t>
      </w:r>
      <w:r w:rsidRPr="00712B0A">
        <w:t>edlikeholdsinnsats</w:t>
      </w:r>
      <w:r>
        <w:t>, også spørsmålet om å ta en kirke ut av bruk, kan</w:t>
      </w:r>
      <w:r w:rsidRPr="00712B0A">
        <w:t xml:space="preserve"> </w:t>
      </w:r>
      <w:r>
        <w:t xml:space="preserve">dermed vurderes </w:t>
      </w:r>
      <w:r w:rsidRPr="00712B0A">
        <w:t xml:space="preserve">ut fra en samlet vurdering av </w:t>
      </w:r>
      <w:r>
        <w:t xml:space="preserve">Den norske kirkes utgiftsbehov og ressursgrunnlag, </w:t>
      </w:r>
      <w:r w:rsidRPr="00712B0A">
        <w:t xml:space="preserve">kirkebyggenes kulturhistoriske verdi, byggenes vedlikeholdsbehov, deres betydning for kirkelivet på stedet m.m. </w:t>
      </w:r>
    </w:p>
    <w:p w:rsidR="00944062" w:rsidRDefault="00944062" w:rsidP="00697087">
      <w:r>
        <w:t xml:space="preserve">I spørsmålet om finansieringen av </w:t>
      </w:r>
      <w:r w:rsidRPr="002915B0">
        <w:rPr>
          <w:i/>
        </w:rPr>
        <w:t>nye kirkebygg</w:t>
      </w:r>
      <w:r>
        <w:t xml:space="preserve"> viser departementet til forslaget om å oppheve dagens lovkrav til kirkebyggenes størrelse, om når det skal bygges kirke m.m. Dette vil det ligge til Kirkemøtet å gi retningslinjer for. </w:t>
      </w:r>
    </w:p>
    <w:p w:rsidR="00944062" w:rsidRDefault="00944062" w:rsidP="00697087">
      <w:r>
        <w:t xml:space="preserve">Ved full rammefinansiering av Den norske kirke over statsbudsjettet vil behovet for nye kirkebygg måtte innpasses i en samlet vurdering av utgiftsbehovene og prioriterte innsatsområder for øvrig. Ved et fortsatt kommunalt finansieringsansvar overfor Den norske kirke må byggingen av nye kirker baseres på lokal finansiering, med kommunene som den viktigste finansieringskilden. </w:t>
      </w:r>
    </w:p>
    <w:p w:rsidR="00944062" w:rsidRDefault="00944062" w:rsidP="00697087">
      <w:r>
        <w:t xml:space="preserve">Hvilken finansieringsordning som i praksis best vil kunne imøtekomme Den norske kirkes behov for nye kirkebygg, er vanskelig å forutsi. At det ikke helt ut er overlatt til kirken lokalt å </w:t>
      </w:r>
      <w:r w:rsidR="00A1461C">
        <w:lastRenderedPageBreak/>
        <w:t xml:space="preserve">få et nytt kirkebygg </w:t>
      </w:r>
      <w:r>
        <w:t>finansier</w:t>
      </w:r>
      <w:r w:rsidR="00A1461C">
        <w:t xml:space="preserve">t, gjennom kommunal medvirkning, </w:t>
      </w:r>
      <w:r>
        <w:t xml:space="preserve">men at dette gjøres til et ansvar for hele Den norske kirke, synes ikke urimelig. Dette peker i tilfelle i retning av at rammefinansiering av Den norske kirke over statsbudsjettet gir kirken det best egnede finansieringsgrunnlaget for bygging av nye kirker. </w:t>
      </w:r>
    </w:p>
    <w:p w:rsidR="00944062" w:rsidRDefault="00944062" w:rsidP="0084542C">
      <w:pPr>
        <w:pStyle w:val="Overskrift4"/>
      </w:pPr>
      <w:r>
        <w:t xml:space="preserve">Økonomiske, administrative og organisatoriske hensyn </w:t>
      </w:r>
    </w:p>
    <w:p w:rsidR="00944062" w:rsidRDefault="00944062" w:rsidP="00697087">
      <w:r>
        <w:t xml:space="preserve">I spørsmålet om hvilket finansieringsalternativ som legger best til rette for at de offentlige bevilgningene blir utnyttet mest kostnads- og formålseffektivt, synes full finansiering over statsbudsjettet å </w:t>
      </w:r>
      <w:r w:rsidR="009925E6">
        <w:t>gi de beste forutsetningene</w:t>
      </w:r>
      <w:r>
        <w:t>. I</w:t>
      </w:r>
      <w:r w:rsidRPr="00712B0A">
        <w:t xml:space="preserve"> dag </w:t>
      </w:r>
      <w:r>
        <w:t xml:space="preserve">er det </w:t>
      </w:r>
      <w:r w:rsidRPr="00712B0A">
        <w:t xml:space="preserve">ingen organer eller instanser i Den norske kirke som har ansvaret for å foreta en samlet vurdering av hvordan alle kirkens oppgaver mest hensiktsmessig </w:t>
      </w:r>
      <w:r>
        <w:t xml:space="preserve">og effektivt </w:t>
      </w:r>
      <w:r w:rsidRPr="00712B0A">
        <w:t>bør løses, eller hva som er den mest formålstjenlige bruken av Den norske kirkes offentlige bevilgninger.</w:t>
      </w:r>
      <w:r>
        <w:t xml:space="preserve"> Selv om kirken velger å organisere seg i større forvaltningsenheter enn kommunenivået, vil en videreføring av dagens to-delte finansieringsordning fortsatt være til hinder for å se kirken som en virksomhet der ressursene og ressursbruken kan innordnes i et bredt, nasjonalt perspektiv</w:t>
      </w:r>
      <w:r w:rsidR="00E1464E">
        <w:t xml:space="preserve">. </w:t>
      </w:r>
    </w:p>
    <w:p w:rsidR="00944062" w:rsidRDefault="00944062" w:rsidP="00697087">
      <w:r>
        <w:t xml:space="preserve">For departementet synes det nokså klart at en økonomisk ansvarsdeling mellom staten og kommunene i finansieringen av kirken, gir et finansieringssystem som binder opp kirken i en organisasjons- og myndighetsstruktur som vanskeliggjør samordning og som potensielt framstår som mer kostnadskrevende enn om finansieringskilden var statsbudsjettet alene og kirken kunne forvalte midlene under ett. Siden det etter departementets syn bør være Kirkemøtet som i alle tilfeller bør gi bestemmelser om Den norske kirkes organisering og oppgavefordelingen mellom kirkens ulike organer, innebærer en ren statlig finansiering at Kirkemøtet vil kunne tilpasse de organisasjonsmessige bestemmelsene til kirkens ressursgrunnlag. Dette gir kirken et økonomisk og organisatorisk handlingsrom som er vanskeligere å oppnå med en fortsatt kommunal finansiering. </w:t>
      </w:r>
    </w:p>
    <w:p w:rsidR="00944062" w:rsidRDefault="00944062" w:rsidP="00697087">
      <w:r>
        <w:t>Med statsbudsjettet som finansieringskilde både for det nasjonale rettssubjektet og for soknene, vil arbeidsgiver- og arbeidstakerrelasjonen i kirken trolig lettere kunne baseres på et felles, gjennomgående avtaleverk, der lønns- og arbeidsvilkårene for alle kirkens ansatte kan innpasses i ett gjennomgående system for kirken. Kirken vil lettere kunne etablere én arbeidsgiverlinje</w:t>
      </w:r>
      <w:r w:rsidR="00F41B26">
        <w:t>.</w:t>
      </w:r>
      <w:r>
        <w:t xml:space="preserve"> Det vil også ligge bedre til rette for innføring av felleskirkelige støttesystemer for ivaretakelsen av kirken</w:t>
      </w:r>
      <w:r w:rsidR="00E1464E">
        <w:t>s administrative funksjoner, bl</w:t>
      </w:r>
      <w:r>
        <w:t>a</w:t>
      </w:r>
      <w:r w:rsidR="00E1464E">
        <w:t>nt annet</w:t>
      </w:r>
      <w:r>
        <w:t xml:space="preserve"> innen økonomi, regnskap, arkiv, personal m.m., uavhengig av om disse funksjonene er knyttet til det nasjonale rettssubjektet for kirken eller til de enkelte soknene. </w:t>
      </w:r>
    </w:p>
    <w:p w:rsidR="00944062" w:rsidRDefault="00944062" w:rsidP="00697087">
      <w:r>
        <w:t>Med en årlig driftskostnad på rundt 5</w:t>
      </w:r>
      <w:r w:rsidR="00A84C90">
        <w:t>,5</w:t>
      </w:r>
      <w:r>
        <w:t xml:space="preserve"> mrd. kroner og 6 000 </w:t>
      </w:r>
      <w:r w:rsidR="00022996">
        <w:t xml:space="preserve">årsverk </w:t>
      </w:r>
      <w:r>
        <w:t xml:space="preserve">er Den norske kirke organisatorisk sett av betydelig størrelse. I vurderingen av kirkens finansieringsordninger ser departementet det som viktig ikke å undervurdere omfanget av kirkens administrative oppgaver og utgifter og </w:t>
      </w:r>
      <w:r w:rsidR="00816038">
        <w:t>de</w:t>
      </w:r>
      <w:r>
        <w:t xml:space="preserve"> muligheter </w:t>
      </w:r>
      <w:r w:rsidR="00816038">
        <w:t xml:space="preserve">og begrensninger de ulike </w:t>
      </w:r>
      <w:r>
        <w:t xml:space="preserve">finansieringsordningene gir for en rasjonell og kostnadseffektiv drift. </w:t>
      </w:r>
    </w:p>
    <w:p w:rsidR="00944062" w:rsidRDefault="00944062" w:rsidP="0084542C">
      <w:pPr>
        <w:pStyle w:val="Overskrift4"/>
      </w:pPr>
      <w:r>
        <w:t xml:space="preserve">Forenklingsperspektivet </w:t>
      </w:r>
    </w:p>
    <w:p w:rsidR="00944062" w:rsidRDefault="00AE4353" w:rsidP="00697087">
      <w:r>
        <w:t xml:space="preserve">Fra det offentliges side, dvs. for staten og kommunene samlet, vil </w:t>
      </w:r>
      <w:r w:rsidR="00944062">
        <w:t>en full rammefinansiering av Den norske kirke over statsbudsjettet innebære en betydelig forenkling</w:t>
      </w:r>
      <w:r>
        <w:t>.</w:t>
      </w:r>
      <w:r w:rsidR="00944062">
        <w:t xml:space="preserve"> Det er ikke mulig å kvantifisere de administrative besparelsene for kommunesektoren ved bortfall av kommunenes lovfestede ansvar for kirken, men samlet sett vil utvilsomt de administrative besparelsene overgå de administrative meroppgavene som staten vil få i form av budsjettering og oppfølging av statens overføringer til kirken. </w:t>
      </w:r>
    </w:p>
    <w:p w:rsidR="00944062" w:rsidRDefault="00944062" w:rsidP="00697087">
      <w:r>
        <w:lastRenderedPageBreak/>
        <w:t>På den annen side; ved statlig overtakelse av finansieringen av Den norske kirke kreves det en oppbygging av kirke</w:t>
      </w:r>
      <w:r w:rsidR="00E1464E">
        <w:t>ns nasjonale administrasjon, bl</w:t>
      </w:r>
      <w:r>
        <w:t>a</w:t>
      </w:r>
      <w:r w:rsidR="00E1464E">
        <w:t>nt annet f</w:t>
      </w:r>
      <w:r>
        <w:t>or utvikling og oppfølging av systemer for ressursfordeling til lavere forvaltningsnivåer. Om den samlede administrative gevinsten vil være negativ eller positiv på kort sikt, når virkningene for Den norske kirke, staten og kommunesektoren ses under ett, er vanskelig å bedømme. Departementet antar likevel at det samlede effektiviserings- og rasjonaliserings</w:t>
      </w:r>
      <w:r w:rsidRPr="00E21542">
        <w:t>potensialet</w:t>
      </w:r>
      <w:r>
        <w:t xml:space="preserve"> vil være større ved en statlig overtakelse av finansieringsansvaret enn om kirken fortsatt har et to-delt finansieringssystem gjennom kommune og stat. </w:t>
      </w:r>
    </w:p>
    <w:p w:rsidR="00944062" w:rsidRPr="0032449C" w:rsidRDefault="00944062" w:rsidP="0084542C">
      <w:pPr>
        <w:pStyle w:val="Overskrift4"/>
      </w:pPr>
      <w:r w:rsidRPr="0032449C">
        <w:t xml:space="preserve">Variasjonene i </w:t>
      </w:r>
      <w:r>
        <w:t>utgifts</w:t>
      </w:r>
      <w:r w:rsidR="009925E6">
        <w:t xml:space="preserve">oppgavene </w:t>
      </w:r>
      <w:r>
        <w:t xml:space="preserve">og </w:t>
      </w:r>
      <w:r w:rsidRPr="0032449C">
        <w:t xml:space="preserve">kirkens medlemsoppslutning kommunene imellom </w:t>
      </w:r>
    </w:p>
    <w:p w:rsidR="00944062" w:rsidRDefault="00944062" w:rsidP="00697087">
      <w:r>
        <w:t xml:space="preserve">Departementet vil </w:t>
      </w:r>
      <w:r w:rsidR="00E1464E">
        <w:t xml:space="preserve">til slutt </w:t>
      </w:r>
      <w:r>
        <w:t xml:space="preserve">peke på to </w:t>
      </w:r>
      <w:r w:rsidR="00E1464E">
        <w:t xml:space="preserve">særskilte </w:t>
      </w:r>
      <w:r>
        <w:t>hensyn som kan begrunne avviklingen av et lovregulert kommunalt ansvar overfor Den norske kirke:</w:t>
      </w:r>
    </w:p>
    <w:p w:rsidR="00944062" w:rsidRDefault="00944062" w:rsidP="00697087">
      <w:r>
        <w:t>I inntektssystemet for kommunene er det ikke korrigert for forskjeller i kommunenes lovregulerte utgiftsoppgaver over</w:t>
      </w:r>
      <w:r w:rsidR="00A84C90">
        <w:t>for</w:t>
      </w:r>
      <w:r>
        <w:t xml:space="preserve"> Den norske kirke, heller ikke </w:t>
      </w:r>
      <w:r w:rsidR="00022996">
        <w:t xml:space="preserve">for forskjeller </w:t>
      </w:r>
      <w:r>
        <w:t>i kommunenes lovregulerte utgiftsoppgaver overfor andre tros- og livssynssamfunn.</w:t>
      </w:r>
      <w:r w:rsidR="009C50E0">
        <w:t xml:space="preserve"> Kommuner med mange kirkebygg og få innbyggere kan da ha en større utgiftsbyrde per innbygger enn andre kommuner</w:t>
      </w:r>
      <w:r w:rsidR="00E15982">
        <w:t>, jf. foran under punkt 9.2 om den betydelige variasjonsbredden i kommunenes utgifter til Den norske kirke målt per innbygger.</w:t>
      </w:r>
      <w:r w:rsidR="009C50E0">
        <w:t xml:space="preserve"> </w:t>
      </w:r>
      <w:r>
        <w:t>De</w:t>
      </w:r>
      <w:r w:rsidR="009C50E0">
        <w:t>t er dermed en</w:t>
      </w:r>
      <w:r>
        <w:t xml:space="preserve"> ulikhet i oppgavebelastningen kommunene imellom, både overfor Den norske kirke og andre tros- og livssynssamfunn</w:t>
      </w:r>
      <w:r w:rsidR="00A76D2B">
        <w:t>:</w:t>
      </w:r>
      <w:r>
        <w:t xml:space="preserve"> </w:t>
      </w:r>
      <w:r w:rsidR="009C50E0">
        <w:t xml:space="preserve">Kirkelovens bestemmelser om kommunenes utgiftsansvar gjelder </w:t>
      </w:r>
      <w:r w:rsidR="00A76D2B">
        <w:t xml:space="preserve">i </w:t>
      </w:r>
      <w:r w:rsidR="009C50E0">
        <w:t xml:space="preserve">alle tilfeller, </w:t>
      </w:r>
      <w:r w:rsidR="00E15982">
        <w:t xml:space="preserve">uavhengig av </w:t>
      </w:r>
      <w:r w:rsidR="00A76D2B">
        <w:t xml:space="preserve">for eksempel </w:t>
      </w:r>
      <w:r w:rsidR="00E15982">
        <w:t>antallet kirkebygg</w:t>
      </w:r>
      <w:r w:rsidR="00A76D2B">
        <w:t xml:space="preserve">, antallet kirkemedlemmer eller medlemmer av andre tros- og livssynssamfunn i kommunen. </w:t>
      </w:r>
    </w:p>
    <w:p w:rsidR="00944062" w:rsidRDefault="00944062" w:rsidP="00697087">
      <w:r>
        <w:t>Departementet vil dessuten peke på at da</w:t>
      </w:r>
      <w:r w:rsidRPr="007648F1">
        <w:t>gens oppgavefordeling mellom staten og kommunene kom til i en tid da nær sagt alle innbygger</w:t>
      </w:r>
      <w:r>
        <w:t>n</w:t>
      </w:r>
      <w:r w:rsidRPr="007648F1">
        <w:t xml:space="preserve">e i landet var medlemmer </w:t>
      </w:r>
      <w:r>
        <w:t>av</w:t>
      </w:r>
      <w:r w:rsidRPr="007648F1">
        <w:t xml:space="preserve"> Den norske kirke</w:t>
      </w:r>
      <w:r>
        <w:t xml:space="preserve">. </w:t>
      </w:r>
      <w:r w:rsidR="00A5514D">
        <w:t xml:space="preserve">Statskirkeordningen </w:t>
      </w:r>
      <w:r w:rsidRPr="007648F1">
        <w:t xml:space="preserve">var særskilt regulert i Grunnloven og rettslig og økonomisk nært forbundet til staten. I dag er kirkemedlemmenes andel av befolkningen langt lavere enn for noen tiår siden, og Den norske kirke er anerkjent som et selvstendig trossamfunn utenfor staten. </w:t>
      </w:r>
      <w:r>
        <w:t>Avviklingen av statskirkeordningen og den s</w:t>
      </w:r>
      <w:r w:rsidRPr="007648F1">
        <w:t xml:space="preserve">elvstendiggjøringen av Den norske kirke </w:t>
      </w:r>
      <w:r w:rsidR="00A5514D">
        <w:t>som har funnet sted,</w:t>
      </w:r>
      <w:r w:rsidRPr="007648F1">
        <w:t xml:space="preserve"> kan gi grunn til å reise spørsmål om det fortsatt bør være en lovfestet plikt for kommunene til å finansiere kirkelige oppgaver, når disse i </w:t>
      </w:r>
      <w:r w:rsidR="00BD5E4C">
        <w:t xml:space="preserve">utgangspunktet </w:t>
      </w:r>
      <w:r w:rsidRPr="007648F1">
        <w:t xml:space="preserve">bare </w:t>
      </w:r>
      <w:r>
        <w:t xml:space="preserve">angår </w:t>
      </w:r>
      <w:r w:rsidRPr="007648F1">
        <w:t>de av kommunens innbyggere som er medlemmer av Den norske kirke. Spørsmålet er særlig aktualisert i Oslo, hvor nå ca. 50 pst</w:t>
      </w:r>
      <w:r w:rsidR="00BD5E4C">
        <w:t>.</w:t>
      </w:r>
      <w:r w:rsidRPr="007648F1">
        <w:t xml:space="preserve"> av innbyggerne står utenfor Den norske kirke</w:t>
      </w:r>
      <w:r>
        <w:t xml:space="preserve">. </w:t>
      </w:r>
      <w:r w:rsidRPr="007648F1">
        <w:t xml:space="preserve">Oslo kommunes </w:t>
      </w:r>
      <w:r>
        <w:t xml:space="preserve">ansvar </w:t>
      </w:r>
      <w:r w:rsidRPr="007648F1">
        <w:t xml:space="preserve">overfor Den norske kirke er </w:t>
      </w:r>
      <w:r>
        <w:t xml:space="preserve">likevel den samme </w:t>
      </w:r>
      <w:r w:rsidRPr="007648F1">
        <w:t xml:space="preserve">som i kommuner der nær sagt alle innbyggerne er medlemmer av </w:t>
      </w:r>
      <w:r>
        <w:t>kirken. K</w:t>
      </w:r>
      <w:r w:rsidRPr="007648F1">
        <w:t xml:space="preserve">irkens medlemsandel i Oslo </w:t>
      </w:r>
      <w:r>
        <w:t xml:space="preserve">er </w:t>
      </w:r>
      <w:r w:rsidRPr="007648F1">
        <w:t>ikke r</w:t>
      </w:r>
      <w:r>
        <w:t>epresentativ for andre kommuner, men si</w:t>
      </w:r>
      <w:r w:rsidRPr="007648F1">
        <w:t xml:space="preserve">tuasjonen i Oslo </w:t>
      </w:r>
      <w:r>
        <w:t xml:space="preserve">synes likevel å reise </w:t>
      </w:r>
      <w:r w:rsidRPr="007648F1">
        <w:t>spørsmålet om kommunene</w:t>
      </w:r>
      <w:r>
        <w:t xml:space="preserve"> i lov fortsatt bør pålegges et særlig ansvar </w:t>
      </w:r>
      <w:r w:rsidRPr="007648F1">
        <w:t>for Den norske kirke</w:t>
      </w:r>
      <w:r>
        <w:t xml:space="preserve">. </w:t>
      </w:r>
      <w:r w:rsidRPr="007648F1">
        <w:t xml:space="preserve">Ved statlig overtakelse av den offentlige finansieringen av Den norske kirke vil </w:t>
      </w:r>
      <w:r>
        <w:t xml:space="preserve">denne typen </w:t>
      </w:r>
      <w:r w:rsidRPr="007648F1">
        <w:t>problemstillinger</w:t>
      </w:r>
      <w:r>
        <w:t xml:space="preserve">, som knytter an til ulikheter i Den norske kirkes medlemsoppslutning i de enkelte kommunene, </w:t>
      </w:r>
      <w:r w:rsidRPr="007648F1">
        <w:t>ikke lenger ha noen betydning.</w:t>
      </w:r>
      <w:r>
        <w:t xml:space="preserve"> </w:t>
      </w:r>
    </w:p>
    <w:p w:rsidR="008E1130" w:rsidRDefault="008E1130" w:rsidP="00545704">
      <w:pPr>
        <w:pStyle w:val="Overskrift2"/>
      </w:pPr>
      <w:bookmarkStart w:id="1642" w:name="_Toc481761819"/>
      <w:bookmarkStart w:id="1643" w:name="_Toc492900472"/>
      <w:r>
        <w:t>Visse spørsmål vedrørende regnskapsføring og merverdiavgift</w:t>
      </w:r>
      <w:bookmarkEnd w:id="1642"/>
      <w:bookmarkEnd w:id="1643"/>
      <w:r>
        <w:t xml:space="preserve"> </w:t>
      </w:r>
    </w:p>
    <w:p w:rsidR="00A17EF9" w:rsidRDefault="008E1130" w:rsidP="008E1130">
      <w:r>
        <w:t xml:space="preserve">Ved endringene i kirkeloven i 2016 ble </w:t>
      </w:r>
      <w:r w:rsidR="00025037">
        <w:t xml:space="preserve">det </w:t>
      </w:r>
      <w:r>
        <w:t xml:space="preserve">bestemt at det nye rettssubjektet for Den norske kirke skulle følge regnskapsloven på vanlig måte, om ikke departementet fastsatte andre bestemmelser i forskrift. Departementet fastsatte </w:t>
      </w:r>
      <w:r w:rsidR="00A17EF9">
        <w:t xml:space="preserve">4. oktober 2016 </w:t>
      </w:r>
      <w:r>
        <w:t>en slik forskrift</w:t>
      </w:r>
      <w:r w:rsidR="00A17EF9">
        <w:t xml:space="preserve">, som </w:t>
      </w:r>
      <w:r>
        <w:t>omhandle</w:t>
      </w:r>
      <w:r w:rsidR="009925E6">
        <w:t>r</w:t>
      </w:r>
      <w:r>
        <w:t xml:space="preserve"> regnskapsføringen av </w:t>
      </w:r>
      <w:r w:rsidR="00A17EF9">
        <w:t xml:space="preserve">rettssubjektet </w:t>
      </w:r>
      <w:r>
        <w:t xml:space="preserve">Den norske kirkes pensjonsforpliktelser. </w:t>
      </w:r>
      <w:r w:rsidR="00517565">
        <w:lastRenderedPageBreak/>
        <w:t>Behovet for den aktuelle forskriften gjelder fortsatt, og d</w:t>
      </w:r>
      <w:r w:rsidR="009925E6">
        <w:t xml:space="preserve">epartementet </w:t>
      </w:r>
      <w:r w:rsidR="00517565">
        <w:t xml:space="preserve">foreslår at den aktuelle </w:t>
      </w:r>
      <w:r w:rsidR="009925E6">
        <w:t>b</w:t>
      </w:r>
      <w:r w:rsidR="00A17EF9">
        <w:t xml:space="preserve">estemmelsen i kirkeloven føres videre, </w:t>
      </w:r>
      <w:r w:rsidR="00816038">
        <w:t>med slik ordlyd, jf. lovutkastet § 1</w:t>
      </w:r>
      <w:r w:rsidR="00E1464E">
        <w:t>2</w:t>
      </w:r>
      <w:r w:rsidR="00816038">
        <w:t xml:space="preserve">: </w:t>
      </w:r>
    </w:p>
    <w:p w:rsidR="00A17EF9" w:rsidRPr="001763A6" w:rsidRDefault="00A17EF9" w:rsidP="001763A6">
      <w:pPr>
        <w:pStyle w:val="blokksit"/>
        <w:rPr>
          <w:rStyle w:val="kursiv"/>
        </w:rPr>
      </w:pPr>
      <w:r w:rsidRPr="001763A6">
        <w:rPr>
          <w:rStyle w:val="kursiv"/>
        </w:rPr>
        <w:t xml:space="preserve">For regnskapet </w:t>
      </w:r>
      <w:r w:rsidR="00816038" w:rsidRPr="001763A6">
        <w:rPr>
          <w:rStyle w:val="kursiv"/>
        </w:rPr>
        <w:t xml:space="preserve">til rettssubjektet Den norske kirke </w:t>
      </w:r>
      <w:r w:rsidRPr="001763A6">
        <w:rPr>
          <w:rStyle w:val="kursiv"/>
        </w:rPr>
        <w:t>gjelder regnskapsloven om ikke departementet har fastsatt andre bestemmelser i forskrift.</w:t>
      </w:r>
    </w:p>
    <w:p w:rsidR="001A73AB" w:rsidRDefault="00AE057C" w:rsidP="001A73AB">
      <w:r>
        <w:t>Da Den norske kirke ble skilt ut fra staten i 2017, ble det i</w:t>
      </w:r>
      <w:r w:rsidR="001A73AB">
        <w:t xml:space="preserve"> grunnlaget for </w:t>
      </w:r>
      <w:r w:rsidR="007F7476">
        <w:t xml:space="preserve">statens </w:t>
      </w:r>
      <w:r w:rsidR="001A73AB">
        <w:t>rammetilskudd til kirke</w:t>
      </w:r>
      <w:r>
        <w:t xml:space="preserve">n tatt hensyn til kirkens </w:t>
      </w:r>
      <w:r w:rsidR="001A73AB">
        <w:t>utgifte</w:t>
      </w:r>
      <w:r>
        <w:t>r</w:t>
      </w:r>
      <w:r w:rsidR="001A73AB">
        <w:t xml:space="preserve"> til merverdiavgift</w:t>
      </w:r>
      <w:r>
        <w:t>.</w:t>
      </w:r>
      <w:r w:rsidR="001A73AB">
        <w:t xml:space="preserve"> </w:t>
      </w:r>
      <w:r>
        <w:t>S</w:t>
      </w:r>
      <w:r w:rsidR="007F7476">
        <w:t>oknene</w:t>
      </w:r>
      <w:r>
        <w:t xml:space="preserve"> i Den norske kirke er </w:t>
      </w:r>
      <w:r w:rsidR="007F7476">
        <w:t xml:space="preserve">omfattet av </w:t>
      </w:r>
      <w:r w:rsidR="001A73AB">
        <w:t xml:space="preserve">momskompensasjonsordningen som gjelder for kommunene. </w:t>
      </w:r>
    </w:p>
    <w:p w:rsidR="00F6677B" w:rsidRDefault="001A73AB" w:rsidP="001A73AB">
      <w:r>
        <w:t>Om soknenes virksomhet fortsatt skal finansieres over kommunebudsjettene, antar departementet at utgangspunktet vil være at dagens momskompensasjonsordning for soknene skal kunne føres videre, selv om soknene i framtiden vil høre inn under regnskapslovens bestemmelser</w:t>
      </w:r>
      <w:r w:rsidR="007F7476">
        <w:t xml:space="preserve"> og Kirkemøtet skal fastsette nærmere bestemmelser for øvrig om regnskapsføring</w:t>
      </w:r>
      <w:r>
        <w:t xml:space="preserve">, jf. </w:t>
      </w:r>
      <w:r w:rsidR="00F6677B">
        <w:t xml:space="preserve">foran under </w:t>
      </w:r>
      <w:r>
        <w:t>p</w:t>
      </w:r>
      <w:r w:rsidR="00EC7802">
        <w:t>un</w:t>
      </w:r>
      <w:r>
        <w:t xml:space="preserve">kt </w:t>
      </w:r>
      <w:r w:rsidR="00F6677B">
        <w:t xml:space="preserve">9.4.3. </w:t>
      </w:r>
    </w:p>
    <w:p w:rsidR="00F6677B" w:rsidRDefault="00F6677B" w:rsidP="001A73AB">
      <w:r>
        <w:t>Om staten overtar finansieringsansvaret for Den norske kirke, vil soknene ikke lenger falle inn under den momskompensasjonsordningen som gjelder for kommunene</w:t>
      </w:r>
      <w:r w:rsidR="001C5FFF">
        <w:t>. S</w:t>
      </w:r>
      <w:r w:rsidR="00AE057C">
        <w:t xml:space="preserve">pørsmålet </w:t>
      </w:r>
      <w:r w:rsidR="001C5FFF">
        <w:t xml:space="preserve">er hva som i tilfelle skal komme i stedet. </w:t>
      </w:r>
    </w:p>
    <w:p w:rsidR="00F6677B" w:rsidRDefault="00F6677B" w:rsidP="00F6677B">
      <w:r>
        <w:t xml:space="preserve">Tros- og livssynssamfunn som er registrert i </w:t>
      </w:r>
      <w:r w:rsidR="00EE7F90">
        <w:t xml:space="preserve">Frivillighetsregisteret, </w:t>
      </w:r>
      <w:r w:rsidR="00CA48D7">
        <w:t xml:space="preserve">jf. lov 29. juni 2007 nr. 88 om register for frivillig virksomhet, </w:t>
      </w:r>
      <w:r w:rsidR="00EE7F90">
        <w:t>kan</w:t>
      </w:r>
      <w:r>
        <w:t xml:space="preserve"> </w:t>
      </w:r>
      <w:r w:rsidR="00EE7F90">
        <w:t>få</w:t>
      </w:r>
      <w:r>
        <w:t xml:space="preserve"> tilskudd </w:t>
      </w:r>
      <w:r w:rsidR="00EE7F90">
        <w:t>under momskompensasjonsordningen for frivillige organisasjoner</w:t>
      </w:r>
      <w:r>
        <w:t xml:space="preserve">. Den norske kirke </w:t>
      </w:r>
      <w:r w:rsidR="00CA48D7">
        <w:t xml:space="preserve">har ikke registreringsrett i </w:t>
      </w:r>
      <w:r w:rsidR="00EE7F90">
        <w:t>Frivillighets</w:t>
      </w:r>
      <w:r w:rsidR="004131E8">
        <w:t xml:space="preserve">registeret og </w:t>
      </w:r>
      <w:r w:rsidR="00CA48D7">
        <w:t xml:space="preserve">departementet ser det derfor som mer aktuelt at andre løsninger vurderes for soknene. </w:t>
      </w:r>
      <w:r w:rsidR="0062526F">
        <w:t>E</w:t>
      </w:r>
      <w:r w:rsidR="00DD4F1B">
        <w:t xml:space="preserve">n </w:t>
      </w:r>
      <w:r w:rsidR="00CA48D7">
        <w:t xml:space="preserve">mulig </w:t>
      </w:r>
      <w:r w:rsidR="00DD4F1B">
        <w:t xml:space="preserve">løsning </w:t>
      </w:r>
      <w:r w:rsidR="0062526F">
        <w:t xml:space="preserve">kan </w:t>
      </w:r>
      <w:r w:rsidR="00DD4F1B">
        <w:t>være</w:t>
      </w:r>
      <w:r w:rsidR="007F7476">
        <w:t xml:space="preserve"> at det i tilskuddet fra staten kompenseres for bortfallet av </w:t>
      </w:r>
      <w:r w:rsidR="00814EAD">
        <w:t xml:space="preserve">den </w:t>
      </w:r>
      <w:r w:rsidR="007F7476">
        <w:t xml:space="preserve">momskompensasjonsordningen som gjelder for soknene i dag. </w:t>
      </w:r>
      <w:r w:rsidR="00DD4F1B">
        <w:t xml:space="preserve">Et annet alternativ er </w:t>
      </w:r>
      <w:r w:rsidR="00CA48D7">
        <w:t xml:space="preserve">å utrede muligheten for </w:t>
      </w:r>
      <w:r w:rsidR="00DD4F1B">
        <w:t xml:space="preserve">en </w:t>
      </w:r>
      <w:r w:rsidR="00CA48D7">
        <w:t xml:space="preserve">særskilt </w:t>
      </w:r>
      <w:r w:rsidR="00DD4F1B">
        <w:t>kompensasjonsordning</w:t>
      </w:r>
      <w:r w:rsidR="00484DEC">
        <w:t xml:space="preserve"> for hele </w:t>
      </w:r>
      <w:r w:rsidR="007F7476">
        <w:t>Den norske kirke</w:t>
      </w:r>
      <w:r w:rsidR="00484DEC">
        <w:t>.</w:t>
      </w:r>
      <w:r w:rsidR="000B05FD">
        <w:t xml:space="preserve"> Departementet har ikke sett det som nødvendig eller hensiktsmessig å ta stilling til d</w:t>
      </w:r>
      <w:r w:rsidR="00CA48D7">
        <w:t xml:space="preserve">ette </w:t>
      </w:r>
      <w:r w:rsidR="000B05FD">
        <w:t>nå.</w:t>
      </w:r>
    </w:p>
    <w:p w:rsidR="00944062" w:rsidRPr="0084542C" w:rsidRDefault="00944062" w:rsidP="00FC1055">
      <w:pPr>
        <w:pStyle w:val="Overskrift2"/>
      </w:pPr>
      <w:bookmarkStart w:id="1644" w:name="_Toc476320938"/>
      <w:bookmarkStart w:id="1645" w:name="_Toc477277243"/>
      <w:bookmarkStart w:id="1646" w:name="_Toc477535558"/>
      <w:bookmarkStart w:id="1647" w:name="_Toc477630690"/>
      <w:bookmarkStart w:id="1648" w:name="_Toc477693654"/>
      <w:bookmarkStart w:id="1649" w:name="_Toc477704028"/>
      <w:bookmarkStart w:id="1650" w:name="_Toc477799241"/>
      <w:bookmarkStart w:id="1651" w:name="_Toc477805844"/>
      <w:bookmarkStart w:id="1652" w:name="_Toc477871502"/>
      <w:bookmarkStart w:id="1653" w:name="_Toc477878104"/>
      <w:bookmarkStart w:id="1654" w:name="_Toc477881507"/>
      <w:bookmarkStart w:id="1655" w:name="_Toc477885967"/>
      <w:bookmarkStart w:id="1656" w:name="_Toc478131397"/>
      <w:bookmarkStart w:id="1657" w:name="_Toc478138767"/>
      <w:bookmarkStart w:id="1658" w:name="_Toc478232296"/>
      <w:bookmarkStart w:id="1659" w:name="_Toc478237280"/>
      <w:bookmarkStart w:id="1660" w:name="_Toc481761820"/>
      <w:bookmarkStart w:id="1661" w:name="_Toc492900473"/>
      <w:r w:rsidRPr="0084542C">
        <w:t>Finansiering av Den norske kirke etter medlemstall</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rsidR="006F1818" w:rsidRDefault="00944062" w:rsidP="00CD6885">
      <w:r>
        <w:t xml:space="preserve">Etter dagens lovgivning mottar tros- og livssynssamfunn utenom Den norske kirke offentlige tilskudd etter antallet medlemmer. De offentlige overføringene til Den norske kirke er ikke knyttet til kirkens medlemstall. </w:t>
      </w:r>
      <w:r w:rsidR="006F1818">
        <w:t>Som nevnt i kapittel 2.1, har k</w:t>
      </w:r>
      <w:r w:rsidR="00CD6885">
        <w:t xml:space="preserve">irkens medlemstall økt fra rundt 3,6 millioner </w:t>
      </w:r>
      <w:r w:rsidR="006F1818">
        <w:t xml:space="preserve">i 1970, da tilskuddsordningen for andre tros- og livssynssamfunn ble innført, </w:t>
      </w:r>
      <w:r w:rsidR="00CD6885">
        <w:t>til nær 3,8 millioner</w:t>
      </w:r>
      <w:r w:rsidR="006F1818">
        <w:t xml:space="preserve"> i dag.</w:t>
      </w:r>
      <w:r w:rsidR="00CD6885">
        <w:t xml:space="preserve"> </w:t>
      </w:r>
    </w:p>
    <w:p w:rsidR="00944062" w:rsidRDefault="00944062" w:rsidP="00697087">
      <w:r>
        <w:t>Fra tid til annen blir det reist spørsmål om medlemsutviklingen i Den norske kirke bør være bestemmende også for den offentlige støtten til kirken. Departementet har vurdert dette særskilt</w:t>
      </w:r>
      <w:r w:rsidR="00025037">
        <w:t>,</w:t>
      </w:r>
      <w:r w:rsidR="00583A06">
        <w:t xml:space="preserve"> og </w:t>
      </w:r>
      <w:r w:rsidR="00C51F95">
        <w:t xml:space="preserve">spørsmålet </w:t>
      </w:r>
      <w:r>
        <w:t>kan etter departementets syn langt på vei drøftes uavhengig av eventuelle endringer i den økonomiske ansvarsdelingen mellom staten og kommunene på kirkens område.</w:t>
      </w:r>
    </w:p>
    <w:p w:rsidR="00944062" w:rsidRDefault="00583A06" w:rsidP="00697087">
      <w:r>
        <w:t xml:space="preserve">En </w:t>
      </w:r>
      <w:r w:rsidR="00A84C90">
        <w:t>finansiering</w:t>
      </w:r>
      <w:r>
        <w:t xml:space="preserve">sordning for Den norske kirke der den offentlige finansieringen knyttes til eller </w:t>
      </w:r>
      <w:r w:rsidR="00A84C90">
        <w:t>utmåles ett</w:t>
      </w:r>
      <w:r>
        <w:t>e</w:t>
      </w:r>
      <w:r w:rsidR="00A84C90">
        <w:t xml:space="preserve">r utviklingen i </w:t>
      </w:r>
      <w:r w:rsidR="00944062">
        <w:t xml:space="preserve">kirkens </w:t>
      </w:r>
      <w:r w:rsidR="00A84C90">
        <w:t xml:space="preserve">medlemstall, </w:t>
      </w:r>
      <w:r>
        <w:t xml:space="preserve">innebærer overgang til </w:t>
      </w:r>
      <w:r w:rsidR="00D36225">
        <w:t xml:space="preserve">en </w:t>
      </w:r>
      <w:r>
        <w:t>regelstyrt budsjettering</w:t>
      </w:r>
      <w:r w:rsidR="00D36225">
        <w:t xml:space="preserve"> og tilskuddsordning</w:t>
      </w:r>
      <w:r w:rsidR="00746358">
        <w:t xml:space="preserve">. Etter departementets syn må finansieringsordningene for kirken, herunder spørsmålet om en mer regelstyrt budsjettering etter medlemsutvikling, ses i lys av </w:t>
      </w:r>
      <w:r w:rsidR="00A84C90">
        <w:t xml:space="preserve">grunnlaget og </w:t>
      </w:r>
      <w:r w:rsidR="00944062">
        <w:t>formålet med den offentlige finansieringen</w:t>
      </w:r>
      <w:r w:rsidR="002515E2">
        <w:t xml:space="preserve"> av Den norske kirke</w:t>
      </w:r>
      <w:r w:rsidR="00746358">
        <w:t>, slik det er redegjort for i kapittel 6 foran om blant annet statens understøttelses</w:t>
      </w:r>
      <w:r w:rsidR="00C56A9F">
        <w:t xml:space="preserve">ansvar </w:t>
      </w:r>
      <w:r w:rsidR="00746358">
        <w:t xml:space="preserve">overfor Den norske kirke i </w:t>
      </w:r>
      <w:r w:rsidR="00F7597D">
        <w:t xml:space="preserve">henhold til </w:t>
      </w:r>
      <w:r w:rsidR="00746358">
        <w:t xml:space="preserve">Grunnoven § 16. </w:t>
      </w:r>
    </w:p>
    <w:p w:rsidR="00944062" w:rsidRDefault="00421EF0" w:rsidP="00697087">
      <w:r>
        <w:t>Depart</w:t>
      </w:r>
      <w:r w:rsidR="00E1464E">
        <w:t>e</w:t>
      </w:r>
      <w:r>
        <w:t>mente</w:t>
      </w:r>
      <w:r w:rsidR="00900688">
        <w:t>t</w:t>
      </w:r>
      <w:r>
        <w:t xml:space="preserve"> vil </w:t>
      </w:r>
      <w:r w:rsidR="002515E2">
        <w:t xml:space="preserve">videre </w:t>
      </w:r>
      <w:r>
        <w:t>peke på at h</w:t>
      </w:r>
      <w:r w:rsidR="00944062">
        <w:t xml:space="preserve">oveddelen av overføringene fra staten og kommunene til Den norske kirke er dimensjonert ut fra relativt klare kostnadsvariabler: </w:t>
      </w:r>
      <w:r w:rsidR="00A84C90">
        <w:t>Den norske kirke forvalter et stort antall kirkebygg, hvorav en stor andel er fredet eller utpekt</w:t>
      </w:r>
      <w:r w:rsidR="00911A49">
        <w:t xml:space="preserve"> som </w:t>
      </w:r>
      <w:r w:rsidR="00911A49">
        <w:lastRenderedPageBreak/>
        <w:t>kulturhistorisk verdifulle.</w:t>
      </w:r>
      <w:r w:rsidR="00A84C90">
        <w:t xml:space="preserve"> Den norske kirke </w:t>
      </w:r>
      <w:r w:rsidR="00944062">
        <w:t>er landsdekkende</w:t>
      </w:r>
      <w:r w:rsidR="00911A49">
        <w:t>. Den er ti</w:t>
      </w:r>
      <w:r w:rsidR="00944062">
        <w:t>l stede i lokalsamfunn</w:t>
      </w:r>
      <w:r w:rsidR="00911A49">
        <w:t xml:space="preserve"> over hele landet</w:t>
      </w:r>
      <w:r w:rsidR="00944062">
        <w:t xml:space="preserve">, og </w:t>
      </w:r>
      <w:r w:rsidR="00A84C90">
        <w:t xml:space="preserve">Den norske kirke </w:t>
      </w:r>
      <w:r w:rsidR="00944062">
        <w:t>er organisert gjennom rettslig selvstendige sokn og nasjonale kirkelige organer. Kostnadene ved disse strukturelle rammene, som er sentrale kjennetegn ved Den norske kirke som folkekirke, er i liten grad påvirket av kirkens medlemstall. Dette vanskeliggjør sammenlikningen med hvordan støtten til andre tros- og livssynssamfunn utmåles, jf. drøftingene</w:t>
      </w:r>
      <w:r w:rsidR="00637CA9">
        <w:t xml:space="preserve"> av dette</w:t>
      </w:r>
      <w:r w:rsidR="00944062">
        <w:t xml:space="preserve"> i kap</w:t>
      </w:r>
      <w:r w:rsidR="00023851">
        <w:t>ittel</w:t>
      </w:r>
      <w:r w:rsidR="00944062">
        <w:t xml:space="preserve"> 1</w:t>
      </w:r>
      <w:r w:rsidR="00637CA9">
        <w:t>4</w:t>
      </w:r>
      <w:r w:rsidR="00944062">
        <w:t xml:space="preserve">. </w:t>
      </w:r>
    </w:p>
    <w:p w:rsidR="00944062" w:rsidRDefault="00944062" w:rsidP="00697087">
      <w:r>
        <w:t>De</w:t>
      </w:r>
      <w:r w:rsidR="00746358">
        <w:t xml:space="preserve">partementet viser til dette og mener </w:t>
      </w:r>
      <w:r>
        <w:t xml:space="preserve">at de offentlige overføringene til Den norske kirke fortsatt bør være basert på en </w:t>
      </w:r>
      <w:r w:rsidR="00637CA9">
        <w:t xml:space="preserve">konkret </w:t>
      </w:r>
      <w:r>
        <w:t xml:space="preserve">vurdering av kirkens budsjettbehov fra år til år. </w:t>
      </w:r>
    </w:p>
    <w:p w:rsidR="00944062" w:rsidRDefault="00944062" w:rsidP="00697087">
      <w:r>
        <w:t>For øvrig kan både staten og kommunene i dag ta hensyn til utviklingen i kirkens medlemstall</w:t>
      </w:r>
      <w:r w:rsidRPr="00736BE3">
        <w:t xml:space="preserve"> i sin budsjettering av støtten til Den norske kirke</w:t>
      </w:r>
      <w:r>
        <w:t>. Lovgivningen om det offentlige finansieringsansvaret for kirken utelukker ikke denne type hensyn, slik også andre hensyn og utviklingstrekk kan påvirke Den norske kirkes utgiftsbehov og ha betydning for utmålingen av den offentlige støtten.</w:t>
      </w:r>
      <w:r w:rsidRPr="00713EDC">
        <w:t xml:space="preserve"> </w:t>
      </w:r>
    </w:p>
    <w:p w:rsidR="00944062" w:rsidRPr="0084542C" w:rsidRDefault="00944062" w:rsidP="00023851">
      <w:r>
        <w:t xml:space="preserve">Om kirkens medlemstall skulle inngå som en regelstyrt faktor for utmålingen av offentlige tilskudd, </w:t>
      </w:r>
      <w:r w:rsidR="00BD5E4C">
        <w:t>på linje med t</w:t>
      </w:r>
      <w:r>
        <w:t>ilskuddsordningen for andre tros- og livssynssamfunn</w:t>
      </w:r>
      <w:r w:rsidR="00BD5E4C">
        <w:t>,</w:t>
      </w:r>
      <w:r>
        <w:t xml:space="preserve"> ville dette ellers kunne være en hindring for </w:t>
      </w:r>
      <w:r w:rsidRPr="00713EDC">
        <w:t>innfør</w:t>
      </w:r>
      <w:r>
        <w:t xml:space="preserve">ing av en form for </w:t>
      </w:r>
      <w:r w:rsidRPr="00713EDC">
        <w:t>medlems</w:t>
      </w:r>
      <w:r w:rsidR="002515E2">
        <w:t>kontingent</w:t>
      </w:r>
      <w:r>
        <w:t xml:space="preserve"> i Den norske kirke, jf. omtalen i kap</w:t>
      </w:r>
      <w:r w:rsidR="000B05FD">
        <w:t>ittel</w:t>
      </w:r>
      <w:r>
        <w:t xml:space="preserve"> </w:t>
      </w:r>
      <w:r w:rsidR="00637CA9">
        <w:t>10</w:t>
      </w:r>
      <w:r>
        <w:t xml:space="preserve"> nedenfor. En </w:t>
      </w:r>
      <w:r w:rsidR="002515E2">
        <w:t xml:space="preserve">pliktig </w:t>
      </w:r>
      <w:r>
        <w:t>medlems</w:t>
      </w:r>
      <w:r w:rsidR="002515E2">
        <w:t>kontingent</w:t>
      </w:r>
      <w:r>
        <w:t xml:space="preserve"> vil neppe kunne innføres uten at medlemmer i et visst antall velger å melde seg ut av Den norske kirke. Selv om Den norske kirke vil få økte inntekter fra en </w:t>
      </w:r>
      <w:r w:rsidR="002515E2">
        <w:t xml:space="preserve">kontingent, </w:t>
      </w:r>
      <w:r>
        <w:t xml:space="preserve">vil et bortfall av medlemmer – som følge av </w:t>
      </w:r>
      <w:r w:rsidR="002515E2">
        <w:t>kontingent</w:t>
      </w:r>
      <w:r>
        <w:t>en – bety redusert offentlig støtte. I</w:t>
      </w:r>
      <w:r w:rsidRPr="00713EDC">
        <w:t xml:space="preserve">nntekter </w:t>
      </w:r>
      <w:r>
        <w:t xml:space="preserve">som </w:t>
      </w:r>
      <w:r w:rsidRPr="00713EDC">
        <w:t xml:space="preserve">Den norske kirke vinner gjennom en </w:t>
      </w:r>
      <w:r w:rsidR="002515E2">
        <w:t>kontingent</w:t>
      </w:r>
      <w:r w:rsidRPr="00713EDC">
        <w:t xml:space="preserve">, </w:t>
      </w:r>
      <w:r>
        <w:t xml:space="preserve">vil med andre ord kunne bli </w:t>
      </w:r>
      <w:r w:rsidRPr="00713EDC">
        <w:t>utlikne</w:t>
      </w:r>
      <w:r>
        <w:t>t</w:t>
      </w:r>
      <w:r w:rsidRPr="00713EDC">
        <w:t xml:space="preserve"> </w:t>
      </w:r>
      <w:r>
        <w:t xml:space="preserve">gjennom </w:t>
      </w:r>
      <w:r w:rsidRPr="00713EDC">
        <w:t xml:space="preserve">reduserte </w:t>
      </w:r>
      <w:r>
        <w:t xml:space="preserve">offentlige tilskudd. Nettoeffekten for kirken kan da bli marginal eller kanskje negativ. </w:t>
      </w:r>
      <w:r w:rsidR="00637CA9">
        <w:t>Det vises ellers til omtalen i kap</w:t>
      </w:r>
      <w:r w:rsidR="000B05FD">
        <w:t>ittel</w:t>
      </w:r>
      <w:r w:rsidR="00637CA9">
        <w:t xml:space="preserve"> 21 av livssynsavgift som finansieringsmodell.</w:t>
      </w:r>
    </w:p>
    <w:p w:rsidR="00C849A3" w:rsidRPr="00150737" w:rsidRDefault="00C849A3" w:rsidP="00944062">
      <w:pPr>
        <w:rPr>
          <w:rStyle w:val="halvfet"/>
        </w:rPr>
      </w:pPr>
    </w:p>
    <w:p w:rsidR="00F304BF" w:rsidRDefault="00F304BF" w:rsidP="00F304BF"/>
    <w:p w:rsidR="00F304BF" w:rsidRDefault="00F304BF" w:rsidP="00F304BF"/>
    <w:p w:rsidR="00944062" w:rsidRPr="001E491E" w:rsidRDefault="00944062" w:rsidP="00944062">
      <w:pPr>
        <w:rPr>
          <w:sz w:val="20"/>
          <w:szCs w:val="20"/>
        </w:rPr>
      </w:pPr>
      <w:r w:rsidRPr="001E491E">
        <w:rPr>
          <w:sz w:val="20"/>
          <w:szCs w:val="20"/>
        </w:rPr>
        <w:br w:type="page"/>
      </w:r>
    </w:p>
    <w:p w:rsidR="00944062" w:rsidRPr="00A54F48" w:rsidRDefault="00A54F48" w:rsidP="00A54F48">
      <w:pPr>
        <w:pStyle w:val="Overskrift1"/>
        <w:rPr>
          <w:rFonts w:eastAsiaTheme="minorEastAsia"/>
        </w:rPr>
      </w:pPr>
      <w:bookmarkStart w:id="1662" w:name="_Toc477277245"/>
      <w:bookmarkStart w:id="1663" w:name="_Toc477535560"/>
      <w:bookmarkStart w:id="1664" w:name="_Toc477630692"/>
      <w:bookmarkStart w:id="1665" w:name="_Toc477693656"/>
      <w:bookmarkStart w:id="1666" w:name="_Toc477704030"/>
      <w:bookmarkStart w:id="1667" w:name="_Toc477799243"/>
      <w:bookmarkStart w:id="1668" w:name="_Toc477805846"/>
      <w:bookmarkStart w:id="1669" w:name="_Toc477871504"/>
      <w:bookmarkStart w:id="1670" w:name="_Toc477878106"/>
      <w:bookmarkStart w:id="1671" w:name="_Toc477881509"/>
      <w:bookmarkStart w:id="1672" w:name="_Toc477885969"/>
      <w:bookmarkStart w:id="1673" w:name="_Toc478131399"/>
      <w:bookmarkStart w:id="1674" w:name="_Toc478138769"/>
      <w:bookmarkStart w:id="1675" w:name="_Toc478232298"/>
      <w:bookmarkStart w:id="1676" w:name="_Toc478237282"/>
      <w:bookmarkStart w:id="1677" w:name="_Toc481761821"/>
      <w:bookmarkStart w:id="1678" w:name="_Toc492900474"/>
      <w:r>
        <w:rPr>
          <w:rFonts w:eastAsiaTheme="minorEastAsia"/>
        </w:rPr>
        <w:lastRenderedPageBreak/>
        <w:t>Medlems</w:t>
      </w:r>
      <w:r w:rsidR="002515E2">
        <w:rPr>
          <w:rFonts w:eastAsiaTheme="minorEastAsia"/>
        </w:rPr>
        <w:t>kontingent</w:t>
      </w:r>
      <w:r>
        <w:rPr>
          <w:rFonts w:eastAsiaTheme="minorEastAsia"/>
        </w:rPr>
        <w:t xml:space="preserve"> i Den norske kirke</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944062" w:rsidRPr="000F5CA8" w:rsidRDefault="009F3AF1" w:rsidP="00697087">
      <w:r>
        <w:t>D</w:t>
      </w:r>
      <w:r w:rsidR="00944062" w:rsidRPr="000F5CA8">
        <w:t>e nordiske folkekirkene</w:t>
      </w:r>
      <w:r>
        <w:t>, utenom Den norske kirke,</w:t>
      </w:r>
      <w:r w:rsidR="00944062" w:rsidRPr="000F5CA8">
        <w:t xml:space="preserve"> har former for medlemsavgift. Bla</w:t>
      </w:r>
      <w:r w:rsidR="00421EF0">
        <w:t xml:space="preserve">nt annet </w:t>
      </w:r>
      <w:r w:rsidR="00944062" w:rsidRPr="000F5CA8">
        <w:t xml:space="preserve">i Sverige og Danmark blir folkekirkene i stor grad finansiert gjennom en kirkeskatt. Den medlemsbaserte finansieringen i de andre nordiske folkekirkene har sin opprinnelse langt tilbake i tid. </w:t>
      </w:r>
    </w:p>
    <w:p w:rsidR="00944062" w:rsidRPr="000F5CA8" w:rsidRDefault="00944062" w:rsidP="00697087">
      <w:r w:rsidRPr="000F5CA8">
        <w:t>Den norske kirke er så å si fullfinansiert over offentlige budsjetter. Selv om den offentlige finansieringen aldri har hatt som mål å finansiere alle deler av kirkens virksomhet, representerer andre finansieringskilde</w:t>
      </w:r>
      <w:r w:rsidR="004B3F97">
        <w:t>r</w:t>
      </w:r>
      <w:r w:rsidRPr="000F5CA8">
        <w:t xml:space="preserve">, i første rekke frivillige bidrag, en svært begrenset del av Den norske kirkes samlede inntekter. </w:t>
      </w:r>
    </w:p>
    <w:p w:rsidR="00944062" w:rsidRPr="000F5CA8" w:rsidRDefault="00944062" w:rsidP="00697087">
      <w:r w:rsidRPr="000F5CA8">
        <w:t>Statskirkeordningen</w:t>
      </w:r>
      <w:r w:rsidR="00637CA9">
        <w:t>, slik den tidligere var regulert i Grunnloven,</w:t>
      </w:r>
      <w:r w:rsidRPr="000F5CA8">
        <w:t xml:space="preserve"> er nå avviklet og Den norske kirke er anerkjent som et selvstendig trossamfunn, skilt fra staten. Målet for den videre lovgivningen er at Den norske kirke </w:t>
      </w:r>
      <w:r w:rsidR="00421EF0">
        <w:t xml:space="preserve">i større grad </w:t>
      </w:r>
      <w:r w:rsidRPr="000F5CA8">
        <w:t>selv bestemmer sin kirkeordning og på eget grunnlag definerer mål og virkemidler for sin virksomhet. Avhengigheten av den offentlige finansieringen innebærer at Den norske kirke ikke vil kunne utvikle seg som kirke og trossamfunn lenger enn det de offentlige budsjettene gir grunnlag for. I hvert fall på lengre sikt er det vanskelig å se at en selvstendiggjort kirke ikke bør ha finansieringsordninger som bygger på en form for medlems</w:t>
      </w:r>
      <w:r w:rsidR="002515E2">
        <w:t xml:space="preserve">kontingent </w:t>
      </w:r>
      <w:r w:rsidRPr="000F5CA8">
        <w:t>ved siden av offentlige bevilgninger.</w:t>
      </w:r>
    </w:p>
    <w:p w:rsidR="00944062" w:rsidRPr="000F5CA8" w:rsidRDefault="00944062" w:rsidP="00697087">
      <w:r w:rsidRPr="000F5CA8">
        <w:t>Spørsmålet om å innføre medlemsavgift</w:t>
      </w:r>
      <w:r w:rsidR="002515E2">
        <w:t>/medlemskontingent</w:t>
      </w:r>
      <w:r w:rsidRPr="000F5CA8">
        <w:t xml:space="preserve"> i Den norske kirke har vært opp</w:t>
      </w:r>
      <w:r w:rsidR="00290503">
        <w:t>e</w:t>
      </w:r>
      <w:r w:rsidRPr="000F5CA8">
        <w:t xml:space="preserve"> til diskusjon også tidligere. Flertallet i det kirkelige utvalget som i 2002 la fram utredningen </w:t>
      </w:r>
      <w:r w:rsidRPr="000F5CA8">
        <w:rPr>
          <w:i/>
        </w:rPr>
        <w:t xml:space="preserve">Samme kirke – ny ordning </w:t>
      </w:r>
      <w:r w:rsidRPr="000F5CA8">
        <w:t>(Bakkevig I)</w:t>
      </w:r>
      <w:r w:rsidRPr="000F5CA8">
        <w:rPr>
          <w:i/>
        </w:rPr>
        <w:t>,</w:t>
      </w:r>
      <w:r w:rsidRPr="000F5CA8">
        <w:t xml:space="preserve"> foreslo innføring av obligatorisk medlemsavgift som tillegg til offentlige bevilgninger. Under den kirkelige høringen ble forslaget avvist, også av Kirkemøtet 2002. </w:t>
      </w:r>
    </w:p>
    <w:p w:rsidR="00944062" w:rsidRPr="000F5CA8" w:rsidRDefault="00944062" w:rsidP="00697087">
      <w:r w:rsidRPr="000F5CA8">
        <w:t xml:space="preserve">Også Gjønnes-utvalget </w:t>
      </w:r>
      <w:r w:rsidR="0040316C" w:rsidRPr="0040316C">
        <w:t>drøft</w:t>
      </w:r>
      <w:r w:rsidR="0040316C">
        <w:t>e</w:t>
      </w:r>
      <w:r w:rsidR="0040316C" w:rsidRPr="0040316C">
        <w:t>t spørsmålet om medlemsavgift</w:t>
      </w:r>
      <w:r w:rsidR="00421EF0">
        <w:t xml:space="preserve">, jf. </w:t>
      </w:r>
      <w:r w:rsidR="00421EF0" w:rsidRPr="000F5CA8">
        <w:t>NOU 2006:2</w:t>
      </w:r>
      <w:r w:rsidR="00421EF0" w:rsidRPr="000F5CA8">
        <w:rPr>
          <w:i/>
        </w:rPr>
        <w:t xml:space="preserve"> Staten og Den norske kirke</w:t>
      </w:r>
      <w:r w:rsidR="0040316C" w:rsidRPr="0040316C">
        <w:t>. Flertallet gikk under visse forutsetninger inn for at det</w:t>
      </w:r>
      <w:r w:rsidR="0040316C">
        <w:t xml:space="preserve"> ble innført et obligatorisk medlemsbidrag til </w:t>
      </w:r>
      <w:r w:rsidRPr="000F5CA8">
        <w:t>finansier</w:t>
      </w:r>
      <w:r w:rsidR="0040316C">
        <w:t xml:space="preserve">ingen av </w:t>
      </w:r>
      <w:r w:rsidRPr="000F5CA8">
        <w:t xml:space="preserve">de deler av kirkens virksomhet som de offentlige bevilgningene ikke </w:t>
      </w:r>
      <w:r w:rsidR="00637CA9">
        <w:t>er</w:t>
      </w:r>
      <w:r w:rsidRPr="000F5CA8">
        <w:t xml:space="preserve"> rettet mot.  </w:t>
      </w:r>
    </w:p>
    <w:p w:rsidR="00944062" w:rsidRPr="000F5CA8" w:rsidRDefault="00944062" w:rsidP="00697087">
      <w:r w:rsidRPr="000F5CA8">
        <w:t>Innføring av medlemsavgift ble avvist i den politiske avtalen 10. april 2008 om statskirkeordningen (kirkeforliket). I avtalen ble det bestemt at dagens finansieringsordninger for Den norske kirke skulle videreføres, og at "</w:t>
      </w:r>
      <w:r w:rsidR="004B3F97">
        <w:t>[d]</w:t>
      </w:r>
      <w:r w:rsidRPr="000F5CA8">
        <w:t xml:space="preserve">ette innebærer at det ikke innføres medlemsavgift i Den norske kirke", som det heter i avtalen. </w:t>
      </w:r>
    </w:p>
    <w:p w:rsidR="00944062" w:rsidRPr="000F5CA8" w:rsidRDefault="00944062" w:rsidP="00697087">
      <w:r w:rsidRPr="000F5CA8">
        <w:t xml:space="preserve">Departementet ser det ikke som aktuelt å forplikte Den norske kirke til å innføre </w:t>
      </w:r>
      <w:r w:rsidR="00B50FE6">
        <w:t>medlemskontingent</w:t>
      </w:r>
      <w:r w:rsidRPr="000F5CA8">
        <w:t xml:space="preserve">. Departementet kan ikke se at staten kan pålegge Den norske kirke – eller andre tros- og livssynssamfunn – å innføre avgift for sine medlemmer, heller ikke som vilkår for å tildele offentlige tilskudd. Dette må Den norske kirke, liksom andre tros- og livssynssamfunn, selv ta stilling til, fastsette vilkår for og bestemme innretningen på. </w:t>
      </w:r>
    </w:p>
    <w:p w:rsidR="00944062" w:rsidRPr="000F5CA8" w:rsidRDefault="00944062" w:rsidP="00697087">
      <w:r w:rsidRPr="000F5CA8">
        <w:t>De</w:t>
      </w:r>
      <w:r w:rsidR="0040316C">
        <w:t xml:space="preserve">t er uklart </w:t>
      </w:r>
      <w:r w:rsidRPr="000F5CA8">
        <w:t xml:space="preserve">om Den norske kirke i dag har rettslig adgang til å pålegge kirkemedlemmene å betale </w:t>
      </w:r>
      <w:r w:rsidR="00B50FE6">
        <w:t>medlemskontingent.</w:t>
      </w:r>
      <w:r w:rsidRPr="000F5CA8">
        <w:t xml:space="preserve"> For å unngå tvil foreslår departementet inntatt en lovbestemmelse som gir kirken adgang til å innkreve </w:t>
      </w:r>
      <w:r w:rsidR="00B50FE6">
        <w:t>kontingent</w:t>
      </w:r>
      <w:r w:rsidRPr="000F5CA8">
        <w:t>. Departementets forslag til lovbestemmelse lyder</w:t>
      </w:r>
      <w:r w:rsidR="000B05FD">
        <w:t>, jf. lovutkastet § 1</w:t>
      </w:r>
      <w:r w:rsidR="00E1464E">
        <w:t>2</w:t>
      </w:r>
      <w:r w:rsidRPr="000F5CA8">
        <w:t>:</w:t>
      </w:r>
    </w:p>
    <w:p w:rsidR="00944062" w:rsidRPr="00EA4493" w:rsidRDefault="00944062" w:rsidP="00EA4493">
      <w:pPr>
        <w:pStyle w:val="blokksit"/>
        <w:rPr>
          <w:rStyle w:val="kursiv"/>
        </w:rPr>
      </w:pPr>
      <w:r w:rsidRPr="00EA4493">
        <w:rPr>
          <w:rStyle w:val="kursiv"/>
        </w:rPr>
        <w:t>Kirkemøtet kan bestemme at medlemmer av Den norske kirke skal betale medlems</w:t>
      </w:r>
      <w:r w:rsidR="00B50FE6" w:rsidRPr="00EA4493">
        <w:rPr>
          <w:rStyle w:val="kursiv"/>
        </w:rPr>
        <w:t>kontingent</w:t>
      </w:r>
      <w:r w:rsidR="00023851" w:rsidRPr="00EA4493">
        <w:rPr>
          <w:rStyle w:val="kursiv"/>
        </w:rPr>
        <w:t>.</w:t>
      </w:r>
    </w:p>
    <w:p w:rsidR="00822353" w:rsidRDefault="00822353" w:rsidP="00697087"/>
    <w:p w:rsidR="00822353" w:rsidRDefault="00822353" w:rsidP="00822353">
      <w:r w:rsidRPr="000F5CA8">
        <w:t xml:space="preserve">Om en slik </w:t>
      </w:r>
      <w:r w:rsidR="00B50FE6">
        <w:t xml:space="preserve">kontingent </w:t>
      </w:r>
      <w:r w:rsidRPr="000F5CA8">
        <w:t xml:space="preserve">i tilfelle skal fastsettes som et kronebeløp per medlem, som en prosent av medlemmenes skattbare inntekt eller på andre måter, vil det være Kirkemøtet som må ta stilling til. Om </w:t>
      </w:r>
      <w:r w:rsidR="00B50FE6">
        <w:t xml:space="preserve">kontingenten </w:t>
      </w:r>
      <w:r w:rsidRPr="000F5CA8">
        <w:t xml:space="preserve">knyttes til medlemmenes skatteevne, reises spørsmålet om </w:t>
      </w:r>
      <w:r w:rsidRPr="000F5CA8">
        <w:lastRenderedPageBreak/>
        <w:t>staten bør bistå i innkreving</w:t>
      </w:r>
      <w:r w:rsidR="00421EF0">
        <w:t>en</w:t>
      </w:r>
      <w:r w:rsidRPr="000F5CA8">
        <w:t xml:space="preserve"> gjennom den alminnelige skatteinnkrevingen, slik tilfellet er i Sverige. Departementet ser ikke grunn til å vurdere spørsmålet før Kirkemøtet eventuelt </w:t>
      </w:r>
      <w:r w:rsidR="00911A49">
        <w:t>tar opp saken</w:t>
      </w:r>
      <w:r w:rsidRPr="000F5CA8">
        <w:t xml:space="preserve">. </w:t>
      </w:r>
    </w:p>
    <w:p w:rsidR="00E1464E" w:rsidRDefault="00E1464E" w:rsidP="00822353">
      <w:r>
        <w:t>Depart</w:t>
      </w:r>
      <w:r w:rsidR="004C1161">
        <w:t>e</w:t>
      </w:r>
      <w:r>
        <w:t xml:space="preserve">mentet vil for ordens skyld presisere at den foreslåtte lovbestemmelsen stiller Kirkemøtet fritt til å bestemme </w:t>
      </w:r>
      <w:r w:rsidR="004C1161">
        <w:t>hvordan medlems</w:t>
      </w:r>
      <w:r w:rsidR="00B50FE6">
        <w:t xml:space="preserve">kontingenten </w:t>
      </w:r>
      <w:r w:rsidR="004C1161">
        <w:t xml:space="preserve">i tilfelle skal fordeles på kirkens ulike oppgaver, herunder om </w:t>
      </w:r>
      <w:r w:rsidR="00B50FE6">
        <w:t xml:space="preserve">kontingenten </w:t>
      </w:r>
      <w:r>
        <w:t>for eksempel skal gå uavkortet til soknene</w:t>
      </w:r>
      <w:r w:rsidR="004C1161">
        <w:t xml:space="preserve"> og uten nærmere angivelse av formålet. Også andre måter å innrette eller fordele </w:t>
      </w:r>
      <w:r w:rsidR="00B50FE6">
        <w:t>kontingent</w:t>
      </w:r>
      <w:r w:rsidR="004C1161">
        <w:t xml:space="preserve">en på, vil det ligge til Kirkemøtet å bestemme. </w:t>
      </w:r>
    </w:p>
    <w:p w:rsidR="00944062" w:rsidRPr="000F5CA8" w:rsidRDefault="00944062" w:rsidP="00697087">
      <w:pPr>
        <w:rPr>
          <w:rFonts w:asciiTheme="minorHAnsi" w:hAnsiTheme="minorHAnsi"/>
        </w:rPr>
      </w:pPr>
      <w:r w:rsidRPr="000F5CA8">
        <w:t>I sammenheng med spørsmålet om medlems</w:t>
      </w:r>
      <w:r w:rsidR="00B50FE6">
        <w:t xml:space="preserve">kontingent </w:t>
      </w:r>
      <w:r w:rsidRPr="000F5CA8">
        <w:t xml:space="preserve">vil departementet peke på de begrensninger som i dag gjelder for å ta betaling for kirkelige tjenester. Kirkeloven </w:t>
      </w:r>
      <w:r w:rsidR="00CC3E0B">
        <w:t xml:space="preserve">§ 20 </w:t>
      </w:r>
      <w:r w:rsidRPr="000F5CA8">
        <w:t xml:space="preserve">har </w:t>
      </w:r>
      <w:r w:rsidR="00CC3E0B">
        <w:t xml:space="preserve">et generelt </w:t>
      </w:r>
      <w:r w:rsidRPr="000F5CA8">
        <w:t xml:space="preserve">forbud mot å ta betaling ved benyttelse av kirkebygget til gudstjeneste eller annen oppbyggelse, og det kan heller ikke </w:t>
      </w:r>
      <w:r w:rsidR="00CC3E0B">
        <w:t xml:space="preserve">– uten i særlige tilfeller – </w:t>
      </w:r>
      <w:r w:rsidRPr="000F5CA8">
        <w:t xml:space="preserve">kreves betaling for </w:t>
      </w:r>
      <w:r w:rsidR="00CC3E0B">
        <w:t xml:space="preserve">kirkelige handlinger så som dåp, vigsel og gravferd. </w:t>
      </w:r>
      <w:r w:rsidRPr="000F5CA8">
        <w:t>Departementet mener slike begrensninger fortsatt må gjelde. Etter departementets syn vil det være i strid med grunnlaget for den offentlige fin</w:t>
      </w:r>
      <w:r w:rsidR="00CC3E0B">
        <w:t>ansieringen av Den norske kirke</w:t>
      </w:r>
      <w:r w:rsidRPr="000F5CA8">
        <w:t xml:space="preserve"> dersom kirken innføre</w:t>
      </w:r>
      <w:r w:rsidR="00290503">
        <w:t>r</w:t>
      </w:r>
      <w:r w:rsidRPr="000F5CA8">
        <w:t xml:space="preserve"> nye former for brukerbetaling eller kreve</w:t>
      </w:r>
      <w:r w:rsidR="00290503">
        <w:t>r</w:t>
      </w:r>
      <w:r w:rsidRPr="000F5CA8">
        <w:t xml:space="preserve"> </w:t>
      </w:r>
      <w:r w:rsidR="00290503">
        <w:t xml:space="preserve">nye </w:t>
      </w:r>
      <w:r w:rsidRPr="000F5CA8">
        <w:t xml:space="preserve">avgifter av det enkelte kirkemedlemmet for bestemte tjenester. </w:t>
      </w:r>
      <w:r w:rsidR="00CC3E0B">
        <w:t xml:space="preserve">Departementet </w:t>
      </w:r>
      <w:r w:rsidR="000B05FD">
        <w:t xml:space="preserve">mener dette er et underliggende vilkår for den offentlige finansieringen av Den norske kirke og ser ikke </w:t>
      </w:r>
      <w:r w:rsidR="00661D5A">
        <w:t xml:space="preserve">lenger </w:t>
      </w:r>
      <w:r w:rsidR="000B05FD">
        <w:t xml:space="preserve">grunn til å regulere dette </w:t>
      </w:r>
      <w:r w:rsidR="00CC3E0B">
        <w:t>s</w:t>
      </w:r>
      <w:r w:rsidR="000B05FD">
        <w:t>ærskilt i lov.</w:t>
      </w:r>
      <w:r w:rsidR="00CC3E0B">
        <w:t xml:space="preserve"> </w:t>
      </w:r>
    </w:p>
    <w:p w:rsidR="00944062" w:rsidRPr="000F5CA8" w:rsidRDefault="00944062" w:rsidP="00944062">
      <w:pPr>
        <w:spacing w:line="240" w:lineRule="auto"/>
      </w:pPr>
    </w:p>
    <w:p w:rsidR="00944062" w:rsidRDefault="00944062" w:rsidP="00944062">
      <w:pPr>
        <w:rPr>
          <w:rFonts w:cs="Times New Roman"/>
          <w:szCs w:val="24"/>
        </w:rPr>
      </w:pPr>
      <w:r>
        <w:rPr>
          <w:rFonts w:cs="Times New Roman"/>
          <w:szCs w:val="24"/>
        </w:rPr>
        <w:br w:type="page"/>
      </w:r>
    </w:p>
    <w:p w:rsidR="00A5514D" w:rsidRPr="008333E8" w:rsidRDefault="002C651D" w:rsidP="008333E8">
      <w:pPr>
        <w:pStyle w:val="Overskrift1"/>
      </w:pPr>
      <w:bookmarkStart w:id="1679" w:name="_Toc492900475"/>
      <w:r>
        <w:rPr>
          <w:rFonts w:eastAsiaTheme="minorEastAsia"/>
        </w:rPr>
        <w:lastRenderedPageBreak/>
        <w:t>K</w:t>
      </w:r>
      <w:r w:rsidR="00F32BD7">
        <w:rPr>
          <w:rFonts w:eastAsiaTheme="minorEastAsia"/>
        </w:rPr>
        <w:t>ulturhistorisk verdi</w:t>
      </w:r>
      <w:r w:rsidR="00252DDB">
        <w:rPr>
          <w:rFonts w:eastAsiaTheme="minorEastAsia"/>
        </w:rPr>
        <w:t>fulle kirkebygg</w:t>
      </w:r>
      <w:bookmarkEnd w:id="1679"/>
    </w:p>
    <w:p w:rsidR="00944062" w:rsidRPr="000F5CA8" w:rsidRDefault="0084542C" w:rsidP="0084542C">
      <w:pPr>
        <w:pStyle w:val="Overskrift2"/>
        <w:rPr>
          <w:rFonts w:eastAsiaTheme="minorEastAsia"/>
        </w:rPr>
      </w:pPr>
      <w:bookmarkStart w:id="1680" w:name="_Toc477277247"/>
      <w:bookmarkStart w:id="1681" w:name="_Toc477535562"/>
      <w:bookmarkStart w:id="1682" w:name="_Toc477630694"/>
      <w:bookmarkStart w:id="1683" w:name="_Toc477693658"/>
      <w:bookmarkStart w:id="1684" w:name="_Toc477704032"/>
      <w:bookmarkStart w:id="1685" w:name="_Toc477799245"/>
      <w:bookmarkStart w:id="1686" w:name="_Toc477805848"/>
      <w:bookmarkStart w:id="1687" w:name="_Toc477871507"/>
      <w:bookmarkStart w:id="1688" w:name="_Toc477878109"/>
      <w:bookmarkStart w:id="1689" w:name="_Toc477881512"/>
      <w:bookmarkStart w:id="1690" w:name="_Toc477885972"/>
      <w:bookmarkStart w:id="1691" w:name="_Toc478131401"/>
      <w:bookmarkStart w:id="1692" w:name="_Toc478138771"/>
      <w:bookmarkStart w:id="1693" w:name="_Toc478232300"/>
      <w:bookmarkStart w:id="1694" w:name="_Toc478237284"/>
      <w:bookmarkStart w:id="1695" w:name="_Toc481761823"/>
      <w:bookmarkStart w:id="1696" w:name="_Toc492900476"/>
      <w:r>
        <w:rPr>
          <w:rFonts w:eastAsiaTheme="minorEastAsia"/>
        </w:rPr>
        <w:t>I</w:t>
      </w:r>
      <w:r w:rsidR="00944062" w:rsidRPr="000F5CA8">
        <w:rPr>
          <w:rFonts w:eastAsiaTheme="minorEastAsia"/>
        </w:rPr>
        <w:t>nnledning</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rsidR="00B92E0A" w:rsidRDefault="00944062" w:rsidP="004404D8">
      <w:pPr>
        <w:rPr>
          <w:color w:val="000000"/>
        </w:rPr>
      </w:pPr>
      <w:r w:rsidRPr="000F5CA8">
        <w:t xml:space="preserve">Gjennom tusen år har det blitt bygget og utsmykket kirkebygg i alle landsdeler og så å si i alle </w:t>
      </w:r>
      <w:r w:rsidRPr="00697087">
        <w:t>lokalsamfunn. Kirkebygget og kirkekunsten formidler kunnskap om den kristne kulturarven, om trosliv og trosskikker gjennom århundrene, om håndverkstradisjoner, byggeskikk, materialbruk og skiftende stil- og kunstepoker. Kirkebyggene</w:t>
      </w:r>
      <w:r w:rsidR="00093BAD">
        <w:t xml:space="preserve"> og deres </w:t>
      </w:r>
      <w:r w:rsidRPr="00697087">
        <w:t xml:space="preserve">inventar og utsmykning er blant de rikeste kunstskattene landet har. Kirkebygget har </w:t>
      </w:r>
      <w:r w:rsidR="00093BAD">
        <w:t xml:space="preserve">dessuten </w:t>
      </w:r>
      <w:r w:rsidRPr="00697087">
        <w:t xml:space="preserve">mange steder vært det eneste markante offentlige bygget av noen alder. I det førindustrielle Norge var kirkebyggene det viktigste møtestedet, både sosialt og religiøst, og er fortsatt mange steder det viktigste identitetsmerket for et sted eller for en bydel. </w:t>
      </w:r>
      <w:r w:rsidR="006F59B0" w:rsidRPr="000F5CA8">
        <w:t>Av landets kirkebygg er nærmere 1 000 fredet eller utpekt som kulturhistorisk verdifulle</w:t>
      </w:r>
      <w:r w:rsidR="006F59B0">
        <w:t xml:space="preserve">. </w:t>
      </w:r>
      <w:r w:rsidR="006F59B0">
        <w:rPr>
          <w:color w:val="000000"/>
        </w:rPr>
        <w:t xml:space="preserve">Som eiere av </w:t>
      </w:r>
      <w:r w:rsidR="001927A0">
        <w:rPr>
          <w:color w:val="000000"/>
        </w:rPr>
        <w:t>kirkebyggene</w:t>
      </w:r>
      <w:r w:rsidR="006F59B0">
        <w:rPr>
          <w:color w:val="000000"/>
        </w:rPr>
        <w:t xml:space="preserve"> </w:t>
      </w:r>
      <w:r w:rsidR="001927A0">
        <w:rPr>
          <w:color w:val="000000"/>
        </w:rPr>
        <w:t xml:space="preserve">forvalter </w:t>
      </w:r>
      <w:r w:rsidR="006F59B0">
        <w:rPr>
          <w:color w:val="000000"/>
        </w:rPr>
        <w:t xml:space="preserve">soknene i Den norske kirke </w:t>
      </w:r>
      <w:r w:rsidR="001927A0">
        <w:rPr>
          <w:color w:val="000000"/>
        </w:rPr>
        <w:t xml:space="preserve">store kulturverdier. </w:t>
      </w:r>
    </w:p>
    <w:p w:rsidR="00974311" w:rsidRDefault="001927A0" w:rsidP="00EB7294">
      <w:pPr>
        <w:rPr>
          <w:color w:val="000000"/>
        </w:rPr>
      </w:pPr>
      <w:r>
        <w:rPr>
          <w:color w:val="000000"/>
        </w:rPr>
        <w:t xml:space="preserve">I høringsnotatet tar departementet opp forslag som </w:t>
      </w:r>
      <w:r w:rsidR="00B92E0A">
        <w:rPr>
          <w:color w:val="000000"/>
        </w:rPr>
        <w:t xml:space="preserve">innebærer </w:t>
      </w:r>
      <w:r w:rsidR="009D1EA3">
        <w:rPr>
          <w:color w:val="000000"/>
        </w:rPr>
        <w:t xml:space="preserve">endringer i de </w:t>
      </w:r>
      <w:r w:rsidR="006F59B0">
        <w:rPr>
          <w:color w:val="000000"/>
        </w:rPr>
        <w:t xml:space="preserve">rettslige, økonomiske og organisatoriske </w:t>
      </w:r>
      <w:r>
        <w:rPr>
          <w:color w:val="000000"/>
        </w:rPr>
        <w:t xml:space="preserve">rammene </w:t>
      </w:r>
      <w:r w:rsidR="009D1EA3">
        <w:rPr>
          <w:color w:val="000000"/>
        </w:rPr>
        <w:t xml:space="preserve">for </w:t>
      </w:r>
      <w:r>
        <w:rPr>
          <w:color w:val="000000"/>
        </w:rPr>
        <w:t>soknene</w:t>
      </w:r>
      <w:r w:rsidR="009D1EA3">
        <w:rPr>
          <w:color w:val="000000"/>
        </w:rPr>
        <w:t xml:space="preserve"> og Den norske kirke, jf. særlig </w:t>
      </w:r>
      <w:r w:rsidR="0018432B">
        <w:rPr>
          <w:color w:val="000000"/>
        </w:rPr>
        <w:t xml:space="preserve">forslagene i </w:t>
      </w:r>
      <w:r w:rsidR="009D1EA3">
        <w:rPr>
          <w:color w:val="000000"/>
        </w:rPr>
        <w:t xml:space="preserve">kapitlene 8 og 9. </w:t>
      </w:r>
      <w:r w:rsidR="00252DDB">
        <w:rPr>
          <w:color w:val="000000"/>
        </w:rPr>
        <w:t>E</w:t>
      </w:r>
      <w:r w:rsidR="004652DC">
        <w:rPr>
          <w:color w:val="000000"/>
        </w:rPr>
        <w:t xml:space="preserve">ndringer </w:t>
      </w:r>
      <w:r w:rsidR="00093BAD">
        <w:rPr>
          <w:color w:val="000000"/>
        </w:rPr>
        <w:t>i d</w:t>
      </w:r>
      <w:r w:rsidR="0018432B">
        <w:rPr>
          <w:color w:val="000000"/>
        </w:rPr>
        <w:t>e</w:t>
      </w:r>
      <w:r w:rsidR="00252DDB">
        <w:rPr>
          <w:color w:val="000000"/>
        </w:rPr>
        <w:t xml:space="preserve"> </w:t>
      </w:r>
      <w:r w:rsidR="00093BAD">
        <w:rPr>
          <w:color w:val="000000"/>
        </w:rPr>
        <w:t xml:space="preserve">strukturelle rammene </w:t>
      </w:r>
      <w:r w:rsidR="006F59B0">
        <w:rPr>
          <w:color w:val="000000"/>
        </w:rPr>
        <w:t xml:space="preserve">for Den norske kirke </w:t>
      </w:r>
      <w:r w:rsidR="004652DC">
        <w:rPr>
          <w:color w:val="000000"/>
        </w:rPr>
        <w:t>vil kunne påvirke forvaltning</w:t>
      </w:r>
      <w:r w:rsidR="006F59B0">
        <w:rPr>
          <w:color w:val="000000"/>
        </w:rPr>
        <w:t xml:space="preserve">en </w:t>
      </w:r>
      <w:r w:rsidR="004652DC">
        <w:rPr>
          <w:color w:val="000000"/>
        </w:rPr>
        <w:t xml:space="preserve">av </w:t>
      </w:r>
      <w:r w:rsidR="006F59B0">
        <w:rPr>
          <w:color w:val="000000"/>
        </w:rPr>
        <w:t xml:space="preserve">den </w:t>
      </w:r>
      <w:r w:rsidR="004652DC">
        <w:rPr>
          <w:color w:val="000000"/>
        </w:rPr>
        <w:t>kultur</w:t>
      </w:r>
      <w:r w:rsidR="006F59B0">
        <w:rPr>
          <w:color w:val="000000"/>
        </w:rPr>
        <w:t>arven</w:t>
      </w:r>
      <w:r w:rsidR="00252DDB">
        <w:rPr>
          <w:color w:val="000000"/>
        </w:rPr>
        <w:t xml:space="preserve"> som kirkebyggene representerer</w:t>
      </w:r>
      <w:r w:rsidR="006F59B0">
        <w:rPr>
          <w:color w:val="000000"/>
        </w:rPr>
        <w:t xml:space="preserve">. </w:t>
      </w:r>
      <w:r w:rsidR="00D91D31">
        <w:rPr>
          <w:color w:val="000000"/>
        </w:rPr>
        <w:t xml:space="preserve">Betydningen </w:t>
      </w:r>
      <w:r w:rsidR="00821031">
        <w:rPr>
          <w:color w:val="000000"/>
        </w:rPr>
        <w:t>av d</w:t>
      </w:r>
      <w:r w:rsidR="0018432B">
        <w:rPr>
          <w:color w:val="000000"/>
        </w:rPr>
        <w:t xml:space="preserve">e kirkelige </w:t>
      </w:r>
      <w:r w:rsidR="00821031">
        <w:rPr>
          <w:color w:val="000000"/>
        </w:rPr>
        <w:t>kultur</w:t>
      </w:r>
      <w:r w:rsidR="0018432B">
        <w:rPr>
          <w:color w:val="000000"/>
        </w:rPr>
        <w:t xml:space="preserve">minnene, </w:t>
      </w:r>
      <w:r w:rsidR="00821031">
        <w:rPr>
          <w:color w:val="000000"/>
        </w:rPr>
        <w:t>omfanget av dem og de utfordringe</w:t>
      </w:r>
      <w:r w:rsidR="00D91D31">
        <w:rPr>
          <w:color w:val="000000"/>
        </w:rPr>
        <w:t>ne</w:t>
      </w:r>
      <w:r w:rsidR="00821031">
        <w:rPr>
          <w:color w:val="000000"/>
        </w:rPr>
        <w:t xml:space="preserve"> som er knyttet til forvaltningen av dem, </w:t>
      </w:r>
      <w:r w:rsidR="00D01057">
        <w:rPr>
          <w:color w:val="000000"/>
        </w:rPr>
        <w:t>inngår som viktige perspektiver i det lov- og reformarbeidet for Den norske kirke som høringsnotatet omhandler.</w:t>
      </w:r>
      <w:r w:rsidR="00093BAD">
        <w:rPr>
          <w:color w:val="000000"/>
        </w:rPr>
        <w:t xml:space="preserve"> </w:t>
      </w:r>
    </w:p>
    <w:p w:rsidR="00B27313" w:rsidRDefault="00974311" w:rsidP="00EB7294">
      <w:pPr>
        <w:rPr>
          <w:color w:val="000000"/>
        </w:rPr>
      </w:pPr>
      <w:r>
        <w:rPr>
          <w:color w:val="000000"/>
        </w:rPr>
        <w:t>Departementet ønsker i dette kapitlet å belyse kirkebyggenes særskilte betydning som kulturminner</w:t>
      </w:r>
      <w:r w:rsidR="00252DDB">
        <w:rPr>
          <w:color w:val="000000"/>
        </w:rPr>
        <w:t xml:space="preserve">, </w:t>
      </w:r>
      <w:r>
        <w:rPr>
          <w:color w:val="000000"/>
        </w:rPr>
        <w:t xml:space="preserve">med </w:t>
      </w:r>
      <w:r w:rsidR="00252DDB">
        <w:rPr>
          <w:color w:val="000000"/>
        </w:rPr>
        <w:t xml:space="preserve">en </w:t>
      </w:r>
      <w:r w:rsidR="0018432B">
        <w:rPr>
          <w:color w:val="000000"/>
        </w:rPr>
        <w:t xml:space="preserve">oversikt over </w:t>
      </w:r>
      <w:r>
        <w:rPr>
          <w:color w:val="000000"/>
        </w:rPr>
        <w:t xml:space="preserve">antallet </w:t>
      </w:r>
      <w:r w:rsidR="0018432B">
        <w:rPr>
          <w:color w:val="000000"/>
        </w:rPr>
        <w:t xml:space="preserve">fredete og kulturhistorisk </w:t>
      </w:r>
      <w:r w:rsidR="00AA65FE">
        <w:rPr>
          <w:color w:val="000000"/>
        </w:rPr>
        <w:t xml:space="preserve">verdifulle </w:t>
      </w:r>
      <w:r w:rsidR="0018432B">
        <w:rPr>
          <w:color w:val="000000"/>
        </w:rPr>
        <w:t xml:space="preserve">kirkebygg </w:t>
      </w:r>
      <w:r w:rsidR="005961FB">
        <w:rPr>
          <w:color w:val="000000"/>
        </w:rPr>
        <w:t xml:space="preserve">og det </w:t>
      </w:r>
      <w:r w:rsidR="00252DDB">
        <w:rPr>
          <w:color w:val="000000"/>
        </w:rPr>
        <w:t>etterslepet</w:t>
      </w:r>
      <w:r w:rsidR="00EB7294">
        <w:rPr>
          <w:color w:val="000000"/>
        </w:rPr>
        <w:t xml:space="preserve"> i vedlikehold</w:t>
      </w:r>
      <w:r w:rsidR="00B27313">
        <w:rPr>
          <w:color w:val="000000"/>
        </w:rPr>
        <w:t>et</w:t>
      </w:r>
      <w:r w:rsidR="00252DDB">
        <w:rPr>
          <w:color w:val="000000"/>
        </w:rPr>
        <w:t xml:space="preserve"> mange </w:t>
      </w:r>
      <w:r w:rsidR="004D73F0">
        <w:rPr>
          <w:color w:val="000000"/>
        </w:rPr>
        <w:t xml:space="preserve">kirkebygg </w:t>
      </w:r>
      <w:r w:rsidR="00252DDB">
        <w:rPr>
          <w:color w:val="000000"/>
        </w:rPr>
        <w:t>e</w:t>
      </w:r>
      <w:r w:rsidR="002A2271">
        <w:rPr>
          <w:color w:val="000000"/>
        </w:rPr>
        <w:t>r preget av</w:t>
      </w:r>
      <w:r w:rsidR="0018432B">
        <w:rPr>
          <w:color w:val="000000"/>
        </w:rPr>
        <w:t xml:space="preserve">. </w:t>
      </w:r>
    </w:p>
    <w:p w:rsidR="00EB7294" w:rsidRDefault="003E7FB6" w:rsidP="00EB7294">
      <w:pPr>
        <w:rPr>
          <w:color w:val="000000"/>
        </w:rPr>
      </w:pPr>
      <w:r>
        <w:rPr>
          <w:color w:val="000000"/>
        </w:rPr>
        <w:t>D</w:t>
      </w:r>
      <w:r w:rsidR="00EB7294">
        <w:rPr>
          <w:color w:val="000000"/>
        </w:rPr>
        <w:t>et betydelige vedlikeholdsetterslepet er den største u</w:t>
      </w:r>
      <w:r w:rsidR="0018432B">
        <w:rPr>
          <w:color w:val="000000"/>
        </w:rPr>
        <w:t xml:space="preserve">tfordringen på </w:t>
      </w:r>
      <w:r w:rsidR="00EB7294">
        <w:rPr>
          <w:color w:val="000000"/>
        </w:rPr>
        <w:t>kirkebygg</w:t>
      </w:r>
      <w:r w:rsidR="0018432B">
        <w:rPr>
          <w:color w:val="000000"/>
        </w:rPr>
        <w:t>feltet</w:t>
      </w:r>
      <w:r w:rsidR="00EB7294">
        <w:rPr>
          <w:color w:val="000000"/>
        </w:rPr>
        <w:t xml:space="preserve">, </w:t>
      </w:r>
      <w:r>
        <w:rPr>
          <w:color w:val="000000"/>
        </w:rPr>
        <w:t xml:space="preserve">og </w:t>
      </w:r>
      <w:r w:rsidR="0018432B">
        <w:rPr>
          <w:color w:val="000000"/>
        </w:rPr>
        <w:t>de</w:t>
      </w:r>
      <w:r>
        <w:rPr>
          <w:color w:val="000000"/>
        </w:rPr>
        <w:t xml:space="preserve">t er over tid fremmet mange forslag for å </w:t>
      </w:r>
      <w:r w:rsidR="000C456B">
        <w:rPr>
          <w:color w:val="000000"/>
        </w:rPr>
        <w:t>styrke vedlikeholdsinnsatsen.</w:t>
      </w:r>
      <w:r>
        <w:rPr>
          <w:color w:val="000000"/>
        </w:rPr>
        <w:t xml:space="preserve"> Nylig har både in</w:t>
      </w:r>
      <w:r>
        <w:t>teresseorganisasjonen for kommunesektoren (</w:t>
      </w:r>
      <w:r w:rsidRPr="000F5CA8">
        <w:t>KS</w:t>
      </w:r>
      <w:r>
        <w:t>)</w:t>
      </w:r>
      <w:r w:rsidR="00E07E23">
        <w:t xml:space="preserve"> og</w:t>
      </w:r>
      <w:r w:rsidR="000C456B">
        <w:t xml:space="preserve"> </w:t>
      </w:r>
      <w:r w:rsidRPr="000F5CA8">
        <w:t>arbeidsgiverorganisasjon</w:t>
      </w:r>
      <w:r>
        <w:t xml:space="preserve">en for kirkelige virksomheter (KA) </w:t>
      </w:r>
      <w:r w:rsidR="000C456B">
        <w:t>i felles</w:t>
      </w:r>
      <w:r w:rsidR="00025037">
        <w:t>s</w:t>
      </w:r>
      <w:r w:rsidR="000C456B">
        <w:t xml:space="preserve">kap fremmet konkrete forslag. Også </w:t>
      </w:r>
      <w:r>
        <w:t>Riksantikvaren</w:t>
      </w:r>
      <w:r w:rsidR="000C456B">
        <w:t xml:space="preserve"> har nylig tatt opp forslag om et bevaringsprogram. De</w:t>
      </w:r>
      <w:r w:rsidR="0018432B">
        <w:rPr>
          <w:color w:val="000000"/>
        </w:rPr>
        <w:t xml:space="preserve">partementet </w:t>
      </w:r>
      <w:r>
        <w:rPr>
          <w:color w:val="000000"/>
        </w:rPr>
        <w:t xml:space="preserve">har </w:t>
      </w:r>
      <w:r w:rsidR="0018432B">
        <w:rPr>
          <w:color w:val="000000"/>
        </w:rPr>
        <w:t xml:space="preserve">funnet det naturlig å </w:t>
      </w:r>
      <w:r w:rsidR="002A2271">
        <w:rPr>
          <w:color w:val="000000"/>
        </w:rPr>
        <w:t xml:space="preserve">referere </w:t>
      </w:r>
      <w:r w:rsidR="000C456B">
        <w:rPr>
          <w:color w:val="000000"/>
        </w:rPr>
        <w:t>disse forslagene</w:t>
      </w:r>
      <w:r w:rsidR="00B27313">
        <w:rPr>
          <w:color w:val="000000"/>
        </w:rPr>
        <w:t>. D</w:t>
      </w:r>
      <w:r w:rsidR="000C456B">
        <w:rPr>
          <w:color w:val="000000"/>
        </w:rPr>
        <w:t xml:space="preserve">e belyser </w:t>
      </w:r>
      <w:r w:rsidR="00713A21">
        <w:rPr>
          <w:color w:val="000000"/>
        </w:rPr>
        <w:t xml:space="preserve">hvordan ulike tiltak kan innrettes og i hvilket omfang. </w:t>
      </w:r>
      <w:r w:rsidR="000C456B">
        <w:rPr>
          <w:color w:val="000000"/>
        </w:rPr>
        <w:t xml:space="preserve">I Sverige </w:t>
      </w:r>
      <w:r w:rsidR="00713A21">
        <w:rPr>
          <w:color w:val="000000"/>
        </w:rPr>
        <w:t xml:space="preserve">er de kirkelige kulturminnene omfattet av </w:t>
      </w:r>
      <w:r w:rsidR="009921CE">
        <w:rPr>
          <w:color w:val="000000"/>
        </w:rPr>
        <w:t xml:space="preserve">en </w:t>
      </w:r>
      <w:r w:rsidR="009921CE" w:rsidRPr="000F5CA8">
        <w:rPr>
          <w:i/>
          <w:iCs/>
        </w:rPr>
        <w:t>kyrkoantikvarisk ersättning</w:t>
      </w:r>
      <w:r w:rsidR="00713A21">
        <w:rPr>
          <w:i/>
          <w:iCs/>
        </w:rPr>
        <w:t xml:space="preserve">. </w:t>
      </w:r>
      <w:r w:rsidR="00713A21" w:rsidRPr="00713A21">
        <w:rPr>
          <w:iCs/>
        </w:rPr>
        <w:t xml:space="preserve">Siden denne </w:t>
      </w:r>
      <w:r w:rsidR="0005360E">
        <w:rPr>
          <w:iCs/>
        </w:rPr>
        <w:t xml:space="preserve">ordningen </w:t>
      </w:r>
      <w:r w:rsidR="00713A21">
        <w:rPr>
          <w:iCs/>
        </w:rPr>
        <w:t xml:space="preserve">ofte </w:t>
      </w:r>
      <w:r w:rsidR="00EB7294" w:rsidRPr="00713A21">
        <w:rPr>
          <w:color w:val="000000"/>
        </w:rPr>
        <w:t>b</w:t>
      </w:r>
      <w:r w:rsidR="00EB7294">
        <w:rPr>
          <w:color w:val="000000"/>
        </w:rPr>
        <w:t xml:space="preserve">lir </w:t>
      </w:r>
      <w:r w:rsidR="009921CE">
        <w:rPr>
          <w:color w:val="000000"/>
        </w:rPr>
        <w:t xml:space="preserve">framholdt som en modell </w:t>
      </w:r>
      <w:r w:rsidR="00713A21">
        <w:rPr>
          <w:color w:val="000000"/>
        </w:rPr>
        <w:t xml:space="preserve">for </w:t>
      </w:r>
      <w:r w:rsidR="009921CE">
        <w:rPr>
          <w:color w:val="000000"/>
        </w:rPr>
        <w:t>Norge</w:t>
      </w:r>
      <w:r w:rsidR="00713A21">
        <w:rPr>
          <w:color w:val="000000"/>
        </w:rPr>
        <w:t xml:space="preserve">, er </w:t>
      </w:r>
      <w:r w:rsidR="0005360E">
        <w:rPr>
          <w:color w:val="000000"/>
        </w:rPr>
        <w:t>de</w:t>
      </w:r>
      <w:r w:rsidR="00B27313">
        <w:rPr>
          <w:color w:val="000000"/>
        </w:rPr>
        <w:t xml:space="preserve">n </w:t>
      </w:r>
      <w:r w:rsidR="0005360E">
        <w:rPr>
          <w:color w:val="000000"/>
        </w:rPr>
        <w:t>svenske ordningen</w:t>
      </w:r>
      <w:r w:rsidR="00B27313">
        <w:rPr>
          <w:color w:val="000000"/>
        </w:rPr>
        <w:t xml:space="preserve"> nærmere presentert</w:t>
      </w:r>
      <w:r w:rsidR="0005360E">
        <w:rPr>
          <w:color w:val="000000"/>
        </w:rPr>
        <w:t>.</w:t>
      </w:r>
    </w:p>
    <w:p w:rsidR="002A2271" w:rsidRDefault="002A2271" w:rsidP="002A2271">
      <w:pPr>
        <w:rPr>
          <w:color w:val="000000"/>
        </w:rPr>
      </w:pPr>
      <w:r>
        <w:rPr>
          <w:color w:val="000000"/>
        </w:rPr>
        <w:t xml:space="preserve">Etter departementets syn må </w:t>
      </w:r>
      <w:r w:rsidR="002D7DE0">
        <w:rPr>
          <w:color w:val="000000"/>
        </w:rPr>
        <w:t xml:space="preserve">en endring i de </w:t>
      </w:r>
      <w:r>
        <w:rPr>
          <w:color w:val="000000"/>
        </w:rPr>
        <w:t xml:space="preserve">strategier og tiltak for styrket vedlikehold og sikring av kirkebyggene </w:t>
      </w:r>
      <w:r w:rsidR="002D7DE0">
        <w:rPr>
          <w:color w:val="000000"/>
        </w:rPr>
        <w:t xml:space="preserve">som gjelder i dag, </w:t>
      </w:r>
      <w:r w:rsidR="00253AEE">
        <w:rPr>
          <w:color w:val="000000"/>
        </w:rPr>
        <w:t xml:space="preserve">vurderes </w:t>
      </w:r>
      <w:r w:rsidR="005961FB">
        <w:rPr>
          <w:color w:val="000000"/>
        </w:rPr>
        <w:t xml:space="preserve">i lys av </w:t>
      </w:r>
      <w:r>
        <w:rPr>
          <w:color w:val="000000"/>
        </w:rPr>
        <w:t>de endringe</w:t>
      </w:r>
      <w:r w:rsidR="002D7DE0">
        <w:rPr>
          <w:color w:val="000000"/>
        </w:rPr>
        <w:t>ne</w:t>
      </w:r>
      <w:r>
        <w:rPr>
          <w:color w:val="000000"/>
        </w:rPr>
        <w:t xml:space="preserve"> i kirkelovgivningen og Den norske kirkes finansiering</w:t>
      </w:r>
      <w:r w:rsidR="005961FB">
        <w:rPr>
          <w:color w:val="000000"/>
        </w:rPr>
        <w:t>sordninger</w:t>
      </w:r>
      <w:r>
        <w:rPr>
          <w:color w:val="000000"/>
        </w:rPr>
        <w:t xml:space="preserve"> som </w:t>
      </w:r>
      <w:r w:rsidR="00EB7294">
        <w:rPr>
          <w:color w:val="000000"/>
        </w:rPr>
        <w:t xml:space="preserve">er aktualisert gjennom </w:t>
      </w:r>
      <w:r>
        <w:rPr>
          <w:color w:val="000000"/>
        </w:rPr>
        <w:t>høringsnotatet</w:t>
      </w:r>
      <w:r w:rsidR="00EB7294">
        <w:rPr>
          <w:color w:val="000000"/>
        </w:rPr>
        <w:t>s utkast til ny lov for tros- og livssynssamfunn</w:t>
      </w:r>
      <w:r w:rsidR="00AA65FE">
        <w:rPr>
          <w:color w:val="000000"/>
        </w:rPr>
        <w:t xml:space="preserve">. Det vises til </w:t>
      </w:r>
      <w:r w:rsidR="00513E16">
        <w:rPr>
          <w:color w:val="000000"/>
        </w:rPr>
        <w:t>departementets vurderinger til slutt i kapitlet.</w:t>
      </w:r>
    </w:p>
    <w:p w:rsidR="00944062" w:rsidRPr="009C552D" w:rsidRDefault="00EA4493" w:rsidP="009C552D">
      <w:pPr>
        <w:pStyle w:val="Overskrift2"/>
        <w:rPr>
          <w:rFonts w:eastAsiaTheme="minorEastAsia"/>
        </w:rPr>
      </w:pPr>
      <w:bookmarkStart w:id="1697" w:name="_Toc492900477"/>
      <w:bookmarkStart w:id="1698" w:name="_Toc476320942"/>
      <w:bookmarkStart w:id="1699" w:name="_Toc477277248"/>
      <w:bookmarkStart w:id="1700" w:name="_Toc477535563"/>
      <w:bookmarkStart w:id="1701" w:name="_Toc477630695"/>
      <w:bookmarkStart w:id="1702" w:name="_Toc477693659"/>
      <w:bookmarkStart w:id="1703" w:name="_Toc477704033"/>
      <w:bookmarkStart w:id="1704" w:name="_Toc477799246"/>
      <w:bookmarkStart w:id="1705" w:name="_Toc477805849"/>
      <w:bookmarkStart w:id="1706" w:name="_Toc477871508"/>
      <w:bookmarkStart w:id="1707" w:name="_Toc477878110"/>
      <w:bookmarkStart w:id="1708" w:name="_Toc477881513"/>
      <w:bookmarkStart w:id="1709" w:name="_Toc477885973"/>
      <w:bookmarkStart w:id="1710" w:name="_Toc478131402"/>
      <w:bookmarkStart w:id="1711" w:name="_Toc478138772"/>
      <w:bookmarkStart w:id="1712" w:name="_Toc478232301"/>
      <w:bookmarkStart w:id="1713" w:name="_Toc478237285"/>
      <w:bookmarkStart w:id="1714" w:name="_Toc481761824"/>
      <w:r>
        <w:rPr>
          <w:rFonts w:eastAsiaTheme="minorEastAsia"/>
        </w:rPr>
        <w:t xml:space="preserve"> </w:t>
      </w:r>
      <w:r w:rsidR="00944062" w:rsidRPr="000F5CA8">
        <w:rPr>
          <w:rFonts w:eastAsiaTheme="minorEastAsia"/>
        </w:rPr>
        <w:t>Norges kirkebygg – kategorier</w:t>
      </w:r>
      <w:bookmarkEnd w:id="1697"/>
      <w:r w:rsidR="00944062" w:rsidRPr="000F5CA8">
        <w:rPr>
          <w:rFonts w:eastAsiaTheme="minorEastAsia"/>
        </w:rPr>
        <w:t xml:space="preserve"> </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rsidR="00DF72B5" w:rsidRDefault="00944062" w:rsidP="00697087">
      <w:r w:rsidRPr="000F5CA8">
        <w:t xml:space="preserve">I Norge er det i dag 191 kirkebygg fra middelalderen, dvs. som er oppført før reformasjonen i 1537. Av disse er 158 kirkebygg i stein. 33 kirkebygg er trekirker, hvorav 28 stavkirker. </w:t>
      </w:r>
    </w:p>
    <w:p w:rsidR="00944062" w:rsidRPr="000F5CA8" w:rsidRDefault="00944062" w:rsidP="0005360E">
      <w:r w:rsidRPr="000F5CA8">
        <w:t xml:space="preserve">Alle kulturminner fra tiden før 1537 </w:t>
      </w:r>
      <w:r w:rsidR="00D31D4A">
        <w:t>er automatisk fredet etter kulturminneloven. B</w:t>
      </w:r>
      <w:r w:rsidRPr="000F5CA8">
        <w:t xml:space="preserve">ygninger fra tiden før 1650 er </w:t>
      </w:r>
      <w:r w:rsidR="00D31D4A">
        <w:t xml:space="preserve">også </w:t>
      </w:r>
      <w:r w:rsidR="00BC017F">
        <w:t xml:space="preserve">automatisk </w:t>
      </w:r>
      <w:r w:rsidRPr="000F5CA8">
        <w:t xml:space="preserve">fredet </w:t>
      </w:r>
      <w:r w:rsidR="00D31D4A">
        <w:t xml:space="preserve">når Riksantikvaren har erklært bygningen som fredet. </w:t>
      </w:r>
      <w:r w:rsidRPr="000F5CA8">
        <w:t>Av kirkebygg som ble reist i perioden fra 1537 til 1650, er det 2</w:t>
      </w:r>
      <w:r w:rsidR="00D31D4A">
        <w:t>4</w:t>
      </w:r>
      <w:r w:rsidRPr="000F5CA8">
        <w:t xml:space="preserve"> kirkebygg tilbake</w:t>
      </w:r>
      <w:r w:rsidR="003D5349">
        <w:t xml:space="preserve">, </w:t>
      </w:r>
      <w:r w:rsidR="003D5349">
        <w:lastRenderedPageBreak/>
        <w:t xml:space="preserve">hvorav 19 er erklært fredet. </w:t>
      </w:r>
      <w:r w:rsidRPr="000F5CA8">
        <w:t xml:space="preserve">Antallet </w:t>
      </w:r>
      <w:r w:rsidR="00D11022">
        <w:t>autom</w:t>
      </w:r>
      <w:r w:rsidR="00436EF2">
        <w:t>a</w:t>
      </w:r>
      <w:r w:rsidR="00D11022">
        <w:t xml:space="preserve">tisk fredete kirkebygg </w:t>
      </w:r>
      <w:r w:rsidR="00436EF2">
        <w:t xml:space="preserve">er </w:t>
      </w:r>
      <w:r w:rsidR="00D31D4A">
        <w:t xml:space="preserve">dermed </w:t>
      </w:r>
      <w:r w:rsidR="00436EF2">
        <w:t>21</w:t>
      </w:r>
      <w:r w:rsidR="00D31D4A">
        <w:t>0</w:t>
      </w:r>
      <w:r w:rsidRPr="000F5CA8">
        <w:t xml:space="preserve">. </w:t>
      </w:r>
      <w:r w:rsidR="008E6BE4">
        <w:t xml:space="preserve">Fem </w:t>
      </w:r>
      <w:r w:rsidR="0005360E">
        <w:t xml:space="preserve">kirkebygg bygget etter 1650 </w:t>
      </w:r>
      <w:r w:rsidR="008E6BE4">
        <w:t>som tilhører Den norske kirke</w:t>
      </w:r>
      <w:r w:rsidR="00D31D4A">
        <w:t>,</w:t>
      </w:r>
      <w:r w:rsidR="008E6BE4">
        <w:t xml:space="preserve"> </w:t>
      </w:r>
      <w:r w:rsidR="0005360E">
        <w:t>er fredet etter vedtak av Riksantikvaren.</w:t>
      </w:r>
      <w:r w:rsidR="008E6BE4">
        <w:t xml:space="preserve"> </w:t>
      </w:r>
      <w:r w:rsidR="00D31D4A">
        <w:t xml:space="preserve">Også </w:t>
      </w:r>
      <w:r w:rsidR="008E6BE4">
        <w:t>St. Hallvard kirke</w:t>
      </w:r>
      <w:r w:rsidR="000A100A">
        <w:t>,</w:t>
      </w:r>
      <w:r w:rsidR="000A100A">
        <w:rPr>
          <w:color w:val="000000"/>
        </w:rPr>
        <w:t xml:space="preserve"> som er </w:t>
      </w:r>
      <w:r w:rsidR="000A100A">
        <w:t>kirke for St. Hallvard katolske menighet</w:t>
      </w:r>
      <w:r w:rsidR="008E6BE4">
        <w:t xml:space="preserve"> i Oslo</w:t>
      </w:r>
      <w:r w:rsidR="000A100A">
        <w:t>,</w:t>
      </w:r>
      <w:r w:rsidR="008E6BE4">
        <w:t xml:space="preserve"> </w:t>
      </w:r>
      <w:r w:rsidR="00D31D4A">
        <w:t xml:space="preserve">er </w:t>
      </w:r>
      <w:r w:rsidR="008E6BE4">
        <w:t>fredet etter vedtak av Rik</w:t>
      </w:r>
      <w:r w:rsidR="00D31D4A">
        <w:t>s</w:t>
      </w:r>
      <w:r w:rsidR="008E6BE4">
        <w:t xml:space="preserve">antikvaren. </w:t>
      </w:r>
      <w:r w:rsidR="0005360E">
        <w:rPr>
          <w:color w:val="000000"/>
        </w:rPr>
        <w:t>De fredete kirkebyggene er underlagt strenge restriksjoner ved restaurering, ombygging m.m.</w:t>
      </w:r>
      <w:r w:rsidR="00D73615">
        <w:rPr>
          <w:color w:val="000000"/>
        </w:rPr>
        <w:t xml:space="preserve"> Slike endringer </w:t>
      </w:r>
      <w:r w:rsidR="0005360E">
        <w:rPr>
          <w:color w:val="000000"/>
        </w:rPr>
        <w:t xml:space="preserve">skal </w:t>
      </w:r>
      <w:r w:rsidR="00D73615">
        <w:rPr>
          <w:color w:val="000000"/>
        </w:rPr>
        <w:t xml:space="preserve">alltid </w:t>
      </w:r>
      <w:r w:rsidR="0005360E">
        <w:rPr>
          <w:color w:val="000000"/>
        </w:rPr>
        <w:t>forelegges antikvariske myndigheter for godkjenning.</w:t>
      </w:r>
    </w:p>
    <w:p w:rsidR="00944062" w:rsidRDefault="009C1DAB" w:rsidP="00697087">
      <w:r>
        <w:t>Også m</w:t>
      </w:r>
      <w:r w:rsidR="00CD4C52">
        <w:t>ange av kirkebyggene oppført</w:t>
      </w:r>
      <w:r w:rsidR="003D5349">
        <w:t xml:space="preserve"> etter </w:t>
      </w:r>
      <w:r w:rsidR="00CD4C52">
        <w:t xml:space="preserve">1650 er </w:t>
      </w:r>
      <w:r>
        <w:t xml:space="preserve">regnet som </w:t>
      </w:r>
      <w:r w:rsidR="00CD4C52" w:rsidRPr="000F5CA8">
        <w:t>kulturhistorisk verdifulle</w:t>
      </w:r>
      <w:r w:rsidR="009E07BD">
        <w:t>,</w:t>
      </w:r>
      <w:r>
        <w:t xml:space="preserve"> selv om de ikke er fredet. </w:t>
      </w:r>
      <w:r w:rsidR="00CD4C52">
        <w:t>Av de nær 1</w:t>
      </w:r>
      <w:r w:rsidR="004D73F0">
        <w:t xml:space="preserve"> </w:t>
      </w:r>
      <w:r w:rsidR="00CD4C52">
        <w:t xml:space="preserve">630 kirkebyggene som tilhører Den norske kirke, er </w:t>
      </w:r>
      <w:r w:rsidR="00D73615">
        <w:t xml:space="preserve">nær 1 000 kirkebygg </w:t>
      </w:r>
      <w:r w:rsidR="0005360E" w:rsidRPr="000F5CA8">
        <w:t xml:space="preserve">enten fredet </w:t>
      </w:r>
      <w:r w:rsidR="00D73615">
        <w:t xml:space="preserve">eller </w:t>
      </w:r>
      <w:r w:rsidR="004D73F0">
        <w:t xml:space="preserve">vurdert av Riksantikvaren som </w:t>
      </w:r>
      <w:r w:rsidR="00D73615">
        <w:t xml:space="preserve">kulturhistorisk </w:t>
      </w:r>
      <w:r w:rsidR="004D73F0">
        <w:t xml:space="preserve">særlig </w:t>
      </w:r>
      <w:r w:rsidR="00D73615">
        <w:t xml:space="preserve">verdifulle. </w:t>
      </w:r>
      <w:r w:rsidR="00944062" w:rsidRPr="000F5CA8">
        <w:t>Dette gir følgende oppstilling:</w:t>
      </w:r>
    </w:p>
    <w:p w:rsidR="00D73615" w:rsidRDefault="00EA4493" w:rsidP="00EA4493">
      <w:pPr>
        <w:pStyle w:val="Tabellnavn"/>
      </w:pPr>
      <w:r>
        <w:t>05N0xt2</w:t>
      </w:r>
    </w:p>
    <w:tbl>
      <w:tblPr>
        <w:tblStyle w:val="StandardTabell"/>
        <w:tblW w:w="9200" w:type="dxa"/>
        <w:tblLook w:val="04A0" w:firstRow="1" w:lastRow="0" w:firstColumn="1" w:lastColumn="0" w:noHBand="0" w:noVBand="1"/>
      </w:tblPr>
      <w:tblGrid>
        <w:gridCol w:w="7360"/>
        <w:gridCol w:w="1840"/>
      </w:tblGrid>
      <w:tr w:rsidR="00EA4493" w:rsidTr="00EA4493">
        <w:tc>
          <w:tcPr>
            <w:tcW w:w="7360" w:type="dxa"/>
            <w:shd w:val="clear" w:color="auto" w:fill="FFFFFF"/>
          </w:tcPr>
          <w:p w:rsidR="00EA4493" w:rsidRDefault="00EA4493" w:rsidP="00EA4493">
            <w:r w:rsidRPr="0091308D">
              <w:rPr>
                <w:rFonts w:ascii="Calibri" w:hAnsi="Calibri" w:cs="Times New Roman"/>
                <w:color w:val="000000"/>
              </w:rPr>
              <w:t>Kirkebygg</w:t>
            </w:r>
          </w:p>
        </w:tc>
        <w:tc>
          <w:tcPr>
            <w:tcW w:w="1840" w:type="dxa"/>
          </w:tcPr>
          <w:p w:rsidR="00EA4493" w:rsidRDefault="00EA4493" w:rsidP="00EA4493">
            <w:pPr>
              <w:jc w:val="right"/>
            </w:pPr>
            <w:r>
              <w:t>Antall</w:t>
            </w:r>
          </w:p>
        </w:tc>
      </w:tr>
      <w:tr w:rsidR="00EA4493" w:rsidTr="00EA4493">
        <w:tc>
          <w:tcPr>
            <w:tcW w:w="7360" w:type="dxa"/>
          </w:tcPr>
          <w:p w:rsidR="00EA4493" w:rsidRDefault="00EA4493" w:rsidP="00EA4493">
            <w:r w:rsidRPr="0091308D">
              <w:rPr>
                <w:rFonts w:ascii="Calibri" w:hAnsi="Calibri" w:cs="Times New Roman"/>
                <w:color w:val="000000"/>
              </w:rPr>
              <w:t>Stavkirker</w:t>
            </w:r>
          </w:p>
        </w:tc>
        <w:tc>
          <w:tcPr>
            <w:tcW w:w="1840" w:type="dxa"/>
          </w:tcPr>
          <w:p w:rsidR="00EA4493" w:rsidRDefault="00EA4493" w:rsidP="00EA4493">
            <w:pPr>
              <w:jc w:val="right"/>
            </w:pPr>
            <w:r>
              <w:t>28</w:t>
            </w:r>
          </w:p>
        </w:tc>
      </w:tr>
      <w:tr w:rsidR="00EA4493" w:rsidTr="00EA4493">
        <w:tc>
          <w:tcPr>
            <w:tcW w:w="7360" w:type="dxa"/>
          </w:tcPr>
          <w:p w:rsidR="00EA4493" w:rsidRDefault="00EA4493" w:rsidP="00EA4493">
            <w:r w:rsidRPr="0091308D">
              <w:rPr>
                <w:rFonts w:ascii="Calibri" w:hAnsi="Calibri" w:cs="Times New Roman"/>
                <w:color w:val="000000"/>
              </w:rPr>
              <w:t>Middelalderkirker</w:t>
            </w:r>
          </w:p>
        </w:tc>
        <w:tc>
          <w:tcPr>
            <w:tcW w:w="1840" w:type="dxa"/>
          </w:tcPr>
          <w:p w:rsidR="00EA4493" w:rsidRDefault="00EA4493" w:rsidP="00EA4493">
            <w:pPr>
              <w:jc w:val="right"/>
            </w:pPr>
            <w:r>
              <w:t>163</w:t>
            </w:r>
          </w:p>
        </w:tc>
      </w:tr>
      <w:tr w:rsidR="00EA4493" w:rsidTr="00EA4493">
        <w:tc>
          <w:tcPr>
            <w:tcW w:w="7360" w:type="dxa"/>
          </w:tcPr>
          <w:p w:rsidR="00EA4493" w:rsidRDefault="00EA4493" w:rsidP="00EA4493">
            <w:r w:rsidRPr="0091308D">
              <w:rPr>
                <w:rFonts w:ascii="Calibri" w:hAnsi="Calibri" w:cs="Times New Roman"/>
                <w:color w:val="000000"/>
              </w:rPr>
              <w:t>Kirkebygg fra tiden 1537</w:t>
            </w:r>
            <w:r>
              <w:rPr>
                <w:rFonts w:ascii="Calibri" w:hAnsi="Calibri" w:cs="Times New Roman"/>
                <w:color w:val="000000"/>
              </w:rPr>
              <w:t>–1</w:t>
            </w:r>
            <w:r w:rsidRPr="0091308D">
              <w:rPr>
                <w:rFonts w:ascii="Calibri" w:hAnsi="Calibri" w:cs="Times New Roman"/>
                <w:color w:val="000000"/>
              </w:rPr>
              <w:t>650</w:t>
            </w:r>
          </w:p>
        </w:tc>
        <w:tc>
          <w:tcPr>
            <w:tcW w:w="1840" w:type="dxa"/>
          </w:tcPr>
          <w:p w:rsidR="00EA4493" w:rsidRDefault="00EA4493" w:rsidP="00EA4493">
            <w:pPr>
              <w:jc w:val="right"/>
            </w:pPr>
            <w:r>
              <w:t>24</w:t>
            </w:r>
          </w:p>
        </w:tc>
      </w:tr>
      <w:tr w:rsidR="00EA4493" w:rsidTr="00EA4493">
        <w:tc>
          <w:tcPr>
            <w:tcW w:w="7360" w:type="dxa"/>
          </w:tcPr>
          <w:p w:rsidR="00EA4493" w:rsidRDefault="00EA4493" w:rsidP="00EA4493">
            <w:r w:rsidRPr="0091308D">
              <w:rPr>
                <w:rFonts w:ascii="Calibri" w:hAnsi="Calibri" w:cs="Times New Roman"/>
                <w:color w:val="000000"/>
              </w:rPr>
              <w:t>Kulturhistorisk verdifulle kirker fra tiden etter 1</w:t>
            </w:r>
            <w:r>
              <w:rPr>
                <w:rFonts w:ascii="Calibri" w:hAnsi="Calibri" w:cs="Times New Roman"/>
                <w:color w:val="000000"/>
              </w:rPr>
              <w:t>650</w:t>
            </w:r>
          </w:p>
        </w:tc>
        <w:tc>
          <w:tcPr>
            <w:tcW w:w="1840" w:type="dxa"/>
          </w:tcPr>
          <w:p w:rsidR="00EA4493" w:rsidRDefault="00EA4493" w:rsidP="00EA4493">
            <w:pPr>
              <w:jc w:val="right"/>
            </w:pPr>
            <w:r>
              <w:t>744</w:t>
            </w:r>
          </w:p>
        </w:tc>
      </w:tr>
      <w:tr w:rsidR="00EA4493" w:rsidTr="00EA4493">
        <w:tc>
          <w:tcPr>
            <w:tcW w:w="7360" w:type="dxa"/>
          </w:tcPr>
          <w:p w:rsidR="00EA4493" w:rsidRDefault="00EA4493" w:rsidP="00EA4493">
            <w:r>
              <w:rPr>
                <w:rFonts w:ascii="Calibri" w:hAnsi="Calibri" w:cs="Times New Roman"/>
                <w:color w:val="000000"/>
              </w:rPr>
              <w:t>V</w:t>
            </w:r>
            <w:r w:rsidRPr="0091308D">
              <w:rPr>
                <w:rFonts w:ascii="Calibri" w:hAnsi="Calibri" w:cs="Times New Roman"/>
                <w:color w:val="000000"/>
              </w:rPr>
              <w:t>edtaksfrede</w:t>
            </w:r>
            <w:r>
              <w:rPr>
                <w:rFonts w:ascii="Calibri" w:hAnsi="Calibri" w:cs="Times New Roman"/>
                <w:color w:val="000000"/>
              </w:rPr>
              <w:t>t</w:t>
            </w:r>
            <w:r w:rsidRPr="0091308D">
              <w:rPr>
                <w:rFonts w:ascii="Calibri" w:hAnsi="Calibri" w:cs="Times New Roman"/>
                <w:color w:val="000000"/>
              </w:rPr>
              <w:t>e kirkebygg oppført etter 1650</w:t>
            </w:r>
          </w:p>
        </w:tc>
        <w:tc>
          <w:tcPr>
            <w:tcW w:w="1840" w:type="dxa"/>
          </w:tcPr>
          <w:p w:rsidR="00EA4493" w:rsidRDefault="00EA4493" w:rsidP="00EA4493">
            <w:pPr>
              <w:jc w:val="right"/>
            </w:pPr>
            <w:r>
              <w:t>5</w:t>
            </w:r>
          </w:p>
        </w:tc>
      </w:tr>
    </w:tbl>
    <w:p w:rsidR="00EA4493" w:rsidRDefault="00EA4493" w:rsidP="00EA4493"/>
    <w:p w:rsidR="00D73615" w:rsidRDefault="009C1DAB" w:rsidP="00143D6F">
      <w:pPr>
        <w:rPr>
          <w:color w:val="000000"/>
        </w:rPr>
      </w:pPr>
      <w:r>
        <w:rPr>
          <w:color w:val="000000"/>
        </w:rPr>
        <w:t xml:space="preserve">For å </w:t>
      </w:r>
      <w:r w:rsidRPr="00462E1E">
        <w:rPr>
          <w:color w:val="000000"/>
        </w:rPr>
        <w:t>ivareta kulturminnevernet</w:t>
      </w:r>
      <w:r>
        <w:rPr>
          <w:color w:val="000000"/>
        </w:rPr>
        <w:t xml:space="preserve"> er det i</w:t>
      </w:r>
      <w:r w:rsidR="00462E1E">
        <w:rPr>
          <w:color w:val="000000"/>
        </w:rPr>
        <w:t xml:space="preserve"> r</w:t>
      </w:r>
      <w:r w:rsidR="00462E1E" w:rsidRPr="00462E1E">
        <w:rPr>
          <w:color w:val="000000"/>
        </w:rPr>
        <w:t xml:space="preserve">undskriv T-3/2000 </w:t>
      </w:r>
      <w:r w:rsidR="00462E1E" w:rsidRPr="00462E1E">
        <w:rPr>
          <w:i/>
          <w:color w:val="000000"/>
        </w:rPr>
        <w:t>Forvaltning av kirke, kirkegård og kirkens omgivelser som kulturminne og kulturmiljø</w:t>
      </w:r>
      <w:r w:rsidR="00462E1E" w:rsidRPr="00462E1E">
        <w:rPr>
          <w:color w:val="000000"/>
        </w:rPr>
        <w:t xml:space="preserve"> gitt retningslinjer for </w:t>
      </w:r>
      <w:r w:rsidR="00462E1E">
        <w:rPr>
          <w:color w:val="000000"/>
        </w:rPr>
        <w:t>behandling av byggesaker m.m. so</w:t>
      </w:r>
      <w:r w:rsidR="00462E1E" w:rsidRPr="00462E1E">
        <w:rPr>
          <w:color w:val="000000"/>
        </w:rPr>
        <w:t xml:space="preserve">m </w:t>
      </w:r>
      <w:r w:rsidR="00462E1E">
        <w:rPr>
          <w:color w:val="000000"/>
        </w:rPr>
        <w:t xml:space="preserve">berører </w:t>
      </w:r>
      <w:r w:rsidR="00462E1E" w:rsidRPr="00462E1E">
        <w:rPr>
          <w:color w:val="000000"/>
        </w:rPr>
        <w:t>kulturhistorisk verdifulle kirke</w:t>
      </w:r>
      <w:r w:rsidR="00462E1E">
        <w:rPr>
          <w:color w:val="000000"/>
        </w:rPr>
        <w:t xml:space="preserve">bygg. </w:t>
      </w:r>
      <w:r w:rsidR="00706C62">
        <w:rPr>
          <w:color w:val="000000"/>
        </w:rPr>
        <w:t xml:space="preserve">Tidligere rundskriv regnet alle </w:t>
      </w:r>
      <w:r w:rsidR="00706C62" w:rsidRPr="00462E1E">
        <w:rPr>
          <w:color w:val="000000"/>
        </w:rPr>
        <w:t>kirke</w:t>
      </w:r>
      <w:r w:rsidR="00706C62">
        <w:rPr>
          <w:color w:val="000000"/>
        </w:rPr>
        <w:t xml:space="preserve">bygg </w:t>
      </w:r>
      <w:r w:rsidR="00706C62" w:rsidRPr="00462E1E">
        <w:rPr>
          <w:color w:val="000000"/>
        </w:rPr>
        <w:t>eldre enn 90 år for å ha antikvarisk verdi.</w:t>
      </w:r>
      <w:r w:rsidR="00706C62">
        <w:rPr>
          <w:color w:val="000000"/>
        </w:rPr>
        <w:t xml:space="preserve"> </w:t>
      </w:r>
      <w:r w:rsidR="009E07BD">
        <w:rPr>
          <w:color w:val="000000"/>
        </w:rPr>
        <w:t xml:space="preserve">Etter </w:t>
      </w:r>
      <w:r w:rsidR="00706C62">
        <w:rPr>
          <w:color w:val="000000"/>
        </w:rPr>
        <w:t>r</w:t>
      </w:r>
      <w:r w:rsidR="00706C62" w:rsidRPr="00462E1E">
        <w:rPr>
          <w:color w:val="000000"/>
        </w:rPr>
        <w:t xml:space="preserve">undskriv T-3/2000 </w:t>
      </w:r>
      <w:r w:rsidR="009E07BD">
        <w:rPr>
          <w:color w:val="000000"/>
        </w:rPr>
        <w:t xml:space="preserve">skal planer om </w:t>
      </w:r>
      <w:r w:rsidR="00462E1E" w:rsidRPr="00462E1E">
        <w:rPr>
          <w:color w:val="000000"/>
        </w:rPr>
        <w:t xml:space="preserve">ombygging </w:t>
      </w:r>
      <w:r>
        <w:rPr>
          <w:color w:val="000000"/>
        </w:rPr>
        <w:t xml:space="preserve">eller </w:t>
      </w:r>
      <w:r w:rsidR="00462E1E" w:rsidRPr="00462E1E">
        <w:rPr>
          <w:color w:val="000000"/>
        </w:rPr>
        <w:t xml:space="preserve">utvidelse av </w:t>
      </w:r>
      <w:r w:rsidR="00706C62">
        <w:rPr>
          <w:color w:val="000000"/>
        </w:rPr>
        <w:t xml:space="preserve">kirkebygg som er </w:t>
      </w:r>
      <w:r w:rsidR="00462E1E" w:rsidRPr="00462E1E">
        <w:rPr>
          <w:color w:val="000000"/>
        </w:rPr>
        <w:t>kulturhistorisk verdifulle</w:t>
      </w:r>
      <w:r w:rsidR="00706C62">
        <w:rPr>
          <w:color w:val="000000"/>
        </w:rPr>
        <w:t xml:space="preserve">, </w:t>
      </w:r>
      <w:r w:rsidR="00462E1E" w:rsidRPr="00462E1E">
        <w:rPr>
          <w:color w:val="000000"/>
        </w:rPr>
        <w:t>alltid forelegges Riksantikvaren. Det samme gjelder ved anskaffelse og avhendelse av inventar og utstyr av vesentlig betydning for kirke</w:t>
      </w:r>
      <w:r w:rsidR="009E07BD">
        <w:rPr>
          <w:color w:val="000000"/>
        </w:rPr>
        <w:t>byggets</w:t>
      </w:r>
      <w:r w:rsidR="00462E1E" w:rsidRPr="00462E1E">
        <w:rPr>
          <w:color w:val="000000"/>
        </w:rPr>
        <w:t xml:space="preserve"> interiør. Rundskrivet regner alle kirke</w:t>
      </w:r>
      <w:r w:rsidR="00706C62">
        <w:rPr>
          <w:color w:val="000000"/>
        </w:rPr>
        <w:t xml:space="preserve">bygg oppført </w:t>
      </w:r>
      <w:r w:rsidR="00462E1E" w:rsidRPr="00462E1E">
        <w:rPr>
          <w:color w:val="000000"/>
        </w:rPr>
        <w:t>i perioden 1650–1850</w:t>
      </w:r>
      <w:r w:rsidR="009E07BD">
        <w:rPr>
          <w:color w:val="000000"/>
        </w:rPr>
        <w:t xml:space="preserve">, om lag 300 kirkebygg, </w:t>
      </w:r>
      <w:r w:rsidR="00462E1E" w:rsidRPr="00462E1E">
        <w:rPr>
          <w:color w:val="000000"/>
        </w:rPr>
        <w:t>som kulturhistorisk verdifulle</w:t>
      </w:r>
      <w:r w:rsidR="009E07BD">
        <w:rPr>
          <w:color w:val="000000"/>
        </w:rPr>
        <w:t>, men ogs</w:t>
      </w:r>
      <w:r w:rsidR="00706C62">
        <w:rPr>
          <w:color w:val="000000"/>
        </w:rPr>
        <w:t>å mange kirkebygg oppført etter 1850 er regnet som kulturhistorisk verdifulle (listeførte kirkebygg)</w:t>
      </w:r>
      <w:r w:rsidR="009E07BD">
        <w:rPr>
          <w:color w:val="000000"/>
        </w:rPr>
        <w:t>, i alt om lag 440 kirkebygg</w:t>
      </w:r>
      <w:r w:rsidR="00706C62">
        <w:rPr>
          <w:color w:val="000000"/>
        </w:rPr>
        <w:t xml:space="preserve">. </w:t>
      </w:r>
    </w:p>
    <w:p w:rsidR="00143D6F" w:rsidRDefault="00143D6F" w:rsidP="00143D6F">
      <w:pPr>
        <w:rPr>
          <w:color w:val="000000"/>
        </w:rPr>
      </w:pPr>
      <w:r>
        <w:rPr>
          <w:color w:val="000000"/>
        </w:rPr>
        <w:t xml:space="preserve">Det er ikke bare eldre kirkebygg som </w:t>
      </w:r>
      <w:r w:rsidR="004D73F0">
        <w:rPr>
          <w:color w:val="000000"/>
        </w:rPr>
        <w:t xml:space="preserve">regnes som kulturhistorisk verdifulle. </w:t>
      </w:r>
      <w:r>
        <w:rPr>
          <w:color w:val="000000"/>
        </w:rPr>
        <w:t xml:space="preserve">Også kirkebygg fra nyere tid er utpekt som </w:t>
      </w:r>
      <w:r w:rsidR="000801F9">
        <w:rPr>
          <w:color w:val="000000"/>
        </w:rPr>
        <w:t xml:space="preserve">kulturhistorisk verdifulle. </w:t>
      </w:r>
      <w:r>
        <w:rPr>
          <w:color w:val="000000"/>
        </w:rPr>
        <w:t>De</w:t>
      </w:r>
      <w:r w:rsidR="004D73F0">
        <w:rPr>
          <w:color w:val="000000"/>
        </w:rPr>
        <w:t xml:space="preserve">t avgjørende for utvelgelsen er </w:t>
      </w:r>
      <w:r w:rsidR="00804C4C">
        <w:rPr>
          <w:color w:val="000000"/>
        </w:rPr>
        <w:t xml:space="preserve">at de er </w:t>
      </w:r>
      <w:r w:rsidR="000801F9">
        <w:rPr>
          <w:color w:val="000000"/>
        </w:rPr>
        <w:t xml:space="preserve">særlig </w:t>
      </w:r>
      <w:r>
        <w:rPr>
          <w:color w:val="000000"/>
        </w:rPr>
        <w:t xml:space="preserve">interessante </w:t>
      </w:r>
      <w:r w:rsidR="000257B0">
        <w:rPr>
          <w:color w:val="000000"/>
        </w:rPr>
        <w:t xml:space="preserve">som </w:t>
      </w:r>
      <w:r w:rsidR="000801F9">
        <w:rPr>
          <w:color w:val="000000"/>
        </w:rPr>
        <w:t xml:space="preserve">arkitektoniske eller </w:t>
      </w:r>
      <w:r>
        <w:rPr>
          <w:color w:val="000000"/>
        </w:rPr>
        <w:t xml:space="preserve">kulturhistorisk </w:t>
      </w:r>
      <w:r w:rsidR="000801F9">
        <w:rPr>
          <w:color w:val="000000"/>
        </w:rPr>
        <w:t xml:space="preserve">verdifulle </w:t>
      </w:r>
      <w:r>
        <w:rPr>
          <w:color w:val="000000"/>
        </w:rPr>
        <w:t>representa</w:t>
      </w:r>
      <w:r w:rsidR="000801F9">
        <w:rPr>
          <w:color w:val="000000"/>
        </w:rPr>
        <w:t xml:space="preserve">nter for sin tid. </w:t>
      </w:r>
      <w:r>
        <w:rPr>
          <w:color w:val="000000"/>
        </w:rPr>
        <w:t>Tromsdalen kirke (Ishavskatedralen) fra 1965 er blant kirkebyggene i nyere tid som er regnet som kulturhistorisk verdifull</w:t>
      </w:r>
      <w:r w:rsidR="00804C4C">
        <w:rPr>
          <w:color w:val="000000"/>
        </w:rPr>
        <w:t>.</w:t>
      </w:r>
      <w:r>
        <w:rPr>
          <w:color w:val="000000"/>
        </w:rPr>
        <w:t xml:space="preserve"> </w:t>
      </w:r>
      <w:r w:rsidR="002836C3">
        <w:rPr>
          <w:color w:val="000000"/>
        </w:rPr>
        <w:t>Den fredete St. Hallvard kirke er fra 1966.</w:t>
      </w:r>
    </w:p>
    <w:p w:rsidR="00944062" w:rsidRPr="009C552D" w:rsidRDefault="00EA4493" w:rsidP="00EA4493">
      <w:pPr>
        <w:pStyle w:val="Overskrift2"/>
        <w:rPr>
          <w:rFonts w:eastAsiaTheme="minorEastAsia"/>
        </w:rPr>
      </w:pPr>
      <w:bookmarkStart w:id="1715" w:name="_Toc477277250"/>
      <w:bookmarkStart w:id="1716" w:name="_Toc477535565"/>
      <w:bookmarkStart w:id="1717" w:name="_Toc477630697"/>
      <w:bookmarkStart w:id="1718" w:name="_Toc477693661"/>
      <w:bookmarkStart w:id="1719" w:name="_Toc477704035"/>
      <w:bookmarkStart w:id="1720" w:name="_Toc477799248"/>
      <w:bookmarkStart w:id="1721" w:name="_Toc477805851"/>
      <w:bookmarkStart w:id="1722" w:name="_Toc477871510"/>
      <w:bookmarkStart w:id="1723" w:name="_Toc477878112"/>
      <w:bookmarkStart w:id="1724" w:name="_Toc477881515"/>
      <w:bookmarkStart w:id="1725" w:name="_Toc477885975"/>
      <w:bookmarkStart w:id="1726" w:name="_Toc478131404"/>
      <w:bookmarkStart w:id="1727" w:name="_Toc478138774"/>
      <w:bookmarkStart w:id="1728" w:name="_Toc478232303"/>
      <w:bookmarkStart w:id="1729" w:name="_Toc478237287"/>
      <w:bookmarkStart w:id="1730" w:name="_Toc481761826"/>
      <w:bookmarkStart w:id="1731" w:name="_Toc492900478"/>
      <w:r>
        <w:rPr>
          <w:rFonts w:eastAsiaTheme="minorEastAsia"/>
        </w:rPr>
        <w:t xml:space="preserve"> </w:t>
      </w:r>
      <w:r w:rsidR="00944062" w:rsidRPr="009C552D">
        <w:rPr>
          <w:rFonts w:eastAsiaTheme="minorEastAsia"/>
        </w:rPr>
        <w:t>Istandsettingsbehov</w:t>
      </w:r>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rsidR="00611143" w:rsidRDefault="00944062" w:rsidP="00065307">
      <w:r w:rsidRPr="000F5CA8">
        <w:t xml:space="preserve">Gjennom Riksantikvarens </w:t>
      </w:r>
      <w:r w:rsidR="000801F9">
        <w:t>stavkirkeprogram</w:t>
      </w:r>
      <w:r w:rsidR="000801F9" w:rsidRPr="000801F9">
        <w:t xml:space="preserve"> </w:t>
      </w:r>
      <w:r w:rsidR="000801F9" w:rsidRPr="000F5CA8">
        <w:t>2001–2015</w:t>
      </w:r>
      <w:r w:rsidR="000801F9">
        <w:t xml:space="preserve">, som innebar en </w:t>
      </w:r>
      <w:r w:rsidRPr="000F5CA8">
        <w:t xml:space="preserve">systematisk istandsetting av </w:t>
      </w:r>
      <w:r w:rsidR="000801F9">
        <w:t xml:space="preserve">alle </w:t>
      </w:r>
      <w:r w:rsidRPr="000F5CA8">
        <w:t>stavkirkene</w:t>
      </w:r>
      <w:r w:rsidR="000801F9">
        <w:t>,</w:t>
      </w:r>
      <w:r w:rsidRPr="000F5CA8">
        <w:t xml:space="preserve"> er </w:t>
      </w:r>
      <w:r w:rsidR="00611143">
        <w:t xml:space="preserve">stavkirkene </w:t>
      </w:r>
      <w:r w:rsidRPr="000F5CA8">
        <w:t xml:space="preserve">nå brakt opp på et ordinært vedlikeholdsnivå. For de 28 stavkirkene kostnadsberegnet Riksantikvaren i 2005 at istandsettingsbehovet </w:t>
      </w:r>
      <w:r w:rsidR="009C0780">
        <w:t xml:space="preserve">var </w:t>
      </w:r>
      <w:r w:rsidRPr="000F5CA8">
        <w:t xml:space="preserve">på rundt 60 mill. kroner. Istandsettingen og sikringen av stavkirkene, som har vært fullt ut finansiert av staten, har kostet rundt 130 mill. kroner, dvs. rundt 5 mill. kroner for hver kirke. </w:t>
      </w:r>
    </w:p>
    <w:p w:rsidR="00611143" w:rsidRDefault="00AA65FE" w:rsidP="00065307">
      <w:r>
        <w:t xml:space="preserve">For alle kirkebyggene, også for </w:t>
      </w:r>
      <w:r w:rsidR="009C0780">
        <w:t>de kulturhistorisk verdifulle</w:t>
      </w:r>
      <w:r>
        <w:t xml:space="preserve">, kan det være betydelige </w:t>
      </w:r>
      <w:r w:rsidR="009C0780">
        <w:t xml:space="preserve">variasjoner kirkebyggene imellom når det gjelder omfanget av vedlikeholdsetterslep og </w:t>
      </w:r>
      <w:r w:rsidR="009C0780">
        <w:lastRenderedPageBreak/>
        <w:t xml:space="preserve">istandsettingsbehov. Noen kirkebygg har vært godt vedlikeholdt, andre krever betydelige investeringer for å bli brakt opp på et ordinært vedlikeholdsnivå. Det </w:t>
      </w:r>
      <w:r w:rsidR="00944062" w:rsidRPr="000F5CA8">
        <w:t>foreligger ingen samlet eller ajourført oversikt over istandsettingsbehovet</w:t>
      </w:r>
      <w:r w:rsidR="009C0780">
        <w:t xml:space="preserve">. </w:t>
      </w:r>
      <w:r w:rsidR="00944062" w:rsidRPr="000F5CA8">
        <w:t xml:space="preserve">I 2005 anslo Riksantikvaren at det ville koste rundt 3,2 mrd. kroner å bringe disse </w:t>
      </w:r>
      <w:r w:rsidR="009C0780">
        <w:t xml:space="preserve">kirkebyggene </w:t>
      </w:r>
      <w:r w:rsidR="00944062" w:rsidRPr="000F5CA8">
        <w:t xml:space="preserve">opp på et ordinært vedlikeholdsnivå, inklusive brannsikring og istandsetting av kirkebyggenes inventar og utsmykning. Med utgangspunkt i hva stavkirkeprogrammet har kostet, sammenliknet med Riksantikvarens anslag i 2005, gir dette et revidert kostnadsanslag på henimot 7 mrd. kroner for istandsetting av alle de kulturhistorisk verdifulle kirkebyggene. </w:t>
      </w:r>
    </w:p>
    <w:p w:rsidR="00143D6F" w:rsidRPr="000F5CA8" w:rsidRDefault="00944062" w:rsidP="00143D6F">
      <w:pPr>
        <w:rPr>
          <w:color w:val="000000"/>
        </w:rPr>
      </w:pPr>
      <w:r w:rsidRPr="000F5CA8">
        <w:t xml:space="preserve">Tildelingene fra rentekompensasjonsordningen for istandsetting av kirkebygg viser at det er investert </w:t>
      </w:r>
      <w:r w:rsidR="00A14A9E">
        <w:t xml:space="preserve">rundt </w:t>
      </w:r>
      <w:r w:rsidRPr="000F5CA8">
        <w:t>3</w:t>
      </w:r>
      <w:r w:rsidR="00A14A9E">
        <w:t>,5</w:t>
      </w:r>
      <w:r w:rsidRPr="000F5CA8">
        <w:t xml:space="preserve"> mrd. kroner i kirkebyggene i årene 2005–201</w:t>
      </w:r>
      <w:r w:rsidR="00767414">
        <w:t>6</w:t>
      </w:r>
      <w:r w:rsidRPr="000F5CA8">
        <w:t xml:space="preserve">. Tilstandsundersøkelser av kirkebyggene det siste tiåret gir en indikasjon på at vedlikeholdsetterslepet ikke har blitt større siden Riksantikvarens beregninger i 2005, men heller ikke mindre. </w:t>
      </w:r>
      <w:r w:rsidR="00611143">
        <w:t>KA</w:t>
      </w:r>
      <w:r w:rsidR="00A14A9E">
        <w:t xml:space="preserve">, som regelmessig foretar tilstandsundersøkelser, </w:t>
      </w:r>
      <w:r w:rsidR="00065307">
        <w:t>anslå</w:t>
      </w:r>
      <w:r w:rsidR="00A14A9E">
        <w:t>r</w:t>
      </w:r>
      <w:r w:rsidR="00065307">
        <w:t xml:space="preserve"> at istands</w:t>
      </w:r>
      <w:r w:rsidR="00611143">
        <w:t>e</w:t>
      </w:r>
      <w:r w:rsidR="00065307">
        <w:t>ttingsbehovet for alle kirkebygg</w:t>
      </w:r>
      <w:r w:rsidR="00767414">
        <w:t>ene som tilhører Den norske kirke</w:t>
      </w:r>
      <w:r w:rsidR="00065307">
        <w:t>, inklusive standar</w:t>
      </w:r>
      <w:r w:rsidR="00611143">
        <w:t>d</w:t>
      </w:r>
      <w:r w:rsidR="00065307">
        <w:t>forbedringer, er på godt over 10 mrd. kroner</w:t>
      </w:r>
      <w:r w:rsidR="003C7784">
        <w:t xml:space="preserve">, jf. </w:t>
      </w:r>
      <w:r w:rsidR="00804C4C">
        <w:t xml:space="preserve">omtalen av kirkebyggene i </w:t>
      </w:r>
      <w:r w:rsidR="003C7784">
        <w:t>kapittel 9.5.</w:t>
      </w:r>
      <w:r w:rsidR="00065307">
        <w:t xml:space="preserve"> </w:t>
      </w:r>
      <w:r w:rsidR="000801F9">
        <w:t xml:space="preserve"> </w:t>
      </w:r>
    </w:p>
    <w:p w:rsidR="00944062" w:rsidRDefault="0074188D" w:rsidP="00EA4493">
      <w:pPr>
        <w:pStyle w:val="Overskrift2"/>
        <w:rPr>
          <w:rFonts w:eastAsiaTheme="minorEastAsia"/>
        </w:rPr>
      </w:pPr>
      <w:bookmarkStart w:id="1732" w:name="_Toc476320943"/>
      <w:bookmarkStart w:id="1733" w:name="_Toc477277251"/>
      <w:bookmarkStart w:id="1734" w:name="_Toc477535566"/>
      <w:bookmarkStart w:id="1735" w:name="_Toc477630698"/>
      <w:bookmarkStart w:id="1736" w:name="_Toc477693662"/>
      <w:bookmarkStart w:id="1737" w:name="_Toc477704036"/>
      <w:bookmarkStart w:id="1738" w:name="_Toc477799249"/>
      <w:bookmarkStart w:id="1739" w:name="_Toc477805852"/>
      <w:bookmarkStart w:id="1740" w:name="_Toc477871511"/>
      <w:bookmarkStart w:id="1741" w:name="_Toc477878113"/>
      <w:bookmarkStart w:id="1742" w:name="_Toc477881516"/>
      <w:bookmarkStart w:id="1743" w:name="_Toc477885976"/>
      <w:bookmarkStart w:id="1744" w:name="_Toc478131405"/>
      <w:bookmarkStart w:id="1745" w:name="_Toc478138775"/>
      <w:bookmarkStart w:id="1746" w:name="_Toc478232304"/>
      <w:bookmarkStart w:id="1747" w:name="_Toc478237288"/>
      <w:bookmarkStart w:id="1748" w:name="_Toc481761827"/>
      <w:bookmarkStart w:id="1749" w:name="_Toc492900479"/>
      <w:r>
        <w:rPr>
          <w:rFonts w:eastAsiaTheme="minorEastAsia"/>
        </w:rPr>
        <w:t>Forslag fra KS</w:t>
      </w:r>
      <w:r w:rsidR="00540872">
        <w:rPr>
          <w:rFonts w:eastAsiaTheme="minorEastAsia"/>
        </w:rPr>
        <w:t>,</w:t>
      </w:r>
      <w:r>
        <w:rPr>
          <w:rFonts w:eastAsiaTheme="minorEastAsia"/>
        </w:rPr>
        <w:t xml:space="preserve"> KA</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00540872">
        <w:rPr>
          <w:rFonts w:eastAsiaTheme="minorEastAsia"/>
        </w:rPr>
        <w:t xml:space="preserve"> og Riksantikvaren </w:t>
      </w:r>
      <w:r w:rsidR="00355FC0">
        <w:rPr>
          <w:rFonts w:eastAsiaTheme="minorEastAsia"/>
        </w:rPr>
        <w:t>om bevar</w:t>
      </w:r>
      <w:r w:rsidR="00FC35D0">
        <w:rPr>
          <w:rFonts w:eastAsiaTheme="minorEastAsia"/>
        </w:rPr>
        <w:t>i</w:t>
      </w:r>
      <w:r w:rsidR="00355FC0">
        <w:rPr>
          <w:rFonts w:eastAsiaTheme="minorEastAsia"/>
        </w:rPr>
        <w:t>ngsprogrammer</w:t>
      </w:r>
      <w:bookmarkEnd w:id="1749"/>
    </w:p>
    <w:p w:rsidR="00540872" w:rsidRDefault="00371DC9" w:rsidP="00540872">
      <w:r>
        <w:t xml:space="preserve">Med bakgrunn i det betydelige vedlikeholdsetterslepet som foreligger, har det </w:t>
      </w:r>
      <w:r w:rsidR="003C7784">
        <w:t xml:space="preserve">gjennom årene </w:t>
      </w:r>
      <w:r w:rsidR="00BC67F6">
        <w:t xml:space="preserve">fra ulike hold </w:t>
      </w:r>
      <w:r w:rsidR="00374DD8">
        <w:t xml:space="preserve">vært </w:t>
      </w:r>
      <w:r w:rsidR="00BC67F6">
        <w:t xml:space="preserve">tatt opp forslag for å sikre at de kulturhistorisk </w:t>
      </w:r>
      <w:r w:rsidR="00577FC1">
        <w:t>mest verdifulle kirkebyggene blir satt</w:t>
      </w:r>
      <w:r w:rsidR="003C7784">
        <w:t xml:space="preserve"> i stand</w:t>
      </w:r>
      <w:r w:rsidR="00540872">
        <w:t>.</w:t>
      </w:r>
      <w:r w:rsidR="00540872" w:rsidRPr="00540872">
        <w:t xml:space="preserve"> </w:t>
      </w:r>
      <w:r w:rsidR="00540872">
        <w:t xml:space="preserve">De fleste av forslagene </w:t>
      </w:r>
      <w:r w:rsidR="005E6F9D">
        <w:t xml:space="preserve">innebærer at </w:t>
      </w:r>
      <w:r w:rsidR="00540872">
        <w:t xml:space="preserve">staten påtar seg et større og mer direkte økonomisk ansvar for </w:t>
      </w:r>
      <w:r w:rsidR="00767414">
        <w:t xml:space="preserve">sikring og vern av kirkebygg av </w:t>
      </w:r>
      <w:r w:rsidR="003C7784">
        <w:t xml:space="preserve">særlig </w:t>
      </w:r>
      <w:r w:rsidR="00540872">
        <w:t xml:space="preserve">kulturhistorisk betydning. </w:t>
      </w:r>
    </w:p>
    <w:p w:rsidR="00540872" w:rsidRDefault="00540872" w:rsidP="00540872">
      <w:r>
        <w:t>Interesseorganisasjonen for kommunesektoren (</w:t>
      </w:r>
      <w:r w:rsidRPr="000F5CA8">
        <w:t>KS</w:t>
      </w:r>
      <w:r>
        <w:t>)</w:t>
      </w:r>
      <w:r w:rsidRPr="000F5CA8">
        <w:t xml:space="preserve"> og arbeidsgiverorganisasjon</w:t>
      </w:r>
      <w:r>
        <w:t xml:space="preserve">en </w:t>
      </w:r>
      <w:r w:rsidR="005B0212">
        <w:t>for kirkelige virksomheter (</w:t>
      </w:r>
      <w:r>
        <w:t>KA</w:t>
      </w:r>
      <w:r w:rsidR="005B0212">
        <w:t>)</w:t>
      </w:r>
      <w:r>
        <w:t xml:space="preserve"> har nylig foreslått tilskuddsordninger over statsbudsjettet til istandsetting av </w:t>
      </w:r>
      <w:r w:rsidR="003C7784">
        <w:t xml:space="preserve">et utvalg </w:t>
      </w:r>
      <w:r>
        <w:t xml:space="preserve">kulturhistorisk verdifulle kirkebygg. </w:t>
      </w:r>
      <w:r w:rsidR="005B0212">
        <w:t>Også Riksantikvaren har nylig fremmet forslag</w:t>
      </w:r>
      <w:r w:rsidR="00CD6D72">
        <w:t xml:space="preserve"> om økt statlig medvirkning for bevaring av de mest verdifulle kirkebyggene. </w:t>
      </w:r>
      <w:r w:rsidR="005E6F9D">
        <w:t>F</w:t>
      </w:r>
      <w:r w:rsidR="00FC35D0">
        <w:t xml:space="preserve">orslagene </w:t>
      </w:r>
      <w:r w:rsidR="00371DC9">
        <w:t xml:space="preserve">fra KS, KA og Riksantikvaren </w:t>
      </w:r>
      <w:r>
        <w:t xml:space="preserve">er kort gjennomgått i det følgende. </w:t>
      </w:r>
    </w:p>
    <w:p w:rsidR="00540872" w:rsidRPr="000F5CA8" w:rsidRDefault="00540872" w:rsidP="00540872">
      <w:pPr>
        <w:pStyle w:val="Overskrift3"/>
        <w:rPr>
          <w:rFonts w:eastAsiaTheme="minorEastAsia"/>
        </w:rPr>
      </w:pPr>
      <w:bookmarkStart w:id="1750" w:name="_Toc492900480"/>
      <w:r w:rsidRPr="000F5CA8">
        <w:rPr>
          <w:rFonts w:eastAsiaTheme="minorEastAsia"/>
        </w:rPr>
        <w:t xml:space="preserve">Forslag fra </w:t>
      </w:r>
      <w:r w:rsidRPr="003C7784">
        <w:rPr>
          <w:rFonts w:eastAsiaTheme="minorEastAsia"/>
        </w:rPr>
        <w:t>KS og KA</w:t>
      </w:r>
      <w:bookmarkEnd w:id="1750"/>
      <w:r w:rsidRPr="000F5CA8">
        <w:rPr>
          <w:rFonts w:eastAsiaTheme="minorEastAsia"/>
        </w:rPr>
        <w:t xml:space="preserve"> </w:t>
      </w:r>
    </w:p>
    <w:p w:rsidR="00CB4FF7" w:rsidRDefault="00371DC9" w:rsidP="00540872">
      <w:r w:rsidRPr="000F5CA8">
        <w:t xml:space="preserve">KS og </w:t>
      </w:r>
      <w:r w:rsidR="00025037">
        <w:t>KA</w:t>
      </w:r>
      <w:r>
        <w:t>s</w:t>
      </w:r>
      <w:r w:rsidRPr="000F5CA8">
        <w:t xml:space="preserve"> forslag om et bevaringsprogram for sikring av </w:t>
      </w:r>
      <w:r w:rsidR="007A7757">
        <w:t xml:space="preserve">et utvalg </w:t>
      </w:r>
      <w:r w:rsidRPr="000F5CA8">
        <w:t>kulturhistorisk verdifulle kirkebygg</w:t>
      </w:r>
      <w:r>
        <w:t xml:space="preserve"> ble tatt opp i</w:t>
      </w:r>
      <w:r w:rsidR="00540872" w:rsidRPr="000F5CA8">
        <w:t xml:space="preserve"> et fellesbrev 27. mai 2016 til Kulturdepartementet</w:t>
      </w:r>
      <w:r>
        <w:t xml:space="preserve">. </w:t>
      </w:r>
      <w:r w:rsidR="00540872" w:rsidRPr="000F5CA8">
        <w:t>Som bakgrunn ble</w:t>
      </w:r>
      <w:r w:rsidR="00025037">
        <w:t xml:space="preserve"> det</w:t>
      </w:r>
      <w:r w:rsidR="00540872" w:rsidRPr="000F5CA8">
        <w:t xml:space="preserve"> vist til Stortingets anmodningsvedtak fra 2015 om kirkebygg</w:t>
      </w:r>
      <w:r w:rsidR="00540872">
        <w:t xml:space="preserve">, jf. </w:t>
      </w:r>
      <w:r>
        <w:t xml:space="preserve">omtalen i </w:t>
      </w:r>
      <w:r w:rsidR="00540872">
        <w:t>kapittel 3.5 foran</w:t>
      </w:r>
      <w:r>
        <w:t>.</w:t>
      </w:r>
      <w:r w:rsidR="00540872" w:rsidRPr="000F5CA8">
        <w:t xml:space="preserve"> </w:t>
      </w:r>
    </w:p>
    <w:p w:rsidR="00540872" w:rsidRPr="000F5CA8" w:rsidRDefault="00540872" w:rsidP="00540872">
      <w:r w:rsidRPr="000F5CA8">
        <w:t>KS og KA foreslår at det etableres en statlig tilskuddsordning som innrettes mot alle steinkirker fra middelalderen og fredete etter-reformatoriske kirkebygg</w:t>
      </w:r>
      <w:r w:rsidR="00371DC9">
        <w:t>.</w:t>
      </w:r>
      <w:r w:rsidRPr="000F5CA8">
        <w:t xml:space="preserve"> K</w:t>
      </w:r>
      <w:r w:rsidR="00371DC9">
        <w:t>S</w:t>
      </w:r>
      <w:r w:rsidRPr="000F5CA8">
        <w:t xml:space="preserve"> og K</w:t>
      </w:r>
      <w:r w:rsidR="00371DC9">
        <w:t>A</w:t>
      </w:r>
      <w:r w:rsidRPr="000F5CA8">
        <w:t xml:space="preserve"> mener at tilskuddsordningen også bør omfatte et utvalg på </w:t>
      </w:r>
      <w:r w:rsidR="007A7757">
        <w:t xml:space="preserve">rundt </w:t>
      </w:r>
      <w:r w:rsidRPr="000F5CA8">
        <w:t>250 kirkebygg av de øvrige kulturhistorisk verdifulle kirkebyggene. Utvalget av d</w:t>
      </w:r>
      <w:r w:rsidR="00804C4C">
        <w:t>isse</w:t>
      </w:r>
      <w:r w:rsidRPr="000F5CA8">
        <w:t xml:space="preserve"> 250 kirkebyggene bør gjøres etter anbefalinger fra Riksantikvaren. Etter forslaget vil tilskuddsordningen </w:t>
      </w:r>
      <w:r w:rsidR="00E07E23">
        <w:t>o</w:t>
      </w:r>
      <w:r w:rsidRPr="000F5CA8">
        <w:t xml:space="preserve">mfatte </w:t>
      </w:r>
      <w:r w:rsidR="00804C4C">
        <w:t xml:space="preserve">i alt </w:t>
      </w:r>
      <w:r w:rsidR="007A7757">
        <w:t xml:space="preserve">rundt </w:t>
      </w:r>
      <w:r w:rsidRPr="000F5CA8">
        <w:t>4</w:t>
      </w:r>
      <w:r w:rsidR="00436EF2">
        <w:t>4</w:t>
      </w:r>
      <w:r w:rsidRPr="000F5CA8">
        <w:t>0 kirkebygg</w:t>
      </w:r>
      <w:r w:rsidR="00CB4FF7">
        <w:t>, stavkirkene unntatt</w:t>
      </w:r>
      <w:r w:rsidRPr="000F5CA8">
        <w:t>.</w:t>
      </w:r>
    </w:p>
    <w:p w:rsidR="00540872" w:rsidRDefault="00540872" w:rsidP="00540872">
      <w:r w:rsidRPr="000F5CA8">
        <w:t xml:space="preserve">KS og KA mener ordningen bør bekrefte det lokale ansvaret for kirkebyggene, og foreslår at kravet til lokal egenfinansiering settes til </w:t>
      </w:r>
      <w:r w:rsidR="008E6BE4">
        <w:t xml:space="preserve">1/3 </w:t>
      </w:r>
      <w:r w:rsidRPr="000F5CA8">
        <w:t xml:space="preserve">av kostnadene for å bringe kirkebygget opp til et forsvarlig vedlikeholdsnivå. Brannsikring og andre sikringstiltak bør inngå i kostnadene, likeså tiltak for tilrettelegging av personer med funksjonsnedsettelser. Annen oppgradering </w:t>
      </w:r>
      <w:r w:rsidRPr="000F5CA8">
        <w:lastRenderedPageBreak/>
        <w:t xml:space="preserve">eller standardheving av byggene kan holdes utenom. KS og KA </w:t>
      </w:r>
      <w:r w:rsidR="00436EF2">
        <w:t xml:space="preserve">anbefaler at </w:t>
      </w:r>
      <w:r w:rsidRPr="000F5CA8">
        <w:t xml:space="preserve">bevaringsprogrammet </w:t>
      </w:r>
      <w:r w:rsidR="00436EF2">
        <w:t xml:space="preserve">søkes </w:t>
      </w:r>
      <w:r w:rsidRPr="000F5CA8">
        <w:t>gjennomfør</w:t>
      </w:r>
      <w:r w:rsidR="00436EF2">
        <w:t>t</w:t>
      </w:r>
      <w:r w:rsidRPr="000F5CA8">
        <w:t xml:space="preserve"> for alle kirkebyggene innen 8–10 år. </w:t>
      </w:r>
    </w:p>
    <w:p w:rsidR="00083D90" w:rsidRPr="000F5CA8" w:rsidRDefault="00083D90" w:rsidP="00540872">
      <w:r>
        <w:t>KS og KA har ikke opplyst hva de samlede kostnadene ved et slikt bevaringsprogram antas å være.</w:t>
      </w:r>
    </w:p>
    <w:p w:rsidR="0074188D" w:rsidRDefault="0074188D" w:rsidP="0084542C">
      <w:pPr>
        <w:pStyle w:val="Overskrift3"/>
        <w:rPr>
          <w:rFonts w:eastAsiaTheme="minorEastAsia"/>
        </w:rPr>
      </w:pPr>
      <w:bookmarkStart w:id="1751" w:name="_Toc492900481"/>
      <w:bookmarkStart w:id="1752" w:name="_Toc477277252"/>
      <w:bookmarkStart w:id="1753" w:name="_Toc477535567"/>
      <w:bookmarkStart w:id="1754" w:name="_Toc477630699"/>
      <w:bookmarkStart w:id="1755" w:name="_Toc477693663"/>
      <w:bookmarkStart w:id="1756" w:name="_Toc477704037"/>
      <w:bookmarkStart w:id="1757" w:name="_Toc477799250"/>
      <w:bookmarkStart w:id="1758" w:name="_Toc477805853"/>
      <w:bookmarkStart w:id="1759" w:name="_Toc477871512"/>
      <w:bookmarkStart w:id="1760" w:name="_Toc477878114"/>
      <w:bookmarkStart w:id="1761" w:name="_Toc477881517"/>
      <w:bookmarkStart w:id="1762" w:name="_Toc477885977"/>
      <w:bookmarkStart w:id="1763" w:name="_Toc478131406"/>
      <w:bookmarkStart w:id="1764" w:name="_Toc478138776"/>
      <w:bookmarkStart w:id="1765" w:name="_Toc478232305"/>
      <w:bookmarkStart w:id="1766" w:name="_Toc478237289"/>
      <w:bookmarkStart w:id="1767" w:name="_Toc481761828"/>
      <w:r>
        <w:rPr>
          <w:rFonts w:eastAsiaTheme="minorEastAsia"/>
        </w:rPr>
        <w:t>Riksantikvarens forslag om bevaringsprogram</w:t>
      </w:r>
      <w:bookmarkEnd w:id="1751"/>
    </w:p>
    <w:p w:rsidR="00540872" w:rsidRDefault="00540872" w:rsidP="0074188D">
      <w:r w:rsidRPr="000F5CA8">
        <w:t xml:space="preserve">I </w:t>
      </w:r>
      <w:r w:rsidR="00083D90">
        <w:t xml:space="preserve">brev </w:t>
      </w:r>
      <w:r w:rsidRPr="000F5CA8">
        <w:t xml:space="preserve">30. </w:t>
      </w:r>
      <w:r>
        <w:t>august</w:t>
      </w:r>
      <w:r w:rsidRPr="000F5CA8">
        <w:t xml:space="preserve"> 2016 til Klima- og miljødepartementet tok Riksantikvaren opp forslag om et særskilt bevaringsprogram for </w:t>
      </w:r>
      <w:r w:rsidR="003D5349">
        <w:t xml:space="preserve">alle </w:t>
      </w:r>
      <w:r w:rsidRPr="000F5CA8">
        <w:t>kirkebygg som er oppført før 1650, stavkirkene unntatt. Riksantikvaren anslå</w:t>
      </w:r>
      <w:r>
        <w:t>r</w:t>
      </w:r>
      <w:r w:rsidRPr="000F5CA8">
        <w:t xml:space="preserve"> et istandsettingsbehov på </w:t>
      </w:r>
      <w:r w:rsidR="003D5349">
        <w:t xml:space="preserve">i snitt </w:t>
      </w:r>
      <w:r w:rsidRPr="000F5CA8">
        <w:t>15 mill. kroner for hver</w:t>
      </w:r>
      <w:r w:rsidR="003D5349">
        <w:t>t</w:t>
      </w:r>
      <w:r w:rsidRPr="000F5CA8">
        <w:t xml:space="preserve"> kirkebygg</w:t>
      </w:r>
      <w:r>
        <w:t xml:space="preserve">. </w:t>
      </w:r>
      <w:r w:rsidRPr="000F5CA8">
        <w:t xml:space="preserve">Dette gir en samlet kostnad på </w:t>
      </w:r>
      <w:r w:rsidR="00EE2FE2">
        <w:t xml:space="preserve">rundt </w:t>
      </w:r>
      <w:r w:rsidRPr="000F5CA8">
        <w:t>2,</w:t>
      </w:r>
      <w:r w:rsidR="002362C7">
        <w:t>8</w:t>
      </w:r>
      <w:r w:rsidRPr="000F5CA8">
        <w:t xml:space="preserve"> mrd. kroner</w:t>
      </w:r>
      <w:r w:rsidR="002362C7">
        <w:t xml:space="preserve"> når antallet kirkebygg er 187, jf. oversikten foran.</w:t>
      </w:r>
    </w:p>
    <w:p w:rsidR="00540872" w:rsidRDefault="003A75D2" w:rsidP="0074188D">
      <w:r>
        <w:t>E</w:t>
      </w:r>
      <w:r w:rsidR="0074188D" w:rsidRPr="000F5CA8">
        <w:t xml:space="preserve">tter Riksantikvarens forslag bør </w:t>
      </w:r>
      <w:r w:rsidR="00540872">
        <w:t>bevarings</w:t>
      </w:r>
      <w:r w:rsidR="0074188D" w:rsidRPr="000F5CA8">
        <w:t xml:space="preserve">programmet omfatte istandsetting av kirkebygningene, </w:t>
      </w:r>
      <w:r w:rsidR="00C10D6B">
        <w:t xml:space="preserve">inklusive </w:t>
      </w:r>
      <w:r w:rsidR="0074188D" w:rsidRPr="000F5CA8">
        <w:t>kirkeinteriør</w:t>
      </w:r>
      <w:r w:rsidR="00C10D6B">
        <w:t xml:space="preserve"> m.v., </w:t>
      </w:r>
      <w:r w:rsidR="0074188D" w:rsidRPr="000F5CA8">
        <w:t>samt brannsikring. Riksantikvaren foreslår at staten finansierer halvparten av programmets kostnader</w:t>
      </w:r>
      <w:r w:rsidR="00FC35D0">
        <w:t xml:space="preserve">, </w:t>
      </w:r>
      <w:r w:rsidR="0074188D" w:rsidRPr="000F5CA8">
        <w:t xml:space="preserve">mens den andre halvparten dekkes </w:t>
      </w:r>
      <w:r w:rsidR="009350C6">
        <w:t xml:space="preserve">gjennom kommunal finansiering. </w:t>
      </w:r>
      <w:r w:rsidR="0074188D" w:rsidRPr="000F5CA8">
        <w:t xml:space="preserve">Riksantikvaren foreslår en årlig bevilgningsramme fra statens side på 100 mill. kroner, og mener det da vil være realistisk at kirkebyggene er istandsatt innen 2030. </w:t>
      </w:r>
    </w:p>
    <w:p w:rsidR="0074188D" w:rsidRDefault="0074188D" w:rsidP="0074188D">
      <w:r w:rsidRPr="000F5CA8">
        <w:t xml:space="preserve">Riksantikvaren </w:t>
      </w:r>
      <w:r w:rsidR="00E56849">
        <w:t xml:space="preserve">foreslår </w:t>
      </w:r>
      <w:r w:rsidR="00C10D6B">
        <w:t>i tillegg en statlig tilskuddsordning med en årlig ramme på</w:t>
      </w:r>
      <w:r w:rsidRPr="000F5CA8">
        <w:t xml:space="preserve"> 100 mill. kroner til istandsetting av </w:t>
      </w:r>
      <w:r w:rsidR="00E56849">
        <w:t xml:space="preserve">øvrige </w:t>
      </w:r>
      <w:r w:rsidR="00C10D6B">
        <w:t xml:space="preserve">verneverdige </w:t>
      </w:r>
      <w:r w:rsidRPr="000F5CA8">
        <w:t>kirkebygg</w:t>
      </w:r>
      <w:r w:rsidR="00E56849">
        <w:t>.</w:t>
      </w:r>
      <w:r w:rsidRPr="000F5CA8">
        <w:t xml:space="preserve"> </w:t>
      </w:r>
      <w:r w:rsidR="00083D90">
        <w:t>Riksantikvaren mener at a</w:t>
      </w:r>
      <w:r w:rsidR="00083D90" w:rsidRPr="000F5CA8">
        <w:t xml:space="preserve">ntikvariske myndigheter </w:t>
      </w:r>
      <w:r w:rsidR="00083D90">
        <w:t xml:space="preserve">i </w:t>
      </w:r>
      <w:r w:rsidR="00FC35D0" w:rsidRPr="000F5CA8">
        <w:t xml:space="preserve">samarbeid med kirkelige instanser </w:t>
      </w:r>
      <w:r w:rsidR="00083D90">
        <w:t xml:space="preserve">bør kunne </w:t>
      </w:r>
      <w:r w:rsidRPr="000F5CA8">
        <w:t xml:space="preserve">utarbeide en </w:t>
      </w:r>
      <w:r w:rsidR="00E56849">
        <w:t>rådgiven</w:t>
      </w:r>
      <w:r w:rsidR="00FC35D0">
        <w:t>d</w:t>
      </w:r>
      <w:r w:rsidR="00E56849">
        <w:t xml:space="preserve">e </w:t>
      </w:r>
      <w:r w:rsidRPr="000F5CA8">
        <w:t>priorit</w:t>
      </w:r>
      <w:r w:rsidR="00017112">
        <w:t>e</w:t>
      </w:r>
      <w:r w:rsidR="00490E92">
        <w:t>ringsl</w:t>
      </w:r>
      <w:r w:rsidRPr="000F5CA8">
        <w:t xml:space="preserve">iste for hvilke kirkebygg i denne kategorien som bør istandsettes først. </w:t>
      </w:r>
    </w:p>
    <w:p w:rsidR="00D12BF4" w:rsidRPr="0074188D" w:rsidRDefault="00D12BF4" w:rsidP="0074188D">
      <w:r>
        <w:t xml:space="preserve">Riksantikvaren foreslår at </w:t>
      </w:r>
      <w:r w:rsidR="00A16625">
        <w:t xml:space="preserve">en </w:t>
      </w:r>
      <w:r>
        <w:t>del</w:t>
      </w:r>
      <w:r w:rsidR="009C3F53">
        <w:t xml:space="preserve"> av </w:t>
      </w:r>
      <w:r w:rsidR="009350C6">
        <w:t xml:space="preserve">tilskuddsrammene </w:t>
      </w:r>
      <w:r w:rsidR="00A16625">
        <w:t xml:space="preserve">går til å </w:t>
      </w:r>
      <w:r>
        <w:t xml:space="preserve">etablere </w:t>
      </w:r>
      <w:r w:rsidR="00047C8A">
        <w:t xml:space="preserve">ordninger som sikrer </w:t>
      </w:r>
      <w:r>
        <w:t>et systematisk tilsyn</w:t>
      </w:r>
      <w:r w:rsidR="00AA65FE">
        <w:t xml:space="preserve"> </w:t>
      </w:r>
      <w:r w:rsidR="004F08D9">
        <w:t xml:space="preserve">og vedlikehold av </w:t>
      </w:r>
      <w:r w:rsidR="00AA65FE">
        <w:t>kirke</w:t>
      </w:r>
      <w:r w:rsidR="004F08D9">
        <w:t>byggene.</w:t>
      </w:r>
    </w:p>
    <w:p w:rsidR="00944062" w:rsidRPr="009C552D" w:rsidRDefault="00944062" w:rsidP="009C552D">
      <w:pPr>
        <w:pStyle w:val="Overskrift2"/>
        <w:rPr>
          <w:rFonts w:eastAsiaTheme="minorEastAsia"/>
        </w:rPr>
      </w:pPr>
      <w:bookmarkStart w:id="1768" w:name="_Toc477277254"/>
      <w:bookmarkStart w:id="1769" w:name="_Toc477535569"/>
      <w:bookmarkStart w:id="1770" w:name="_Toc477630701"/>
      <w:bookmarkStart w:id="1771" w:name="_Toc477693665"/>
      <w:bookmarkStart w:id="1772" w:name="_Toc477704039"/>
      <w:bookmarkStart w:id="1773" w:name="_Toc477799252"/>
      <w:bookmarkStart w:id="1774" w:name="_Toc477805855"/>
      <w:bookmarkStart w:id="1775" w:name="_Toc477871514"/>
      <w:bookmarkStart w:id="1776" w:name="_Toc477878116"/>
      <w:bookmarkStart w:id="1777" w:name="_Toc477881519"/>
      <w:bookmarkStart w:id="1778" w:name="_Toc477885979"/>
      <w:bookmarkStart w:id="1779" w:name="_Toc478131408"/>
      <w:bookmarkStart w:id="1780" w:name="_Toc478138778"/>
      <w:bookmarkStart w:id="1781" w:name="_Toc478232307"/>
      <w:bookmarkStart w:id="1782" w:name="_Toc478237291"/>
      <w:bookmarkStart w:id="1783" w:name="_Toc481761830"/>
      <w:bookmarkStart w:id="1784" w:name="_Toc492900482"/>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r w:rsidRPr="009C552D">
        <w:rPr>
          <w:rFonts w:eastAsiaTheme="minorEastAsia"/>
        </w:rPr>
        <w:t>Den</w:t>
      </w:r>
      <w:r w:rsidR="00A5514D" w:rsidRPr="009C552D">
        <w:rPr>
          <w:rFonts w:eastAsiaTheme="minorEastAsia"/>
          <w:i/>
        </w:rPr>
        <w:t xml:space="preserve"> kyrkoantikvariska</w:t>
      </w:r>
      <w:r w:rsidR="0084542C" w:rsidRPr="009C552D">
        <w:rPr>
          <w:rFonts w:eastAsiaTheme="minorEastAsia"/>
          <w:i/>
        </w:rPr>
        <w:t xml:space="preserve"> e</w:t>
      </w:r>
      <w:r w:rsidRPr="009C552D">
        <w:rPr>
          <w:rFonts w:eastAsiaTheme="minorEastAsia"/>
          <w:i/>
        </w:rPr>
        <w:t>rsättningen</w:t>
      </w:r>
      <w:r w:rsidRPr="009C552D">
        <w:rPr>
          <w:rFonts w:eastAsiaTheme="minorEastAsia"/>
        </w:rPr>
        <w:t xml:space="preserve"> i Sverige</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rsidR="005C4E98" w:rsidRDefault="00FC1D77" w:rsidP="00FC1D77">
      <w:pPr>
        <w:rPr>
          <w:color w:val="000000"/>
        </w:rPr>
      </w:pPr>
      <w:r>
        <w:rPr>
          <w:color w:val="000000"/>
        </w:rPr>
        <w:t xml:space="preserve">Som nevnt blir den </w:t>
      </w:r>
      <w:r w:rsidRPr="000F5CA8">
        <w:rPr>
          <w:i/>
          <w:iCs/>
        </w:rPr>
        <w:t>kyrkoantikvariske ersättningen</w:t>
      </w:r>
      <w:r>
        <w:rPr>
          <w:color w:val="000000"/>
        </w:rPr>
        <w:t xml:space="preserve"> i Sverige, som kom til under stat–kirke-reformen i Sverige</w:t>
      </w:r>
      <w:r w:rsidR="00E07E23">
        <w:rPr>
          <w:color w:val="000000"/>
        </w:rPr>
        <w:t xml:space="preserve"> ved årtusenskiftet</w:t>
      </w:r>
      <w:r>
        <w:rPr>
          <w:color w:val="000000"/>
        </w:rPr>
        <w:t>, ofte framholdt som en egnet modell også i Norge. Blant andre Gjønnes-utvalget</w:t>
      </w:r>
      <w:r w:rsidR="005C4E98">
        <w:rPr>
          <w:color w:val="000000"/>
        </w:rPr>
        <w:t>, jf</w:t>
      </w:r>
      <w:r w:rsidR="00435DA8">
        <w:rPr>
          <w:color w:val="000000"/>
        </w:rPr>
        <w:t>.</w:t>
      </w:r>
      <w:r w:rsidR="005C4E98">
        <w:rPr>
          <w:color w:val="000000"/>
        </w:rPr>
        <w:t xml:space="preserve"> NOU 2006: </w:t>
      </w:r>
      <w:r w:rsidR="009C3F53">
        <w:rPr>
          <w:color w:val="000000"/>
        </w:rPr>
        <w:t>2</w:t>
      </w:r>
      <w:r w:rsidR="005C4E98">
        <w:rPr>
          <w:color w:val="000000"/>
        </w:rPr>
        <w:t xml:space="preserve"> </w:t>
      </w:r>
      <w:r w:rsidR="005C4E98" w:rsidRPr="005C4E98">
        <w:rPr>
          <w:i/>
          <w:color w:val="000000"/>
        </w:rPr>
        <w:t>Staten og Den norske kirke</w:t>
      </w:r>
      <w:r w:rsidR="005C4E98">
        <w:rPr>
          <w:color w:val="000000"/>
        </w:rPr>
        <w:t xml:space="preserve">, </w:t>
      </w:r>
      <w:r>
        <w:rPr>
          <w:color w:val="000000"/>
        </w:rPr>
        <w:t>pekte på den svenske ordningen som aktuell</w:t>
      </w:r>
      <w:r w:rsidR="00435DA8">
        <w:rPr>
          <w:color w:val="000000"/>
        </w:rPr>
        <w:t xml:space="preserve"> også for</w:t>
      </w:r>
      <w:r w:rsidR="005C4E98">
        <w:rPr>
          <w:color w:val="000000"/>
        </w:rPr>
        <w:t xml:space="preserve"> Norge.</w:t>
      </w:r>
      <w:r w:rsidR="00D2357F">
        <w:rPr>
          <w:color w:val="000000"/>
        </w:rPr>
        <w:t xml:space="preserve"> </w:t>
      </w:r>
    </w:p>
    <w:p w:rsidR="007A7757" w:rsidRPr="000F5CA8" w:rsidRDefault="00083D90" w:rsidP="007A7757">
      <w:r>
        <w:t xml:space="preserve">Med bakgrunn i </w:t>
      </w:r>
      <w:r w:rsidR="00944062" w:rsidRPr="000F5CA8">
        <w:t xml:space="preserve">avtale mellom staten og Svenska kyrkan har den svenske staten </w:t>
      </w:r>
      <w:r w:rsidR="00435DA8">
        <w:t xml:space="preserve">de siste 15–20 årene </w:t>
      </w:r>
      <w:r w:rsidR="00944062" w:rsidRPr="000F5CA8">
        <w:t>gradvis trappet opp en årlig bevilgning til Svenska kyrkan til sikring og bevaring av den kulturarven som k</w:t>
      </w:r>
      <w:r w:rsidR="00804C4C">
        <w:t>i</w:t>
      </w:r>
      <w:r w:rsidR="00944062" w:rsidRPr="000F5CA8">
        <w:t>rk</w:t>
      </w:r>
      <w:r w:rsidR="00804C4C">
        <w:t>e</w:t>
      </w:r>
      <w:r w:rsidR="00944062" w:rsidRPr="000F5CA8">
        <w:t xml:space="preserve">n forvalter i form av kirkebygninger, kirketomter, kirkeinventar og gravplasser. </w:t>
      </w:r>
      <w:r w:rsidR="007A7757">
        <w:t xml:space="preserve">Avtalen kom i stand som følge av de nye relasjonene mellom staten og Svenska kyrkan, iverksatt i år 2000, da </w:t>
      </w:r>
      <w:r w:rsidR="007A7757" w:rsidRPr="000F5CA8">
        <w:t xml:space="preserve">det </w:t>
      </w:r>
      <w:r w:rsidR="007A7757">
        <w:t xml:space="preserve">måtte </w:t>
      </w:r>
      <w:r w:rsidR="007A7757" w:rsidRPr="000F5CA8">
        <w:t xml:space="preserve">avklares hvordan det svenske samfunnet skulle kunne sikre at den kulturarven som kirkebyggene og kirkekunsten representerer, ble bevart også for framtiden. Dersom ansvaret for å sikre disse verdiene skulle ligge til Svenska kyrkan alene, gjennom kirkemedlemmenes kirkeskatt, ville Svenska kyrkan få et ansvar som kollektivt tilhører det svenske samfunnet. Sverige har rundt 3 400 kirkebygg, hvorav 3 000 er regnet som kulturhistorisk verdifulle. </w:t>
      </w:r>
    </w:p>
    <w:p w:rsidR="00944062" w:rsidRPr="000F5CA8" w:rsidRDefault="00944062" w:rsidP="002D176E">
      <w:r w:rsidRPr="000F5CA8">
        <w:t xml:space="preserve">Den </w:t>
      </w:r>
      <w:r w:rsidRPr="00CB4FF7">
        <w:rPr>
          <w:iCs/>
        </w:rPr>
        <w:t>kyrkoantikvariske ersättningen</w:t>
      </w:r>
      <w:r w:rsidRPr="000F5CA8">
        <w:t xml:space="preserve"> omfatter alle kirkebygg som er oppført før 1940 – i alt 3 000 kirkebygg – og er en kompensasjon – </w:t>
      </w:r>
      <w:r w:rsidRPr="000F5CA8">
        <w:rPr>
          <w:i/>
          <w:iCs/>
        </w:rPr>
        <w:t>ersättning –</w:t>
      </w:r>
      <w:r w:rsidRPr="000F5CA8">
        <w:t xml:space="preserve"> for det ansvaret Svenska kyrkan har for å bevare kulturverdiene. Det som skal kompenseres, er kulturhistorisk begrunnede kostnader ved sikring og bevaring av de kirkelige kulturminnene. De siste årene har den </w:t>
      </w:r>
      <w:r w:rsidRPr="000F5CA8">
        <w:lastRenderedPageBreak/>
        <w:t xml:space="preserve">statlige bevilgningen til ordningen ligget fast på 460 mill. SEK og utgjør rundt </w:t>
      </w:r>
      <w:proofErr w:type="gramStart"/>
      <w:r w:rsidR="00AA65FE">
        <w:t xml:space="preserve">¼ </w:t>
      </w:r>
      <w:r w:rsidR="007A7757">
        <w:t xml:space="preserve"> </w:t>
      </w:r>
      <w:r w:rsidRPr="000F5CA8">
        <w:t>av</w:t>
      </w:r>
      <w:proofErr w:type="gramEnd"/>
      <w:r w:rsidRPr="000F5CA8">
        <w:t xml:space="preserve"> totalutgiftene for kirkebyggenes vedlikehold og investeringer ellers. </w:t>
      </w:r>
      <w:r w:rsidR="00564581">
        <w:t xml:space="preserve">De resterende </w:t>
      </w:r>
      <w:r w:rsidR="00AA65FE">
        <w:t xml:space="preserve">¾ </w:t>
      </w:r>
      <w:r w:rsidRPr="000F5CA8">
        <w:t xml:space="preserve">dekkes av kirkemedlemmenes kirkeskatt. </w:t>
      </w:r>
    </w:p>
    <w:p w:rsidR="00944062" w:rsidRPr="000F5CA8" w:rsidRDefault="00944062" w:rsidP="002D176E">
      <w:pPr>
        <w:rPr>
          <w:iCs/>
        </w:rPr>
      </w:pPr>
      <w:r w:rsidRPr="000F5CA8">
        <w:t>De kirkelige kulturminnene har et særskilt vern i den svenske kulturminnelovgivningen.</w:t>
      </w:r>
      <w:r w:rsidRPr="000F5CA8">
        <w:rPr>
          <w:iCs/>
        </w:rPr>
        <w:t xml:space="preserve"> I alle saker som berører de kirkelige kulturminnene, har både </w:t>
      </w:r>
      <w:r w:rsidRPr="00B60A3B">
        <w:rPr>
          <w:i/>
          <w:iCs/>
        </w:rPr>
        <w:t>länsstyrelsen</w:t>
      </w:r>
      <w:r w:rsidRPr="000F5CA8">
        <w:rPr>
          <w:iCs/>
        </w:rPr>
        <w:t xml:space="preserve"> (fylket i Norge) og det svenske Riksantikvarembetet særskilt myndighet, bla</w:t>
      </w:r>
      <w:r w:rsidR="00421EF0">
        <w:rPr>
          <w:iCs/>
        </w:rPr>
        <w:t>nt annet</w:t>
      </w:r>
      <w:r w:rsidRPr="000F5CA8">
        <w:rPr>
          <w:iCs/>
        </w:rPr>
        <w:t xml:space="preserve"> med hensyn til godkjenning av restaureringsarbeider, ombygginger m.m. Disse instansene skal konsulteres ved fordelingen av den kyrkoantikvariske ersättningen på ulike prosjekter. </w:t>
      </w:r>
    </w:p>
    <w:p w:rsidR="00944062" w:rsidRPr="000F5CA8" w:rsidRDefault="00944062" w:rsidP="002D176E">
      <w:pPr>
        <w:rPr>
          <w:iCs/>
        </w:rPr>
      </w:pPr>
      <w:r w:rsidRPr="000F5CA8">
        <w:t xml:space="preserve">De enkelte forsamlingene i Svenska kyrkan (som svarer til soknene/menighetene i Den norske kirke) søker hvert år sitt stift (bispedømme i Norge) om tildeling fra den </w:t>
      </w:r>
      <w:r w:rsidRPr="000F5CA8">
        <w:rPr>
          <w:iCs/>
        </w:rPr>
        <w:t xml:space="preserve">kyrkoantikvariske ersättningen. </w:t>
      </w:r>
      <w:r w:rsidRPr="000F5CA8">
        <w:t>I samråd med l</w:t>
      </w:r>
      <w:r w:rsidRPr="000F5CA8">
        <w:rPr>
          <w:iCs/>
        </w:rPr>
        <w:t>änsstyrelsen vurderer stiftet søknadene og sender sin anbefaling til</w:t>
      </w:r>
      <w:r w:rsidRPr="000F5CA8">
        <w:rPr>
          <w:i/>
          <w:iCs/>
        </w:rPr>
        <w:t xml:space="preserve"> kyrkostyrelsen</w:t>
      </w:r>
      <w:r w:rsidRPr="000F5CA8">
        <w:t xml:space="preserve"> i Svenska kyrkan. På bakgrunn av søknadene som er kommet inn og </w:t>
      </w:r>
      <w:r w:rsidRPr="000F5CA8">
        <w:rPr>
          <w:iCs/>
        </w:rPr>
        <w:t xml:space="preserve">etter samråd med </w:t>
      </w:r>
      <w:r w:rsidRPr="000F5CA8">
        <w:t>Riksantikvaren, foretar k</w:t>
      </w:r>
      <w:r w:rsidRPr="000F5CA8">
        <w:rPr>
          <w:iCs/>
        </w:rPr>
        <w:t>yrkostyrelsen</w:t>
      </w:r>
      <w:r w:rsidRPr="000F5CA8">
        <w:t xml:space="preserve"> en rammetildeling fra</w:t>
      </w:r>
      <w:r w:rsidRPr="000F5CA8">
        <w:rPr>
          <w:i/>
          <w:iCs/>
        </w:rPr>
        <w:t xml:space="preserve"> </w:t>
      </w:r>
      <w:r w:rsidRPr="000F5CA8">
        <w:rPr>
          <w:iCs/>
        </w:rPr>
        <w:t xml:space="preserve">den kyrkoantikvariske ersättningen til de enkelte stiftene. I samråd med länsstyrelsen fordeler </w:t>
      </w:r>
      <w:r w:rsidRPr="000F5CA8">
        <w:t xml:space="preserve">stiftene den tildelte rammen </w:t>
      </w:r>
      <w:r w:rsidRPr="000F5CA8">
        <w:rPr>
          <w:iCs/>
        </w:rPr>
        <w:t xml:space="preserve">til prosjekter/tiltak som forsamlingene har søkt om midler til. </w:t>
      </w:r>
    </w:p>
    <w:p w:rsidR="00944062" w:rsidRPr="000F5CA8" w:rsidRDefault="00944062" w:rsidP="002D176E">
      <w:pPr>
        <w:rPr>
          <w:iCs/>
        </w:rPr>
      </w:pPr>
      <w:r w:rsidRPr="000F5CA8">
        <w:rPr>
          <w:iCs/>
        </w:rPr>
        <w:t>Hvert år avgir Svenska kyrkan en rapport til det svenske kulturdepartementet om bruken av midlene fra den kyrkoantikvariske ersättningen. Hvert femte år skal Svenska kyrkan gi en mer omfattende redegjørelse til Kulturdepartementet om status for de kirkelige kulturminnene, hvilke utfordringer som er på feltet m.m.</w:t>
      </w:r>
    </w:p>
    <w:p w:rsidR="00944062" w:rsidRPr="000F5CA8" w:rsidRDefault="00944062" w:rsidP="002D176E">
      <w:pPr>
        <w:rPr>
          <w:iCs/>
        </w:rPr>
      </w:pPr>
      <w:r w:rsidRPr="000F5CA8">
        <w:rPr>
          <w:iCs/>
        </w:rPr>
        <w:t>Alle kirkebyggene i Svenska kyrkan regnes i dag for å ha et ordinært vedlikeholdsbehov.</w:t>
      </w:r>
    </w:p>
    <w:p w:rsidR="00944062" w:rsidRPr="000F5CA8" w:rsidRDefault="00944062" w:rsidP="0084542C">
      <w:pPr>
        <w:pStyle w:val="Overskrift2"/>
        <w:rPr>
          <w:rFonts w:eastAsiaTheme="minorEastAsia"/>
        </w:rPr>
      </w:pPr>
      <w:bookmarkStart w:id="1785" w:name="_Toc476320944"/>
      <w:bookmarkStart w:id="1786" w:name="_Toc477277255"/>
      <w:bookmarkStart w:id="1787" w:name="_Toc477535570"/>
      <w:bookmarkStart w:id="1788" w:name="_Toc477630702"/>
      <w:bookmarkStart w:id="1789" w:name="_Toc477693666"/>
      <w:bookmarkStart w:id="1790" w:name="_Toc477704040"/>
      <w:bookmarkStart w:id="1791" w:name="_Toc477799253"/>
      <w:bookmarkStart w:id="1792" w:name="_Toc477805856"/>
      <w:bookmarkStart w:id="1793" w:name="_Toc477871515"/>
      <w:bookmarkStart w:id="1794" w:name="_Toc477878117"/>
      <w:bookmarkStart w:id="1795" w:name="_Toc477881520"/>
      <w:bookmarkStart w:id="1796" w:name="_Toc477885980"/>
      <w:bookmarkStart w:id="1797" w:name="_Toc478131409"/>
      <w:bookmarkStart w:id="1798" w:name="_Toc478138779"/>
      <w:bookmarkStart w:id="1799" w:name="_Toc478232308"/>
      <w:bookmarkStart w:id="1800" w:name="_Toc478237292"/>
      <w:bookmarkStart w:id="1801" w:name="_Toc481761831"/>
      <w:bookmarkStart w:id="1802" w:name="_Toc492900483"/>
      <w:r w:rsidRPr="000F5CA8">
        <w:rPr>
          <w:rFonts w:eastAsiaTheme="minorEastAsia"/>
        </w:rPr>
        <w:t>Departementets vurderinger</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rsidR="00B500D1" w:rsidRPr="000F5CA8" w:rsidRDefault="00A72602" w:rsidP="00B500D1">
      <w:pPr>
        <w:rPr>
          <w:color w:val="000000"/>
        </w:rPr>
      </w:pPr>
      <w:r>
        <w:t>Kirkebyggene</w:t>
      </w:r>
      <w:r w:rsidR="00294A05" w:rsidRPr="000F5CA8">
        <w:t xml:space="preserve"> er en sentral del av den norske kulturarven og står i Norge i en særstilling som kulturminner. </w:t>
      </w:r>
      <w:r w:rsidR="00B500D1" w:rsidRPr="000F5CA8">
        <w:rPr>
          <w:color w:val="000000"/>
        </w:rPr>
        <w:t xml:space="preserve">Ivaretakelsen av kirkebyggenes og kirkekunstens betydning som kulturminner er en forpliktelse som påhviler det norske samfunnet. Den kulturarven som kirkebyggene og kirkekunsten representerer, er en verdi som i egentlig forstand tilhører alle, selv om eiendomsretten ligger til soknene i Den norske kirke. </w:t>
      </w:r>
    </w:p>
    <w:p w:rsidR="00A11CB3" w:rsidRDefault="00A11CB3" w:rsidP="00A11CB3">
      <w:pPr>
        <w:rPr>
          <w:color w:val="000000"/>
        </w:rPr>
      </w:pPr>
      <w:r w:rsidRPr="000F5CA8">
        <w:rPr>
          <w:color w:val="000000"/>
        </w:rPr>
        <w:t xml:space="preserve">Manglende vedlikehold over lang tid har medført at kirkebyggene og deres inventar og utsmykning mange steder er i dårlig stand. </w:t>
      </w:r>
      <w:r w:rsidR="00544B1C">
        <w:rPr>
          <w:color w:val="000000"/>
        </w:rPr>
        <w:t>Blant annet f</w:t>
      </w:r>
      <w:r>
        <w:rPr>
          <w:color w:val="000000"/>
        </w:rPr>
        <w:t>ra kirkelig og kommunalt hold har det vært framholdt at staten bør ta et større ansvar for kirkebygg</w:t>
      </w:r>
      <w:r w:rsidR="00544B1C">
        <w:rPr>
          <w:color w:val="000000"/>
        </w:rPr>
        <w:t xml:space="preserve"> med særlig kulturhistorisk verdi, </w:t>
      </w:r>
      <w:r w:rsidR="00C26F94">
        <w:rPr>
          <w:color w:val="000000"/>
        </w:rPr>
        <w:t xml:space="preserve">og </w:t>
      </w:r>
      <w:r>
        <w:rPr>
          <w:color w:val="000000"/>
        </w:rPr>
        <w:t>Stortinget har i 2015 bedt regjeringen utarbeide en forsterket strategi for ivaretakelsen av de mest verdifulle kirkebyggene</w:t>
      </w:r>
      <w:r w:rsidR="00C26F94">
        <w:rPr>
          <w:color w:val="000000"/>
        </w:rPr>
        <w:t xml:space="preserve"> og </w:t>
      </w:r>
      <w:r>
        <w:rPr>
          <w:color w:val="000000"/>
        </w:rPr>
        <w:t xml:space="preserve">vurdere mulighetene for å iverksette bevaringsprogrammer etter mønster av </w:t>
      </w:r>
      <w:r w:rsidR="00C26F94">
        <w:rPr>
          <w:color w:val="000000"/>
        </w:rPr>
        <w:t xml:space="preserve">stavkirkeprogrammet. </w:t>
      </w:r>
    </w:p>
    <w:p w:rsidR="004C1A2B" w:rsidRDefault="00564581" w:rsidP="00564581">
      <w:r>
        <w:rPr>
          <w:color w:val="000000"/>
        </w:rPr>
        <w:t xml:space="preserve">Etter dagens </w:t>
      </w:r>
      <w:r w:rsidR="00544B1C">
        <w:rPr>
          <w:color w:val="000000"/>
        </w:rPr>
        <w:t>kirke</w:t>
      </w:r>
      <w:r>
        <w:rPr>
          <w:color w:val="000000"/>
        </w:rPr>
        <w:t>lovgivning er det kommunene som har det økonomiske ansvaret for kirkebyggenes drift og vedlik</w:t>
      </w:r>
      <w:r w:rsidR="00544B1C">
        <w:rPr>
          <w:color w:val="000000"/>
        </w:rPr>
        <w:t>e</w:t>
      </w:r>
      <w:r>
        <w:rPr>
          <w:color w:val="000000"/>
        </w:rPr>
        <w:t>hold, mens soknene, representert ved det kirkelige fellesrådet i kommunen, har forvaltningsansvaret.</w:t>
      </w:r>
      <w:r w:rsidR="004C1A2B" w:rsidRPr="000F5CA8">
        <w:t xml:space="preserve"> </w:t>
      </w:r>
      <w:r>
        <w:t xml:space="preserve">Både kommunen og kirken har dermed ansvaret for kirkebyggene. </w:t>
      </w:r>
      <w:r w:rsidR="004C1A2B" w:rsidRPr="000F5CA8">
        <w:t>Når kirkebyggene ikke er vedlikeholdt like godt alle steder, kan årsakene være mange og ulike: den enkelte kommunes økonomiske situasjon</w:t>
      </w:r>
      <w:r w:rsidR="00C10CA0">
        <w:t xml:space="preserve"> og prioritering av kirkebyggenes vedlikehold</w:t>
      </w:r>
      <w:r w:rsidR="004C1A2B" w:rsidRPr="000F5CA8">
        <w:t xml:space="preserve">, forholdet mellom antallet </w:t>
      </w:r>
      <w:r w:rsidR="0019321A">
        <w:t xml:space="preserve">kulturhistorisk verdifulle kirkebygg </w:t>
      </w:r>
      <w:r w:rsidR="004C1A2B" w:rsidRPr="000F5CA8">
        <w:t>i kommunen og kommunens størrelse/økonomi, de kirkelige fellesråde</w:t>
      </w:r>
      <w:r w:rsidR="00E07E23">
        <w:t>nes</w:t>
      </w:r>
      <w:r w:rsidR="004C1A2B" w:rsidRPr="000F5CA8">
        <w:t xml:space="preserve"> </w:t>
      </w:r>
      <w:r>
        <w:t xml:space="preserve">forvaltning og </w:t>
      </w:r>
      <w:r w:rsidR="004C1A2B" w:rsidRPr="000F5CA8">
        <w:t xml:space="preserve">prioritering ved bruken av de kommunale </w:t>
      </w:r>
      <w:r w:rsidR="00E07E23">
        <w:t>ramme</w:t>
      </w:r>
      <w:r w:rsidR="00BB586C">
        <w:t>tilskuddene</w:t>
      </w:r>
      <w:r w:rsidR="009C3F53">
        <w:t xml:space="preserve"> m.m. Også </w:t>
      </w:r>
      <w:r w:rsidR="001D3A7F">
        <w:t xml:space="preserve">svak </w:t>
      </w:r>
      <w:r w:rsidR="0078061A">
        <w:t>bygningsfaglig k</w:t>
      </w:r>
      <w:r w:rsidR="001D3A7F">
        <w:t>ompetanse</w:t>
      </w:r>
      <w:r w:rsidR="009C3F53">
        <w:t xml:space="preserve"> lokalt og ufullstendige </w:t>
      </w:r>
      <w:r w:rsidR="0078061A">
        <w:t>byg</w:t>
      </w:r>
      <w:r w:rsidR="009C3F53">
        <w:t>ningst</w:t>
      </w:r>
      <w:r w:rsidR="0078061A">
        <w:t xml:space="preserve">ekniske </w:t>
      </w:r>
      <w:r w:rsidR="00794C49">
        <w:t>undersøkelser</w:t>
      </w:r>
      <w:r w:rsidR="0078061A">
        <w:t xml:space="preserve"> </w:t>
      </w:r>
      <w:r w:rsidR="009C3F53">
        <w:t xml:space="preserve">kan være forklaringsfaktorer. </w:t>
      </w:r>
      <w:r w:rsidR="004C1A2B" w:rsidRPr="000F5CA8">
        <w:t>Slike sammenhenger er ikke entydige</w:t>
      </w:r>
      <w:r w:rsidR="0019321A" w:rsidRPr="0019321A">
        <w:t xml:space="preserve"> </w:t>
      </w:r>
      <w:r w:rsidR="0019321A">
        <w:t xml:space="preserve">og det er vanskelig å peke på hvilke faktorer som </w:t>
      </w:r>
      <w:r>
        <w:t xml:space="preserve">har vært mest avgjørende for at mange kirkebygg i dag preges av </w:t>
      </w:r>
      <w:r w:rsidR="001D3A7F">
        <w:t xml:space="preserve">å ha </w:t>
      </w:r>
      <w:r w:rsidR="001D3A7F">
        <w:lastRenderedPageBreak/>
        <w:t xml:space="preserve">vært </w:t>
      </w:r>
      <w:r w:rsidR="00794C49">
        <w:t xml:space="preserve">mangelfullt </w:t>
      </w:r>
      <w:r>
        <w:t>vedlikehold</w:t>
      </w:r>
      <w:r w:rsidR="001D3A7F">
        <w:t>t</w:t>
      </w:r>
      <w:r>
        <w:t xml:space="preserve"> </w:t>
      </w:r>
      <w:r w:rsidR="00794C49">
        <w:t>over lang tid.</w:t>
      </w:r>
      <w:r w:rsidR="0019321A">
        <w:t xml:space="preserve"> </w:t>
      </w:r>
      <w:r w:rsidR="004C1A2B" w:rsidRPr="000F5CA8">
        <w:t xml:space="preserve">I en undersøkelse Riksrevisjonen gjorde i 2009/2010 om kirkebyggenes vedlikehold, jf. Dok. 3:10 (2010–2011) </w:t>
      </w:r>
      <w:r w:rsidR="004C1A2B" w:rsidRPr="000F5CA8">
        <w:rPr>
          <w:i/>
        </w:rPr>
        <w:t>Riksrevisjonens undersøking av vedlikehald og sikring av kyrkjebygg</w:t>
      </w:r>
      <w:r w:rsidR="004C1A2B" w:rsidRPr="000F5CA8">
        <w:t>, fant ikke Riksrevisjonen noen klar sammenheng mellom tilstanden på kirkebyggene og variablene for kirkebyggtetthet, kommuneøkonomi eller kommunestørrelse.</w:t>
      </w:r>
      <w:r w:rsidR="004C1A2B">
        <w:t xml:space="preserve"> </w:t>
      </w:r>
    </w:p>
    <w:p w:rsidR="00A11CB3" w:rsidRDefault="002F5165" w:rsidP="00A11CB3">
      <w:pPr>
        <w:rPr>
          <w:color w:val="000000"/>
        </w:rPr>
      </w:pPr>
      <w:r>
        <w:rPr>
          <w:color w:val="000000"/>
        </w:rPr>
        <w:t>F</w:t>
      </w:r>
      <w:r w:rsidR="00C26F94">
        <w:rPr>
          <w:color w:val="000000"/>
        </w:rPr>
        <w:t>orva</w:t>
      </w:r>
      <w:r w:rsidR="00C10CA0">
        <w:rPr>
          <w:color w:val="000000"/>
        </w:rPr>
        <w:t>l</w:t>
      </w:r>
      <w:r w:rsidR="00C26F94">
        <w:rPr>
          <w:color w:val="000000"/>
        </w:rPr>
        <w:t>tnings</w:t>
      </w:r>
      <w:r>
        <w:rPr>
          <w:color w:val="000000"/>
        </w:rPr>
        <w:t xml:space="preserve">- og finansieringsansvaret </w:t>
      </w:r>
      <w:r w:rsidR="00A11CB3">
        <w:rPr>
          <w:color w:val="000000"/>
        </w:rPr>
        <w:t xml:space="preserve">for kirkebyggene </w:t>
      </w:r>
      <w:r w:rsidR="00794C49">
        <w:rPr>
          <w:color w:val="000000"/>
        </w:rPr>
        <w:t xml:space="preserve">er </w:t>
      </w:r>
      <w:r w:rsidR="00A11CB3">
        <w:rPr>
          <w:color w:val="000000"/>
        </w:rPr>
        <w:t>i dag en integrert del av lovgivningen for Den norske kirke. Departementet tar i dette høringsnotatet opp forslag om vesentlige endringer i denne lovgivningen, og reiser dessuten spørsmålet om kommunenes finanseringsoppgaver overfor kirken bør overtas av staten. De rettslige</w:t>
      </w:r>
      <w:r w:rsidR="001D3A7F">
        <w:rPr>
          <w:color w:val="000000"/>
        </w:rPr>
        <w:t>,</w:t>
      </w:r>
      <w:r w:rsidR="001D3A7F" w:rsidRPr="001D3A7F">
        <w:rPr>
          <w:color w:val="000000"/>
        </w:rPr>
        <w:t xml:space="preserve"> </w:t>
      </w:r>
      <w:r w:rsidR="001D3A7F">
        <w:rPr>
          <w:color w:val="000000"/>
        </w:rPr>
        <w:t>økonomiske</w:t>
      </w:r>
      <w:r w:rsidR="00A11CB3">
        <w:rPr>
          <w:color w:val="000000"/>
        </w:rPr>
        <w:t xml:space="preserve"> </w:t>
      </w:r>
      <w:r w:rsidR="001D3A7F">
        <w:rPr>
          <w:color w:val="000000"/>
        </w:rPr>
        <w:t xml:space="preserve">og </w:t>
      </w:r>
      <w:r w:rsidR="00A11CB3">
        <w:rPr>
          <w:color w:val="000000"/>
        </w:rPr>
        <w:t xml:space="preserve">organisatoriske </w:t>
      </w:r>
      <w:r w:rsidR="00C26F94">
        <w:rPr>
          <w:color w:val="000000"/>
        </w:rPr>
        <w:t xml:space="preserve">forutsetningene for </w:t>
      </w:r>
      <w:r w:rsidR="00A11CB3">
        <w:rPr>
          <w:color w:val="000000"/>
        </w:rPr>
        <w:t xml:space="preserve">kirkebyggenes forvaltning og finansiering vil dermed kunne bli andre enn i dag. </w:t>
      </w:r>
    </w:p>
    <w:p w:rsidR="00AD72E2" w:rsidRPr="000F5CA8" w:rsidRDefault="00AD72E2" w:rsidP="00AD72E2">
      <w:r>
        <w:rPr>
          <w:color w:val="000000"/>
        </w:rPr>
        <w:t>I kapittel 8 og 9 redegjør departementet for forslag som har virkninger blant annet for forvaltning</w:t>
      </w:r>
      <w:r w:rsidR="002F5165">
        <w:rPr>
          <w:color w:val="000000"/>
        </w:rPr>
        <w:t>en</w:t>
      </w:r>
      <w:r>
        <w:rPr>
          <w:color w:val="000000"/>
        </w:rPr>
        <w:t xml:space="preserve"> og finansiering</w:t>
      </w:r>
      <w:r w:rsidR="002F5165">
        <w:rPr>
          <w:color w:val="000000"/>
        </w:rPr>
        <w:t xml:space="preserve">en av kirkebyggene, også </w:t>
      </w:r>
      <w:r w:rsidR="003958DC">
        <w:rPr>
          <w:color w:val="000000"/>
        </w:rPr>
        <w:t xml:space="preserve">for </w:t>
      </w:r>
      <w:r>
        <w:rPr>
          <w:color w:val="000000"/>
        </w:rPr>
        <w:t xml:space="preserve">de kulturhistorisk verdifulle kirkebyggene. </w:t>
      </w:r>
      <w:r w:rsidR="00BB586C">
        <w:rPr>
          <w:color w:val="000000"/>
        </w:rPr>
        <w:t>Blant annet tar d</w:t>
      </w:r>
      <w:r w:rsidRPr="000F5CA8">
        <w:t xml:space="preserve">epartementet opp forslag som medfører at Den norske kirke får myndighet til selv å bestemme hvilke kirkelige organer som i framtiden skal ha ansvaret for </w:t>
      </w:r>
      <w:r w:rsidR="00794C49">
        <w:t xml:space="preserve">den bygningsmessige </w:t>
      </w:r>
      <w:r w:rsidRPr="000F5CA8">
        <w:t>forvaltning</w:t>
      </w:r>
      <w:r w:rsidR="00794C49">
        <w:t>en</w:t>
      </w:r>
      <w:r w:rsidR="00E07E23">
        <w:t>.</w:t>
      </w:r>
      <w:r w:rsidR="000716B7">
        <w:t xml:space="preserve"> </w:t>
      </w:r>
      <w:r>
        <w:t xml:space="preserve">Som nevnt er </w:t>
      </w:r>
      <w:r w:rsidRPr="000F5CA8">
        <w:t xml:space="preserve">dette </w:t>
      </w:r>
      <w:r>
        <w:t xml:space="preserve">i dag </w:t>
      </w:r>
      <w:r w:rsidRPr="000F5CA8">
        <w:t xml:space="preserve">et ansvar for det kirkelige fellesrådet i kommunen. Hvilket organ for soknene (kirkebyggets eier) som i framtiden skal ha forvaltningsansvaret, vil etter departementets forslag bestemmes av Kirkemøtet. </w:t>
      </w:r>
      <w:r>
        <w:t xml:space="preserve">Det er </w:t>
      </w:r>
      <w:r w:rsidRPr="000F5CA8">
        <w:t xml:space="preserve">departementets syn </w:t>
      </w:r>
      <w:r>
        <w:t xml:space="preserve">at </w:t>
      </w:r>
      <w:r w:rsidRPr="000F5CA8">
        <w:t>organisatoriske endringer av kirkebyggforvaltningen k</w:t>
      </w:r>
      <w:r>
        <w:t xml:space="preserve">an </w:t>
      </w:r>
      <w:r w:rsidRPr="000F5CA8">
        <w:t xml:space="preserve">være et </w:t>
      </w:r>
      <w:r>
        <w:t xml:space="preserve">viktig </w:t>
      </w:r>
      <w:r w:rsidR="003958DC">
        <w:t xml:space="preserve">strategisk grep for </w:t>
      </w:r>
      <w:r w:rsidRPr="000F5CA8">
        <w:t>en bedre forvaltning og sikring av kirkebygg</w:t>
      </w:r>
      <w:r w:rsidR="00390C04">
        <w:t>ene</w:t>
      </w:r>
      <w:r w:rsidR="003958DC">
        <w:t>, også av de kirkebyggene som er særskilt om</w:t>
      </w:r>
      <w:r w:rsidR="00093D27">
        <w:t>t</w:t>
      </w:r>
      <w:r w:rsidR="003958DC">
        <w:t>alt i Stortingets anmodningsvedtak fra 2015</w:t>
      </w:r>
      <w:r w:rsidR="00BB586C">
        <w:t>. Det vises til nærmere omtale</w:t>
      </w:r>
      <w:r w:rsidR="003958DC">
        <w:t xml:space="preserve"> av kirkebyggene </w:t>
      </w:r>
      <w:r w:rsidR="00BB586C">
        <w:t>under punkt 9.5.</w:t>
      </w:r>
      <w:r w:rsidRPr="000F5CA8">
        <w:t xml:space="preserve"> </w:t>
      </w:r>
    </w:p>
    <w:p w:rsidR="00EF56A2" w:rsidRDefault="00EE091A" w:rsidP="00F801B2">
      <w:r>
        <w:t xml:space="preserve">Det er videre departementets syn at </w:t>
      </w:r>
      <w:r w:rsidR="0078061A">
        <w:t xml:space="preserve">forslag om endringer </w:t>
      </w:r>
      <w:r>
        <w:t>som kan bidra til et styrket vedlik</w:t>
      </w:r>
      <w:r w:rsidR="00093D27">
        <w:t>e</w:t>
      </w:r>
      <w:r>
        <w:t xml:space="preserve">hold av kirkebyggene, må ha for øye at kommuner og kirkeeiere </w:t>
      </w:r>
      <w:r w:rsidR="00ED15A5">
        <w:t xml:space="preserve">i ulike grad </w:t>
      </w:r>
      <w:r>
        <w:t xml:space="preserve">har sørget for å holde byggene vedlike, og at uklarheter i ansvarsforholdene overfor kirkebyggene kan bidra til å svekke </w:t>
      </w:r>
      <w:r w:rsidR="0078061A">
        <w:t>vedlikeholds</w:t>
      </w:r>
      <w:r>
        <w:t xml:space="preserve">innsatsen. </w:t>
      </w:r>
      <w:r w:rsidR="00AD72E2">
        <w:t>Dette har vært bestemmende for statens innsats på kirkebyggfeltet til nå</w:t>
      </w:r>
      <w:r w:rsidR="00093D27">
        <w:t xml:space="preserve">, og bør </w:t>
      </w:r>
      <w:r w:rsidR="00ED15A5">
        <w:t xml:space="preserve">tas hensyn til </w:t>
      </w:r>
      <w:r w:rsidR="00093D27">
        <w:t xml:space="preserve">også i framtiden. </w:t>
      </w:r>
      <w:r w:rsidR="00AD72E2">
        <w:t>S</w:t>
      </w:r>
      <w:r>
        <w:t xml:space="preserve">tatens særskilte innsats </w:t>
      </w:r>
      <w:r w:rsidR="00AD72E2">
        <w:t xml:space="preserve">har </w:t>
      </w:r>
      <w:r w:rsidR="004F08D9">
        <w:t xml:space="preserve">de siste 10-15 årene </w:t>
      </w:r>
      <w:r w:rsidR="00AD72E2">
        <w:t xml:space="preserve">i </w:t>
      </w:r>
      <w:r>
        <w:t>første rekke vær</w:t>
      </w:r>
      <w:r w:rsidR="00D81710">
        <w:t>t</w:t>
      </w:r>
      <w:r>
        <w:t xml:space="preserve"> knyttet til rentekompensasjonsordningen for kirkebygg og oppbyggingen av et fagmiljø for kirkebygg i KA</w:t>
      </w:r>
      <w:r w:rsidR="00EF56A2">
        <w:t>. S</w:t>
      </w:r>
      <w:r w:rsidR="00AD72E2">
        <w:t xml:space="preserve">tyrking </w:t>
      </w:r>
      <w:r>
        <w:t xml:space="preserve">av kommuneøkonomien </w:t>
      </w:r>
      <w:r w:rsidR="00AD72E2">
        <w:t xml:space="preserve">har vært blant de </w:t>
      </w:r>
      <w:r>
        <w:t xml:space="preserve">viktigste generelle virkemidlene. </w:t>
      </w:r>
    </w:p>
    <w:p w:rsidR="00F801B2" w:rsidRDefault="00390C04" w:rsidP="00F801B2">
      <w:r>
        <w:t xml:space="preserve">De strategier og tiltak som i dag gjelder for å sikre kirkebyggene som kulturminner, bygger </w:t>
      </w:r>
      <w:r>
        <w:rPr>
          <w:color w:val="000000"/>
        </w:rPr>
        <w:t xml:space="preserve">på den lovgivning og de finansieringsordninger som gjelder for Den norske kirke i dag. </w:t>
      </w:r>
      <w:r w:rsidR="00BC18D0">
        <w:t>Ved de forslagene som tas opp i dette høringsnotatet</w:t>
      </w:r>
      <w:r w:rsidR="00D81710">
        <w:t>,</w:t>
      </w:r>
      <w:r w:rsidR="00BC18D0">
        <w:t xml:space="preserve"> vil de </w:t>
      </w:r>
      <w:r w:rsidR="00BC18D0">
        <w:rPr>
          <w:color w:val="000000"/>
        </w:rPr>
        <w:t xml:space="preserve">grunnleggende rammevilkårene for Den norske kirke kunne bli endret. </w:t>
      </w:r>
      <w:r w:rsidR="00ED15A5">
        <w:rPr>
          <w:color w:val="000000"/>
        </w:rPr>
        <w:t>Som nevnt vil f</w:t>
      </w:r>
      <w:r w:rsidR="00093D27">
        <w:rPr>
          <w:color w:val="000000"/>
        </w:rPr>
        <w:t>orslag som berører kirkens organisering av sine oppgavefelt</w:t>
      </w:r>
      <w:r w:rsidR="00B60A3B">
        <w:rPr>
          <w:color w:val="000000"/>
        </w:rPr>
        <w:t>,</w:t>
      </w:r>
      <w:r w:rsidR="00093D27">
        <w:rPr>
          <w:color w:val="000000"/>
        </w:rPr>
        <w:t xml:space="preserve"> kunne bidra til å styrke innsatsen </w:t>
      </w:r>
      <w:r w:rsidR="00416DA4">
        <w:rPr>
          <w:color w:val="000000"/>
        </w:rPr>
        <w:t xml:space="preserve">blant annet </w:t>
      </w:r>
      <w:r w:rsidR="00093D27">
        <w:rPr>
          <w:color w:val="000000"/>
        </w:rPr>
        <w:t xml:space="preserve">overfor kirkebyggene. </w:t>
      </w:r>
      <w:r w:rsidR="00416DA4">
        <w:rPr>
          <w:color w:val="000000"/>
        </w:rPr>
        <w:t>Generelt må e</w:t>
      </w:r>
      <w:r>
        <w:rPr>
          <w:color w:val="000000"/>
        </w:rPr>
        <w:t xml:space="preserve">n </w:t>
      </w:r>
      <w:r w:rsidR="00093D27">
        <w:rPr>
          <w:color w:val="000000"/>
        </w:rPr>
        <w:t xml:space="preserve">ytterligere </w:t>
      </w:r>
      <w:r w:rsidR="00D81710">
        <w:rPr>
          <w:color w:val="000000"/>
        </w:rPr>
        <w:t xml:space="preserve">forsterking av </w:t>
      </w:r>
      <w:r>
        <w:rPr>
          <w:color w:val="000000"/>
        </w:rPr>
        <w:t xml:space="preserve">strategier og tiltak </w:t>
      </w:r>
      <w:r w:rsidR="00416DA4">
        <w:rPr>
          <w:color w:val="000000"/>
        </w:rPr>
        <w:t xml:space="preserve">baseres på og </w:t>
      </w:r>
      <w:r w:rsidR="00D81710">
        <w:rPr>
          <w:color w:val="000000"/>
        </w:rPr>
        <w:t xml:space="preserve">innordnes </w:t>
      </w:r>
      <w:r w:rsidR="00772F39">
        <w:rPr>
          <w:color w:val="000000"/>
        </w:rPr>
        <w:t xml:space="preserve">etter </w:t>
      </w:r>
      <w:r w:rsidR="00D81710">
        <w:rPr>
          <w:color w:val="000000"/>
        </w:rPr>
        <w:t>d</w:t>
      </w:r>
      <w:r w:rsidR="00917A62">
        <w:rPr>
          <w:color w:val="000000"/>
        </w:rPr>
        <w:t>e</w:t>
      </w:r>
      <w:r w:rsidR="00D81710">
        <w:rPr>
          <w:color w:val="000000"/>
        </w:rPr>
        <w:t xml:space="preserve"> endringene</w:t>
      </w:r>
      <w:r w:rsidR="00917A62">
        <w:rPr>
          <w:color w:val="000000"/>
        </w:rPr>
        <w:t xml:space="preserve"> i lovgivning</w:t>
      </w:r>
      <w:r w:rsidR="00772F39">
        <w:rPr>
          <w:color w:val="000000"/>
        </w:rPr>
        <w:t>en</w:t>
      </w:r>
      <w:r w:rsidR="00917A62">
        <w:rPr>
          <w:color w:val="000000"/>
        </w:rPr>
        <w:t xml:space="preserve"> som nå </w:t>
      </w:r>
      <w:r w:rsidR="00154ED5">
        <w:rPr>
          <w:color w:val="000000"/>
        </w:rPr>
        <w:t xml:space="preserve">er aktualisert og </w:t>
      </w:r>
      <w:r w:rsidR="002F5165">
        <w:rPr>
          <w:color w:val="000000"/>
        </w:rPr>
        <w:t xml:space="preserve">legges fram for høring. </w:t>
      </w:r>
      <w:r w:rsidR="00154ED5">
        <w:rPr>
          <w:color w:val="000000"/>
        </w:rPr>
        <w:t xml:space="preserve">Ikke minst </w:t>
      </w:r>
      <w:r w:rsidR="00AE17A0">
        <w:rPr>
          <w:color w:val="000000"/>
        </w:rPr>
        <w:t xml:space="preserve">spørsmålet om staten bør ta over det fulle finansieringsansvaret for Den norske kirke eller om kommunenes lovregulerte ansvar på kirkens område bør føres videre, </w:t>
      </w:r>
      <w:r w:rsidR="00154ED5">
        <w:rPr>
          <w:color w:val="000000"/>
        </w:rPr>
        <w:t xml:space="preserve">vil </w:t>
      </w:r>
      <w:r w:rsidR="00AE17A0">
        <w:rPr>
          <w:color w:val="000000"/>
        </w:rPr>
        <w:t xml:space="preserve">ha </w:t>
      </w:r>
      <w:r w:rsidR="00154ED5">
        <w:rPr>
          <w:color w:val="000000"/>
        </w:rPr>
        <w:t>betydning for kirkebyggfeltet. De</w:t>
      </w:r>
      <w:r w:rsidR="004F08D9">
        <w:rPr>
          <w:color w:val="000000"/>
        </w:rPr>
        <w:t xml:space="preserve">partementet har drøftet dette mer utførlig i kapittel </w:t>
      </w:r>
      <w:r w:rsidR="00E80B29">
        <w:rPr>
          <w:color w:val="000000"/>
        </w:rPr>
        <w:t xml:space="preserve">9.6 og det vises til drøftingene der. </w:t>
      </w:r>
    </w:p>
    <w:p w:rsidR="00944062" w:rsidRPr="000F5CA8" w:rsidRDefault="00944062" w:rsidP="00944062">
      <w:pPr>
        <w:spacing w:before="100" w:after="200"/>
        <w:rPr>
          <w:rFonts w:eastAsiaTheme="minorEastAsia" w:cs="Times New Roman"/>
          <w:i/>
          <w:szCs w:val="24"/>
        </w:rPr>
      </w:pPr>
    </w:p>
    <w:p w:rsidR="00944062" w:rsidRDefault="00944062" w:rsidP="00944062">
      <w:pPr>
        <w:rPr>
          <w:rFonts w:cs="Times New Roman"/>
          <w:szCs w:val="24"/>
        </w:rPr>
      </w:pPr>
      <w:r>
        <w:rPr>
          <w:rFonts w:cs="Times New Roman"/>
          <w:szCs w:val="24"/>
        </w:rPr>
        <w:br w:type="page"/>
      </w:r>
    </w:p>
    <w:p w:rsidR="00944062" w:rsidRDefault="00490A21" w:rsidP="00490A21">
      <w:pPr>
        <w:pStyle w:val="Overskrift1"/>
        <w:rPr>
          <w:rFonts w:eastAsiaTheme="minorEastAsia"/>
        </w:rPr>
      </w:pPr>
      <w:bookmarkStart w:id="1803" w:name="_Toc477277257"/>
      <w:bookmarkStart w:id="1804" w:name="_Toc477535572"/>
      <w:bookmarkStart w:id="1805" w:name="_Toc477630704"/>
      <w:bookmarkStart w:id="1806" w:name="_Toc477693668"/>
      <w:bookmarkStart w:id="1807" w:name="_Toc477704042"/>
      <w:bookmarkStart w:id="1808" w:name="_Toc477799255"/>
      <w:bookmarkStart w:id="1809" w:name="_Toc477805858"/>
      <w:bookmarkStart w:id="1810" w:name="_Toc477871517"/>
      <w:bookmarkStart w:id="1811" w:name="_Toc477878119"/>
      <w:bookmarkStart w:id="1812" w:name="_Toc477881522"/>
      <w:bookmarkStart w:id="1813" w:name="_Toc477885982"/>
      <w:bookmarkStart w:id="1814" w:name="_Toc478131411"/>
      <w:bookmarkStart w:id="1815" w:name="_Toc478138781"/>
      <w:bookmarkStart w:id="1816" w:name="_Toc478232310"/>
      <w:bookmarkStart w:id="1817" w:name="_Toc478237294"/>
      <w:bookmarkStart w:id="1818" w:name="_Toc481761832"/>
      <w:bookmarkStart w:id="1819" w:name="_Toc492900484"/>
      <w:r>
        <w:rPr>
          <w:rFonts w:eastAsiaTheme="minorEastAsia"/>
        </w:rPr>
        <w:lastRenderedPageBreak/>
        <w:t>Opplysningsvesenets fond og eierskapsspørsmålet</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944062" w:rsidRPr="007147D9" w:rsidRDefault="00944062" w:rsidP="0084542C">
      <w:pPr>
        <w:pStyle w:val="Overskrift2"/>
        <w:rPr>
          <w:rFonts w:eastAsiaTheme="minorEastAsia"/>
        </w:rPr>
      </w:pPr>
      <w:bookmarkStart w:id="1820" w:name="_Toc477277258"/>
      <w:bookmarkStart w:id="1821" w:name="_Toc477535573"/>
      <w:bookmarkStart w:id="1822" w:name="_Toc477630705"/>
      <w:bookmarkStart w:id="1823" w:name="_Toc477693669"/>
      <w:bookmarkStart w:id="1824" w:name="_Toc477704043"/>
      <w:bookmarkStart w:id="1825" w:name="_Toc477799256"/>
      <w:bookmarkStart w:id="1826" w:name="_Toc477805859"/>
      <w:bookmarkStart w:id="1827" w:name="_Toc477878120"/>
      <w:bookmarkStart w:id="1828" w:name="_Toc477881523"/>
      <w:bookmarkStart w:id="1829" w:name="_Toc477885983"/>
      <w:bookmarkStart w:id="1830" w:name="_Toc478131412"/>
      <w:bookmarkStart w:id="1831" w:name="_Toc478138782"/>
      <w:bookmarkStart w:id="1832" w:name="_Toc478232311"/>
      <w:bookmarkStart w:id="1833" w:name="_Toc478237295"/>
      <w:bookmarkStart w:id="1834" w:name="_Toc481761833"/>
      <w:bookmarkStart w:id="1835" w:name="_Toc492900485"/>
      <w:r w:rsidRPr="007147D9">
        <w:rPr>
          <w:rFonts w:eastAsiaTheme="minorEastAsia"/>
        </w:rPr>
        <w:t>Innledning</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rsidR="00944062" w:rsidRPr="007147D9" w:rsidRDefault="00944062" w:rsidP="002D176E">
      <w:r w:rsidRPr="007147D9">
        <w:t xml:space="preserve">Ved reformasjonen ble deler av kirkens eiendommer lagt inn under Kongen. Disse ble senere i stor grad solgt videre. Eiendommer som </w:t>
      </w:r>
      <w:r w:rsidR="00421EF0">
        <w:t>lå til</w:t>
      </w:r>
      <w:r w:rsidRPr="007147D9">
        <w:t xml:space="preserve"> det enkelte presteembetet – prestegårdene – ble imidlertid beholdt som inntektsgrunnlag for prestene helt fram til nyere tid. I 1814 fikk disse eiendommene – </w:t>
      </w:r>
      <w:r w:rsidRPr="007147D9">
        <w:rPr>
          <w:i/>
        </w:rPr>
        <w:t>det benefiserte godset</w:t>
      </w:r>
      <w:r w:rsidRPr="007147D9">
        <w:t xml:space="preserve"> – et særskilt vern i Grunnloven. Eiendommene skulle holdes adskilt fra statens eiendeler og fo</w:t>
      </w:r>
      <w:r w:rsidR="00B60A3B">
        <w:t>rbeholdes</w:t>
      </w:r>
      <w:r w:rsidRPr="007147D9">
        <w:t xml:space="preserve"> "geistlighetens beste og opplysningens fremme". Opplysningsvesenets fond</w:t>
      </w:r>
      <w:r w:rsidRPr="007147D9">
        <w:rPr>
          <w:i/>
        </w:rPr>
        <w:t xml:space="preserve"> </w:t>
      </w:r>
      <w:r w:rsidRPr="007147D9">
        <w:t xml:space="preserve">ble dannet av disse eiendommene ved lov i 1821. Fondet har i alle år vært forvaltet av departementet med ansvaret for kirkesakene. Først i 2001 ble de løpende forvaltningsoppgavene skilt ut og lagt til et eget forvaltningsorgan under departementet. </w:t>
      </w:r>
    </w:p>
    <w:p w:rsidR="00944062" w:rsidRPr="007147D9" w:rsidRDefault="00944062" w:rsidP="002D176E">
      <w:r w:rsidRPr="007147D9">
        <w:t xml:space="preserve">Gjennom årene har deler av fondets opprinnelige eiendommer blitt solgt, men prestegårdene har inntil nylig vært beholdt i fondets eie, oftest som forpaktningsbruk. Fra midten av 1980-tallet til slutten av 1990-tallet ble et stort antall gårder solgt, fortrinnsvis til forpakteren. Salgssummene ble plassert i finansmarkedene. </w:t>
      </w:r>
    </w:p>
    <w:p w:rsidR="00944062" w:rsidRPr="007147D9" w:rsidRDefault="00944062" w:rsidP="002D176E">
      <w:r w:rsidRPr="007147D9">
        <w:t xml:space="preserve">Fondets eiendommer hadde en beregnet verdi på </w:t>
      </w:r>
      <w:r w:rsidR="00FC3B89">
        <w:t xml:space="preserve">ca. </w:t>
      </w:r>
      <w:r w:rsidRPr="007147D9">
        <w:t>2,</w:t>
      </w:r>
      <w:r w:rsidR="00FC3B89">
        <w:t>9</w:t>
      </w:r>
      <w:r w:rsidRPr="007147D9">
        <w:t xml:space="preserve"> mrd. kroner ved utgangen av 201</w:t>
      </w:r>
      <w:r w:rsidR="00FC3B89">
        <w:t>6</w:t>
      </w:r>
      <w:r w:rsidRPr="007147D9">
        <w:t xml:space="preserve">. Finanskapitalen var på ca. 1,8 mrd. kroner. Ifølge Grunnloven kan fondets grunnkapital ikke brukes opp. Grunnkapitalen var verdsatt til </w:t>
      </w:r>
      <w:r w:rsidR="00FC3B89">
        <w:t xml:space="preserve">rundt </w:t>
      </w:r>
      <w:r w:rsidRPr="007147D9">
        <w:t>3,</w:t>
      </w:r>
      <w:r w:rsidR="00FC3B89">
        <w:t>5</w:t>
      </w:r>
      <w:r w:rsidRPr="007147D9">
        <w:t xml:space="preserve"> mrd. kroner ved utgangen av 201</w:t>
      </w:r>
      <w:r w:rsidR="00FC3B89">
        <w:t>6</w:t>
      </w:r>
      <w:r w:rsidRPr="007147D9">
        <w:t xml:space="preserve">.  </w:t>
      </w:r>
    </w:p>
    <w:p w:rsidR="00944062" w:rsidRPr="007147D9" w:rsidRDefault="00944062" w:rsidP="002D176E">
      <w:r w:rsidRPr="007147D9">
        <w:t>Fondet er en ren formuesmasse uten egen organisasjon eller ansatte. Fondet er et eget rettssubjekt, ofte betegnet som en stiftelsesliknende innretning. Kongen har i alle år utøvd eierrettighetene. Spørsmålet om det underliggende eierskapet har vært omstridt i snart to hundre år</w:t>
      </w:r>
      <w:r w:rsidR="00ED15A5">
        <w:t>.</w:t>
      </w:r>
      <w:r w:rsidRPr="007147D9">
        <w:t xml:space="preserve"> Med de bestemmelser om forvaltningen som følger av Grunnlovens bestemmelser, har spørsmålet om eierskapet hatt liten praktisk betydning.</w:t>
      </w:r>
    </w:p>
    <w:p w:rsidR="00944062" w:rsidRPr="007147D9" w:rsidRDefault="00944062" w:rsidP="002D176E">
      <w:r w:rsidRPr="007147D9">
        <w:t xml:space="preserve">Når departementet i dette høringsnotatet tar opp forslag om ny lovgivning og nye finansieringsordninger for Den norske kirke og andre tros- og livssynssamfunn, mener departementet det er grunn til å avklare eierskapet til Opplysningsvesenets fond. Ved en slik avklaring vil det også være mulig å ta stilling til om fondet i framtiden bør forvaltes som nå, eller om det bør gjøres endringer. </w:t>
      </w:r>
    </w:p>
    <w:p w:rsidR="00944062" w:rsidRPr="007147D9" w:rsidRDefault="00944062" w:rsidP="002D176E">
      <w:r w:rsidRPr="007147D9">
        <w:t>Departementet har bedt Lovavdelingen i Justis- og beredskapsdepartementet om å utrede eierskapsspørsmålet. Lovavdelingens uttalelse forelå ved brev</w:t>
      </w:r>
      <w:r w:rsidR="00603058">
        <w:t xml:space="preserve"> 23.</w:t>
      </w:r>
      <w:r w:rsidRPr="007147D9">
        <w:t xml:space="preserve"> mars 2017 til Kulturdepartementet. Lovavdelingen framholdt i en uttalelse fra 2000 at staten må regnes å ha det underliggende eierskapet til fondet. Lovavdelingen er kommet til samme konklusjon nå.</w:t>
      </w:r>
    </w:p>
    <w:p w:rsidR="00944062" w:rsidRPr="007147D9" w:rsidRDefault="0084542C" w:rsidP="0084542C">
      <w:pPr>
        <w:pStyle w:val="Overskrift2"/>
        <w:rPr>
          <w:rFonts w:eastAsiaTheme="minorEastAsia"/>
        </w:rPr>
      </w:pPr>
      <w:bookmarkStart w:id="1836" w:name="_Toc476320947"/>
      <w:bookmarkStart w:id="1837" w:name="_Toc477277259"/>
      <w:bookmarkStart w:id="1838" w:name="_Toc477535574"/>
      <w:bookmarkStart w:id="1839" w:name="_Toc477630706"/>
      <w:bookmarkStart w:id="1840" w:name="_Toc477693670"/>
      <w:bookmarkStart w:id="1841" w:name="_Toc477704044"/>
      <w:bookmarkStart w:id="1842" w:name="_Toc477799257"/>
      <w:bookmarkStart w:id="1843" w:name="_Toc477805860"/>
      <w:bookmarkStart w:id="1844" w:name="_Toc477871519"/>
      <w:bookmarkStart w:id="1845" w:name="_Toc477878121"/>
      <w:bookmarkStart w:id="1846" w:name="_Toc477881524"/>
      <w:bookmarkStart w:id="1847" w:name="_Toc477885984"/>
      <w:bookmarkStart w:id="1848" w:name="_Toc478131413"/>
      <w:bookmarkStart w:id="1849" w:name="_Toc478138783"/>
      <w:bookmarkStart w:id="1850" w:name="_Toc478232312"/>
      <w:bookmarkStart w:id="1851" w:name="_Toc478237296"/>
      <w:bookmarkStart w:id="1852" w:name="_Toc481761834"/>
      <w:bookmarkStart w:id="1853" w:name="_Toc492900486"/>
      <w:r>
        <w:rPr>
          <w:rFonts w:eastAsiaTheme="minorEastAsia"/>
        </w:rPr>
        <w:t>O</w:t>
      </w:r>
      <w:r w:rsidR="00940DD3">
        <w:rPr>
          <w:rFonts w:eastAsiaTheme="minorEastAsia"/>
        </w:rPr>
        <w:t>m O</w:t>
      </w:r>
      <w:r w:rsidR="00944062" w:rsidRPr="007147D9">
        <w:rPr>
          <w:rFonts w:eastAsiaTheme="minorEastAsia"/>
        </w:rPr>
        <w:t>pplysningsvesenets fond</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r w:rsidR="00944062" w:rsidRPr="007147D9">
        <w:rPr>
          <w:rFonts w:eastAsiaTheme="minorEastAsia"/>
        </w:rPr>
        <w:tab/>
      </w:r>
    </w:p>
    <w:p w:rsidR="00944062" w:rsidRPr="007147D9" w:rsidRDefault="00944062" w:rsidP="0084542C">
      <w:pPr>
        <w:pStyle w:val="Overskrift3"/>
        <w:rPr>
          <w:rFonts w:eastAsiaTheme="minorEastAsia"/>
        </w:rPr>
      </w:pPr>
      <w:bookmarkStart w:id="1854" w:name="_Toc477277260"/>
      <w:bookmarkStart w:id="1855" w:name="_Toc477535575"/>
      <w:bookmarkStart w:id="1856" w:name="_Toc477630707"/>
      <w:bookmarkStart w:id="1857" w:name="_Toc477693671"/>
      <w:bookmarkStart w:id="1858" w:name="_Toc477704045"/>
      <w:bookmarkStart w:id="1859" w:name="_Toc477799258"/>
      <w:bookmarkStart w:id="1860" w:name="_Toc477805861"/>
      <w:bookmarkStart w:id="1861" w:name="_Toc477871520"/>
      <w:bookmarkStart w:id="1862" w:name="_Toc477878122"/>
      <w:bookmarkStart w:id="1863" w:name="_Toc477881525"/>
      <w:bookmarkStart w:id="1864" w:name="_Toc477885985"/>
      <w:bookmarkStart w:id="1865" w:name="_Toc478131414"/>
      <w:bookmarkStart w:id="1866" w:name="_Toc478138784"/>
      <w:bookmarkStart w:id="1867" w:name="_Toc478232313"/>
      <w:bookmarkStart w:id="1868" w:name="_Toc478237297"/>
      <w:bookmarkStart w:id="1869" w:name="_Toc481761835"/>
      <w:bookmarkStart w:id="1870" w:name="_Toc492900487"/>
      <w:r w:rsidRPr="007147D9">
        <w:rPr>
          <w:rFonts w:eastAsiaTheme="minorEastAsia"/>
        </w:rPr>
        <w:t>Lovgrunnlaget og forvaltningsordningen</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7147D9">
        <w:rPr>
          <w:rFonts w:eastAsiaTheme="minorEastAsia"/>
        </w:rPr>
        <w:t xml:space="preserve"> </w:t>
      </w:r>
    </w:p>
    <w:p w:rsidR="00944062" w:rsidRPr="007147D9" w:rsidRDefault="00944062" w:rsidP="002D176E">
      <w:r w:rsidRPr="007147D9">
        <w:t xml:space="preserve">Opprinnelsen til fondet går tilbake til tiden før reformasjonen i Norge i 1537. Kirken hadde da betydelige jordeiendommer. Dette var dels bispe- og klostergods, dels eiendommer som tilhørte det enkelte kirkebygget, som i eldre tid ble regnet som en form for selveiende stiftelse. Kirkelige eiendommer som lå til det enkelte presteembetet, skulle tjene til underhold </w:t>
      </w:r>
      <w:r w:rsidRPr="007147D9">
        <w:lastRenderedPageBreak/>
        <w:t>for presten. Prestegården var sentralt plassert i bygda, ofte i nær tilknytning til kirkestedet, og kunne omfatte betydelige jordbruksarealer, skog og annen utmark.</w:t>
      </w:r>
    </w:p>
    <w:p w:rsidR="00944062" w:rsidRPr="007147D9" w:rsidRDefault="00944062" w:rsidP="002D176E">
      <w:r w:rsidRPr="007147D9">
        <w:t>Ved reformasjonen ble bispe- og klostergodset overtatt av Kongen, etter hvert også inntekter fra eiendommer som tilhørte kirkebyggene. Mye av kirkegodset ble solgt til inntekt for kronen, og på 1700-tallet ble også mange av kirkebyggene med tilhørende eiendommer solgt til private. Prestegårdene var imidlertid i det vesentlige intakt i 1814. Det er disse eiendommene som gjennom bestemmelsene i Grunnloven § 106 første punktum (nå § 116) fikk et grunnlovsvern i 1814. Bestemmelsen lyder:</w:t>
      </w:r>
    </w:p>
    <w:p w:rsidR="00944062" w:rsidRPr="007147D9" w:rsidRDefault="00944062" w:rsidP="00A5514D">
      <w:pPr>
        <w:pStyle w:val="Sitattbhj"/>
      </w:pPr>
      <w:r w:rsidRPr="007147D9">
        <w:t>Så vel kjøpesummer som inntekter av det gods som er benefisert geistligheten, skal bare anvendes til geistlighetens bes</w:t>
      </w:r>
      <w:r w:rsidR="00940DD3">
        <w:t>te og til opplysningens fremme.</w:t>
      </w:r>
    </w:p>
    <w:p w:rsidR="00944062" w:rsidRPr="007147D9" w:rsidRDefault="00944062" w:rsidP="002D176E">
      <w:r w:rsidRPr="007147D9">
        <w:t xml:space="preserve">Eiendommene ble nærmere regulert i </w:t>
      </w:r>
      <w:r w:rsidRPr="007147D9">
        <w:rPr>
          <w:i/>
        </w:rPr>
        <w:t>lov 20. august 1821 angaaende det beneficerede Gods</w:t>
      </w:r>
      <w:r w:rsidRPr="007147D9">
        <w:t>. Med denne loven ble Opplysningsvesenets fond dannet, bestående av de eiendommene som Grunnloven § 106 omtalte som det benefiserte godset, dvs. prestenes embetsgårder med tilhørende eiendommer.</w:t>
      </w:r>
    </w:p>
    <w:p w:rsidR="00944062" w:rsidRPr="007147D9" w:rsidRDefault="00944062" w:rsidP="002D176E">
      <w:r w:rsidRPr="007147D9">
        <w:t>På 1800- og 1900-tallet var en rekke forhold vedrørende prestegårdene regulert ved detaljerte bestemmelser i særlovgivning. Etter hvert var mange av bestemmelsene blitt foreldet. En sanering og forenkling av særlovgivningen kom ved lov 7. juni 1996 nr. 33 om Opplysningsvesenets fond. Loven er kort og av rammekarakter. På sentrale områder videreførte loven gjeldende rett, blant annet bestemmelsene om at Kongen forvalter fondet og at fondet har en rettslig selvstendig stilling. Et viktig motiv ved lovendringene var å oppheve legale bindinger som hindret en effektiv og mer forretningsorientert forvaltning av fondet.</w:t>
      </w:r>
    </w:p>
    <w:p w:rsidR="00944062" w:rsidRPr="007147D9" w:rsidRDefault="00944062" w:rsidP="002D176E">
      <w:r w:rsidRPr="007147D9">
        <w:t xml:space="preserve">Kongens myndighet over fondet er delegert til Kulturdepartementet. Den operasjonelle forvaltningen har siden 2001 vært lagt til et forvaltningsorgan med eget styre oppnevnt av departementet. Forvaltningsorganet har nær 70 ansatte og et driftsbudsjett i 2017 på rundt 85 mill. kroner. </w:t>
      </w:r>
    </w:p>
    <w:p w:rsidR="00944062" w:rsidRPr="007147D9" w:rsidRDefault="00944062" w:rsidP="002D176E">
      <w:r w:rsidRPr="007147D9">
        <w:t xml:space="preserve">Nærmere bestemmelser om forvaltningen av fondet er fastsatt av departementet i </w:t>
      </w:r>
      <w:r w:rsidRPr="007147D9">
        <w:rPr>
          <w:i/>
        </w:rPr>
        <w:t xml:space="preserve">Hovedinstruks for forvaltningen av Opplysningsvesenets fond. </w:t>
      </w:r>
      <w:r w:rsidRPr="007147D9">
        <w:t xml:space="preserve">Instruksen trekker opp rammer og retningslinjer for fondets forvaltning og for styrets oppgaver og fullmakter. </w:t>
      </w:r>
    </w:p>
    <w:p w:rsidR="00944062" w:rsidRPr="007147D9" w:rsidRDefault="00944062" w:rsidP="002D176E">
      <w:r w:rsidRPr="007147D9">
        <w:t xml:space="preserve">Opplysningsvesenets fond og forvaltningsorganet for fondet er to rettslig adskilte størrelser. Forvaltningsorganet er en statlig virksomhet og i det store og hele underlagt de vanlige bestemmelsene for forvaltningsorganer i staten. Utgiftene til forvaltningsorganet dekkes av fondet gjennom refusjon til statskassen.  </w:t>
      </w:r>
    </w:p>
    <w:p w:rsidR="00944062" w:rsidRPr="007147D9" w:rsidRDefault="00944062" w:rsidP="00B842DD">
      <w:pPr>
        <w:pStyle w:val="Overskrift3"/>
        <w:rPr>
          <w:rFonts w:eastAsiaTheme="minorEastAsia"/>
        </w:rPr>
      </w:pPr>
      <w:bookmarkStart w:id="1871" w:name="_Toc477277261"/>
      <w:bookmarkStart w:id="1872" w:name="_Toc477535576"/>
      <w:bookmarkStart w:id="1873" w:name="_Toc477630708"/>
      <w:bookmarkStart w:id="1874" w:name="_Toc477693672"/>
      <w:bookmarkStart w:id="1875" w:name="_Toc477704046"/>
      <w:bookmarkStart w:id="1876" w:name="_Toc477799259"/>
      <w:bookmarkStart w:id="1877" w:name="_Toc477805862"/>
      <w:bookmarkStart w:id="1878" w:name="_Toc477871521"/>
      <w:bookmarkStart w:id="1879" w:name="_Toc477878123"/>
      <w:bookmarkStart w:id="1880" w:name="_Toc477881526"/>
      <w:bookmarkStart w:id="1881" w:name="_Toc477885986"/>
      <w:bookmarkStart w:id="1882" w:name="_Toc478131415"/>
      <w:bookmarkStart w:id="1883" w:name="_Toc478138785"/>
      <w:bookmarkStart w:id="1884" w:name="_Toc478232314"/>
      <w:bookmarkStart w:id="1885" w:name="_Toc478237298"/>
      <w:bookmarkStart w:id="1886" w:name="_Toc481761836"/>
      <w:bookmarkStart w:id="1887" w:name="_Toc492900488"/>
      <w:r w:rsidRPr="007147D9">
        <w:rPr>
          <w:rFonts w:eastAsiaTheme="minorEastAsia"/>
        </w:rPr>
        <w:t>Fondets økonomiske stilling</w:t>
      </w:r>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p>
    <w:p w:rsidR="00944062" w:rsidRPr="007147D9" w:rsidRDefault="00944062" w:rsidP="00B842DD">
      <w:r w:rsidRPr="007147D9">
        <w:t>Siden 1821 er fondets eiendomsverdier for en del utviklet ved fradelinger og salg av grunn fra de opprinnelige eiendommene. Fondet har gjennom årene også kjøpt eiendommer, bla</w:t>
      </w:r>
      <w:r w:rsidR="00DD7AC1">
        <w:t>nt annet</w:t>
      </w:r>
      <w:r w:rsidRPr="007147D9">
        <w:t xml:space="preserve"> presteboliger, skogteiger m.m. Betydelige tomtearealer er festet bort til bolighus eller næringsformål. På prestegårdene har bolighuset vært benyttet som tjenestebolig for presten, mens gården ellers ofte har vært under forpaktning. Jordbruksarealer som ikke tilhørte et forpaktningsbruk, har vært utleid som tilleggsjord til private eller forvaltet som jordleiebruk. Fondets skoger ble i mange år forvaltet av Direktoratet for statens skoger, senere Statskog SF.</w:t>
      </w:r>
    </w:p>
    <w:p w:rsidR="00944062" w:rsidRPr="007147D9" w:rsidRDefault="00944062" w:rsidP="00B842DD">
      <w:r w:rsidRPr="007147D9">
        <w:t xml:space="preserve">Gjennom salg av prestegårdene til forpakterne fra midten av 1980-tallet </w:t>
      </w:r>
      <w:r w:rsidR="00BD5E4C">
        <w:t xml:space="preserve">og utover på 1990-tallet </w:t>
      </w:r>
      <w:r w:rsidRPr="007147D9">
        <w:t xml:space="preserve">– etter fradeling av presteboligen – er det nå få prestegårder som er under forpaktning </w:t>
      </w:r>
      <w:r w:rsidRPr="007147D9">
        <w:lastRenderedPageBreak/>
        <w:t>(i alt 2</w:t>
      </w:r>
      <w:r w:rsidR="00D62F20">
        <w:t>5</w:t>
      </w:r>
      <w:r w:rsidRPr="007147D9">
        <w:t xml:space="preserve">). Disse er beholdt i fondets eie fordi de representerer en særskilt kirke- og kulturhistorisk verdi. Flere steder ligger den gamle prestegården og kirkebygget tett ved hverandre og framstår som en enhet i kulturlandskapet. </w:t>
      </w:r>
    </w:p>
    <w:p w:rsidR="00944062" w:rsidRPr="007147D9" w:rsidRDefault="00944062" w:rsidP="00B842DD">
      <w:r w:rsidRPr="007147D9">
        <w:t xml:space="preserve">Fondet har i dag eiendommer i de fleste av landets kommuner, fordelt på presteboliger, jord- og skogbrukseiendommer, festetomter, næringseiendommer og kontoreiendommer. </w:t>
      </w:r>
      <w:r w:rsidR="00521B0D">
        <w:t>Det samlede ar</w:t>
      </w:r>
      <w:r w:rsidRPr="007147D9">
        <w:t xml:space="preserve">ealet er på </w:t>
      </w:r>
      <w:r w:rsidR="00521B0D">
        <w:t xml:space="preserve">ca. 900 000 </w:t>
      </w:r>
      <w:r w:rsidRPr="007147D9">
        <w:t>dekar, hvorav rundt halvparten er produktiv sk</w:t>
      </w:r>
      <w:r w:rsidR="00D62F20">
        <w:t>og. Under fondet er det rundt 13</w:t>
      </w:r>
      <w:r w:rsidRPr="007147D9">
        <w:t xml:space="preserve">0 jordleiebruk. Fondet har </w:t>
      </w:r>
      <w:r w:rsidR="00D62F20">
        <w:t>nær</w:t>
      </w:r>
      <w:r w:rsidRPr="007147D9">
        <w:t xml:space="preserve"> 7 000 festekontrakter, hvorav de fleste gjelder festetomter til boligformål. Fondets bygningsmasse har et samlet bruttoareal på 2</w:t>
      </w:r>
      <w:r w:rsidR="00D62F20">
        <w:t>52</w:t>
      </w:r>
      <w:r w:rsidRPr="007147D9">
        <w:t xml:space="preserve"> 000 m2, fordelt på godt over 1 400 bygninger (boliger, driftsbygninger, stabbur m.m.). Et stort antall bygninger har kulturhistorisk verdi. 31</w:t>
      </w:r>
      <w:r w:rsidR="00D62F20">
        <w:t>2</w:t>
      </w:r>
      <w:r w:rsidRPr="007147D9">
        <w:t xml:space="preserve"> bygninger er fredet.</w:t>
      </w:r>
      <w:r w:rsidR="00521B0D">
        <w:t xml:space="preserve"> Fondet er landets nest største eier av fredete bygg. </w:t>
      </w:r>
    </w:p>
    <w:p w:rsidR="00944062" w:rsidRPr="007147D9" w:rsidRDefault="00944062" w:rsidP="00B842DD">
      <w:r w:rsidRPr="007147D9">
        <w:t xml:space="preserve">Jordleiebrukene, forpaktningsbrukene, presteboligene og andre eiendommer gir lav årlig inntjening. Skogen driftes omtrent i balanse. Driften og vedlikeholdet av bygningsmassen koster hvert år langt mer enn hva eiendommene gir av løpende inntekter. Eiendommer er aktuelle for salg om de ikke representerer et potensiale for verdiøkning og økte inntekter, for eksempel gjennom omregulering av tomter, inntekter ved utleie/salg av fallrettigheter, jakt- og fiskerettigheter, utnytting av mineralforekomster m.m. </w:t>
      </w:r>
    </w:p>
    <w:p w:rsidR="00944062" w:rsidRPr="007147D9" w:rsidRDefault="00944062" w:rsidP="00B842DD">
      <w:r w:rsidRPr="007147D9">
        <w:t>Fra midten av 1980-tallet ble festere av boligtomter gitt anledning til å innløse tomten. Salget av prestegårdene og innløsningen av festetomter innebar at fondets finanskapital økte betydelig gjennom 1980- og 1990-tallet. Finanskapitalen ble fra 1990 investert i verdipapirer. Som følge av finansmarkedenes utvikling fram til finanskrisen i 2008, ga finanskapitalen god avkastning i årene 1990–200</w:t>
      </w:r>
      <w:r w:rsidR="00F72B75">
        <w:t>7</w:t>
      </w:r>
      <w:r w:rsidRPr="007147D9">
        <w:t xml:space="preserve">. Ved finanskrisen fikk fondet betydelige tap på sine investeringer. </w:t>
      </w:r>
    </w:p>
    <w:p w:rsidR="00944062" w:rsidRPr="007147D9" w:rsidRDefault="00944062" w:rsidP="00B842DD">
      <w:r w:rsidRPr="007147D9">
        <w:t>For å motvirke fondets avhengighet av finansinntektene har det i flere år vært arbeidet systematisk med verdiskaping og bedre utnyttelse av de verdiene som fondets eiendommer representerer. Gjennom en mer aktiv eiendomsforvaltning er det tatt initiativ til omregulering av tomter og deltakelse i utbyggingsprosjekter til blant annet bolig-, nærings- og småkraftformål. Under fondet er det dannet datterselskaper, bla</w:t>
      </w:r>
      <w:r w:rsidR="00DD7AC1">
        <w:t>nt annet</w:t>
      </w:r>
      <w:r w:rsidRPr="007147D9">
        <w:t xml:space="preserve"> innen skog og småkraft, som på forretningsmessige vilkår utvikler kommersielle satsinger. </w:t>
      </w:r>
    </w:p>
    <w:p w:rsidR="00944062" w:rsidRPr="007147D9" w:rsidRDefault="00944062" w:rsidP="00B842DD">
      <w:r w:rsidRPr="007147D9">
        <w:t xml:space="preserve">Etter loven om fondet skal fondets avkastning benyttes til å dekke fondets egne utgifter (forvaltningskostnader, drift og vedlikehold av fondets bygningsmasse m.m.). Avkastningen kan også tilføres fondets grunnkapital, avsettes til disposisjonsfond som fri egenkapital eller gis til kirkelige formål. Fondets bidrag til Den norske kirke omfatter verdien for Den norske kirke av de tjenesteboligene som prestene benytter, dels av det finansielle tilskuddet til Den norske kirke. Det finansielle tilskuddet var på </w:t>
      </w:r>
      <w:r w:rsidR="00FC3B89">
        <w:t>ca.</w:t>
      </w:r>
      <w:r w:rsidRPr="007147D9">
        <w:t xml:space="preserve"> </w:t>
      </w:r>
      <w:r w:rsidR="00FC3B89">
        <w:t>5</w:t>
      </w:r>
      <w:r w:rsidRPr="007147D9">
        <w:t>0 mill. kroner i 201</w:t>
      </w:r>
      <w:r w:rsidR="00FC3B89">
        <w:t>6</w:t>
      </w:r>
      <w:r w:rsidRPr="007147D9">
        <w:t xml:space="preserve">. </w:t>
      </w:r>
      <w:r w:rsidR="00ED15A5">
        <w:t>I</w:t>
      </w:r>
      <w:r w:rsidRPr="007147D9">
        <w:t xml:space="preserve"> beregningsgrunnlaget </w:t>
      </w:r>
      <w:r w:rsidR="00CB7D05">
        <w:t xml:space="preserve">i 2017 </w:t>
      </w:r>
      <w:r w:rsidRPr="007147D9">
        <w:t>for statens tilskudd til</w:t>
      </w:r>
      <w:r w:rsidR="001F367B">
        <w:t xml:space="preserve"> tros- og livssynssamfunn</w:t>
      </w:r>
      <w:r w:rsidR="00ED15A5">
        <w:t xml:space="preserve"> </w:t>
      </w:r>
      <w:r w:rsidR="00CB7D05">
        <w:t xml:space="preserve">utenom Den norske kirken </w:t>
      </w:r>
      <w:r w:rsidR="00ED15A5">
        <w:t xml:space="preserve">inngikk bidraget fra fondet til Den norske kirke med 107 mill. kroner. </w:t>
      </w:r>
    </w:p>
    <w:p w:rsidR="00944062" w:rsidRPr="007147D9" w:rsidRDefault="00944062" w:rsidP="00B842DD">
      <w:r w:rsidRPr="007147D9">
        <w:t>Resultatene for fondet de seneste årene har vært negativ. Det negative resultatet har vært dekket av den frie egenkapitalen (disposisjonsfondet), som er en buffer ved sviktende inntekter. Disposisjonsfondet var på 9</w:t>
      </w:r>
      <w:r w:rsidR="00FC3B89">
        <w:t>4</w:t>
      </w:r>
      <w:r w:rsidRPr="007147D9">
        <w:t xml:space="preserve"> mill. kroner ved utgangen av 201</w:t>
      </w:r>
      <w:r w:rsidR="00FC3B89">
        <w:t>6</w:t>
      </w:r>
      <w:r w:rsidRPr="007147D9">
        <w:t xml:space="preserve">. </w:t>
      </w:r>
    </w:p>
    <w:p w:rsidR="00944062" w:rsidRPr="007147D9" w:rsidRDefault="00944062" w:rsidP="00B842DD">
      <w:r w:rsidRPr="007147D9">
        <w:t xml:space="preserve">Fondets bygningsmasse er preget av et betydelig vedlikeholdsetterslep. Det samme gjelder de kulturhistorisk verdifulle eiendommene. Etterslepet har bygget seg opp gjennom lang tid. Som følge av fondets svake resultater de seneste årene, har det ikke vært økonomisk grunnlag for å hente inn etterslepet på vedlikeholdet av bygningsmassen. Det samlede istandsettingsbehovet er beregnet </w:t>
      </w:r>
      <w:r w:rsidR="00521B0D">
        <w:t xml:space="preserve">å være </w:t>
      </w:r>
      <w:r w:rsidR="0083448F">
        <w:t xml:space="preserve">på flere hundre </w:t>
      </w:r>
      <w:r w:rsidRPr="007147D9">
        <w:t>mill</w:t>
      </w:r>
      <w:r w:rsidR="0083448F">
        <w:t>ioner</w:t>
      </w:r>
      <w:r w:rsidRPr="007147D9">
        <w:t xml:space="preserve"> kroner, hvorav </w:t>
      </w:r>
      <w:r w:rsidR="0083448F">
        <w:t>en stor del g</w:t>
      </w:r>
      <w:r w:rsidRPr="007147D9">
        <w:t>jelder de kulturhistorisk verdifulle eiendommene.</w:t>
      </w:r>
    </w:p>
    <w:p w:rsidR="00944062" w:rsidRPr="007147D9" w:rsidRDefault="00944062" w:rsidP="00B842DD">
      <w:r w:rsidRPr="007147D9">
        <w:lastRenderedPageBreak/>
        <w:t>Selv om eiendomsforvaltningen årlig driftes med betydelige underskudd, har de underliggende eiendomsverdiene hatt en økning i takt med eiendomsprisene ellers. Verdie</w:t>
      </w:r>
      <w:r w:rsidR="00BD5E4C">
        <w:t>n</w:t>
      </w:r>
      <w:r w:rsidRPr="007147D9">
        <w:t xml:space="preserve"> av eiendomm</w:t>
      </w:r>
      <w:r w:rsidR="00D942FD">
        <w:t>ene er en del av grunnkapitalen.</w:t>
      </w:r>
      <w:r w:rsidRPr="007147D9">
        <w:t xml:space="preserve"> Om verdiene realiseres ved salg, skal salgssummen legges til grunnkapitalen i tråd med Grunnloven § 116. Fondet kan av samme grunn heller ikke selge eiendommer til lavere pris enn markedspris (eller konsesjonspris) eller tilby festeavgifter og innløsningspriser for boligtomter som er lavere enn det som følger av tomtefesteloven og den enkelte festekontrakten. </w:t>
      </w:r>
    </w:p>
    <w:p w:rsidR="00944062" w:rsidRPr="007147D9" w:rsidRDefault="00944062" w:rsidP="00B842DD">
      <w:r w:rsidRPr="007147D9">
        <w:t xml:space="preserve">Som følge av avviklingen i 2015 av tjenestebolig- og bopliktordningen for prestene i Den norske kirke, vil antallet presteboliger som fondet bærer utgiftene ved, etter hvert bli færre. I årene framover vil mange boliger bli solgt. Boliger med særlig kulturhistorisk verdi er aktuelle å beholde i fondets eie og fortsatt tilby som prestebolig. I rekrutteringssvake områder har fondet et ansvar for å sørge for bolig til presten, men da på vanlige utleievilkår. Det vil gå tid før avviklingen av prestenes boplikt og reduksjonen i antallet presteboliger vil gi vesentlige positive bidrag til fondets resultat. </w:t>
      </w:r>
    </w:p>
    <w:p w:rsidR="00944062" w:rsidRPr="007147D9" w:rsidRDefault="00944062" w:rsidP="00B842DD">
      <w:r w:rsidRPr="007147D9">
        <w:t>Opplysningsvesenets fond skal være selvfinansierende, dvs. at fondet ved sine egne inntekter skal drifte og vedlikeholde fondets eiendommer og selv bære utgiftene til sin forvaltning. Forvaltningskostnadene, kostnadene ved istandsetting og vedlikehold av bygningsmassen og de årlige overføringene til Den norske kirke er blant de viktigste kostnadselementene. F</w:t>
      </w:r>
      <w:r w:rsidR="00521B0D">
        <w:t xml:space="preserve">esteinntektene og </w:t>
      </w:r>
      <w:r w:rsidRPr="007147D9">
        <w:t xml:space="preserve">finansinntektene er fondets </w:t>
      </w:r>
      <w:r w:rsidR="00521B0D">
        <w:t xml:space="preserve">viktigste </w:t>
      </w:r>
      <w:r w:rsidRPr="007147D9">
        <w:t>inntektskilde</w:t>
      </w:r>
      <w:r w:rsidR="00521B0D">
        <w:t>r.</w:t>
      </w:r>
      <w:r w:rsidRPr="007147D9">
        <w:t xml:space="preserve"> </w:t>
      </w:r>
    </w:p>
    <w:p w:rsidR="00944062" w:rsidRPr="007147D9" w:rsidRDefault="00944062" w:rsidP="00B842DD">
      <w:r w:rsidRPr="007147D9">
        <w:t xml:space="preserve">Formålet med fondets investeringer i småkraft og andre eiendomsutviklingsprosjekter er å oppnå en mer forutsigbar og sikker årlig inntjening enn det plasseringen i raskt skiftende finansmarkeder kan gi. Først på lengre sikt ventes investeringene å styrke fondets økonomiske bæreevne. </w:t>
      </w:r>
    </w:p>
    <w:p w:rsidR="00944062" w:rsidRPr="007147D9" w:rsidRDefault="00944062" w:rsidP="00B842DD">
      <w:pPr>
        <w:pStyle w:val="Overskrift2"/>
        <w:rPr>
          <w:rFonts w:eastAsiaTheme="minorEastAsia"/>
        </w:rPr>
      </w:pPr>
      <w:bookmarkStart w:id="1888" w:name="_Toc476320948"/>
      <w:bookmarkStart w:id="1889" w:name="_Toc477277262"/>
      <w:bookmarkStart w:id="1890" w:name="_Toc477535577"/>
      <w:bookmarkStart w:id="1891" w:name="_Toc477630709"/>
      <w:bookmarkStart w:id="1892" w:name="_Toc477693673"/>
      <w:bookmarkStart w:id="1893" w:name="_Toc477704047"/>
      <w:bookmarkStart w:id="1894" w:name="_Toc477799260"/>
      <w:bookmarkStart w:id="1895" w:name="_Toc477805863"/>
      <w:bookmarkStart w:id="1896" w:name="_Toc477871522"/>
      <w:bookmarkStart w:id="1897" w:name="_Toc477878124"/>
      <w:bookmarkStart w:id="1898" w:name="_Toc477881527"/>
      <w:bookmarkStart w:id="1899" w:name="_Toc477885987"/>
      <w:bookmarkStart w:id="1900" w:name="_Toc478131416"/>
      <w:bookmarkStart w:id="1901" w:name="_Toc478138786"/>
      <w:bookmarkStart w:id="1902" w:name="_Toc478232315"/>
      <w:bookmarkStart w:id="1903" w:name="_Toc478237299"/>
      <w:bookmarkStart w:id="1904" w:name="_Toc481761837"/>
      <w:bookmarkStart w:id="1905" w:name="_Toc492900489"/>
      <w:r w:rsidRPr="007147D9">
        <w:rPr>
          <w:rFonts w:eastAsiaTheme="minorEastAsia"/>
        </w:rPr>
        <w:t>Eierskapsspørsmålet</w:t>
      </w:r>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r w:rsidRPr="007147D9">
        <w:rPr>
          <w:rFonts w:eastAsiaTheme="minorEastAsia"/>
        </w:rPr>
        <w:t xml:space="preserve"> </w:t>
      </w:r>
    </w:p>
    <w:p w:rsidR="00944062" w:rsidRPr="007147D9" w:rsidRDefault="00944062" w:rsidP="00B842DD">
      <w:pPr>
        <w:pStyle w:val="Overskrift3"/>
        <w:rPr>
          <w:rFonts w:eastAsiaTheme="minorEastAsia"/>
        </w:rPr>
      </w:pPr>
      <w:bookmarkStart w:id="1906" w:name="_Toc477277263"/>
      <w:bookmarkStart w:id="1907" w:name="_Toc477535578"/>
      <w:bookmarkStart w:id="1908" w:name="_Toc477630710"/>
      <w:bookmarkStart w:id="1909" w:name="_Toc477693674"/>
      <w:bookmarkStart w:id="1910" w:name="_Toc477704048"/>
      <w:bookmarkStart w:id="1911" w:name="_Toc477799261"/>
      <w:bookmarkStart w:id="1912" w:name="_Toc477805864"/>
      <w:bookmarkStart w:id="1913" w:name="_Toc477871523"/>
      <w:bookmarkStart w:id="1914" w:name="_Toc477878125"/>
      <w:bookmarkStart w:id="1915" w:name="_Toc477881528"/>
      <w:bookmarkStart w:id="1916" w:name="_Toc477885988"/>
      <w:bookmarkStart w:id="1917" w:name="_Toc478131417"/>
      <w:bookmarkStart w:id="1918" w:name="_Toc478138787"/>
      <w:bookmarkStart w:id="1919" w:name="_Toc478232316"/>
      <w:bookmarkStart w:id="1920" w:name="_Toc478237300"/>
      <w:bookmarkStart w:id="1921" w:name="_Toc481761838"/>
      <w:bookmarkStart w:id="1922" w:name="_Toc492900490"/>
      <w:r w:rsidRPr="007147D9">
        <w:rPr>
          <w:rFonts w:eastAsiaTheme="minorEastAsia"/>
        </w:rPr>
        <w:t>Bakgrunn</w:t>
      </w:r>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944062" w:rsidRPr="007147D9" w:rsidRDefault="00944062" w:rsidP="00B842DD">
      <w:r w:rsidRPr="007147D9">
        <w:t xml:space="preserve">I snart 200 år har spørsmålet om eierskapet til Opplysningsvesenets fond vært regnet som et rettslig uavklart spørsmål. I en omfattende uttalelse 23. november 2000 konkluderte Lovavdelingen med at det måtte anses som sikkert at staten </w:t>
      </w:r>
      <w:r w:rsidR="00F72B75">
        <w:t>er</w:t>
      </w:r>
      <w:r w:rsidRPr="007147D9">
        <w:t xml:space="preserve"> eier av fondet. Konklusjonen ble bestridt av flere. I NOU 2006: 2</w:t>
      </w:r>
      <w:r w:rsidRPr="007147D9">
        <w:rPr>
          <w:i/>
        </w:rPr>
        <w:t xml:space="preserve"> Staten og Den norske kirke </w:t>
      </w:r>
      <w:r w:rsidRPr="007147D9">
        <w:t>(Gjønnes-utvalget) framholdt flertallet at spørsmålet neppe kunne avgjøres som et rent rettslig spørsmål, men gjennom politiske vedtak.</w:t>
      </w:r>
    </w:p>
    <w:p w:rsidR="00944062" w:rsidRPr="007147D9" w:rsidRDefault="00944062" w:rsidP="00B842DD">
      <w:r w:rsidRPr="007147D9">
        <w:t>Opplysningsvesenets fond og eierskapsspørsmålet ble ikke berørt i avtalen 10. april 2008 mellom de politiske partiene på Stortinget om statskirkeordningen (kirkeforliket). I St.meld. nr. 17 (2007–2008)</w:t>
      </w:r>
      <w:r w:rsidRPr="007147D9">
        <w:rPr>
          <w:i/>
        </w:rPr>
        <w:t xml:space="preserve"> Staten og Den norske kirke, </w:t>
      </w:r>
      <w:r w:rsidRPr="007147D9">
        <w:t>som ble lagt fram med bakgrunn i kirkeforliket, uttalte departementet:</w:t>
      </w:r>
    </w:p>
    <w:p w:rsidR="00944062" w:rsidRPr="009A30DA" w:rsidRDefault="00944062" w:rsidP="009A30DA">
      <w:pPr>
        <w:pStyle w:val="blokksit"/>
        <w:rPr>
          <w:rStyle w:val="kursiv"/>
        </w:rPr>
      </w:pPr>
      <w:r w:rsidRPr="009A30DA">
        <w:rPr>
          <w:rStyle w:val="kursiv"/>
        </w:rPr>
        <w:t>Departementet er enig i at spørsmålet om den framtidige eiendomsretten til Opplysningsvesenets fond må vurderes dersom statskirkeordningen avvikles og at dette spørsmålet da vil bli avklart politisk. Departementet kan ikke se at det er grunn til å ta s</w:t>
      </w:r>
      <w:r w:rsidR="00940DD3" w:rsidRPr="009A30DA">
        <w:rPr>
          <w:rStyle w:val="kursiv"/>
        </w:rPr>
        <w:t>pørsmålet opp til vurdering nå.</w:t>
      </w:r>
    </w:p>
    <w:p w:rsidR="00944062" w:rsidRPr="007147D9" w:rsidRDefault="00944062" w:rsidP="00B842DD">
      <w:r w:rsidRPr="007147D9">
        <w:t xml:space="preserve">Eierskapet til Opplysningsvesenets fond ble tatt opp i forbindelse med utskillingen av Den norske kirke fra staten 1. januar 2017. Departementet mente imidlertid at det ikke var nødvendig, heller ikke hensiktsmessig, å ta stilling til spørsmålet i forbindelse med omdanningen av Den norske kirke </w:t>
      </w:r>
      <w:r w:rsidR="00F356B9">
        <w:t xml:space="preserve">til </w:t>
      </w:r>
      <w:r w:rsidRPr="007147D9">
        <w:t xml:space="preserve">eget rettssubjekt. Kirkemøtet 2015 hadde ikke </w:t>
      </w:r>
      <w:r w:rsidRPr="007147D9">
        <w:lastRenderedPageBreak/>
        <w:t>innvendinger til dette, men viste til Kirkemøtet 2006 som uttalte: "</w:t>
      </w:r>
      <w:r w:rsidRPr="007147D9">
        <w:rPr>
          <w:iCs/>
          <w:color w:val="000000"/>
        </w:rPr>
        <w:t>Kirkemøtet betrakter Opplysningsvesenets fond som et kirkelig fond som</w:t>
      </w:r>
      <w:r w:rsidR="00D942FD">
        <w:rPr>
          <w:iCs/>
          <w:color w:val="000000"/>
        </w:rPr>
        <w:t xml:space="preserve"> overføres til Den norske kirke</w:t>
      </w:r>
      <w:r w:rsidRPr="007147D9">
        <w:rPr>
          <w:iCs/>
          <w:color w:val="000000"/>
        </w:rPr>
        <w:t>.</w:t>
      </w:r>
      <w:r w:rsidR="00D942FD">
        <w:rPr>
          <w:iCs/>
          <w:color w:val="000000"/>
        </w:rPr>
        <w:t>"</w:t>
      </w:r>
      <w:r w:rsidRPr="007147D9">
        <w:t xml:space="preserve"> </w:t>
      </w:r>
    </w:p>
    <w:p w:rsidR="00944062" w:rsidRPr="007147D9" w:rsidRDefault="00944062" w:rsidP="001F367B">
      <w:pPr>
        <w:rPr>
          <w:iCs/>
          <w:color w:val="000000"/>
        </w:rPr>
      </w:pPr>
      <w:r w:rsidRPr="007147D9">
        <w:t>I lovproposisjonen om omdanningen av Den norske kirke til eget rettssubjekt, jf. Prop. 55 L (2015–2016), uttalte departementet (side 50):</w:t>
      </w:r>
    </w:p>
    <w:p w:rsidR="00944062" w:rsidRPr="009A30DA" w:rsidRDefault="00944062" w:rsidP="009A30DA">
      <w:pPr>
        <w:pStyle w:val="blokksit"/>
        <w:rPr>
          <w:rStyle w:val="kursiv"/>
        </w:rPr>
      </w:pPr>
      <w:r w:rsidRPr="009A30DA">
        <w:rPr>
          <w:rStyle w:val="kursiv"/>
        </w:rPr>
        <w:t xml:space="preserve">I arbeidet med en helhetlig lov for alle tros- og livssynssamfunn og finansieringsordningene for Den norske kirke og andre tros- og livssynssamfunn, jf. pkt. 2.6, tar departementet sikte på å ta opp eierskapsspørsmålet vedrørende Opplysningsvesenets fond. </w:t>
      </w:r>
    </w:p>
    <w:p w:rsidR="00944062" w:rsidRPr="007147D9" w:rsidRDefault="00944062" w:rsidP="00B842DD">
      <w:pPr>
        <w:pStyle w:val="Overskrift3"/>
        <w:rPr>
          <w:rFonts w:eastAsiaTheme="minorEastAsia"/>
        </w:rPr>
      </w:pPr>
      <w:bookmarkStart w:id="1923" w:name="_Toc477277264"/>
      <w:bookmarkStart w:id="1924" w:name="_Toc477535579"/>
      <w:bookmarkStart w:id="1925" w:name="_Toc477630711"/>
      <w:bookmarkStart w:id="1926" w:name="_Toc477693675"/>
      <w:bookmarkStart w:id="1927" w:name="_Toc477704049"/>
      <w:bookmarkStart w:id="1928" w:name="_Toc477799262"/>
      <w:bookmarkStart w:id="1929" w:name="_Toc477805865"/>
      <w:bookmarkStart w:id="1930" w:name="_Toc477871524"/>
      <w:bookmarkStart w:id="1931" w:name="_Toc477878126"/>
      <w:bookmarkStart w:id="1932" w:name="_Toc477881529"/>
      <w:bookmarkStart w:id="1933" w:name="_Toc477885989"/>
      <w:bookmarkStart w:id="1934" w:name="_Toc478131418"/>
      <w:bookmarkStart w:id="1935" w:name="_Toc478138788"/>
      <w:bookmarkStart w:id="1936" w:name="_Toc478232317"/>
      <w:bookmarkStart w:id="1937" w:name="_Toc478237301"/>
      <w:bookmarkStart w:id="1938" w:name="_Toc481761839"/>
      <w:bookmarkStart w:id="1939" w:name="_Toc492900491"/>
      <w:r w:rsidRPr="007147D9">
        <w:rPr>
          <w:rFonts w:eastAsiaTheme="minorEastAsia"/>
        </w:rPr>
        <w:t>Lo</w:t>
      </w:r>
      <w:r w:rsidR="00940DD3">
        <w:rPr>
          <w:rFonts w:eastAsiaTheme="minorEastAsia"/>
        </w:rPr>
        <w:t xml:space="preserve">vavdelingens uttalelse </w:t>
      </w:r>
      <w:r w:rsidR="00DE756F">
        <w:rPr>
          <w:rFonts w:eastAsiaTheme="minorEastAsia"/>
        </w:rPr>
        <w:t>23</w:t>
      </w:r>
      <w:r w:rsidR="00940DD3">
        <w:rPr>
          <w:rFonts w:eastAsiaTheme="minorEastAsia"/>
        </w:rPr>
        <w:t xml:space="preserve">. </w:t>
      </w:r>
      <w:r w:rsidRPr="007147D9">
        <w:rPr>
          <w:rFonts w:eastAsiaTheme="minorEastAsia"/>
        </w:rPr>
        <w:t>mars 2017 om eierskapsspørsmålet</w:t>
      </w:r>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r w:rsidRPr="007147D9">
        <w:rPr>
          <w:rFonts w:eastAsiaTheme="minorEastAsia"/>
        </w:rPr>
        <w:t xml:space="preserve"> </w:t>
      </w:r>
    </w:p>
    <w:p w:rsidR="00944062" w:rsidRPr="007147D9" w:rsidRDefault="00944062" w:rsidP="00B842DD">
      <w:pPr>
        <w:pStyle w:val="Overskrift4"/>
        <w:rPr>
          <w:rFonts w:eastAsiaTheme="minorEastAsia"/>
        </w:rPr>
      </w:pPr>
      <w:r w:rsidRPr="007147D9">
        <w:rPr>
          <w:rFonts w:eastAsiaTheme="minorEastAsia"/>
        </w:rPr>
        <w:t>Eierskapet</w:t>
      </w:r>
    </w:p>
    <w:p w:rsidR="00944062" w:rsidRPr="007147D9" w:rsidRDefault="00944062" w:rsidP="00B842DD">
      <w:r w:rsidRPr="007147D9">
        <w:t>I tråd med det som ble varslet i Prop. 55 L (2015–2016), jf. ovenfor, har Lovavdelingen i Justis- og beredskapsdepartementet etter anmodning fra Kulturdepartementet uttalt seg om eierskapsspørsmålet vedrørende Opplysningsvesenets fond. Lovavdelingen ble bedt om å vurdere om staten fortsatt må regnes som eier av fondet, slik Lovavdelingen hadde kommet til ved sin uttalelse i 2000, eller om Den norske kirke er fondets eier når kirken fra 1. januar 2017 kom i posisjon (som eget rettssubjekt) til å eie. Lovavdelingen ble også bedt om å vurdere om Opplysningsvesenets fond er en fullt ut selveiende formuesmasse som ingen hadde et eierskap til, eller om spørsmålet om eierskap er rettslig uavklart.</w:t>
      </w:r>
    </w:p>
    <w:p w:rsidR="00944062" w:rsidRPr="007147D9" w:rsidRDefault="00944062" w:rsidP="00B842DD">
      <w:r w:rsidRPr="007147D9">
        <w:t xml:space="preserve">Lovavdelingen ble videre bedt om å vurdere hvilke muligheter og rettslige skranker som forelå for å gi Den norske kirke ansvaret for å forvalte Opplysningsvesenets fond, enten i egenskap som eier eller som representant for eier, og hvilke virkninger dette i tilfelle ville ha i lys av kravet i Grunnloven § 16 om likebehandling av alle tros- og livssynssamfunn. </w:t>
      </w:r>
    </w:p>
    <w:p w:rsidR="00944062" w:rsidRPr="007147D9" w:rsidRDefault="00944062" w:rsidP="00C43AB0">
      <w:r w:rsidRPr="007147D9">
        <w:t xml:space="preserve">Lovavdelingens uttalelse i saken forelå ved brev til Kulturdepartementet </w:t>
      </w:r>
      <w:r w:rsidR="00603058">
        <w:t>23</w:t>
      </w:r>
      <w:r w:rsidRPr="007147D9">
        <w:t>. mars 2017. Uttalelsen er tilgjengelig på Justis- og beredskapsdepartementets nettsider</w:t>
      </w:r>
      <w:r w:rsidR="00603058">
        <w:t xml:space="preserve">. </w:t>
      </w:r>
    </w:p>
    <w:p w:rsidR="00944062" w:rsidRPr="007147D9" w:rsidRDefault="00C43AB0" w:rsidP="00B842DD">
      <w:r>
        <w:t xml:space="preserve">Spørsmålet om eierskapet til Opplysningsvesenets fond </w:t>
      </w:r>
      <w:r w:rsidR="00944062" w:rsidRPr="007147D9">
        <w:t xml:space="preserve">ble utførlig gjennomgått av Lovavdelingen i uttalelsen fra 2000, der Lovavdelingen utelukket at kirken kunne ha eiendomsrett til fondet. Lovavdelingens uttalelse </w:t>
      </w:r>
      <w:r w:rsidR="00603058">
        <w:t>23</w:t>
      </w:r>
      <w:r w:rsidR="00944062" w:rsidRPr="007147D9">
        <w:t xml:space="preserve">. mars 2017 gjennomgår spørsmålet på ny, men nå også i lys også av endringene i Grunnloven i 2012 om statskirkeordningen og av omdanningen av Den norske kirke </w:t>
      </w:r>
      <w:r w:rsidR="00F72B75">
        <w:t>til</w:t>
      </w:r>
      <w:r w:rsidR="00944062" w:rsidRPr="007147D9">
        <w:t xml:space="preserve"> eget rettssubjekt 1. januar 2017. </w:t>
      </w:r>
    </w:p>
    <w:p w:rsidR="00944062" w:rsidRPr="007147D9" w:rsidRDefault="00944062" w:rsidP="00B842DD">
      <w:r w:rsidRPr="007147D9">
        <w:t>Etter en gjennomgang av fondets historie, rettskilder og de ulike standpunktene til eierskapet som har vært framholdt gjennom årene, er Lovavdelingen kommet til samme konklusjon som i 2000 og uttaler: "Vår konklusjon er at staten har eiendomsrett</w:t>
      </w:r>
      <w:r w:rsidR="00D942FD">
        <w:t>en til Opplysningsvesenets fond</w:t>
      </w:r>
      <w:r w:rsidRPr="007147D9">
        <w:t>.</w:t>
      </w:r>
      <w:r w:rsidR="00D942FD">
        <w:t>"</w:t>
      </w:r>
      <w:r w:rsidRPr="007147D9">
        <w:t xml:space="preserve"> </w:t>
      </w:r>
    </w:p>
    <w:p w:rsidR="00944062" w:rsidRPr="007147D9" w:rsidRDefault="00944062" w:rsidP="00B842DD">
      <w:pPr>
        <w:pStyle w:val="Overskrift4"/>
        <w:rPr>
          <w:rFonts w:eastAsiaTheme="minorEastAsia"/>
        </w:rPr>
      </w:pPr>
      <w:r w:rsidRPr="007147D9">
        <w:rPr>
          <w:rFonts w:eastAsiaTheme="minorEastAsia"/>
        </w:rPr>
        <w:t>Overføring av Opplysningsvesenets fond til Den norske kirke</w:t>
      </w:r>
    </w:p>
    <w:p w:rsidR="00AC1E59" w:rsidRDefault="00C43AB0" w:rsidP="00B842DD">
      <w:r>
        <w:t xml:space="preserve">Når det gjelder spørsmålet om </w:t>
      </w:r>
      <w:r w:rsidR="00AC1E59">
        <w:t>statens eiendomsrett til fondet kan overføres til Den norske kirke uten hinder av Grunnloven § 116, uttaler Lovavdelingen:</w:t>
      </w:r>
    </w:p>
    <w:p w:rsidR="00AC1E59" w:rsidRPr="00344190" w:rsidRDefault="00AC1E59" w:rsidP="00344190">
      <w:pPr>
        <w:pStyle w:val="blokksit"/>
        <w:rPr>
          <w:rStyle w:val="kursiv"/>
        </w:rPr>
      </w:pPr>
      <w:r w:rsidRPr="00344190">
        <w:rPr>
          <w:rStyle w:val="kursiv"/>
        </w:rPr>
        <w:t>Etter vårt syn er det rettslig adgang til å overføre eiendomsrette</w:t>
      </w:r>
      <w:r w:rsidR="00905484" w:rsidRPr="00344190">
        <w:rPr>
          <w:rStyle w:val="kursiv"/>
        </w:rPr>
        <w:t>n til Den norske kirke. Det gjel</w:t>
      </w:r>
      <w:r w:rsidRPr="00344190">
        <w:rPr>
          <w:rStyle w:val="kursiv"/>
        </w:rPr>
        <w:t>der s</w:t>
      </w:r>
      <w:r w:rsidR="00905484" w:rsidRPr="00344190">
        <w:rPr>
          <w:rStyle w:val="kursiv"/>
        </w:rPr>
        <w:t>e</w:t>
      </w:r>
      <w:r w:rsidRPr="00344190">
        <w:rPr>
          <w:rStyle w:val="kursiv"/>
        </w:rPr>
        <w:t>lv om denne etter 1. januar 2017 ikke er en del av s</w:t>
      </w:r>
      <w:r w:rsidR="00905484" w:rsidRPr="00344190">
        <w:rPr>
          <w:rStyle w:val="kursiv"/>
        </w:rPr>
        <w:t>t</w:t>
      </w:r>
      <w:r w:rsidRPr="00344190">
        <w:rPr>
          <w:rStyle w:val="kursiv"/>
        </w:rPr>
        <w:t>aten eller står i noe alminnelig underordningsfo</w:t>
      </w:r>
      <w:r w:rsidR="00905484" w:rsidRPr="00344190">
        <w:rPr>
          <w:rStyle w:val="kursiv"/>
        </w:rPr>
        <w:t>r</w:t>
      </w:r>
      <w:r w:rsidRPr="00344190">
        <w:rPr>
          <w:rStyle w:val="kursiv"/>
        </w:rPr>
        <w:t xml:space="preserve">hold til </w:t>
      </w:r>
      <w:r w:rsidR="00905484" w:rsidRPr="00344190">
        <w:rPr>
          <w:rStyle w:val="kursiv"/>
        </w:rPr>
        <w:t>st</w:t>
      </w:r>
      <w:r w:rsidRPr="00344190">
        <w:rPr>
          <w:rStyle w:val="kursiv"/>
        </w:rPr>
        <w:t>aten, verken etter priva</w:t>
      </w:r>
      <w:r w:rsidR="00905484" w:rsidRPr="00344190">
        <w:rPr>
          <w:rStyle w:val="kursiv"/>
        </w:rPr>
        <w:t>t</w:t>
      </w:r>
      <w:r w:rsidRPr="00344190">
        <w:rPr>
          <w:rStyle w:val="kursiv"/>
        </w:rPr>
        <w:t>rettslige eller offe</w:t>
      </w:r>
      <w:r w:rsidR="00905484" w:rsidRPr="00344190">
        <w:rPr>
          <w:rStyle w:val="kursiv"/>
        </w:rPr>
        <w:t>nt</w:t>
      </w:r>
      <w:r w:rsidRPr="00344190">
        <w:rPr>
          <w:rStyle w:val="kursiv"/>
        </w:rPr>
        <w:t>ligret</w:t>
      </w:r>
      <w:r w:rsidR="00905484" w:rsidRPr="00344190">
        <w:rPr>
          <w:rStyle w:val="kursiv"/>
        </w:rPr>
        <w:t>t</w:t>
      </w:r>
      <w:r w:rsidRPr="00344190">
        <w:rPr>
          <w:rStyle w:val="kursiv"/>
        </w:rPr>
        <w:t>slige reg</w:t>
      </w:r>
      <w:r w:rsidR="00905484" w:rsidRPr="00344190">
        <w:rPr>
          <w:rStyle w:val="kursiv"/>
        </w:rPr>
        <w:t>l</w:t>
      </w:r>
      <w:r w:rsidRPr="00344190">
        <w:rPr>
          <w:rStyle w:val="kursiv"/>
        </w:rPr>
        <w:t xml:space="preserve">er (ut over det som følger av </w:t>
      </w:r>
      <w:r w:rsidR="00905484" w:rsidRPr="00344190">
        <w:rPr>
          <w:rStyle w:val="kursiv"/>
        </w:rPr>
        <w:t>at</w:t>
      </w:r>
      <w:r w:rsidRPr="00344190">
        <w:rPr>
          <w:rStyle w:val="kursiv"/>
        </w:rPr>
        <w:t xml:space="preserve"> ethvert retts</w:t>
      </w:r>
      <w:r w:rsidR="00905484" w:rsidRPr="00344190">
        <w:rPr>
          <w:rStyle w:val="kursiv"/>
        </w:rPr>
        <w:t>s</w:t>
      </w:r>
      <w:r w:rsidRPr="00344190">
        <w:rPr>
          <w:rStyle w:val="kursiv"/>
        </w:rPr>
        <w:t>ubjekt er underlagt s</w:t>
      </w:r>
      <w:r w:rsidR="00905484" w:rsidRPr="00344190">
        <w:rPr>
          <w:rStyle w:val="kursiv"/>
        </w:rPr>
        <w:t>t</w:t>
      </w:r>
      <w:r w:rsidRPr="00344190">
        <w:rPr>
          <w:rStyle w:val="kursiv"/>
        </w:rPr>
        <w:t>atens lovgiv</w:t>
      </w:r>
      <w:r w:rsidR="00905484" w:rsidRPr="00344190">
        <w:rPr>
          <w:rStyle w:val="kursiv"/>
        </w:rPr>
        <w:t>n</w:t>
      </w:r>
      <w:r w:rsidRPr="00344190">
        <w:rPr>
          <w:rStyle w:val="kursiv"/>
        </w:rPr>
        <w:t>ing</w:t>
      </w:r>
      <w:r w:rsidR="00F0275F" w:rsidRPr="00344190">
        <w:rPr>
          <w:rStyle w:val="kursiv"/>
        </w:rPr>
        <w:t>)</w:t>
      </w:r>
      <w:r w:rsidR="00905484" w:rsidRPr="00344190">
        <w:rPr>
          <w:rStyle w:val="kursiv"/>
        </w:rPr>
        <w:t>.</w:t>
      </w:r>
      <w:r w:rsidRPr="00344190">
        <w:rPr>
          <w:rStyle w:val="kursiv"/>
        </w:rPr>
        <w:t xml:space="preserve"> </w:t>
      </w:r>
    </w:p>
    <w:p w:rsidR="00C57FC5" w:rsidRDefault="00905484" w:rsidP="00B842DD">
      <w:r>
        <w:t>Ved en eventuell overføring til Den norske kirke av eiendomsretten til fondet, er det L</w:t>
      </w:r>
      <w:r w:rsidR="00C57FC5">
        <w:t>ov</w:t>
      </w:r>
      <w:r>
        <w:t xml:space="preserve">avdelingens oppfatning at </w:t>
      </w:r>
      <w:r w:rsidR="00C57FC5">
        <w:t xml:space="preserve">de krav til forvaltningen av fondet som gjelder i dag (at verdiene skal sikres og bevares og formuesmassen holdes rettslig adskilt fra annen formue), </w:t>
      </w:r>
      <w:r w:rsidR="00F0275F">
        <w:t xml:space="preserve">vil </w:t>
      </w:r>
      <w:r w:rsidR="00C57FC5">
        <w:t>komme i en anne</w:t>
      </w:r>
      <w:r w:rsidR="00DE756F">
        <w:t xml:space="preserve">n </w:t>
      </w:r>
      <w:r w:rsidR="00C57FC5">
        <w:t>stilling. Lo</w:t>
      </w:r>
      <w:r w:rsidR="00DE756F">
        <w:t>v</w:t>
      </w:r>
      <w:r w:rsidR="00C57FC5">
        <w:t>avdelingen uttaler blant annet:</w:t>
      </w:r>
    </w:p>
    <w:p w:rsidR="00C57FC5" w:rsidRPr="00344190" w:rsidRDefault="00C57FC5" w:rsidP="00344190">
      <w:pPr>
        <w:pStyle w:val="blokksit"/>
        <w:rPr>
          <w:rStyle w:val="kursiv"/>
        </w:rPr>
      </w:pPr>
      <w:r w:rsidRPr="00344190">
        <w:rPr>
          <w:rStyle w:val="kursiv"/>
        </w:rPr>
        <w:lastRenderedPageBreak/>
        <w:t>Hvis ei</w:t>
      </w:r>
      <w:r w:rsidR="00DE756F" w:rsidRPr="00344190">
        <w:rPr>
          <w:rStyle w:val="kursiv"/>
        </w:rPr>
        <w:t>e</w:t>
      </w:r>
      <w:r w:rsidRPr="00344190">
        <w:rPr>
          <w:rStyle w:val="kursiv"/>
        </w:rPr>
        <w:t>rspørsmålet avklares i favør av Den norske kirke, kan gode grunner etter vårt syn tale for at det blir opp til kirken s</w:t>
      </w:r>
      <w:r w:rsidR="00DE756F" w:rsidRPr="00344190">
        <w:rPr>
          <w:rStyle w:val="kursiv"/>
        </w:rPr>
        <w:t>e</w:t>
      </w:r>
      <w:r w:rsidRPr="00344190">
        <w:rPr>
          <w:rStyle w:val="kursiv"/>
        </w:rPr>
        <w:t>l</w:t>
      </w:r>
      <w:r w:rsidR="00DE756F" w:rsidRPr="00344190">
        <w:rPr>
          <w:rStyle w:val="kursiv"/>
        </w:rPr>
        <w:t>v å avgjøre hvilke pri</w:t>
      </w:r>
      <w:r w:rsidRPr="00344190">
        <w:rPr>
          <w:rStyle w:val="kursiv"/>
        </w:rPr>
        <w:t>nsipper som skal ligge til grunn for forva</w:t>
      </w:r>
      <w:r w:rsidR="00DE756F" w:rsidRPr="00344190">
        <w:rPr>
          <w:rStyle w:val="kursiv"/>
        </w:rPr>
        <w:t>l</w:t>
      </w:r>
      <w:r w:rsidRPr="00344190">
        <w:rPr>
          <w:rStyle w:val="kursiv"/>
        </w:rPr>
        <w:t>tningen av formuesmassen.</w:t>
      </w:r>
    </w:p>
    <w:p w:rsidR="00905484" w:rsidRPr="00344190" w:rsidRDefault="00C57FC5" w:rsidP="00344190">
      <w:pPr>
        <w:pStyle w:val="blokksit"/>
        <w:rPr>
          <w:rStyle w:val="kursiv"/>
        </w:rPr>
      </w:pPr>
      <w:r w:rsidRPr="00344190">
        <w:rPr>
          <w:rStyle w:val="kursiv"/>
        </w:rPr>
        <w:t>I forlengelsen av dette vil det også gi liten mening å opprettholde et krav om</w:t>
      </w:r>
      <w:r w:rsidR="00F0275F" w:rsidRPr="00344190">
        <w:rPr>
          <w:rStyle w:val="kursiv"/>
        </w:rPr>
        <w:t xml:space="preserve"> at</w:t>
      </w:r>
      <w:r w:rsidRPr="00344190">
        <w:rPr>
          <w:rStyle w:val="kursiv"/>
        </w:rPr>
        <w:t xml:space="preserve"> formuesmassen må holdes rettslig adskilt fra anne</w:t>
      </w:r>
      <w:r w:rsidR="00DE756F" w:rsidRPr="00344190">
        <w:rPr>
          <w:rStyle w:val="kursiv"/>
        </w:rPr>
        <w:t>n</w:t>
      </w:r>
      <w:r w:rsidRPr="00344190">
        <w:rPr>
          <w:rStyle w:val="kursiv"/>
        </w:rPr>
        <w:t xml:space="preserve"> formue tilhørende Den norske kirke, sml</w:t>
      </w:r>
      <w:r w:rsidR="00DE756F" w:rsidRPr="00344190">
        <w:rPr>
          <w:rStyle w:val="kursiv"/>
        </w:rPr>
        <w:t>.</w:t>
      </w:r>
      <w:r w:rsidRPr="00344190">
        <w:rPr>
          <w:rStyle w:val="kursiv"/>
        </w:rPr>
        <w:t xml:space="preserve"> p</w:t>
      </w:r>
      <w:r w:rsidR="00DE756F" w:rsidRPr="00344190">
        <w:rPr>
          <w:rStyle w:val="kursiv"/>
        </w:rPr>
        <w:t>u</w:t>
      </w:r>
      <w:r w:rsidRPr="00344190">
        <w:rPr>
          <w:rStyle w:val="kursiv"/>
        </w:rPr>
        <w:t>nkt 4.5</w:t>
      </w:r>
      <w:r w:rsidR="00F0275F" w:rsidRPr="00344190">
        <w:rPr>
          <w:rStyle w:val="kursiv"/>
        </w:rPr>
        <w:t>.</w:t>
      </w:r>
    </w:p>
    <w:p w:rsidR="00DE756F" w:rsidRDefault="00944062" w:rsidP="00B842DD">
      <w:r w:rsidRPr="007147D9">
        <w:t>Lovavdelingen drøfter også om en overføring til Den norske kirke av eiendomsretten til fondet vil reise særskilte spørsmål overfor andre tros- og livssynssamfunn i lys av likebehandlingskravet i Grunnloven § 16</w:t>
      </w:r>
      <w:r w:rsidR="00DE756F">
        <w:t xml:space="preserve"> fjerde punktum</w:t>
      </w:r>
      <w:r w:rsidRPr="007147D9">
        <w:t>. Lovavdelingen</w:t>
      </w:r>
      <w:r w:rsidR="00DE756F">
        <w:t xml:space="preserve"> uttaler om dette:</w:t>
      </w:r>
    </w:p>
    <w:p w:rsidR="0068743B" w:rsidRPr="00344190" w:rsidRDefault="00DE756F" w:rsidP="00344190">
      <w:pPr>
        <w:pStyle w:val="blokksit"/>
        <w:rPr>
          <w:rStyle w:val="kursiv"/>
        </w:rPr>
      </w:pPr>
      <w:r w:rsidRPr="00344190">
        <w:rPr>
          <w:rStyle w:val="kursiv"/>
        </w:rPr>
        <w:t>Vår konklusjon er at det ikke følger av Grunnloven § 16 fjerde punktum at staten vil være forpliktet til å tildele andre tros- og livssynssamfunn økonomisk støtte tilsvarende verdiene som overføres til Den norske kirke ved en eventuell overføring av eiendomsretten.</w:t>
      </w:r>
    </w:p>
    <w:p w:rsidR="0068743B" w:rsidRPr="0068743B" w:rsidRDefault="0068743B" w:rsidP="0068743B">
      <w:pPr>
        <w:pStyle w:val="Overskrift4"/>
      </w:pPr>
      <w:r w:rsidRPr="0068743B">
        <w:t xml:space="preserve">Spørsmålet om å oppheve </w:t>
      </w:r>
      <w:r>
        <w:t xml:space="preserve">eller endre </w:t>
      </w:r>
      <w:r w:rsidRPr="0068743B">
        <w:t>Grunnloven § 116</w:t>
      </w:r>
    </w:p>
    <w:p w:rsidR="00944062" w:rsidRPr="007147D9" w:rsidRDefault="00944062" w:rsidP="00B842DD">
      <w:r w:rsidRPr="007147D9">
        <w:t xml:space="preserve">Lovavdelingen </w:t>
      </w:r>
      <w:r w:rsidR="0068743B">
        <w:t xml:space="preserve">har i sin uttalelse også tatt opp spørsmålet om </w:t>
      </w:r>
      <w:r w:rsidRPr="007147D9">
        <w:t>å oppheve eller endre Grunnloven § 116 første punktum. Lovavdelingen uttaler:</w:t>
      </w:r>
    </w:p>
    <w:p w:rsidR="00603058" w:rsidRPr="009A30DA" w:rsidRDefault="00944062" w:rsidP="009A30DA">
      <w:pPr>
        <w:rPr>
          <w:rStyle w:val="kursiv"/>
        </w:rPr>
      </w:pPr>
      <w:r w:rsidRPr="009A30DA">
        <w:rPr>
          <w:rStyle w:val="kursiv"/>
        </w:rPr>
        <w:t>Grunnloven § 116 første punktum begrenser i dag rådigheten over den formuesmassen som i dag ligger til Opplysningsvesenets fond. Bestemmelsen er likevel ikke til hinder for at eierskap overføres med endelig virkning til Den norske kirke, eller at Den norske kirke gis vidtgående rådighet over formuesmassen. Hva de eksakte konstitusjonelle grensene går ut p</w:t>
      </w:r>
      <w:r w:rsidR="00B842DD" w:rsidRPr="009A30DA">
        <w:rPr>
          <w:rStyle w:val="kursiv"/>
        </w:rPr>
        <w:t xml:space="preserve">å, kan til dels være uklart. </w:t>
      </w:r>
    </w:p>
    <w:p w:rsidR="00944062" w:rsidRPr="009A30DA" w:rsidRDefault="00944062" w:rsidP="009A30DA">
      <w:pPr>
        <w:rPr>
          <w:rStyle w:val="kursiv"/>
        </w:rPr>
      </w:pPr>
      <w:r w:rsidRPr="009A30DA">
        <w:rPr>
          <w:rStyle w:val="kursiv"/>
        </w:rPr>
        <w:t xml:space="preserve">En kan ut fra dette spørre hvilke konsekvenser det ville ha om en opphevet Grunnloven § 116 første punktum, eventuelt om det gir mening å beholde bestemmelsen i sin nåværende utforming. Vi nøyer oss her med å peke på noen punkter, som reflekterer drøftelsene i uttalelsen her: </w:t>
      </w:r>
    </w:p>
    <w:p w:rsidR="00944062" w:rsidRPr="009A30DA" w:rsidRDefault="00944062" w:rsidP="00344190">
      <w:pPr>
        <w:pStyle w:val="Listebombe2"/>
        <w:rPr>
          <w:rStyle w:val="kursiv"/>
        </w:rPr>
      </w:pPr>
      <w:r w:rsidRPr="009A30DA">
        <w:rPr>
          <w:rStyle w:val="kursiv"/>
        </w:rPr>
        <w:t xml:space="preserve">En endring vil avklare den tvil som i dag måtte eksistere om hvorvidt kravet om at </w:t>
      </w:r>
      <w:r w:rsidR="00603058" w:rsidRPr="009A30DA">
        <w:rPr>
          <w:rStyle w:val="kursiv"/>
        </w:rPr>
        <w:t xml:space="preserve">formuesmassen </w:t>
      </w:r>
      <w:r w:rsidRPr="009A30DA">
        <w:rPr>
          <w:rStyle w:val="kursiv"/>
        </w:rPr>
        <w:t xml:space="preserve">skal holdes rettslig atskilt, må opprettholdes i en situasjon hvor Den norske kirke gjøres til eier. </w:t>
      </w:r>
    </w:p>
    <w:p w:rsidR="00944062" w:rsidRPr="009A30DA" w:rsidRDefault="00944062" w:rsidP="00344190">
      <w:pPr>
        <w:pStyle w:val="Listebombe2"/>
        <w:rPr>
          <w:rStyle w:val="kursiv"/>
        </w:rPr>
      </w:pPr>
      <w:r w:rsidRPr="009A30DA">
        <w:rPr>
          <w:rStyle w:val="kursiv"/>
        </w:rPr>
        <w:t>En endring kan avklare tvil om Den norske kirke selv fullt ut kan bestemme hvordan formuesmassen skal forvaltes og hva kapital og avkastning skal brukes til (innenfor de rammer som gjelder for ethvert rettssubjekt).</w:t>
      </w:r>
    </w:p>
    <w:p w:rsidR="00944062" w:rsidRPr="009A30DA" w:rsidRDefault="00944062" w:rsidP="00344190">
      <w:pPr>
        <w:pStyle w:val="Listebombe2"/>
        <w:rPr>
          <w:rStyle w:val="kursiv"/>
        </w:rPr>
      </w:pPr>
      <w:r w:rsidRPr="009A30DA">
        <w:rPr>
          <w:rStyle w:val="kursiv"/>
        </w:rPr>
        <w:t>I forbindelse med oppheving av § 116 første punktum vil ellers ansvarlig statsråd og regjeringen (i statsråd) frigjøres fra et eventuelt særlig ansvar som i dag kan knyttes til eksistensen av Grunnloven § 116 første punktum. Vi minner likevel om vår konklusjon i punkt 4.7</w:t>
      </w:r>
      <w:r w:rsidR="00603058" w:rsidRPr="009A30DA">
        <w:rPr>
          <w:rStyle w:val="kursiv"/>
        </w:rPr>
        <w:t>.7</w:t>
      </w:r>
      <w:r w:rsidRPr="009A30DA">
        <w:rPr>
          <w:rStyle w:val="kursiv"/>
        </w:rPr>
        <w:t xml:space="preserve">, som gikk ut på at det neppe </w:t>
      </w:r>
      <w:r w:rsidR="00603058" w:rsidRPr="009A30DA">
        <w:rPr>
          <w:rStyle w:val="kursiv"/>
        </w:rPr>
        <w:t>er</w:t>
      </w:r>
      <w:r w:rsidRPr="009A30DA">
        <w:rPr>
          <w:rStyle w:val="kursiv"/>
        </w:rPr>
        <w:t xml:space="preserve"> mulig å peke på vesentlige forskjeller i ansvar for statsråden, knyttet til fortsatt eksistens eller oppheving av Grunnloven § 116 første punktum. </w:t>
      </w:r>
    </w:p>
    <w:p w:rsidR="00944062" w:rsidRPr="009A30DA" w:rsidRDefault="00944062" w:rsidP="00344190">
      <w:pPr>
        <w:pStyle w:val="Listebombe2"/>
        <w:rPr>
          <w:rStyle w:val="kursiv"/>
        </w:rPr>
      </w:pPr>
      <w:r w:rsidRPr="009A30DA">
        <w:rPr>
          <w:rStyle w:val="kursiv"/>
        </w:rPr>
        <w:t>Det gir liten mening å opprettholde Grunnloven § 116 første punktum i sin nåværende form etter overføring av eierskap til Den norske kirke, idet Kongens myndighet etter bestemmelsen er blitt gjenstandsløs (jf. punkt 4.7</w:t>
      </w:r>
      <w:r w:rsidR="00603058" w:rsidRPr="009A30DA">
        <w:rPr>
          <w:rStyle w:val="kursiv"/>
        </w:rPr>
        <w:t>.4</w:t>
      </w:r>
      <w:r w:rsidRPr="009A30DA">
        <w:rPr>
          <w:rStyle w:val="kursiv"/>
        </w:rPr>
        <w:t>).</w:t>
      </w:r>
    </w:p>
    <w:p w:rsidR="00944062" w:rsidRPr="009A30DA" w:rsidRDefault="00944062" w:rsidP="00344190">
      <w:pPr>
        <w:pStyle w:val="Listebombe2"/>
        <w:rPr>
          <w:rStyle w:val="kursiv"/>
        </w:rPr>
      </w:pPr>
      <w:r w:rsidRPr="009A30DA">
        <w:rPr>
          <w:rStyle w:val="kursiv"/>
        </w:rPr>
        <w:t xml:space="preserve">Alternativet «opplysningens fremme» i Grunnloven § 116 første punktum gir ikke lenger mening. </w:t>
      </w:r>
    </w:p>
    <w:p w:rsidR="00944062" w:rsidRPr="009A30DA" w:rsidRDefault="00944062" w:rsidP="00344190">
      <w:pPr>
        <w:pStyle w:val="Listebombe2"/>
        <w:rPr>
          <w:rStyle w:val="kursiv"/>
        </w:rPr>
      </w:pPr>
      <w:r w:rsidRPr="009A30DA">
        <w:rPr>
          <w:rStyle w:val="kursiv"/>
        </w:rPr>
        <w:t xml:space="preserve">Arbeidet med et forslag om å oppheve § 116 første punktum gir også foranledning til å avklare tilknyttede spørsmål om rekkevidden av Grunnloven § 16 fjerde punktum, jf. punkt 5 nedenfor. </w:t>
      </w:r>
    </w:p>
    <w:p w:rsidR="00940DD3" w:rsidRPr="009A30DA" w:rsidRDefault="00944062" w:rsidP="009A30DA">
      <w:pPr>
        <w:rPr>
          <w:rStyle w:val="kursiv"/>
        </w:rPr>
      </w:pPr>
      <w:r w:rsidRPr="009A30DA">
        <w:rPr>
          <w:rStyle w:val="kursiv"/>
        </w:rPr>
        <w:t xml:space="preserve">Selv om en skulle oppheve Grunnloven § 116 første punktum, kan Stortinget velge å gi lovbestemmelser om formuesmassen som gir løsninger tilsvarende dagens (eller ulike </w:t>
      </w:r>
      <w:r w:rsidRPr="009A30DA">
        <w:rPr>
          <w:rStyle w:val="kursiv"/>
        </w:rPr>
        <w:lastRenderedPageBreak/>
        <w:t xml:space="preserve">mellomløsninger). Forskjellen sammenlignet med situasjonen i dag er </w:t>
      </w:r>
      <w:r w:rsidR="0068743B" w:rsidRPr="009A30DA">
        <w:rPr>
          <w:rStyle w:val="kursiv"/>
        </w:rPr>
        <w:t>a</w:t>
      </w:r>
      <w:r w:rsidRPr="009A30DA">
        <w:rPr>
          <w:rStyle w:val="kursiv"/>
        </w:rPr>
        <w:t xml:space="preserve">t det er opp til Stortinget som lovgiver å treffe et valg. </w:t>
      </w:r>
      <w:r w:rsidRPr="009A30DA">
        <w:rPr>
          <w:rStyle w:val="kursiv"/>
        </w:rPr>
        <w:tab/>
      </w:r>
      <w:r w:rsidRPr="009A30DA">
        <w:rPr>
          <w:rStyle w:val="kursiv"/>
        </w:rPr>
        <w:tab/>
      </w:r>
      <w:r w:rsidRPr="009A30DA">
        <w:rPr>
          <w:rStyle w:val="kursiv"/>
        </w:rPr>
        <w:tab/>
      </w:r>
      <w:r w:rsidRPr="009A30DA">
        <w:rPr>
          <w:rStyle w:val="kursiv"/>
        </w:rPr>
        <w:tab/>
      </w:r>
      <w:r w:rsidRPr="009A30DA">
        <w:rPr>
          <w:rStyle w:val="kursiv"/>
        </w:rPr>
        <w:tab/>
      </w:r>
      <w:r w:rsidRPr="009A30DA">
        <w:rPr>
          <w:rStyle w:val="kursiv"/>
        </w:rPr>
        <w:tab/>
      </w:r>
    </w:p>
    <w:p w:rsidR="00944062" w:rsidRPr="009A30DA" w:rsidRDefault="00944062" w:rsidP="009A30DA">
      <w:pPr>
        <w:rPr>
          <w:rStyle w:val="kursiv"/>
        </w:rPr>
      </w:pPr>
      <w:r w:rsidRPr="009A30DA">
        <w:rPr>
          <w:rStyle w:val="kursiv"/>
        </w:rPr>
        <w:t>Særlig dersom en ser for seg at formuesmassen bør reguleres ut over det som skal gjelde for en hvilken som helst formuesmasse som eies av et privat rettssubjekt, bør slik lovregulering, for å sikre forutsigbarhet og klarhet, være på plass i forbindelse med en eventuell eiendomso</w:t>
      </w:r>
      <w:r w:rsidR="00940DD3" w:rsidRPr="009A30DA">
        <w:rPr>
          <w:rStyle w:val="kursiv"/>
        </w:rPr>
        <w:t>verdragelse.</w:t>
      </w:r>
      <w:r w:rsidRPr="009A30DA">
        <w:rPr>
          <w:rStyle w:val="kursiv"/>
        </w:rPr>
        <w:t xml:space="preserve"> </w:t>
      </w:r>
    </w:p>
    <w:p w:rsidR="00944062" w:rsidRPr="0068743B" w:rsidRDefault="00944062" w:rsidP="00B842DD">
      <w:pPr>
        <w:pStyle w:val="Overskrift3"/>
        <w:rPr>
          <w:rFonts w:eastAsiaTheme="minorEastAsia"/>
          <w:b w:val="0"/>
        </w:rPr>
      </w:pPr>
      <w:r w:rsidRPr="007147D9">
        <w:rPr>
          <w:rFonts w:eastAsiaTheme="minorEastAsia"/>
          <w:szCs w:val="24"/>
        </w:rPr>
        <w:t xml:space="preserve"> </w:t>
      </w:r>
      <w:bookmarkStart w:id="1940" w:name="_Toc477277265"/>
      <w:bookmarkStart w:id="1941" w:name="_Toc477535580"/>
      <w:bookmarkStart w:id="1942" w:name="_Toc477630712"/>
      <w:bookmarkStart w:id="1943" w:name="_Toc477693676"/>
      <w:bookmarkStart w:id="1944" w:name="_Toc477704050"/>
      <w:bookmarkStart w:id="1945" w:name="_Toc477799263"/>
      <w:bookmarkStart w:id="1946" w:name="_Toc477805866"/>
      <w:bookmarkStart w:id="1947" w:name="_Toc477871525"/>
      <w:bookmarkStart w:id="1948" w:name="_Toc477878127"/>
      <w:bookmarkStart w:id="1949" w:name="_Toc477881530"/>
      <w:bookmarkStart w:id="1950" w:name="_Toc477885990"/>
      <w:bookmarkStart w:id="1951" w:name="_Toc478131419"/>
      <w:bookmarkStart w:id="1952" w:name="_Toc478138789"/>
      <w:bookmarkStart w:id="1953" w:name="_Toc478232318"/>
      <w:bookmarkStart w:id="1954" w:name="_Toc478237302"/>
      <w:bookmarkStart w:id="1955" w:name="_Toc481761840"/>
      <w:bookmarkStart w:id="1956" w:name="_Toc492900492"/>
      <w:r w:rsidRPr="007147D9">
        <w:rPr>
          <w:rFonts w:eastAsiaTheme="minorEastAsia"/>
        </w:rPr>
        <w:t>Departementets vurderinger</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r w:rsidR="0068743B" w:rsidRPr="0068743B">
        <w:rPr>
          <w:rFonts w:eastAsiaTheme="minorEastAsia"/>
        </w:rPr>
        <w:t xml:space="preserve"> </w:t>
      </w:r>
    </w:p>
    <w:p w:rsidR="00473D4A" w:rsidRDefault="00473D4A" w:rsidP="00473D4A">
      <w:r>
        <w:t xml:space="preserve">Departementet mener Lovavdelingens uttalelse 23. mars 2017 er klargjørende på flere viktige punkter. For det første </w:t>
      </w:r>
      <w:r w:rsidR="00D62F20">
        <w:t>fastslår Lo</w:t>
      </w:r>
      <w:r w:rsidR="00956457">
        <w:t>v</w:t>
      </w:r>
      <w:r w:rsidR="00D62F20">
        <w:t xml:space="preserve">avdelingen, etter en ny gjennomgang av eierskapsspørsmålet, </w:t>
      </w:r>
      <w:r>
        <w:t xml:space="preserve">at staten </w:t>
      </w:r>
      <w:r w:rsidR="00D62F20">
        <w:t xml:space="preserve">er </w:t>
      </w:r>
      <w:r>
        <w:t xml:space="preserve">eier </w:t>
      </w:r>
      <w:r w:rsidR="00D62F20">
        <w:t xml:space="preserve">av </w:t>
      </w:r>
      <w:r>
        <w:t xml:space="preserve">fondet. For det andre at Grunnloven § 116 ikke </w:t>
      </w:r>
      <w:r w:rsidR="00D62F20">
        <w:t xml:space="preserve">ses å være </w:t>
      </w:r>
      <w:r>
        <w:t xml:space="preserve">til hinder for at statens eierskap kan overføres til Den norske kirke ved lov. For det tredje </w:t>
      </w:r>
      <w:r w:rsidR="00D62F20">
        <w:t xml:space="preserve">er </w:t>
      </w:r>
      <w:r>
        <w:t xml:space="preserve">Lovavdelingen </w:t>
      </w:r>
      <w:r w:rsidR="00D62F20">
        <w:t xml:space="preserve">kommet til at </w:t>
      </w:r>
      <w:r w:rsidR="00277A7E">
        <w:t xml:space="preserve">tros- og livssynssamfunn utenom Den norske kirke ikke vil ha noen rett til kompensasjon dersom eierrettighetene til fondet overføres til Den norske kirke. </w:t>
      </w:r>
    </w:p>
    <w:p w:rsidR="00473D4A" w:rsidRDefault="00473D4A" w:rsidP="00473D4A">
      <w:r>
        <w:t xml:space="preserve">Med bakgrunn i Lovavdelingens uttalelse og det forholdet at Den norske kirke er kommet i en ny rettslig stilling etter utskillingen fra staten, ser departementet det som hensiktsmessig å utarbeide en stortingsmelding om Opplysningsvesenets fond. Sentrale drøftingstema i meldingen vil blant annet være om Den norske kirke bør få overført alle fondets verdier eller om fondets eiendommer bør fordeles mellom staten og Den norske kirke. Et sentralt spørsmål vil også være om fondets finanskapital skal benyttes til for eksempel istandsetting av eldre kirkebygg. </w:t>
      </w:r>
    </w:p>
    <w:p w:rsidR="00473D4A" w:rsidRDefault="00473D4A" w:rsidP="00473D4A">
      <w:r>
        <w:t xml:space="preserve">Med bakgrunn i Lovavdelingens uttalelse mener departementet at spørsmålet om overføring av fondet eller fondets verdier til Den norske kirke kan drøftes og avklares uten oppheving eller endring av Grunnloven § 116 første punktum, men også spørsmålet om å oppheve eller endre Grunnloven § 116 vil bli vurdert i meldingen. </w:t>
      </w:r>
    </w:p>
    <w:p w:rsidR="00473D4A" w:rsidRDefault="00473D4A" w:rsidP="00473D4A">
      <w:r>
        <w:t xml:space="preserve">Fondets økonomiske situasjon i dag er en annen enn da fondet ble dannet i 1821. Inntektene fra eiendommene er ikke i dag tilstrekkelige til å bære utgiftene ved eiendommene. Fondets økonomiske situasjon har gjennom de siste tiårene i stigende grad blitt påvirket av svingningene i finansinntektene. </w:t>
      </w:r>
    </w:p>
    <w:p w:rsidR="00473D4A" w:rsidRDefault="00473D4A" w:rsidP="00473D4A">
      <w:r>
        <w:t xml:space="preserve">Det er ikke i dag en </w:t>
      </w:r>
      <w:r w:rsidR="00D62F20">
        <w:t xml:space="preserve">tilfredsstillende </w:t>
      </w:r>
      <w:r w:rsidR="00956457">
        <w:t>balanse</w:t>
      </w:r>
      <w:r>
        <w:t xml:space="preserve"> mellom fondets økonomiske bæreevne på den ene siden og fondets utgiftsforpliktelser på den andre siden. Skal en slik balanse oppnås, må fondets utgifter reduseres og de årlige inntektene økes. Det er dette som er bestemmende for de forvaltningsstrategier som nå gjelder for fondet. Resultatene av en slik omstilling ligger flere år fram i tid og er undergitt mange risikofaktorer. </w:t>
      </w:r>
    </w:p>
    <w:p w:rsidR="00473D4A" w:rsidRDefault="00473D4A" w:rsidP="00473D4A">
      <w:r>
        <w:t xml:space="preserve">Hovedoppgaven til Opplysningsvesenets fond da det ble dannet i 1821 var å sørge for presteboliger. Presteboligen var den gangen en del av et gårdsbruk som presten ble lønnet fra. Ved prestenes overgang til statlig regulativlønn på 1950-tallet og avviklingen av tjenesteboligsystemet med boplikt i 2015, er presteboligene og forvaltningen av tjenesteboligsystemet i Den norske kirke ikke lenger noen primæroppgave for fondet. </w:t>
      </w:r>
      <w:r w:rsidR="00B3547C">
        <w:t>Ut over å tjene kirkelige formål, er f</w:t>
      </w:r>
      <w:r>
        <w:t xml:space="preserve">ondets fremste samfunnsmessige oppgave å ivareta fondets kulturhistoriske eiendommer. </w:t>
      </w:r>
    </w:p>
    <w:p w:rsidR="00944062" w:rsidRDefault="00473D4A" w:rsidP="00473D4A">
      <w:r>
        <w:t xml:space="preserve">En drøfting av fondets framtidige eierskap og spørsmålet om å overføre fondets verdier til Den norske kirke, kan ikke gjøres uten forankring i fondets aktuelle situasjon og utfordringer. Fondets utvikling gjennom årene, endringene i fondets oppgaver og økonomiske stilling over </w:t>
      </w:r>
      <w:r>
        <w:lastRenderedPageBreak/>
        <w:t>tid og de utfordringene fondet i dag står overfor, vil derfor inngå som viktige elementer i stortingsmeldingen om fondet. Under arbeidet med meldingen vil departementet ha nær kontakt med og innhente synspunkter fra ulike instanser, deriblant Den norske kirke.</w:t>
      </w:r>
    </w:p>
    <w:p w:rsidR="00CE14CD" w:rsidRDefault="00CE14CD" w:rsidP="009D39E2"/>
    <w:p w:rsidR="00CE14CD" w:rsidRDefault="00CE14CD" w:rsidP="009D39E2"/>
    <w:p w:rsidR="00CE14CD" w:rsidRDefault="00CE14CD" w:rsidP="009D39E2"/>
    <w:p w:rsidR="00CE14CD" w:rsidRDefault="00CE14CD" w:rsidP="009D39E2"/>
    <w:p w:rsidR="00CE14CD" w:rsidRDefault="00CE14CD" w:rsidP="009D39E2"/>
    <w:p w:rsidR="00CE14CD" w:rsidRDefault="00CE14CD" w:rsidP="009D39E2"/>
    <w:p w:rsidR="00CE14CD" w:rsidRDefault="00CE14CD" w:rsidP="009D39E2"/>
    <w:p w:rsidR="00876543" w:rsidRPr="00150737" w:rsidRDefault="00876543">
      <w:pPr>
        <w:spacing w:after="0" w:line="240" w:lineRule="auto"/>
        <w:rPr>
          <w:rStyle w:val="halvfet"/>
          <w:rFonts w:eastAsiaTheme="minorEastAsia"/>
        </w:rPr>
      </w:pPr>
      <w:bookmarkStart w:id="1957" w:name="_Toc477277266"/>
      <w:bookmarkStart w:id="1958" w:name="_Toc477535581"/>
      <w:bookmarkStart w:id="1959" w:name="_Toc477630713"/>
      <w:bookmarkStart w:id="1960" w:name="_Toc477693677"/>
      <w:bookmarkStart w:id="1961" w:name="_Toc477704051"/>
      <w:bookmarkStart w:id="1962" w:name="_Toc477799264"/>
      <w:bookmarkStart w:id="1963" w:name="_Toc477805867"/>
      <w:bookmarkStart w:id="1964" w:name="_Toc477871526"/>
      <w:bookmarkStart w:id="1965" w:name="_Toc477878128"/>
      <w:bookmarkStart w:id="1966" w:name="_Toc477881531"/>
      <w:bookmarkStart w:id="1967" w:name="_Toc477885991"/>
      <w:bookmarkStart w:id="1968" w:name="_Toc478131420"/>
      <w:bookmarkStart w:id="1969" w:name="_Toc478138790"/>
      <w:bookmarkStart w:id="1970" w:name="_Toc478232319"/>
      <w:bookmarkStart w:id="1971" w:name="_Toc478237303"/>
      <w:bookmarkStart w:id="1972" w:name="_Toc481761841"/>
      <w:r>
        <w:rPr>
          <w:rFonts w:eastAsiaTheme="minorEastAsia"/>
        </w:rPr>
        <w:br w:type="page"/>
      </w:r>
    </w:p>
    <w:p w:rsidR="00940DD3" w:rsidRPr="00B730DF" w:rsidRDefault="00C87259" w:rsidP="009A30DA">
      <w:pPr>
        <w:pStyle w:val="Overskrift1"/>
        <w:rPr>
          <w:i/>
        </w:rPr>
      </w:pPr>
      <w:bookmarkStart w:id="1973" w:name="_Toc492900493"/>
      <w:r w:rsidRPr="00B730DF">
        <w:rPr>
          <w:rFonts w:eastAsiaTheme="minorEastAsia"/>
        </w:rPr>
        <w:lastRenderedPageBreak/>
        <w:t>Statlig overtakelse av tilskudd til tros- og livssynssamfunn utenom Den norske kirke</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944062" w:rsidRPr="000F5CA8" w:rsidRDefault="00944062" w:rsidP="00B842DD">
      <w:pPr>
        <w:pStyle w:val="Overskrift2"/>
        <w:rPr>
          <w:rFonts w:eastAsiaTheme="minorEastAsia"/>
        </w:rPr>
      </w:pPr>
      <w:bookmarkStart w:id="1974" w:name="_Toc476320950"/>
      <w:bookmarkStart w:id="1975" w:name="_Toc477277267"/>
      <w:bookmarkStart w:id="1976" w:name="_Toc477535582"/>
      <w:bookmarkStart w:id="1977" w:name="_Toc477630714"/>
      <w:bookmarkStart w:id="1978" w:name="_Toc477693678"/>
      <w:bookmarkStart w:id="1979" w:name="_Toc477704052"/>
      <w:bookmarkStart w:id="1980" w:name="_Toc477799265"/>
      <w:bookmarkStart w:id="1981" w:name="_Toc477805868"/>
      <w:bookmarkStart w:id="1982" w:name="_Toc477871527"/>
      <w:bookmarkStart w:id="1983" w:name="_Toc477878129"/>
      <w:bookmarkStart w:id="1984" w:name="_Toc477881532"/>
      <w:bookmarkStart w:id="1985" w:name="_Toc477885992"/>
      <w:bookmarkStart w:id="1986" w:name="_Toc478131421"/>
      <w:bookmarkStart w:id="1987" w:name="_Toc478138791"/>
      <w:bookmarkStart w:id="1988" w:name="_Toc478232320"/>
      <w:bookmarkStart w:id="1989" w:name="_Toc478237304"/>
      <w:bookmarkStart w:id="1990" w:name="_Toc481761842"/>
      <w:bookmarkStart w:id="1991" w:name="_Toc492900494"/>
      <w:r w:rsidRPr="000F5CA8">
        <w:rPr>
          <w:rFonts w:eastAsiaTheme="minorEastAsia"/>
        </w:rPr>
        <w:t>Innledning</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rsidR="00055178" w:rsidRDefault="00C145D8" w:rsidP="00B842DD">
      <w:r>
        <w:t>I kap</w:t>
      </w:r>
      <w:r w:rsidR="00DD7AC1">
        <w:t>ittel</w:t>
      </w:r>
      <w:r>
        <w:t xml:space="preserve"> 7 tok departementet opp enkelte grunnvilkår som etter departementets oppfatning bør gjelde ved tildeling av </w:t>
      </w:r>
      <w:r w:rsidR="00944062" w:rsidRPr="000F5CA8">
        <w:t>offentlig støtte til tros- og livssynssamfunn</w:t>
      </w:r>
      <w:r>
        <w:t xml:space="preserve"> utenom Den norske kirke</w:t>
      </w:r>
      <w:r w:rsidR="009D39E2">
        <w:t>:</w:t>
      </w:r>
      <w:r>
        <w:t xml:space="preserve"> </w:t>
      </w:r>
      <w:r w:rsidR="0084065C">
        <w:t xml:space="preserve">Tros- og livssynssamfunn må være fast organisert og ha minst 500 medlemmer over 15 år for </w:t>
      </w:r>
      <w:r w:rsidR="009E7031">
        <w:t xml:space="preserve">å </w:t>
      </w:r>
      <w:r w:rsidR="0084065C">
        <w:t xml:space="preserve">kunne </w:t>
      </w:r>
      <w:r w:rsidR="009E7031">
        <w:t>bli registrert</w:t>
      </w:r>
      <w:r w:rsidR="00277A7E">
        <w:t>, ha vigselsrett</w:t>
      </w:r>
      <w:r w:rsidR="0084065C">
        <w:t xml:space="preserve"> og kreve tilskudd etter loven</w:t>
      </w:r>
      <w:r>
        <w:t>. I kap</w:t>
      </w:r>
      <w:r w:rsidR="009F4972">
        <w:t>ittel</w:t>
      </w:r>
      <w:r>
        <w:t xml:space="preserve"> 15 er </w:t>
      </w:r>
      <w:r w:rsidR="00055178">
        <w:t xml:space="preserve">andre </w:t>
      </w:r>
      <w:r w:rsidR="0084065C">
        <w:t>tilskudd</w:t>
      </w:r>
      <w:r w:rsidR="00F72B75">
        <w:t>s</w:t>
      </w:r>
      <w:r w:rsidR="00055178">
        <w:t>vilkår utdypet. Av kap</w:t>
      </w:r>
      <w:r w:rsidR="009F4972">
        <w:t>ittel</w:t>
      </w:r>
      <w:r w:rsidR="00055178">
        <w:t xml:space="preserve"> 7 framgår dessuten at departementet </w:t>
      </w:r>
      <w:r w:rsidR="00055178" w:rsidRPr="000F5CA8">
        <w:t xml:space="preserve">foreslår at dagens i realiteten tre tilskuddsordninger </w:t>
      </w:r>
      <w:r w:rsidR="00D942FD">
        <w:t>for</w:t>
      </w:r>
      <w:r w:rsidR="00055178" w:rsidRPr="000F5CA8">
        <w:t xml:space="preserve"> tros- og livssynssamfunn utenom Den norske kirke innordnes i én felles tilskuddsordning. </w:t>
      </w:r>
      <w:r w:rsidR="00055178">
        <w:t>De</w:t>
      </w:r>
      <w:r>
        <w:t xml:space="preserve">n </w:t>
      </w:r>
      <w:r w:rsidR="00055178">
        <w:t xml:space="preserve">konkrete </w:t>
      </w:r>
      <w:r>
        <w:t xml:space="preserve">utformingen av tilskuddsordningen </w:t>
      </w:r>
      <w:r w:rsidR="00055178">
        <w:t xml:space="preserve">er </w:t>
      </w:r>
      <w:r>
        <w:t>behandlet i kap</w:t>
      </w:r>
      <w:r w:rsidR="00A442F5">
        <w:t>ittel</w:t>
      </w:r>
      <w:r>
        <w:t xml:space="preserve"> 14.</w:t>
      </w:r>
      <w:r w:rsidR="00944062" w:rsidRPr="000F5CA8">
        <w:t xml:space="preserve"> </w:t>
      </w:r>
    </w:p>
    <w:p w:rsidR="00944062" w:rsidRPr="000F5CA8" w:rsidRDefault="00944062" w:rsidP="002D176E">
      <w:r w:rsidRPr="000F5CA8">
        <w:t xml:space="preserve">I det følgende tar departementet opp forslag om at staten tar over finansieringsansvaret for den offentlige støtteordningen </w:t>
      </w:r>
      <w:r w:rsidR="00D942FD">
        <w:t>for</w:t>
      </w:r>
      <w:r w:rsidR="009D39E2">
        <w:t xml:space="preserve"> </w:t>
      </w:r>
      <w:r w:rsidRPr="000F5CA8">
        <w:t>tros- og livssynssamfunn</w:t>
      </w:r>
      <w:r w:rsidR="00055178">
        <w:t xml:space="preserve"> utenom Den norske kirke.</w:t>
      </w:r>
      <w:r w:rsidRPr="000F5CA8">
        <w:t xml:space="preserve"> Kommunenes lovregulerte oppgaver på området vil da falle bort. Departementets forslag er i stor grad sammenfallende med anbefalingene i NOU 2013: 1 </w:t>
      </w:r>
      <w:r w:rsidRPr="000F5CA8">
        <w:rPr>
          <w:i/>
        </w:rPr>
        <w:t>Det livssynsåpne samfunn.</w:t>
      </w:r>
      <w:r w:rsidRPr="000F5CA8">
        <w:t xml:space="preserve"> </w:t>
      </w:r>
    </w:p>
    <w:p w:rsidR="00944062" w:rsidRPr="000F5CA8" w:rsidRDefault="00944062" w:rsidP="00B842DD">
      <w:r w:rsidRPr="000F5CA8">
        <w:t>Både Den norske kirke og andre tros- og livssynssamfunn mottar tilskudd fra det offentlige utenom de finansierings- og tilskuddsordningene som drøftes i dette høringsnotatet. Dette er gjerne tilskudd som er rettet inn mot nærmere avgrensede formål, som for eksempel støtte til integreringsarbeid, skole- og barnehagedrift m.m. En drøfting av disse tilskuddene faller utenom dette høringsnotatets ramme, som er avgrenset til den støtten som i dag gis Den norske kirke i medhold av kirkeloven og den</w:t>
      </w:r>
      <w:r w:rsidR="00B668C5">
        <w:t xml:space="preserve"> sær</w:t>
      </w:r>
      <w:r w:rsidR="00F72B75">
        <w:t xml:space="preserve">lige </w:t>
      </w:r>
      <w:r w:rsidRPr="000F5CA8">
        <w:t>støtten som gis andre tros- og livssynssamfunn i medhold av trossamfunnsloven og lov om tilskott til livssynssamfunn.</w:t>
      </w:r>
    </w:p>
    <w:p w:rsidR="00944062" w:rsidRPr="000F5CA8" w:rsidRDefault="00ED1664" w:rsidP="00B842DD">
      <w:pPr>
        <w:pStyle w:val="Overskrift2"/>
        <w:rPr>
          <w:rFonts w:eastAsiaTheme="minorEastAsia"/>
        </w:rPr>
      </w:pPr>
      <w:bookmarkStart w:id="1992" w:name="_Toc470087695"/>
      <w:bookmarkStart w:id="1993" w:name="_Toc476320951"/>
      <w:bookmarkStart w:id="1994" w:name="_Toc477277268"/>
      <w:bookmarkStart w:id="1995" w:name="_Toc477535583"/>
      <w:bookmarkStart w:id="1996" w:name="_Toc477630715"/>
      <w:bookmarkStart w:id="1997" w:name="_Toc477693679"/>
      <w:bookmarkStart w:id="1998" w:name="_Toc477704053"/>
      <w:bookmarkStart w:id="1999" w:name="_Toc477799266"/>
      <w:bookmarkStart w:id="2000" w:name="_Toc477805869"/>
      <w:bookmarkStart w:id="2001" w:name="_Toc477871528"/>
      <w:bookmarkStart w:id="2002" w:name="_Toc477878130"/>
      <w:bookmarkStart w:id="2003" w:name="_Toc477881533"/>
      <w:bookmarkStart w:id="2004" w:name="_Toc477885993"/>
      <w:bookmarkStart w:id="2005" w:name="_Toc478131422"/>
      <w:bookmarkStart w:id="2006" w:name="_Toc478138792"/>
      <w:bookmarkStart w:id="2007" w:name="_Toc478232321"/>
      <w:bookmarkStart w:id="2008" w:name="_Toc478237305"/>
      <w:bookmarkStart w:id="2009" w:name="_Toc481761843"/>
      <w:bookmarkStart w:id="2010" w:name="_Toc492900495"/>
      <w:r>
        <w:rPr>
          <w:rFonts w:eastAsiaTheme="minorEastAsia"/>
        </w:rPr>
        <w:t>Dagens regelverk</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944062" w:rsidRPr="000F5CA8" w:rsidRDefault="00944062" w:rsidP="00B842DD">
      <w:r w:rsidRPr="000F5CA8">
        <w:t xml:space="preserve">Dagens regelverk for utmåling og fordeling av den </w:t>
      </w:r>
      <w:r w:rsidR="00F72B75">
        <w:t xml:space="preserve">særlige </w:t>
      </w:r>
      <w:r w:rsidRPr="000F5CA8">
        <w:t>støtten til tros- og livssyn</w:t>
      </w:r>
      <w:r w:rsidR="00F356B9">
        <w:t>s</w:t>
      </w:r>
      <w:r w:rsidRPr="000F5CA8">
        <w:t xml:space="preserve">samfunn utenom Den norske kirke, har som utgangspunkt at det Den norske kirke mottar i offentlig støtte, regnet per kirkemedlem, skal gis med samme kronebeløp per medlem i andre tros- og livssynssamfunn. Ved beregningen av den offentlige støtten skal </w:t>
      </w:r>
      <w:r w:rsidR="00B668C5">
        <w:t xml:space="preserve">likevel </w:t>
      </w:r>
      <w:r w:rsidRPr="000F5CA8">
        <w:t>utgifter til Den norske kirke som angår alle innbyggere og ikke egentlig er utgifter til kirkelige formål, holdes utenom. Dette gjelder særlig utgifter til gravplassforvaltningen og til antikvarisk vedlikehold av kirkebygg.</w:t>
      </w:r>
    </w:p>
    <w:p w:rsidR="00944062" w:rsidRPr="000F5CA8" w:rsidRDefault="00944062" w:rsidP="00B842DD">
      <w:r w:rsidRPr="000F5CA8">
        <w:t>For å få tilskudd må det enkelte tros- og livssynssamfunn</w:t>
      </w:r>
      <w:r w:rsidR="00F72B75">
        <w:t>et</w:t>
      </w:r>
      <w:r w:rsidRPr="000F5CA8">
        <w:t xml:space="preserve"> hvert år sende inn krav om tilskudd og en liste med medlemmenes fødselsnummer. Hvert år skal samfunnene rapportere om virksomheten og bruken av mottatte tilskudd. Fylkesmennene behandler kravene om statstilskudd og gjennomgår samfunnenes rapportering. Kontrollen av samfunnenes medlemslister utføres av Brønnøysundregistrene på oppdrag fra Kulturdepartementet. Formålet med kontrollen er å sikre et mest mulig korrekt grunnlag for utbetaling av statlig og kommunalt tilskudd; det kan ikke utbetales tilskudd for personer som verken er norske statsborgere eller bosatt i landet, eller for personer som tilhører Den norske kirke eller et annet tros- eller livssynssamfunn (dobbeltmedlemskap). Først kontrollerer Brønnøysundregistrene om de innsendte fødselsnumrene er gyldige. Deretter blir alle gyldige fødselsnumre kontrollert mot Det sentrale folkeregister</w:t>
      </w:r>
      <w:r w:rsidR="00F72B75">
        <w:t>et</w:t>
      </w:r>
      <w:r w:rsidRPr="000F5CA8">
        <w:t xml:space="preserve">, Den norske kirkes medlemsregister og medlemslistene fra andre tros- og livssynssamfunn. </w:t>
      </w:r>
    </w:p>
    <w:p w:rsidR="00944062" w:rsidRPr="000F5CA8" w:rsidRDefault="00944062" w:rsidP="00B842DD">
      <w:r w:rsidRPr="000F5CA8">
        <w:lastRenderedPageBreak/>
        <w:t xml:space="preserve">Visse vilkår må være oppfylt for at støtte kan gis. For trossamfunnene er det ikke stilt krav om hvor mange medlemmer som må være tilsluttet samfunnet. I praksis er det tilstrekkelig med to medlemmer. For livssynssamfunn er det krav om at samfunnet må ha minst 500 tilskuddstellende medlemmer. </w:t>
      </w:r>
    </w:p>
    <w:p w:rsidR="00944062" w:rsidRPr="000F5CA8" w:rsidRDefault="00944062" w:rsidP="00B842DD">
      <w:r w:rsidRPr="000F5CA8">
        <w:t xml:space="preserve">I løpet av de siste ti-femten årene har det vært en markant vekst i antallet tros- og livssynssamfunn og i antallet medlemmer det gis tilskudd for. Mens det for femten år siden var 500 tilskuddsberettigede samfunn, er det i dag nær 800 forskjellige tros- og livssynssamfunn som mottar støtte. Antallet medlemmer som det gis tilskudd for, er rundt 600 000, mot ca. 300 000 for femten år siden. </w:t>
      </w:r>
    </w:p>
    <w:p w:rsidR="00944062" w:rsidRPr="000F5CA8" w:rsidRDefault="00944062" w:rsidP="00B842DD">
      <w:r w:rsidRPr="000F5CA8">
        <w:t>Den offentlige støtten fra staten og kommunene til samfunnene var i 2016 på ca. 600 mill. kroner i alt. Statstilskuddet til samfunnene var i 2016 basert på en tilskuddssats per medlem på 472 kroner. Den kommunale tilskuddssatsen i 201</w:t>
      </w:r>
      <w:r w:rsidR="007737CD">
        <w:t>6</w:t>
      </w:r>
      <w:r w:rsidRPr="000F5CA8">
        <w:t xml:space="preserve"> var i snitt på 5</w:t>
      </w:r>
      <w:r w:rsidR="007737CD">
        <w:t>41</w:t>
      </w:r>
      <w:r w:rsidRPr="000F5CA8">
        <w:t xml:space="preserve"> kroner per medlem. Hvert samfunn mottar dermed rundt 1 000 kroner per medlem i offentlig støtte. </w:t>
      </w:r>
    </w:p>
    <w:p w:rsidR="00944062" w:rsidRPr="000F5CA8" w:rsidRDefault="00944062" w:rsidP="00B842DD">
      <w:r w:rsidRPr="000F5CA8">
        <w:t xml:space="preserve">Med bakgrunn i kravene fra de enkelte tros- og livssynssamfunnene og utfallet av Brønnøysundregistrenes kontroll av de innsendte medlemslistene med fødselsnummer, forestår fylkesmennene de årlige utbetalingene av statens tilskudd til samfunnene. Tilskuddssatsen per medlem som skal ligge til grunn for utbetalingen, meddeles gjennom et årlig rundskriv fra Kulturdepartementet. De kommunale tilskuddene blir først utbetalt på høsten etter at Brønnøysundregistrenes kontroll av medlemslistene er fullført. Ofte må samfunnene purre kommuner som er sene med å utbetale. Enkelte kommuner utbetaler først tilskuddet etterfølgende år. </w:t>
      </w:r>
    </w:p>
    <w:p w:rsidR="00944062" w:rsidRPr="000F5CA8" w:rsidRDefault="00944062" w:rsidP="00B842DD">
      <w:r w:rsidRPr="000F5CA8">
        <w:t>Kommunene er forpliktet til å utbetale tilskudd til ethvert tros- eller livssynssamfunn som er tilskuddsberettiget og har medlemmer bosatt i kommunen, selv om det bare bor ett medlem av samfunnet i kommunen. Kommunene foretar totalt ca. 2</w:t>
      </w:r>
      <w:r w:rsidR="009D39E2">
        <w:t>3</w:t>
      </w:r>
      <w:r w:rsidRPr="000F5CA8">
        <w:t xml:space="preserve"> 000 utbetalinger, som alle er enkeltvedtak i forvaltningslovens forstand. </w:t>
      </w:r>
      <w:r w:rsidR="00294F09">
        <w:t>Nær</w:t>
      </w:r>
      <w:r w:rsidRPr="000F5CA8">
        <w:t xml:space="preserve"> 1</w:t>
      </w:r>
      <w:r w:rsidR="00294F09">
        <w:t>8</w:t>
      </w:r>
      <w:r w:rsidRPr="000F5CA8">
        <w:t xml:space="preserve"> 000 av vedtakene gjelder tilskudd til samfunn med færre enn ti medlemmer i kommunen. De fleste utbetalingene er av beskjeden størrelse, ofte mindre enn 5 000 kroner. Fylkesmennene er klageinstans på kommunenes vedtak om tilskudd, mens Kulturdepartementet er klageinstans på fylkesmennenes vedtak.</w:t>
      </w:r>
    </w:p>
    <w:p w:rsidR="00944062" w:rsidRPr="000F5CA8" w:rsidRDefault="00944062" w:rsidP="00B842DD">
      <w:r w:rsidRPr="000F5CA8">
        <w:t>Før det kan utbetales tilskudd må hver kommune fastsette tilskuddssatsen</w:t>
      </w:r>
      <w:r w:rsidR="00192F08">
        <w:t xml:space="preserve"> per medlem. Blant annet må kommunen</w:t>
      </w:r>
      <w:r w:rsidRPr="000F5CA8">
        <w:t xml:space="preserve"> avklare hvilke tilskudd til Den norske kirke som skal medregnes i beregningen av tilskuddssatsen. Tilskudd til kirken som gjelder alle innbyggere i kommunen eller ikke er utgifter til egentlige kirkelige formål, skal trekkes ut. Slike uttrekk er </w:t>
      </w:r>
      <w:r w:rsidR="00323EF8">
        <w:t>for en del</w:t>
      </w:r>
      <w:r w:rsidR="00792C29">
        <w:t xml:space="preserve"> kommuner</w:t>
      </w:r>
      <w:r w:rsidR="00323EF8">
        <w:t xml:space="preserve"> </w:t>
      </w:r>
      <w:r w:rsidRPr="000F5CA8">
        <w:t>basert på skjønnsmessige vurderinger.</w:t>
      </w:r>
    </w:p>
    <w:p w:rsidR="00944062" w:rsidRPr="007737CD" w:rsidRDefault="00B842DD" w:rsidP="007737CD">
      <w:pPr>
        <w:pStyle w:val="Overskrift2"/>
        <w:ind w:left="283"/>
        <w:rPr>
          <w:rFonts w:eastAsiaTheme="minorEastAsia"/>
        </w:rPr>
      </w:pPr>
      <w:bookmarkStart w:id="2011" w:name="_Toc476320953"/>
      <w:bookmarkStart w:id="2012" w:name="_Toc477277270"/>
      <w:bookmarkStart w:id="2013" w:name="_Toc477535585"/>
      <w:bookmarkStart w:id="2014" w:name="_Toc477630717"/>
      <w:bookmarkStart w:id="2015" w:name="_Toc477693681"/>
      <w:bookmarkStart w:id="2016" w:name="_Toc477704055"/>
      <w:bookmarkStart w:id="2017" w:name="_Toc477799268"/>
      <w:bookmarkStart w:id="2018" w:name="_Toc477805871"/>
      <w:bookmarkStart w:id="2019" w:name="_Toc477871530"/>
      <w:bookmarkStart w:id="2020" w:name="_Toc477878132"/>
      <w:bookmarkStart w:id="2021" w:name="_Toc477881535"/>
      <w:bookmarkStart w:id="2022" w:name="_Toc477885995"/>
      <w:bookmarkStart w:id="2023" w:name="_Toc478131424"/>
      <w:bookmarkStart w:id="2024" w:name="_Toc478138794"/>
      <w:bookmarkStart w:id="2025" w:name="_Toc478232323"/>
      <w:bookmarkStart w:id="2026" w:name="_Toc478237307"/>
      <w:bookmarkStart w:id="2027" w:name="_Toc481761845"/>
      <w:bookmarkStart w:id="2028" w:name="_Toc492900496"/>
      <w:r w:rsidRPr="007737CD">
        <w:rPr>
          <w:rFonts w:eastAsiaTheme="minorEastAsia"/>
        </w:rPr>
        <w:t>F</w:t>
      </w:r>
      <w:r w:rsidR="00944062" w:rsidRPr="007737CD">
        <w:rPr>
          <w:rFonts w:eastAsiaTheme="minorEastAsia"/>
        </w:rPr>
        <w:t xml:space="preserve">orslag i NOU 2013: 1 </w:t>
      </w:r>
      <w:r w:rsidR="00944062" w:rsidRPr="007737CD">
        <w:rPr>
          <w:rFonts w:eastAsiaTheme="minorEastAsia"/>
          <w:i/>
        </w:rPr>
        <w:t>Det livssynsåpne samfunn</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rsidR="00944062" w:rsidRPr="000F5CA8" w:rsidRDefault="00944062" w:rsidP="00B842DD">
      <w:r w:rsidRPr="000F5CA8">
        <w:t>Utvalget som la fram NOU 2013: 1</w:t>
      </w:r>
      <w:r w:rsidR="00D942FD">
        <w:t>,</w:t>
      </w:r>
      <w:r w:rsidRPr="000F5CA8">
        <w:t xml:space="preserve"> hadde ikke som oppgave å utrede nye finansieringsordninger for Den norske kirke. Tilskuddsordningene for andre tros- og livssynssamfunn var imidlertid en sentral del av utvalgets mandat, og utvalget la fram </w:t>
      </w:r>
      <w:r w:rsidR="007B0DC1">
        <w:t xml:space="preserve">flere </w:t>
      </w:r>
      <w:r w:rsidRPr="000F5CA8">
        <w:t xml:space="preserve">forslag til revisjon av dagens tilskuddsordninger. </w:t>
      </w:r>
    </w:p>
    <w:p w:rsidR="00944062" w:rsidRPr="000F5CA8" w:rsidRDefault="00944062" w:rsidP="00B842DD">
      <w:r w:rsidRPr="000F5CA8">
        <w:t xml:space="preserve">Utvalget mente at flere hensyn tilsa at staten tok over kommunenes forpliktelser på området. Utvalget viste til at kommunene årlig foretar mange tusen utbetalinger, hvorav flere med grunnlag i ett tilskuddstellende medlem av tros- eller livssynssamfunnet i kommunen. Utvalget framholdt også at selv om kommunene har god kjennskap til tilskuddsordningenes regelverk, kan det i praksis være vanskelig å foreta korrekt uttrekk av de utgiftene som ikke </w:t>
      </w:r>
      <w:r w:rsidR="00527384">
        <w:t xml:space="preserve">skal </w:t>
      </w:r>
      <w:r w:rsidRPr="000F5CA8">
        <w:t>inngå i tilskuddsgrunnlaget. Utvalget mente regelverket bl</w:t>
      </w:r>
      <w:r w:rsidR="00910BF0">
        <w:t>ir</w:t>
      </w:r>
      <w:r w:rsidRPr="000F5CA8">
        <w:t xml:space="preserve"> praktisert ulikt i kommunene.</w:t>
      </w:r>
    </w:p>
    <w:p w:rsidR="00944062" w:rsidRPr="000F5CA8" w:rsidRDefault="00944062" w:rsidP="00B842DD">
      <w:r w:rsidRPr="000F5CA8">
        <w:lastRenderedPageBreak/>
        <w:t xml:space="preserve">Utvalget pekte dessuten på at omleggingen de senere årene med Brønnøysundregistrenes elektroniske kontroll av medlemskap, på mange måter har gjort kommunene til en ren utbetalingssentral, uten mulighet til selv å kontrollere grunnlaget for tilskuddene. </w:t>
      </w:r>
    </w:p>
    <w:p w:rsidR="00944062" w:rsidRPr="000F5CA8" w:rsidRDefault="00944062" w:rsidP="00B842DD">
      <w:r w:rsidRPr="000F5CA8">
        <w:t>Utvalget mente staten burde overta finansieringsansvaret for støtten</w:t>
      </w:r>
      <w:r w:rsidR="002460CF">
        <w:t>. Utvalget</w:t>
      </w:r>
      <w:r w:rsidRPr="000F5CA8">
        <w:t xml:space="preserve"> begrunnet sitt forslag slik</w:t>
      </w:r>
      <w:r w:rsidR="00940DD3">
        <w:t xml:space="preserve"> (NOU 2013: 1</w:t>
      </w:r>
      <w:r w:rsidR="00792C29">
        <w:t>,</w:t>
      </w:r>
      <w:r w:rsidR="00940DD3">
        <w:t xml:space="preserve"> s. 374)</w:t>
      </w:r>
      <w:r w:rsidRPr="000F5CA8">
        <w:t xml:space="preserve">: </w:t>
      </w:r>
    </w:p>
    <w:p w:rsidR="00944062" w:rsidRPr="009A30DA" w:rsidRDefault="00944062" w:rsidP="009A30DA">
      <w:pPr>
        <w:pStyle w:val="blokksit"/>
        <w:rPr>
          <w:rStyle w:val="kursiv"/>
        </w:rPr>
      </w:pPr>
      <w:r w:rsidRPr="009A30DA">
        <w:rPr>
          <w:rStyle w:val="kursiv"/>
        </w:rPr>
        <w:t>Utvalget mener at kommunenes rolle knyttet til den lovbestemte finansiering av tros- og livssynssamfunnene er blitt redusert til en utbetalingsinstans. De administrative kostnadene knyttet til denne er betydelige. En overføring til statlig nivå vil bidra til en betydelig administrativ forenkling for offentlige myndigheter. For tros- og livssynssamfunnene vil det være en betydelig fordel å kunne forholde seg bare til en instans på statlig nivå for hele tilskuddet, og ikke trenge å eventuelt følge opp og purre på tilskudd fra ulike kommuner. Utvalget mener en overføring til et statlig ansvar vil gi en mer forsvarlig og mindre tilfeldig håndtering av tilskuddsordningen. Det kan være en fordel at det er staten som tar hovedansvaret for å sikre at likebehandling av ulike tros- og livssynssamfunn blir ivaretatt, og ikke den enkelte kommune. Dette forhindrer ikke at den enkelte kommune kan velge å gi støtte til lokale tros- og livssynssamfunns virke, for eksempel til prosjekter eller nyetableringer, så lenge kommunene ikke diskrimi</w:t>
      </w:r>
      <w:r w:rsidR="00940DD3" w:rsidRPr="009A30DA">
        <w:rPr>
          <w:rStyle w:val="kursiv"/>
        </w:rPr>
        <w:t>nerer ulike livssynsuttrykk.</w:t>
      </w:r>
    </w:p>
    <w:p w:rsidR="00944062" w:rsidRPr="000F5CA8" w:rsidRDefault="00944062" w:rsidP="00B842DD">
      <w:r w:rsidRPr="000F5CA8">
        <w:t xml:space="preserve">Utvalget pekte også på forhold som kunne tale imot statlig overtakelse, blant annet at den økonomiske likebehandlingen mellom Den norske kirke og andre tros- og livssynssamfunn ikke lenger ville bli gjennomført på lokalt nivå, dvs. i kommunene, men på nasjonalt nivå. Utvalget viste også til mulige fordelingseffekter: </w:t>
      </w:r>
      <w:r w:rsidR="00D942FD">
        <w:t>T</w:t>
      </w:r>
      <w:r w:rsidRPr="000F5CA8">
        <w:t xml:space="preserve">ros- og livssynssamfunn hvor de fleste medlemmene bor i kommuner som i dag gir et tilskudd per medlem som er høyere enn landsgjennomsnittet, vil tape på omleggingen, mens samfunn hvor medlemmene i overveiende grad bor i kommuner </w:t>
      </w:r>
      <w:r w:rsidR="00D942FD">
        <w:t>der</w:t>
      </w:r>
      <w:r w:rsidRPr="000F5CA8">
        <w:t xml:space="preserve"> tilskuddet per medlem er lavere enn snittet, vil tjene på omleggingen. </w:t>
      </w:r>
    </w:p>
    <w:p w:rsidR="00944062" w:rsidRPr="000F5CA8" w:rsidRDefault="00944062" w:rsidP="00B842DD">
      <w:r w:rsidRPr="000F5CA8">
        <w:t xml:space="preserve">Et flertall av høringsinstansene som uttalte seg om utvalgets forslag om statlig overtakelse, var positive. Nesten alle kommunene som uttalte seg, støttet forslaget, mens KS gikk imot forslaget. Innvendingene kom ellers i hovedsak fra instanser innen Den norske kirke. </w:t>
      </w:r>
      <w:r w:rsidR="00903EEE">
        <w:t>Disse hadde liknende synspunkter som</w:t>
      </w:r>
      <w:r w:rsidRPr="000F5CA8">
        <w:t xml:space="preserve"> Arbeidsgiverorganisasjonen for kirkelige virksomheter (KA)</w:t>
      </w:r>
      <w:r w:rsidR="002460CF">
        <w:t>. KA</w:t>
      </w:r>
      <w:r w:rsidR="00903EEE">
        <w:t xml:space="preserve"> viste til at </w:t>
      </w:r>
      <w:r w:rsidRPr="000F5CA8">
        <w:t xml:space="preserve">forslaget </w:t>
      </w:r>
      <w:r w:rsidR="00903EEE">
        <w:t xml:space="preserve">ville </w:t>
      </w:r>
      <w:r w:rsidRPr="000F5CA8">
        <w:t>skape større avstand mellom finansieringsordning</w:t>
      </w:r>
      <w:r w:rsidR="008E20D1">
        <w:t>en</w:t>
      </w:r>
      <w:r w:rsidRPr="000F5CA8">
        <w:t xml:space="preserve"> for Den norske kirke</w:t>
      </w:r>
      <w:r w:rsidR="008E20D1">
        <w:t>, som delvis er basert på kommunal finansiering,</w:t>
      </w:r>
      <w:r w:rsidRPr="000F5CA8">
        <w:t xml:space="preserve"> og</w:t>
      </w:r>
      <w:r w:rsidR="008E20D1">
        <w:t xml:space="preserve"> finansieringsordningen for </w:t>
      </w:r>
      <w:r w:rsidRPr="000F5CA8">
        <w:t xml:space="preserve">andre tros- og livssynssamfunn. </w:t>
      </w:r>
      <w:r w:rsidR="00903EEE">
        <w:t>KA mente dette vil</w:t>
      </w:r>
      <w:r w:rsidR="00D942FD">
        <w:t>le</w:t>
      </w:r>
      <w:r w:rsidRPr="000F5CA8">
        <w:t xml:space="preserve"> </w:t>
      </w:r>
      <w:r w:rsidR="002460CF">
        <w:t>kunne</w:t>
      </w:r>
      <w:r w:rsidRPr="000F5CA8">
        <w:t xml:space="preserve"> gi økt press for en omlegging av dagens ordning med kommunal finansiering av </w:t>
      </w:r>
      <w:r w:rsidR="00323EF8">
        <w:t>kirken</w:t>
      </w:r>
      <w:r w:rsidR="00527384">
        <w:t>s</w:t>
      </w:r>
      <w:r w:rsidR="00323EF8">
        <w:t xml:space="preserve"> </w:t>
      </w:r>
      <w:r w:rsidRPr="000F5CA8">
        <w:t>lokale virksomhet</w:t>
      </w:r>
      <w:r w:rsidR="00903EEE">
        <w:t xml:space="preserve">, </w:t>
      </w:r>
      <w:r w:rsidR="00323EF8">
        <w:t xml:space="preserve">noe </w:t>
      </w:r>
      <w:r w:rsidR="00F356B9">
        <w:t xml:space="preserve">KA </w:t>
      </w:r>
      <w:proofErr w:type="gramStart"/>
      <w:r w:rsidR="00F356B9">
        <w:t xml:space="preserve">mente </w:t>
      </w:r>
      <w:r w:rsidR="00323EF8">
        <w:t xml:space="preserve"> </w:t>
      </w:r>
      <w:r w:rsidRPr="000F5CA8">
        <w:t>vil</w:t>
      </w:r>
      <w:r w:rsidR="00D942FD">
        <w:t>le</w:t>
      </w:r>
      <w:proofErr w:type="gramEnd"/>
      <w:r w:rsidRPr="000F5CA8">
        <w:t xml:space="preserve"> </w:t>
      </w:r>
      <w:r w:rsidR="00903EEE">
        <w:t>kunne</w:t>
      </w:r>
      <w:r w:rsidRPr="000F5CA8">
        <w:t xml:space="preserve"> få vidtrekkende konsekvenser for </w:t>
      </w:r>
      <w:r w:rsidR="00323EF8">
        <w:t>kirken</w:t>
      </w:r>
      <w:r w:rsidRPr="000F5CA8">
        <w:t xml:space="preserve">. </w:t>
      </w:r>
    </w:p>
    <w:p w:rsidR="00944062" w:rsidRPr="000F5CA8" w:rsidRDefault="00944062" w:rsidP="00B8267C">
      <w:pPr>
        <w:pStyle w:val="Overskrift2"/>
        <w:rPr>
          <w:rFonts w:eastAsiaTheme="minorEastAsia"/>
        </w:rPr>
      </w:pPr>
      <w:bookmarkStart w:id="2029" w:name="_Toc470087697"/>
      <w:bookmarkStart w:id="2030" w:name="_Toc476320955"/>
      <w:bookmarkStart w:id="2031" w:name="_Toc477277272"/>
      <w:bookmarkStart w:id="2032" w:name="_Toc477535587"/>
      <w:bookmarkStart w:id="2033" w:name="_Toc477630719"/>
      <w:bookmarkStart w:id="2034" w:name="_Toc477693683"/>
      <w:bookmarkStart w:id="2035" w:name="_Toc477704057"/>
      <w:bookmarkStart w:id="2036" w:name="_Toc477799270"/>
      <w:bookmarkStart w:id="2037" w:name="_Toc477805873"/>
      <w:bookmarkStart w:id="2038" w:name="_Toc477871532"/>
      <w:bookmarkStart w:id="2039" w:name="_Toc477878134"/>
      <w:bookmarkStart w:id="2040" w:name="_Toc477881537"/>
      <w:bookmarkStart w:id="2041" w:name="_Toc477885997"/>
      <w:bookmarkStart w:id="2042" w:name="_Toc478131426"/>
      <w:bookmarkStart w:id="2043" w:name="_Toc478138796"/>
      <w:bookmarkStart w:id="2044" w:name="_Toc478232324"/>
      <w:bookmarkStart w:id="2045" w:name="_Toc478237308"/>
      <w:bookmarkStart w:id="2046" w:name="_Toc481761846"/>
      <w:bookmarkStart w:id="2047" w:name="_Toc492900497"/>
      <w:r w:rsidRPr="000F5CA8">
        <w:rPr>
          <w:rFonts w:eastAsiaTheme="minorEastAsia"/>
        </w:rPr>
        <w:t>Departementets vurderinger</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sidRPr="000F5CA8">
        <w:rPr>
          <w:rFonts w:eastAsiaTheme="minorEastAsia"/>
        </w:rPr>
        <w:t xml:space="preserve"> </w:t>
      </w:r>
    </w:p>
    <w:p w:rsidR="00944062" w:rsidRPr="000F5CA8" w:rsidRDefault="00944062" w:rsidP="00B842DD">
      <w:pPr>
        <w:rPr>
          <w:iCs/>
        </w:rPr>
      </w:pPr>
      <w:r w:rsidRPr="000F5CA8">
        <w:t>Departementet er kommet til at staten bør overta finansieringsansvaret for de offentlige tilskuddene til tros- og livssynssamfunn utenom Den norske kirke. Departementet har i dette spørsmålet lagt særlig vekt på forenklingshensyn.</w:t>
      </w:r>
      <w:r w:rsidRPr="000F5CA8">
        <w:rPr>
          <w:iCs/>
        </w:rPr>
        <w:t xml:space="preserve"> Dagens tilskuddsordninger til tros- og livssynssamfunn har etter departementets syn uforholdsmessig store praktiske og administrative konsekvenser. Den løpende administrasjonen av ordningene står ikke i et rimelig forhold til størrelsen eller omfanget av tilskuddene. </w:t>
      </w:r>
    </w:p>
    <w:p w:rsidR="00944062" w:rsidRPr="000F5CA8" w:rsidRDefault="00944062" w:rsidP="00B842DD">
      <w:pPr>
        <w:rPr>
          <w:iCs/>
        </w:rPr>
      </w:pPr>
      <w:r w:rsidRPr="000F5CA8">
        <w:rPr>
          <w:iCs/>
        </w:rPr>
        <w:t xml:space="preserve">Departementet er i hovedsak enig i framstillingen i NOU 2013: 1 om at kommunenes rolle som tilskuddsforvalter i dag langt på vei er begrenset til å være utbetalingsinstans. Kommunene mottar verken samfunnenes tilskuddskrav eller samfunnenes rapporter og regnskap om bruken av de kommunale tilskuddene. Hvilke samfunn som skal ha kommunale tilskudd – og for hvor mange og hvilke medlemmer – følger i dag av fylkesmannens vedtak om statstilskudd og resultatet av Brønnøysundregistrenes kontroll av medlemslistene. Den </w:t>
      </w:r>
      <w:r w:rsidRPr="000F5CA8">
        <w:rPr>
          <w:iCs/>
        </w:rPr>
        <w:lastRenderedPageBreak/>
        <w:t>enkelte kommune fastsetter riktig</w:t>
      </w:r>
      <w:r w:rsidR="008E20D1">
        <w:rPr>
          <w:iCs/>
        </w:rPr>
        <w:t xml:space="preserve"> </w:t>
      </w:r>
      <w:r w:rsidRPr="000F5CA8">
        <w:rPr>
          <w:iCs/>
        </w:rPr>
        <w:t>nok den kommunale tilskuddssatsen, men størrelsen på denne er i overveiende grad regelstyrt. Det skjønnselementet som inngår, praktiseres ulikt kommunene imellom.</w:t>
      </w:r>
    </w:p>
    <w:p w:rsidR="00944062" w:rsidRPr="000F5CA8" w:rsidRDefault="00944062" w:rsidP="00B842DD">
      <w:r w:rsidRPr="000F5CA8">
        <w:t xml:space="preserve">Økonomiplanleggingen og budsjettarbeidet i mange kommuner vil bli enklere dersom den kommunale finansieringsoppgaven på området faller bort. I dag er de budsjettmessige virkningene av tilskuddsordningene lite forutsigbare, siden det først er </w:t>
      </w:r>
      <w:r w:rsidR="000C3E2D">
        <w:t xml:space="preserve">på høsten </w:t>
      </w:r>
      <w:r w:rsidRPr="000F5CA8">
        <w:t xml:space="preserve">i det enkelte året at kommunene mottar oversikter fra Brønnøysundregistrene over antallet medlemmer i kommunen som det skal gis tilskudd for. </w:t>
      </w:r>
    </w:p>
    <w:p w:rsidR="00944062" w:rsidRPr="000F5CA8" w:rsidRDefault="00944062" w:rsidP="00B842DD">
      <w:r w:rsidRPr="000F5CA8">
        <w:t xml:space="preserve">Departementet </w:t>
      </w:r>
      <w:r w:rsidR="007A4361">
        <w:t>mener</w:t>
      </w:r>
      <w:r w:rsidRPr="000F5CA8">
        <w:t xml:space="preserve"> at det også for tros- og livssynssamfunnene vil være en betydelig administrativ lettelse dersom d</w:t>
      </w:r>
      <w:r w:rsidR="00323EF8">
        <w:t>isse</w:t>
      </w:r>
      <w:r w:rsidRPr="000F5CA8">
        <w:t xml:space="preserve"> ikke trenger å forholde seg til kommunene for å få utbetalt tilskudd. Problemstillingene omkring forskjellene i kommunenes praktisering av regelverket vil dessuten bortfalle.</w:t>
      </w:r>
    </w:p>
    <w:p w:rsidR="00944062" w:rsidRPr="000F5CA8" w:rsidRDefault="00944062" w:rsidP="00B842DD">
      <w:r w:rsidRPr="000F5CA8">
        <w:t>Potensialet for besparelser i den offentlige forvaltningen, staten og kommunene sett under ett, vil være stor når saksfeltet samles på statens hender</w:t>
      </w:r>
      <w:r w:rsidR="007A4361">
        <w:t>, og k</w:t>
      </w:r>
      <w:r w:rsidRPr="000F5CA8">
        <w:t>valiteten i forvaltningspraksisen på området vil kunne bli styrket.</w:t>
      </w:r>
    </w:p>
    <w:p w:rsidR="00910BF0" w:rsidRDefault="00944062" w:rsidP="001E491E">
      <w:r w:rsidRPr="000F5CA8">
        <w:t xml:space="preserve">Departementet mener utgangspunktet for statlig overtakelse av tilskuddene til tros- og livssynssamfunnene bør være at dagens kommunale bevilgninger til samfunnene trekkes ut av statens rammetilskudd til kommunene, slik at den samlede effekten for staten og kommunesektoren er budsjettmessig nøytral. Dette er i tråd med det som ellers er vanlig ved oppgave- eller funksjonsendringer mellom staten og kommunene. </w:t>
      </w:r>
    </w:p>
    <w:p w:rsidR="00944062" w:rsidRPr="000F5CA8" w:rsidRDefault="00944062" w:rsidP="00944062">
      <w:bookmarkStart w:id="2048" w:name="_Toc477277274"/>
      <w:bookmarkStart w:id="2049" w:name="_Toc477535589"/>
      <w:bookmarkStart w:id="2050" w:name="_Toc477630721"/>
      <w:bookmarkStart w:id="2051" w:name="_Toc477693685"/>
      <w:bookmarkStart w:id="2052" w:name="_Toc477704059"/>
      <w:bookmarkStart w:id="2053" w:name="_Toc477799272"/>
      <w:r w:rsidRPr="000F5CA8">
        <w:t>Statens organisering av oppgavefeltet</w:t>
      </w:r>
      <w:bookmarkEnd w:id="2048"/>
      <w:bookmarkEnd w:id="2049"/>
      <w:bookmarkEnd w:id="2050"/>
      <w:bookmarkEnd w:id="2051"/>
      <w:bookmarkEnd w:id="2052"/>
      <w:bookmarkEnd w:id="2053"/>
      <w:r w:rsidR="00910BF0">
        <w:t xml:space="preserve"> er omtalt i kap</w:t>
      </w:r>
      <w:r w:rsidR="002460CF">
        <w:t>ittel</w:t>
      </w:r>
      <w:r w:rsidR="00910BF0">
        <w:t xml:space="preserve"> 17.</w:t>
      </w:r>
      <w:r w:rsidRPr="000F5CA8">
        <w:t xml:space="preserve"> </w:t>
      </w:r>
    </w:p>
    <w:p w:rsidR="00944062" w:rsidRDefault="00944062" w:rsidP="00944062">
      <w:pPr>
        <w:rPr>
          <w:rFonts w:cs="Times New Roman"/>
          <w:szCs w:val="24"/>
        </w:rPr>
      </w:pPr>
      <w:r>
        <w:rPr>
          <w:rFonts w:cs="Times New Roman"/>
          <w:szCs w:val="24"/>
        </w:rPr>
        <w:br w:type="page"/>
      </w:r>
    </w:p>
    <w:p w:rsidR="00EE262F" w:rsidRDefault="0085638F" w:rsidP="00B8267C">
      <w:pPr>
        <w:pStyle w:val="Overskrift1"/>
        <w:rPr>
          <w:rFonts w:eastAsiaTheme="minorEastAsia"/>
        </w:rPr>
      </w:pPr>
      <w:bookmarkStart w:id="2054" w:name="_Toc477277276"/>
      <w:bookmarkStart w:id="2055" w:name="_Toc477535591"/>
      <w:bookmarkStart w:id="2056" w:name="_Toc477630723"/>
      <w:bookmarkStart w:id="2057" w:name="_Toc477693687"/>
      <w:bookmarkStart w:id="2058" w:name="_Toc477704061"/>
      <w:bookmarkStart w:id="2059" w:name="_Toc477799274"/>
      <w:bookmarkStart w:id="2060" w:name="_Toc477805875"/>
      <w:bookmarkStart w:id="2061" w:name="_Toc477871534"/>
      <w:bookmarkStart w:id="2062" w:name="_Toc477878136"/>
      <w:bookmarkStart w:id="2063" w:name="_Toc477881539"/>
      <w:bookmarkStart w:id="2064" w:name="_Toc477885999"/>
      <w:bookmarkStart w:id="2065" w:name="_Toc478131428"/>
      <w:bookmarkStart w:id="2066" w:name="_Toc478138798"/>
      <w:bookmarkStart w:id="2067" w:name="_Toc478232326"/>
      <w:bookmarkStart w:id="2068" w:name="_Toc478237310"/>
      <w:bookmarkStart w:id="2069" w:name="_Toc481761847"/>
      <w:bookmarkStart w:id="2070" w:name="_Toc492900498"/>
      <w:r>
        <w:rPr>
          <w:rFonts w:eastAsiaTheme="minorEastAsia"/>
        </w:rPr>
        <w:lastRenderedPageBreak/>
        <w:t>T</w:t>
      </w:r>
      <w:r w:rsidR="00944062" w:rsidRPr="007147D9">
        <w:rPr>
          <w:rFonts w:eastAsiaTheme="minorEastAsia"/>
        </w:rPr>
        <w:t>ilskuddsordning</w:t>
      </w:r>
      <w:r w:rsidR="009D39E2">
        <w:rPr>
          <w:rFonts w:eastAsiaTheme="minorEastAsia"/>
        </w:rPr>
        <w:t>en</w:t>
      </w:r>
      <w:r w:rsidR="00944062" w:rsidRPr="007147D9">
        <w:rPr>
          <w:rFonts w:eastAsiaTheme="minorEastAsia"/>
        </w:rPr>
        <w:t xml:space="preserve"> for tros- og livs</w:t>
      </w:r>
      <w:r w:rsidR="00B8267C">
        <w:rPr>
          <w:rFonts w:eastAsiaTheme="minorEastAsia"/>
        </w:rPr>
        <w:t xml:space="preserve">synssamfunn utenom Den norske </w:t>
      </w:r>
      <w:r w:rsidR="00B8267C">
        <w:rPr>
          <w:rFonts w:eastAsiaTheme="minorEastAsia"/>
        </w:rPr>
        <w:tab/>
      </w:r>
      <w:r w:rsidR="00944062" w:rsidRPr="007147D9">
        <w:rPr>
          <w:rFonts w:eastAsiaTheme="minorEastAsia"/>
        </w:rPr>
        <w:t>kirke</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p>
    <w:p w:rsidR="00944062" w:rsidRPr="007147D9" w:rsidRDefault="00944062" w:rsidP="00B8267C">
      <w:pPr>
        <w:pStyle w:val="Overskrift2"/>
        <w:rPr>
          <w:rFonts w:eastAsiaTheme="minorEastAsia"/>
        </w:rPr>
      </w:pPr>
      <w:bookmarkStart w:id="2071" w:name="_Toc477277277"/>
      <w:bookmarkStart w:id="2072" w:name="_Toc477535592"/>
      <w:bookmarkStart w:id="2073" w:name="_Toc477630724"/>
      <w:bookmarkStart w:id="2074" w:name="_Toc477693688"/>
      <w:bookmarkStart w:id="2075" w:name="_Toc477704062"/>
      <w:bookmarkStart w:id="2076" w:name="_Toc477799276"/>
      <w:bookmarkStart w:id="2077" w:name="_Toc477805877"/>
      <w:bookmarkStart w:id="2078" w:name="_Toc477871536"/>
      <w:bookmarkStart w:id="2079" w:name="_Toc477878138"/>
      <w:bookmarkStart w:id="2080" w:name="_Toc477881541"/>
      <w:bookmarkStart w:id="2081" w:name="_Toc477886001"/>
      <w:bookmarkStart w:id="2082" w:name="_Toc478131429"/>
      <w:bookmarkStart w:id="2083" w:name="_Toc478138799"/>
      <w:bookmarkStart w:id="2084" w:name="_Toc478232327"/>
      <w:bookmarkStart w:id="2085" w:name="_Toc478237311"/>
      <w:bookmarkStart w:id="2086" w:name="_Toc481761848"/>
      <w:bookmarkStart w:id="2087" w:name="_Toc492900499"/>
      <w:r w:rsidRPr="007147D9">
        <w:rPr>
          <w:rFonts w:eastAsiaTheme="minorEastAsia"/>
        </w:rPr>
        <w:t>Innledning</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rsidR="001764FE" w:rsidRDefault="00944062" w:rsidP="00973DAD">
      <w:r w:rsidRPr="007147D9">
        <w:t xml:space="preserve">I forrige kapittel tok departementet opp forslag om at staten tar over finansieringsansvaret for den offentlige støtten til tros- og livssynssamfunn utenom Den norske kirke. </w:t>
      </w:r>
      <w:r w:rsidR="001764FE">
        <w:t xml:space="preserve">Vilkår </w:t>
      </w:r>
      <w:r w:rsidRPr="007147D9">
        <w:t xml:space="preserve">som et samfunn må oppfylle for å </w:t>
      </w:r>
      <w:r w:rsidR="001764FE">
        <w:t xml:space="preserve">bli registrert og </w:t>
      </w:r>
      <w:r w:rsidRPr="007147D9">
        <w:t>motta tilskudd, er behandlet i kap</w:t>
      </w:r>
      <w:r w:rsidR="00E608C0">
        <w:t>ittel</w:t>
      </w:r>
      <w:r w:rsidRPr="007147D9">
        <w:t xml:space="preserve"> </w:t>
      </w:r>
      <w:r w:rsidR="00973DAD">
        <w:t xml:space="preserve">7, </w:t>
      </w:r>
      <w:r w:rsidR="00E608C0">
        <w:t>bl</w:t>
      </w:r>
      <w:r w:rsidR="00973DAD">
        <w:t>a</w:t>
      </w:r>
      <w:r w:rsidR="00E608C0">
        <w:t>nt annet</w:t>
      </w:r>
      <w:r w:rsidR="00973DAD">
        <w:t xml:space="preserve"> kravet om at et samfunn må ha minst 500 medlemmer over 15 år</w:t>
      </w:r>
      <w:r w:rsidR="001764FE">
        <w:t xml:space="preserve">. Vilkår </w:t>
      </w:r>
      <w:r w:rsidR="00527384">
        <w:t>for tilskudd</w:t>
      </w:r>
      <w:r w:rsidR="001764FE">
        <w:t xml:space="preserve"> er også drøftet i kap</w:t>
      </w:r>
      <w:r w:rsidR="00E608C0">
        <w:t>ittel</w:t>
      </w:r>
      <w:r w:rsidR="001764FE">
        <w:t xml:space="preserve"> 15. </w:t>
      </w:r>
      <w:r w:rsidR="008E20D1">
        <w:t>Alderskravet på 15 år er særskilt drøftet i kapittel 18.</w:t>
      </w:r>
    </w:p>
    <w:p w:rsidR="00973DAD" w:rsidRDefault="0075050D" w:rsidP="00973DAD">
      <w:r>
        <w:t>Temaet i dette kapit</w:t>
      </w:r>
      <w:r w:rsidR="00D86068">
        <w:t>te</w:t>
      </w:r>
      <w:r>
        <w:t xml:space="preserve">let er </w:t>
      </w:r>
      <w:r w:rsidR="001A6180">
        <w:t>øvrige sider ved ut</w:t>
      </w:r>
      <w:r w:rsidR="001764FE">
        <w:t>målingen</w:t>
      </w:r>
      <w:r w:rsidR="001A6180">
        <w:t xml:space="preserve"> av </w:t>
      </w:r>
      <w:r w:rsidR="001F1F73">
        <w:t>den økonomiske støtte</w:t>
      </w:r>
      <w:r w:rsidR="001A6180">
        <w:t xml:space="preserve">n </w:t>
      </w:r>
      <w:r w:rsidR="001F1F73">
        <w:t xml:space="preserve">til </w:t>
      </w:r>
      <w:r w:rsidR="00944062" w:rsidRPr="007147D9">
        <w:t xml:space="preserve">tros- og livssynssamfunn utenom Den norske kirke. </w:t>
      </w:r>
    </w:p>
    <w:p w:rsidR="00973DAD" w:rsidRPr="007147D9" w:rsidRDefault="00973DAD" w:rsidP="00973DAD">
      <w:r w:rsidRPr="007147D9">
        <w:t xml:space="preserve">I dagens tilskuddsordning(er) til tros- og livssynssamfunn utenom Den norske kirke er det tre faktorer som bestemmer </w:t>
      </w:r>
      <w:r w:rsidR="00323EF8">
        <w:t xml:space="preserve">hva </w:t>
      </w:r>
      <w:r w:rsidR="00E608C0">
        <w:t>samfunnene</w:t>
      </w:r>
      <w:r w:rsidRPr="007147D9">
        <w:t xml:space="preserve"> har krav på i offentlig støtte. Disse er:</w:t>
      </w:r>
    </w:p>
    <w:p w:rsidR="00973DAD" w:rsidRPr="007147D9" w:rsidRDefault="00973DAD" w:rsidP="00E41C0F">
      <w:pPr>
        <w:pStyle w:val="Listebombe2"/>
      </w:pPr>
      <w:r w:rsidRPr="007147D9">
        <w:t>De budsjetterte utgiftene (fra stat og kommune) til Den norske kirke, fratrukket utgifter som angår alle landets innbyggere og utgifter som ikke er utgifter</w:t>
      </w:r>
      <w:r>
        <w:t xml:space="preserve"> til egentlige kirkelige formål</w:t>
      </w:r>
    </w:p>
    <w:p w:rsidR="00973DAD" w:rsidRPr="007147D9" w:rsidRDefault="00973DAD" w:rsidP="00E41C0F">
      <w:pPr>
        <w:pStyle w:val="Listebombe2"/>
      </w:pPr>
      <w:r w:rsidRPr="007147D9">
        <w:t>Antall</w:t>
      </w:r>
      <w:r>
        <w:t>et medlemmer i Den norske kirke</w:t>
      </w:r>
      <w:r w:rsidRPr="007147D9">
        <w:t xml:space="preserve"> </w:t>
      </w:r>
    </w:p>
    <w:p w:rsidR="00973DAD" w:rsidRPr="007147D9" w:rsidRDefault="00973DAD" w:rsidP="00E41C0F">
      <w:pPr>
        <w:pStyle w:val="Listebombe2"/>
      </w:pPr>
      <w:r w:rsidRPr="007147D9">
        <w:t xml:space="preserve">Antallet medlemmer </w:t>
      </w:r>
      <w:r>
        <w:t>i tros- eller livssynssamfunnet</w:t>
      </w:r>
    </w:p>
    <w:p w:rsidR="00944062" w:rsidRPr="007147D9" w:rsidRDefault="00973DAD" w:rsidP="00D21B42">
      <w:pPr>
        <w:rPr>
          <w:rFonts w:eastAsiaTheme="minorEastAsia"/>
        </w:rPr>
      </w:pPr>
      <w:r w:rsidRPr="007147D9">
        <w:t xml:space="preserve">I det følgende gjennomgås </w:t>
      </w:r>
      <w:r w:rsidR="009D39E2">
        <w:t xml:space="preserve">disse </w:t>
      </w:r>
      <w:r w:rsidRPr="007147D9">
        <w:t>faktorene, med en nærmere vurdering av dem</w:t>
      </w:r>
      <w:r w:rsidR="00D21B42">
        <w:t xml:space="preserve"> og </w:t>
      </w:r>
      <w:r w:rsidR="0075050D">
        <w:t>departementets forslag</w:t>
      </w:r>
      <w:r w:rsidR="00944062" w:rsidRPr="007147D9">
        <w:t xml:space="preserve"> til </w:t>
      </w:r>
      <w:r w:rsidR="00D21B42">
        <w:t>endringer.</w:t>
      </w:r>
      <w:r w:rsidR="00CF497E">
        <w:t xml:space="preserve"> Visse spørsmål som kan </w:t>
      </w:r>
      <w:r w:rsidR="001764FE">
        <w:t>reises når medlems</w:t>
      </w:r>
      <w:r w:rsidR="00B536FE">
        <w:t xml:space="preserve">tall og -lister </w:t>
      </w:r>
      <w:r w:rsidR="001764FE">
        <w:t xml:space="preserve">er avgjørende for tildeling av støtte, særlig om </w:t>
      </w:r>
      <w:r w:rsidR="00CF497E">
        <w:t>kontroll av medlems</w:t>
      </w:r>
      <w:r w:rsidR="001764FE">
        <w:t>lister</w:t>
      </w:r>
      <w:r w:rsidR="009D39E2">
        <w:t>,</w:t>
      </w:r>
      <w:r w:rsidR="001764FE">
        <w:t xml:space="preserve"> </w:t>
      </w:r>
      <w:r w:rsidR="00CF497E">
        <w:t xml:space="preserve">og </w:t>
      </w:r>
      <w:r w:rsidR="00AA6869">
        <w:t xml:space="preserve">om medlemstall bør være eneste </w:t>
      </w:r>
      <w:r w:rsidR="00F35600">
        <w:t>fordelings</w:t>
      </w:r>
      <w:r w:rsidR="00AA6869">
        <w:t xml:space="preserve">faktor for </w:t>
      </w:r>
      <w:r w:rsidR="00F35600">
        <w:t>tilskuddene samfunnene imellom</w:t>
      </w:r>
      <w:r w:rsidR="00B536FE">
        <w:t xml:space="preserve">, </w:t>
      </w:r>
      <w:r w:rsidR="009D39E2">
        <w:t xml:space="preserve">blir </w:t>
      </w:r>
      <w:r w:rsidR="00E608C0">
        <w:t xml:space="preserve">også </w:t>
      </w:r>
      <w:r w:rsidR="009D39E2">
        <w:t xml:space="preserve">særskilt </w:t>
      </w:r>
      <w:r w:rsidR="00B536FE">
        <w:t>vurdert</w:t>
      </w:r>
      <w:r w:rsidR="00AA6869">
        <w:t>.</w:t>
      </w:r>
      <w:r w:rsidR="00CF497E">
        <w:t xml:space="preserve"> </w:t>
      </w:r>
    </w:p>
    <w:p w:rsidR="00D21B42" w:rsidRDefault="00D21B42" w:rsidP="00D21B42">
      <w:pPr>
        <w:pStyle w:val="Overskrift2"/>
      </w:pPr>
      <w:bookmarkStart w:id="2088" w:name="_Toc478232328"/>
      <w:bookmarkStart w:id="2089" w:name="_Toc478237312"/>
      <w:bookmarkStart w:id="2090" w:name="_Toc481761849"/>
      <w:bookmarkStart w:id="2091" w:name="_Toc492900500"/>
      <w:r>
        <w:t>Tilskudds- eller beregningsgrunnlaget (budsjetterte utgifter til Den norske kirke)</w:t>
      </w:r>
      <w:bookmarkEnd w:id="2088"/>
      <w:bookmarkEnd w:id="2089"/>
      <w:bookmarkEnd w:id="2090"/>
      <w:bookmarkEnd w:id="2091"/>
    </w:p>
    <w:p w:rsidR="00EE262F" w:rsidRDefault="00EE262F" w:rsidP="00D21B42">
      <w:pPr>
        <w:pStyle w:val="Overskrift3"/>
      </w:pPr>
      <w:bookmarkStart w:id="2092" w:name="_Toc478232329"/>
      <w:bookmarkStart w:id="2093" w:name="_Toc478237313"/>
      <w:bookmarkStart w:id="2094" w:name="_Toc481761850"/>
      <w:bookmarkStart w:id="2095" w:name="_Toc492900501"/>
      <w:r>
        <w:t>Bakgrunn</w:t>
      </w:r>
      <w:bookmarkEnd w:id="2092"/>
      <w:bookmarkEnd w:id="2093"/>
      <w:bookmarkEnd w:id="2094"/>
      <w:bookmarkEnd w:id="2095"/>
    </w:p>
    <w:p w:rsidR="00944062" w:rsidRPr="007147D9" w:rsidRDefault="00944062" w:rsidP="00B8267C">
      <w:r w:rsidRPr="007147D9">
        <w:t xml:space="preserve">Det har i alle år vært praksis for at </w:t>
      </w:r>
      <w:r w:rsidR="00323EF8">
        <w:t>beregnings</w:t>
      </w:r>
      <w:r w:rsidRPr="007147D9">
        <w:t>grunnlaget for statens</w:t>
      </w:r>
      <w:r w:rsidRPr="007147D9">
        <w:rPr>
          <w:i/>
        </w:rPr>
        <w:t xml:space="preserve"> </w:t>
      </w:r>
      <w:r w:rsidRPr="007147D9">
        <w:t>tilskudd til tros- og livssynssamfunn</w:t>
      </w:r>
      <w:r w:rsidR="00323EF8">
        <w:t xml:space="preserve"> utenom Den norske kirke,</w:t>
      </w:r>
      <w:r w:rsidRPr="007147D9">
        <w:t xml:space="preserve"> er </w:t>
      </w:r>
      <w:r w:rsidR="00323EF8">
        <w:t xml:space="preserve">de </w:t>
      </w:r>
      <w:r w:rsidRPr="007147D9">
        <w:t>bevilgninger til Den norske kirke som budsjetteres under statsbudsjettets programkategori for kirkelige formål. Det er budsjetterte bevilgninger for kommende budsjettår som inngår i grunnlaget, ikke hva som ifølge regnskapstall viser seg å være bevilget. Enkelte formål er holdt</w:t>
      </w:r>
      <w:r w:rsidR="00323EF8">
        <w:t xml:space="preserve"> utenom tilskuddsgrunnlaget, bl</w:t>
      </w:r>
      <w:r w:rsidRPr="007147D9">
        <w:t>a</w:t>
      </w:r>
      <w:r w:rsidR="00323EF8">
        <w:t xml:space="preserve">nt annet </w:t>
      </w:r>
      <w:r w:rsidRPr="007147D9">
        <w:t xml:space="preserve">statens bevilgninger til det bygningsmessige vedlikeholdet av Nidaros domkirke. </w:t>
      </w:r>
      <w:r w:rsidR="00B536FE">
        <w:t>O</w:t>
      </w:r>
      <w:r w:rsidRPr="007147D9">
        <w:t>verføringer fra Opplysningsvesenets fond til Den norske kirke bli</w:t>
      </w:r>
      <w:r w:rsidR="00754B46">
        <w:t>r</w:t>
      </w:r>
      <w:r w:rsidRPr="007147D9">
        <w:t xml:space="preserve"> medregnet</w:t>
      </w:r>
      <w:r w:rsidR="00754B46">
        <w:t xml:space="preserve"> i beregningsgrunnlaget</w:t>
      </w:r>
      <w:r w:rsidRPr="007147D9">
        <w:t xml:space="preserve">. </w:t>
      </w:r>
    </w:p>
    <w:p w:rsidR="00944062" w:rsidRPr="007147D9" w:rsidRDefault="00944062" w:rsidP="00B8267C">
      <w:r w:rsidRPr="007147D9">
        <w:t xml:space="preserve">Gjennom årene har det vært reist spørsmål om det i tilskuddsgrunnlaget burde tas hensyn til statens tilleggsbevilgninger til Den norske kirke i løpet av budsjettåret. Det er ikke etablert noen entydig praksis i slike tilfeller. Enkelte ganger har tilleggsbevilgninger vært medregnet, andre ganger ikke. Det har også vært reist spørsmål om det mest korrekte hadde vært å beregne tilskuddsgrunnlaget ut fra statens faktiske utgifter til kirken, dvs. på bakgrunn av regnskapstall og ikke budsjetterte tall. </w:t>
      </w:r>
    </w:p>
    <w:p w:rsidR="00944062" w:rsidRPr="007147D9" w:rsidRDefault="00944062" w:rsidP="00B8267C">
      <w:r w:rsidRPr="007147D9">
        <w:lastRenderedPageBreak/>
        <w:t xml:space="preserve">Da tjenestebolig- og bopliktordningen for prestene i Den norske kirke ble avviklet 1. september 2015, ble prestene gitt en lønnsmessig kompensasjon for bortfallet av ordningen. Statens driftsbevilgning til Den norske kirke ble økt tilsvarende (nær 80 mill. kroner). Det ble da reist spørsmål om denne særskilte bevilgningen til Den norske kirke, begrunnet i avviklingen av prestenes tjenestebolig- og bopliktordning, skulle inngå i tilskuddsgrunnlaget til andre tros- og livssynssamfunn. Gjennom lovendring i 2015 ble det bestemt at denne budsjetterte utgiften til Den norske kirke skulle holdes utenom tilskuddsgrunnlaget. En liknende situasjon oppsto ved utskillingen av Den norske kirke fra staten 1. januar 2017, da det ble reist spørsmål om </w:t>
      </w:r>
      <w:r w:rsidR="00754B46">
        <w:t xml:space="preserve">statens tilskudd til kirkens egenkapital og </w:t>
      </w:r>
      <w:r w:rsidRPr="007147D9">
        <w:t xml:space="preserve">den delen av statens tilskudd til kirkens pensjonspremie som gjelder opparbeidete pensjonsrettigheter før 1. januar 2017, skulle tas med i tilskuddsgrunnlaget. Også i dette tilfellet ble det ved lovendring bestemt at </w:t>
      </w:r>
      <w:r w:rsidR="00754B46">
        <w:t xml:space="preserve">disse </w:t>
      </w:r>
      <w:r w:rsidRPr="007147D9">
        <w:t>tilskudde</w:t>
      </w:r>
      <w:r w:rsidR="00754B46">
        <w:t>ne</w:t>
      </w:r>
      <w:r w:rsidRPr="007147D9">
        <w:t xml:space="preserve"> skulle holdes utenom. Begge sakene ble vurdert i lys av kravet i Grunnloven § 16 om likebehandling og</w:t>
      </w:r>
      <w:r w:rsidR="00F35600">
        <w:t xml:space="preserve"> i lys av</w:t>
      </w:r>
      <w:r w:rsidRPr="007147D9">
        <w:t xml:space="preserve"> diskrimineringsforbudet i internasjonale konvensjoner. </w:t>
      </w:r>
    </w:p>
    <w:p w:rsidR="00944062" w:rsidRPr="007147D9" w:rsidRDefault="00944062" w:rsidP="00B8267C">
      <w:r w:rsidRPr="007147D9">
        <w:t>Gjennom årene har det også vært reist spørsmål om hvilke kirkelige utgifter som skal inngå i kommunenes</w:t>
      </w:r>
      <w:r w:rsidRPr="007147D9">
        <w:rPr>
          <w:i/>
        </w:rPr>
        <w:t xml:space="preserve"> </w:t>
      </w:r>
      <w:r w:rsidRPr="007147D9">
        <w:t>beregning av tilskudd til andre tros- og livssynssamfunn. Ved forskriftsbestemmelser og retningslinjer gitt i rundskriv, har departementet søkt å presisere hvilke utgifter som skal holdes utenom. Praksis på området synes å variere kommunene imellom</w:t>
      </w:r>
      <w:r w:rsidR="00D21B42">
        <w:t xml:space="preserve">, noe også Stålsett-utvalget pekte på. </w:t>
      </w:r>
    </w:p>
    <w:p w:rsidR="00944062" w:rsidRPr="007147D9" w:rsidRDefault="00944062" w:rsidP="00EE262F">
      <w:pPr>
        <w:pStyle w:val="Overskrift4"/>
        <w:rPr>
          <w:rFonts w:eastAsiaTheme="minorEastAsia"/>
        </w:rPr>
      </w:pPr>
      <w:r w:rsidRPr="007147D9">
        <w:rPr>
          <w:rFonts w:eastAsiaTheme="minorEastAsia"/>
        </w:rPr>
        <w:t>Departementets vurderinger</w:t>
      </w:r>
    </w:p>
    <w:p w:rsidR="00944062" w:rsidRPr="007147D9" w:rsidRDefault="00944062" w:rsidP="00B8267C">
      <w:r w:rsidRPr="007147D9">
        <w:t xml:space="preserve">Formålet med dagens regelverk for fastsettelsen av tilskuddsgrunnlaget til tros- og livssynssamfunn utenom Den norske kirke har vært å sikre at Den norske kirke og andre tros- og livssynssamfunn blir økonomisk likebehandlet av staten og kommunene. Erfaringen synes å vise at regelverket for fastsettelsen av tilskuddsgrunnlaget er vanskelig å praktisere. Det åpner for ulike tolkninger, skjønnsmessige vurderinger og ulik praksis. </w:t>
      </w:r>
    </w:p>
    <w:p w:rsidR="00944062" w:rsidRPr="007147D9" w:rsidRDefault="00944062" w:rsidP="00B8267C">
      <w:r w:rsidRPr="007147D9">
        <w:t>Departementets forslag i kap</w:t>
      </w:r>
      <w:r w:rsidR="00E608C0">
        <w:t>ittel</w:t>
      </w:r>
      <w:r w:rsidR="00420605">
        <w:t xml:space="preserve"> 13</w:t>
      </w:r>
      <w:r w:rsidRPr="007147D9">
        <w:t xml:space="preserve"> om at staten tar over finansieringsansvaret for den offentlige støtten til tros- og livssynssamfunn utenom Den norske kirke, slik at kommunenes forpliktelser på området faller bort, innebærer at den ulike praksis som har vært kommunene imellom, ikke lenger vil være relevant. Ved kirkens utskilling fra staten 1. januar 2017 og omleggingen av statens overføringer til Den norske kirke til et samlet rammetilskudd, vil det dessuten nå framgå mer entydig hvilke kirkelige utgifter som skal inngå i tilskuddsgrunnlaget til andre tros- og livssynssamfunn.</w:t>
      </w:r>
    </w:p>
    <w:p w:rsidR="00944062" w:rsidRPr="007147D9" w:rsidRDefault="00944062" w:rsidP="00B8267C">
      <w:r w:rsidRPr="007147D9">
        <w:t>I flere sammenhenger har det vært reist spørsmål om dagens regelverk for tilskudd til tros- og livssynssamfunn utenom Den norske kirke i tilstrekkelig grad tar hensyn til at Den norske kirke er underlagt bindinger og pålagt utgifter som andre tros- og livssynssamfunn ikke er omfattet av. Problemstillingen ble reist av Stålsett-utvalget i NOU 2013:</w:t>
      </w:r>
      <w:r w:rsidR="00C92710">
        <w:t xml:space="preserve"> </w:t>
      </w:r>
      <w:r w:rsidRPr="007147D9">
        <w:t xml:space="preserve">1 og berørt også i Prop. 9 L (2016–2017), som omhandlet spørsmålet om deler av statens tilskudd til kirkens pensjonspremie </w:t>
      </w:r>
      <w:r w:rsidR="00FE3748">
        <w:t xml:space="preserve">og engangstilskuddet til kirkens egenkapital i 2017 </w:t>
      </w:r>
      <w:r w:rsidRPr="007147D9">
        <w:t xml:space="preserve">skulle holdes utenom tilskuddsgrunnlaget til andre samfunn. I Prop. 9 L (2016–2017) heter det (s. 41): </w:t>
      </w:r>
    </w:p>
    <w:p w:rsidR="00944062" w:rsidRPr="009A30DA" w:rsidRDefault="00944062" w:rsidP="009A30DA">
      <w:pPr>
        <w:pStyle w:val="blokksit"/>
        <w:rPr>
          <w:rStyle w:val="kursiv"/>
        </w:rPr>
      </w:pPr>
      <w:r w:rsidRPr="009A30DA">
        <w:rPr>
          <w:rStyle w:val="kursiv"/>
        </w:rPr>
        <w:t xml:space="preserve">For Den norske kyrkja gjeld forvaltningslova, offentleglova, arkivlova og regelverket om offentlege innkjøp. Kyrkjelova legg strukturelle og organisatoriske bindingar på Den norske kyrkja (mellom anna med omsyn til valordningar) og stiller også visse krav til kyrkja sin aktivitet. Andre trus- og livssynssamfunn, eller tilsette i desse samfunna, er ikkje pålagt plikter som kan samanliknast med dette. I det heile er det til desse ikkje stilt liknande krav til organisasjon og struktur for å få statstilskott, eller krav om at samfunna eller dei tilsette der skal utføre særlege oppgåver. </w:t>
      </w:r>
    </w:p>
    <w:p w:rsidR="00944062" w:rsidRPr="007147D9" w:rsidRDefault="00944062" w:rsidP="00B8267C">
      <w:r w:rsidRPr="007147D9">
        <w:t xml:space="preserve">Likebehandlingskravet i Grunnloven § 16 innebærer at like tilfeller skal behandles likt. Gjennom sin særlige stilling er Den norske kirke undergitt reguleringer og forpliktelser som </w:t>
      </w:r>
      <w:r w:rsidRPr="007147D9">
        <w:lastRenderedPageBreak/>
        <w:t xml:space="preserve">ikke gjelder for andre tros- og livssynssamfunn. Spørsmålet er om kirkens særlige stilling og den ulikheten som det er mellom Den norske kirke og andre tros- og livssynssamfunn, er tatt </w:t>
      </w:r>
      <w:r w:rsidR="00E608C0">
        <w:t xml:space="preserve">tilstrekkelig </w:t>
      </w:r>
      <w:r w:rsidRPr="007147D9">
        <w:t>høyde for i dagens regelverk for tilskudd til andre tros- og livssynssamfunn. Utgifter som ikke egentlig gjelder kirkelige formål, skal riktig</w:t>
      </w:r>
      <w:r w:rsidR="00F35600">
        <w:t xml:space="preserve"> </w:t>
      </w:r>
      <w:r w:rsidRPr="007147D9">
        <w:t xml:space="preserve">nok holdes utenom tilskuddsgrunnlaget, men ellers skal alle bevilgninger til Den norske kirke medregnes. Eventuelle unntak skal spesifiseres og uttrykkelig framgå av loven. </w:t>
      </w:r>
    </w:p>
    <w:p w:rsidR="00944062" w:rsidRPr="007147D9" w:rsidRDefault="00944062" w:rsidP="00B8267C">
      <w:r w:rsidRPr="007147D9">
        <w:t xml:space="preserve">Det er departementets syn at den ulikheten som det er i rammevilkårene for Den norske kirke sammenliknet med andre tros- og livssynssamfunn, ikke er tilfredsstillende reflektert i lovgivningen og i tilskuddsgrunnlaget til andre tros- og livssynssamfunn. En ideell ivaretakelse av likebehandlingskravet i Grunnloven § 16 ville </w:t>
      </w:r>
      <w:r w:rsidR="001A6180">
        <w:t xml:space="preserve">etter departementets syn </w:t>
      </w:r>
      <w:r w:rsidRPr="007147D9">
        <w:t xml:space="preserve">være å identifisere hva ulikhetene mellom Den norske kirke og andre tros- og livssynssamfunn består i, omregne disse i tilnærmet presise økonomiske størrelser og trekke disse fra i tilskuddsgrunnlaget til tros- og livssynssamfunn utenom Den norske kirke. </w:t>
      </w:r>
    </w:p>
    <w:p w:rsidR="00944062" w:rsidRPr="007147D9" w:rsidRDefault="00944062" w:rsidP="00B8267C">
      <w:r w:rsidRPr="007147D9">
        <w:t xml:space="preserve">Departementet kan vanskelig se at en ideell operasjonalisering av likebehandlingskravet i Grunnloven § 16 er mulig å realisere. Visse reguleringer som Den norske kirke har og som ikke gjelder for andre tros- og livssynssamfunn, lar seg nok identifisere og kostnadsberegne, for eksempel </w:t>
      </w:r>
      <w:r w:rsidR="00714230">
        <w:t>mer</w:t>
      </w:r>
      <w:r w:rsidR="00B72233">
        <w:t>kostnade</w:t>
      </w:r>
      <w:r w:rsidR="00714230">
        <w:t>ne ved</w:t>
      </w:r>
      <w:r w:rsidR="00B72233">
        <w:t xml:space="preserve"> </w:t>
      </w:r>
      <w:r w:rsidR="00714230">
        <w:t xml:space="preserve">det antikvariske vedlikeholdet av </w:t>
      </w:r>
      <w:r w:rsidR="00B72233">
        <w:t xml:space="preserve">kirkebygg eller </w:t>
      </w:r>
      <w:r w:rsidRPr="007147D9">
        <w:t>utgiftene ved de lovregulerte kirkelige valgene. Andre reguleringer og vilkår som særskilt gjelder for Den norske kirke, vil det neppe være mulig å omregne i presise økonomiske størrelser. Bla</w:t>
      </w:r>
      <w:r w:rsidR="00E608C0">
        <w:t>nt annet</w:t>
      </w:r>
      <w:r w:rsidRPr="007147D9">
        <w:t xml:space="preserve"> forventes Den norske kirke, gjennom sine sokn og menighetsråd, sin prestetjeneste og </w:t>
      </w:r>
      <w:r w:rsidR="00412430">
        <w:t xml:space="preserve">sine </w:t>
      </w:r>
      <w:r w:rsidRPr="007147D9">
        <w:t>kirkebygg, å være representert i så å si alle lokalsamfunn over hele landet, uavhengig av antallet kirkemedlemmer på stedet. De materielle og strukturelle bindinge</w:t>
      </w:r>
      <w:r w:rsidR="00412430">
        <w:t>ne</w:t>
      </w:r>
      <w:r w:rsidRPr="007147D9">
        <w:t xml:space="preserve"> og forpliktelse</w:t>
      </w:r>
      <w:r w:rsidR="00412430">
        <w:t>ne</w:t>
      </w:r>
      <w:r w:rsidRPr="007147D9">
        <w:t xml:space="preserve"> for kirken som følger av dette, er andre tros- og livssynssamfunn ikke omfattet av. I praksis synes det ikke mulig å omregne slike ulikheter i økonomiske størrelser.</w:t>
      </w:r>
    </w:p>
    <w:p w:rsidR="00944062" w:rsidRPr="007147D9" w:rsidRDefault="00944062" w:rsidP="00B8267C">
      <w:r w:rsidRPr="007147D9">
        <w:t>En løsning kunne være at det ble foretatt et prosentuelt uttrekk av tilskuddsgrunnlaget til andre tros- og livssynssamfunn – som et økonomisk uttrykk for den ulikheten det er mellom Den norske kirke og andre tros- og livssynssamfunn. Hvordan et slikt prosenttrekk skulle fastsettes</w:t>
      </w:r>
      <w:r w:rsidR="00420605">
        <w:t>,</w:t>
      </w:r>
      <w:r w:rsidRPr="007147D9">
        <w:t xml:space="preserve"> reiser imidlertid vanskelige avveiningsspørsmål og er neppe en egnet metode for å gi ulikhetene mellom Den norske kirke og andre tros- og livssynssamfunn et </w:t>
      </w:r>
      <w:r w:rsidR="00420605">
        <w:t xml:space="preserve">tilfredsstillende og </w:t>
      </w:r>
      <w:r w:rsidRPr="007147D9">
        <w:t>økonomisk målbart uttrykk.</w:t>
      </w:r>
    </w:p>
    <w:p w:rsidR="00944062" w:rsidRPr="007147D9" w:rsidRDefault="00944062" w:rsidP="00B8267C">
      <w:r w:rsidRPr="007147D9">
        <w:t>En annen tilnærming ville være å anerkjenne at det er slike grunnleggende ulikheter i rammevilkårene for Den norske kirke og andre samfunn at det egentlig ikke gir mening å sammenholde og måle ulikhetene i økonomiske størrelser. Den naturlige virkningen av en slik forståelse</w:t>
      </w:r>
      <w:r w:rsidR="00420605">
        <w:t xml:space="preserve"> </w:t>
      </w:r>
      <w:r w:rsidRPr="007147D9">
        <w:t>er at de offentlige bevilgningene til Den norske kirke ikke inngå</w:t>
      </w:r>
      <w:r w:rsidR="00F35600">
        <w:t>r</w:t>
      </w:r>
      <w:r w:rsidRPr="007147D9">
        <w:t xml:space="preserve"> som </w:t>
      </w:r>
      <w:r w:rsidR="00420605">
        <w:t xml:space="preserve">faktor for fastsettelsen av </w:t>
      </w:r>
      <w:r w:rsidRPr="007147D9">
        <w:t xml:space="preserve">den offentlige støtten til andre tros- og livssynssamfunn. En slik løsning vil imidlertid bryte med hva som til nå har vært ansett å følge av likebehandlingskravet i Grunnloven § 16. </w:t>
      </w:r>
    </w:p>
    <w:p w:rsidR="009A1A6F" w:rsidRDefault="00944062" w:rsidP="00B8267C">
      <w:r w:rsidRPr="007147D9">
        <w:t xml:space="preserve">Departementet kan ikke se at det i praksis er mulig å finne operasjonelle metoder som ideelt ivaretar likebehandlingskravet i Grunnloven § 16. I lys av drøftingene ovenfor mener departementet det mest hensiktsmessige er ikke å gjøre noen vesentlig materiell endring i dagens regelverk for hvilke tilskudd til Den norske kirke som skal inngå i grunnlaget for tilskudd til andre tros- og livssynssamfunn. Både forenklingshensyn og </w:t>
      </w:r>
      <w:r w:rsidRPr="007147D9">
        <w:rPr>
          <w:i/>
        </w:rPr>
        <w:t xml:space="preserve">om lag-prinsippet </w:t>
      </w:r>
      <w:r w:rsidRPr="007147D9">
        <w:t>tilsier dette.</w:t>
      </w:r>
      <w:r w:rsidRPr="00CF497E">
        <w:rPr>
          <w:szCs w:val="24"/>
        </w:rPr>
        <w:t xml:space="preserve"> </w:t>
      </w:r>
      <w:r w:rsidR="00CF497E" w:rsidRPr="00CF497E">
        <w:rPr>
          <w:rFonts w:cs="Times New Roman"/>
          <w:szCs w:val="24"/>
        </w:rPr>
        <w:t xml:space="preserve">Om lag-prinsippet er nedfelt i dagens lovgivning og innebærer at den økonomiske likebehandlingen av Den norske kirke og andre tros- og livssynsamfunn ikke trenger å være så å si matematisk korrekt for at likebehandlingskravet skal anses oppfylt. Dagens lovregler om tilskudd benytter derfor begreper som "om lag" og "etter </w:t>
      </w:r>
      <w:r w:rsidR="00CF497E">
        <w:rPr>
          <w:rFonts w:cs="Times New Roman"/>
          <w:szCs w:val="24"/>
        </w:rPr>
        <w:t>måten".</w:t>
      </w:r>
      <w:r w:rsidRPr="007147D9">
        <w:t xml:space="preserve"> Imidlertid, i den utstrekning det er mulig å beregne med </w:t>
      </w:r>
      <w:r w:rsidR="002279AF">
        <w:t xml:space="preserve">en viss </w:t>
      </w:r>
      <w:r w:rsidRPr="007147D9">
        <w:t xml:space="preserve">nøyaktighet at Den norske </w:t>
      </w:r>
      <w:r w:rsidRPr="007147D9">
        <w:lastRenderedPageBreak/>
        <w:t xml:space="preserve">kirke </w:t>
      </w:r>
      <w:r w:rsidR="002279AF" w:rsidRPr="007147D9">
        <w:t>har utgifter</w:t>
      </w:r>
      <w:r w:rsidR="002279AF">
        <w:t xml:space="preserve"> </w:t>
      </w:r>
      <w:r w:rsidR="007B3F6D">
        <w:t xml:space="preserve">som følge av særlige reguleringer eller forpliktelser </w:t>
      </w:r>
      <w:r w:rsidRPr="007147D9">
        <w:t xml:space="preserve">som andre tros- og livssynssamfunn ikke er omfattet av, </w:t>
      </w:r>
      <w:r w:rsidR="00E608C0">
        <w:t xml:space="preserve">dvs. utgifter som følger av Den norske kirkes særlige stilling, </w:t>
      </w:r>
      <w:r w:rsidRPr="007147D9">
        <w:t>bør det i lovgivningen framgå at slike utgifter ikke skal medregnes i tilskuddsgrunnlaget.</w:t>
      </w:r>
      <w:r w:rsidR="007B3F6D">
        <w:t xml:space="preserve"> </w:t>
      </w:r>
    </w:p>
    <w:p w:rsidR="009A1A6F" w:rsidRDefault="00944062" w:rsidP="00B8267C">
      <w:r w:rsidRPr="007147D9">
        <w:t xml:space="preserve">De ekstraordinære bevilgningene til Den norske kirke hvert fjerde år for gjennomføring av kirkevalgene, er eksempel på en </w:t>
      </w:r>
      <w:r w:rsidR="00E608C0">
        <w:t xml:space="preserve">slik </w:t>
      </w:r>
      <w:r w:rsidRPr="007147D9">
        <w:t>utgift</w:t>
      </w:r>
      <w:r w:rsidR="00E608C0">
        <w:t>, jf. også de unntaksbestemmelsene</w:t>
      </w:r>
      <w:r w:rsidRPr="007147D9">
        <w:t xml:space="preserve"> som </w:t>
      </w:r>
      <w:r w:rsidR="00E608C0">
        <w:t>ble gjort gjeldende da prestenes boplikt ble opphevet</w:t>
      </w:r>
      <w:r w:rsidR="001764FE">
        <w:t xml:space="preserve"> i </w:t>
      </w:r>
      <w:r w:rsidR="00E608C0">
        <w:t>2015 og Den norske kirke ble skilt ut fra staten i 2017.</w:t>
      </w:r>
    </w:p>
    <w:p w:rsidR="00DB014E" w:rsidRDefault="00DB014E" w:rsidP="00DB014E">
      <w:r>
        <w:t>Dagens bestemmelser om at utgifter til antikvarisk vedlikehold av kirkebygg skal holdes utenom tilskuddsgrunnlaget til andre tros- og livssynssamfunn, er vanskelig å operasjonalisere i praksis. Retningslinjene er gitt i Kulturdepartementets rundskriv V-15B/2009, der det framgår at merutgifter til antikvarisk vedlikehold av kulturhistoriske verdifulle kirkebygg skal holdes utenom. Det er den enkelte kommune som må beregne disse utgiftene i lys av rundskrivets bestemmelser. Det finnes ingen oversikt som viser hvordan bestemmelsen praktiseres eller hvor stor del av utgiftene til kirkebyggene som regnes som merutgifter til antikvarisk vedlikehold. I NOU 2013: 1 uttalte Stålsett-utvalget om dette (s. 373):</w:t>
      </w:r>
    </w:p>
    <w:p w:rsidR="00DB014E" w:rsidRPr="009A30DA" w:rsidRDefault="00DB014E" w:rsidP="009A30DA">
      <w:pPr>
        <w:pStyle w:val="blokksit"/>
        <w:rPr>
          <w:rStyle w:val="kursiv"/>
        </w:rPr>
      </w:pPr>
      <w:r w:rsidRPr="009A30DA">
        <w:rPr>
          <w:rStyle w:val="kursiv"/>
        </w:rPr>
        <w:t>Selv med godt kjennskap til regelverket og vilje til å etterfølge det, vil det i noen tilfeller kunne være krevende å gjøre de avgrensningene som må gjøres når det gjelder å skille ut utgifter som angår alle innbyggerne i kommunene og særlige utgifter til Den norske kirke. (…) Det vil ikke være en ensartet håndtering av utgifter til vedlikehold av fredede eller verneverdige kirkebygninger. I følge rundskrivet for beregning av tilskudd fra Kulturdepartementet er det bare de ekstra vedlikeholdsutgiftene til slike bygninger som skal holdes utenfor. Det er grunn til å tro at det ikke er uvanlig å holde alt vedlikehold av slike kirker utenfor beregningsgrunnlaget.</w:t>
      </w:r>
    </w:p>
    <w:p w:rsidR="00DB014E" w:rsidRDefault="00DB014E" w:rsidP="00DB014E">
      <w:r>
        <w:t xml:space="preserve">Departementet mener det på dette området er behov for endringer. Uklarheter i hva som skal regnes som antikvarisk vedlikehold, med ulik praktisering av de retningslinjene som gjelder, tilsier dette. Departementet mener dessuten at det på dette området vil være mer korrekt å ta utgangspunkt i kirkebyggenes alder enn at de er listeført av Riksantikvaren som kulturhistorisk verdifulle. Listeføringen endrer seg over tid og flere listeførte kirkebygg er bygget i nyere tid. </w:t>
      </w:r>
    </w:p>
    <w:p w:rsidR="00DB014E" w:rsidRDefault="00DB014E" w:rsidP="00DB014E">
      <w:r>
        <w:t xml:space="preserve">Departementet viser til dette og vil i stedet for dagens bestemmelser foreslå at investeringer i kirkebygg som er fra før år 1900, inklusive kirkeinventar og -interiør, ikke skal medregnes i tilskuddsgrunnlaget til andre tros- og livssynssamfunn. Bestemmelsen vil omfatte </w:t>
      </w:r>
      <w:r w:rsidR="004B2061">
        <w:t xml:space="preserve">godt og vel 980 </w:t>
      </w:r>
      <w:r>
        <w:t xml:space="preserve">kirkebygg, stavkirkene unntatt. Dette er omtrent samme antallet kirkebygg som omfattes av dagens bestemmelser, jf. oversikten i kapittel 11 som viser at </w:t>
      </w:r>
      <w:r w:rsidR="004B2061">
        <w:t>nær 940</w:t>
      </w:r>
      <w:r w:rsidR="007B0DC1">
        <w:t xml:space="preserve"> </w:t>
      </w:r>
      <w:r>
        <w:t>kirkebygg regnes som kulturhistorisk verdifulle</w:t>
      </w:r>
      <w:r w:rsidR="004B2061">
        <w:t>, stavkirkene unntatt</w:t>
      </w:r>
      <w:r>
        <w:t>. Det er investeringene i disse eldre kirkene fra før år 1900 som departementet mener bør holdes utenom tilskuddsgrunnlaget til andre tros</w:t>
      </w:r>
      <w:r w:rsidR="00D86068">
        <w:t>- og livssynssamfunn. Ut fra om</w:t>
      </w:r>
      <w:r>
        <w:t>lag–prinsippet og av forenklingshensyn bør alle investeringene holdes utenom. Selv om enkelte påkostninger kan være begrunnet i å bedre byggets funksjonalitet, vil investeringer i disse eldre kirkene normalt handle om istandsetting av tak, bygningsdeler o.l. Av samme forenklingshensyn følger det av forslaget at alle utgifter til løpende ordinært vedlikehold, oppvarming, renhold o.l. alltid skal regnes med i tilskuddsgrunnlaget, også i tilfeller hvor deler av disse utgiftene i dag blir regnet som merutgifter til antikvarisk vedlikehold i henhold til departementets rundskriv fra 2009.</w:t>
      </w:r>
    </w:p>
    <w:p w:rsidR="00DB014E" w:rsidRDefault="00DB014E" w:rsidP="00DB014E">
      <w:r>
        <w:t xml:space="preserve">Det er ikke mulig å beregne de budsjettmessige virkningene av at dagens bestemmelser erstattes av en aldersbestemmelse, siden det ikke finnes oversikter over hva som i dag trekkes ut av tilskuddsgrunnlaget til andre tros- og livssynssamfunn begrunnet i antikvarisk </w:t>
      </w:r>
      <w:r>
        <w:lastRenderedPageBreak/>
        <w:t xml:space="preserve">vedlikehold. Usikkerheten omkring de budsjettmessige konsekvensene må ses i lys av at det kun er investeringene som skal holdes utenom, at alle løpende drifts- og vedlikeholdsutgifter skal medregnes og at det er omtrent det samme antallet kirkebygg som omfattes av henholdsvis dagens bestemmelser og den foreslåtte nye bestemmelsen. </w:t>
      </w:r>
    </w:p>
    <w:p w:rsidR="00DB014E" w:rsidRDefault="00DB014E" w:rsidP="003D08C4">
      <w:r>
        <w:t xml:space="preserve">År 1900 framstår som en naturlig aldersgrense. I dag har de aktuelle kirkebyggene en alder på godt over 100 år. År 1900 er også i enkelte andre sammenhenger benyttet for å trekke en grense ut fra kulturminnehensyn, jf. blant annet Kulturdepartementets forskrift 1. januar 2007 nr. 1 om forbud mot innførsel/utførsel av bygninger, bygningsdeler m.m. som er fra før år 1900. </w:t>
      </w:r>
    </w:p>
    <w:p w:rsidR="004E5B98" w:rsidRDefault="004E5B98" w:rsidP="003D08C4">
      <w:r>
        <w:t xml:space="preserve">Departementets forslag til lovbestemmelse </w:t>
      </w:r>
      <w:r w:rsidR="003D08C4">
        <w:t xml:space="preserve">som angir hva som skal regnes med og hva som skal holdes utenom tilskuddsgrunnlaget, </w:t>
      </w:r>
      <w:r>
        <w:t>er</w:t>
      </w:r>
      <w:r w:rsidR="003D08C4">
        <w:t xml:space="preserve"> inntatt nedenfor under </w:t>
      </w:r>
      <w:r w:rsidR="00EC362C">
        <w:t>punkt</w:t>
      </w:r>
      <w:r w:rsidR="003D08C4">
        <w:t xml:space="preserve"> 14.</w:t>
      </w:r>
      <w:r w:rsidR="0049469B">
        <w:t xml:space="preserve">3. </w:t>
      </w:r>
    </w:p>
    <w:p w:rsidR="00944062" w:rsidRPr="007147D9" w:rsidRDefault="00944062" w:rsidP="00B8267C">
      <w:pPr>
        <w:pStyle w:val="Overskrift3"/>
        <w:rPr>
          <w:rFonts w:eastAsiaTheme="minorEastAsia"/>
        </w:rPr>
      </w:pPr>
      <w:bookmarkStart w:id="2096" w:name="_Toc477937868"/>
      <w:bookmarkStart w:id="2097" w:name="_Toc477277281"/>
      <w:bookmarkStart w:id="2098" w:name="_Toc477535596"/>
      <w:bookmarkStart w:id="2099" w:name="_Toc477630728"/>
      <w:bookmarkStart w:id="2100" w:name="_Toc477693692"/>
      <w:bookmarkStart w:id="2101" w:name="_Toc477704066"/>
      <w:bookmarkStart w:id="2102" w:name="_Toc477799280"/>
      <w:bookmarkStart w:id="2103" w:name="_Toc477805881"/>
      <w:bookmarkStart w:id="2104" w:name="_Toc477871540"/>
      <w:bookmarkStart w:id="2105" w:name="_Toc477878142"/>
      <w:bookmarkStart w:id="2106" w:name="_Toc477881545"/>
      <w:bookmarkStart w:id="2107" w:name="_Toc477886005"/>
      <w:bookmarkStart w:id="2108" w:name="_Toc478131433"/>
      <w:bookmarkStart w:id="2109" w:name="_Toc478138803"/>
      <w:bookmarkStart w:id="2110" w:name="_Toc478232330"/>
      <w:bookmarkStart w:id="2111" w:name="_Toc478237314"/>
      <w:bookmarkStart w:id="2112" w:name="_Toc481761851"/>
      <w:bookmarkStart w:id="2113" w:name="_Toc492900502"/>
      <w:bookmarkEnd w:id="2096"/>
      <w:r w:rsidRPr="007147D9">
        <w:rPr>
          <w:rFonts w:eastAsiaTheme="minorEastAsia"/>
        </w:rPr>
        <w:t>Medlemstallet i Den norske kirke</w:t>
      </w:r>
      <w:bookmarkEnd w:id="2097"/>
      <w:bookmarkEnd w:id="2098"/>
      <w:bookmarkEnd w:id="2099"/>
      <w:bookmarkEnd w:id="2100"/>
      <w:bookmarkEnd w:id="2101"/>
      <w:bookmarkEnd w:id="2102"/>
      <w:bookmarkEnd w:id="2103"/>
      <w:bookmarkEnd w:id="2104"/>
      <w:bookmarkEnd w:id="2105"/>
      <w:bookmarkEnd w:id="2106"/>
      <w:bookmarkEnd w:id="2107"/>
      <w:bookmarkEnd w:id="2108"/>
      <w:bookmarkEnd w:id="2109"/>
      <w:r w:rsidRPr="007147D9">
        <w:rPr>
          <w:rFonts w:eastAsiaTheme="minorEastAsia"/>
        </w:rPr>
        <w:t xml:space="preserve"> </w:t>
      </w:r>
      <w:r w:rsidR="003D08C4">
        <w:rPr>
          <w:rFonts w:eastAsiaTheme="minorEastAsia"/>
        </w:rPr>
        <w:t>og departementets vurderinger</w:t>
      </w:r>
      <w:bookmarkEnd w:id="2110"/>
      <w:bookmarkEnd w:id="2111"/>
      <w:bookmarkEnd w:id="2112"/>
      <w:bookmarkEnd w:id="2113"/>
    </w:p>
    <w:p w:rsidR="00944062" w:rsidRPr="007147D9" w:rsidRDefault="00944062" w:rsidP="003D08C4">
      <w:pPr>
        <w:rPr>
          <w:rFonts w:eastAsiaTheme="minorEastAsia"/>
        </w:rPr>
      </w:pPr>
      <w:r w:rsidRPr="007147D9">
        <w:t xml:space="preserve">Den andre faktoren som i dag bestemmer utmålingen av tilskuddet til andre tros- og livssynssamfunn, er medlemstallet i Den norske kirke. </w:t>
      </w:r>
    </w:p>
    <w:p w:rsidR="00944062" w:rsidRPr="007147D9" w:rsidRDefault="008D0D65" w:rsidP="00B8267C">
      <w:r>
        <w:t>D</w:t>
      </w:r>
      <w:r w:rsidR="00944062" w:rsidRPr="007147D9">
        <w:t xml:space="preserve">epartementet </w:t>
      </w:r>
      <w:r>
        <w:t xml:space="preserve">mener </w:t>
      </w:r>
      <w:r w:rsidR="00944062" w:rsidRPr="007147D9">
        <w:t>det er grunn til å revurdere</w:t>
      </w:r>
      <w:r w:rsidR="00714230">
        <w:t xml:space="preserve"> dagens regel om at </w:t>
      </w:r>
      <w:r w:rsidR="00944062" w:rsidRPr="007147D9">
        <w:t xml:space="preserve">tilskuddet til andre tros- og livssynssamfunn </w:t>
      </w:r>
      <w:r w:rsidR="00714230">
        <w:t xml:space="preserve">skal </w:t>
      </w:r>
      <w:r w:rsidR="00944062" w:rsidRPr="007147D9">
        <w:t>baseres på medlemstallet i Den norske kirke. Det vises i denne sammenheng til drøftingene foran om ulikheten i rammevilkårene for Den norske kirke og andre tros- og livssynssamfunn</w:t>
      </w:r>
      <w:r w:rsidR="00420605">
        <w:t>.</w:t>
      </w:r>
      <w:r w:rsidR="00714230">
        <w:t xml:space="preserve"> </w:t>
      </w:r>
      <w:r w:rsidR="00420605">
        <w:t>D</w:t>
      </w:r>
      <w:r w:rsidR="00420605" w:rsidRPr="007147D9">
        <w:t xml:space="preserve">e materielle og strukturelle betingelsene for Den norske kirkes virksomhet er </w:t>
      </w:r>
      <w:r w:rsidR="00420605">
        <w:t xml:space="preserve">ikke </w:t>
      </w:r>
      <w:r w:rsidR="00420605" w:rsidRPr="007147D9">
        <w:t xml:space="preserve">de samme som for andre tros- og livssynssamfunn. </w:t>
      </w:r>
      <w:r w:rsidR="00420605">
        <w:t xml:space="preserve">Dette </w:t>
      </w:r>
      <w:r w:rsidR="00714230">
        <w:t xml:space="preserve">gjør det vanskelig å </w:t>
      </w:r>
      <w:r>
        <w:t>s</w:t>
      </w:r>
      <w:r w:rsidR="00420605">
        <w:t>e</w:t>
      </w:r>
      <w:r>
        <w:t xml:space="preserve"> </w:t>
      </w:r>
      <w:r w:rsidR="00944062" w:rsidRPr="007147D9">
        <w:t xml:space="preserve">kronebeløpet </w:t>
      </w:r>
      <w:r>
        <w:t xml:space="preserve">per kirkemedlem </w:t>
      </w:r>
      <w:r w:rsidR="00420605">
        <w:t>og</w:t>
      </w:r>
      <w:r>
        <w:t xml:space="preserve"> kronebeløpet per medlem til </w:t>
      </w:r>
      <w:r w:rsidR="00944062" w:rsidRPr="007147D9">
        <w:t>andre tros- og livssynssamfunn</w:t>
      </w:r>
      <w:r>
        <w:t xml:space="preserve"> som et matematisk korrekt uttrykk for økonomisk likebehandling. </w:t>
      </w:r>
    </w:p>
    <w:p w:rsidR="00944062" w:rsidRPr="007147D9" w:rsidRDefault="00944062" w:rsidP="00B8267C">
      <w:r w:rsidRPr="007147D9">
        <w:t xml:space="preserve">Departementet vil </w:t>
      </w:r>
      <w:r w:rsidR="00035457">
        <w:t xml:space="preserve">videre </w:t>
      </w:r>
      <w:r w:rsidRPr="007147D9">
        <w:t xml:space="preserve">peke på at når kirkens medlemstall </w:t>
      </w:r>
      <w:r w:rsidR="00035457">
        <w:t xml:space="preserve">inngår som </w:t>
      </w:r>
      <w:r w:rsidRPr="007147D9">
        <w:t>faktor for utmålingen av tilskuddet til andre tros- og livssynssamfunn, vil andre tros- og livssynssamfunn automatisk få økt støtte (per medlem) dersom medlemstallet i Den norske kirke synker. Dersom kirkens medlemstall øker, reduseres de offentlige tilskuddene til andre samfunn. Tros- og livssynssamfunn utenom Den norske kirke har ved dette en direkte og målbar økonomisk fordel av at Den norske kirke mister medlemmer, og en tilsvarende økonomisk u</w:t>
      </w:r>
      <w:r w:rsidR="00062BCE">
        <w:t>lempe</w:t>
      </w:r>
      <w:r w:rsidRPr="007147D9">
        <w:t xml:space="preserve"> av at kirkens medlemstall øker. </w:t>
      </w:r>
    </w:p>
    <w:p w:rsidR="00944062" w:rsidRPr="007147D9" w:rsidRDefault="00944062" w:rsidP="00B8267C">
      <w:r w:rsidRPr="007147D9">
        <w:t xml:space="preserve">Departementet viser til dette og er kommet til at kirkens medlemstall ikke lenger bør benyttes som regulator for støtten til andre tros- og livssynssamfunn. </w:t>
      </w:r>
    </w:p>
    <w:p w:rsidR="00944062" w:rsidRPr="007147D9" w:rsidRDefault="00944062" w:rsidP="00B8267C">
      <w:pPr>
        <w:pStyle w:val="Overskrift3"/>
        <w:rPr>
          <w:rFonts w:eastAsiaTheme="minorEastAsia"/>
        </w:rPr>
      </w:pPr>
      <w:bookmarkStart w:id="2114" w:name="_Toc477277282"/>
      <w:bookmarkStart w:id="2115" w:name="_Toc477535597"/>
      <w:bookmarkStart w:id="2116" w:name="_Toc477630729"/>
      <w:bookmarkStart w:id="2117" w:name="_Toc477693693"/>
      <w:bookmarkStart w:id="2118" w:name="_Toc477704067"/>
      <w:bookmarkStart w:id="2119" w:name="_Toc477799281"/>
      <w:bookmarkStart w:id="2120" w:name="_Toc477805882"/>
      <w:bookmarkStart w:id="2121" w:name="_Toc477871541"/>
      <w:bookmarkStart w:id="2122" w:name="_Toc477878143"/>
      <w:bookmarkStart w:id="2123" w:name="_Toc477881546"/>
      <w:bookmarkStart w:id="2124" w:name="_Toc477886006"/>
      <w:bookmarkStart w:id="2125" w:name="_Toc478131434"/>
      <w:bookmarkStart w:id="2126" w:name="_Toc478138804"/>
      <w:bookmarkStart w:id="2127" w:name="_Toc478232331"/>
      <w:bookmarkStart w:id="2128" w:name="_Toc478237315"/>
      <w:bookmarkStart w:id="2129" w:name="_Toc481761852"/>
      <w:bookmarkStart w:id="2130" w:name="_Toc492900503"/>
      <w:r w:rsidRPr="007147D9">
        <w:rPr>
          <w:rFonts w:eastAsiaTheme="minorEastAsia"/>
        </w:rPr>
        <w:t>Medlemstallet i tros- og livssynssamfunnene</w:t>
      </w:r>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rsidR="00EE262F" w:rsidRDefault="00EE262F" w:rsidP="00EE262F">
      <w:pPr>
        <w:pStyle w:val="Overskrift4"/>
      </w:pPr>
      <w:r>
        <w:t>Bakgrunn</w:t>
      </w:r>
    </w:p>
    <w:p w:rsidR="00944062" w:rsidRPr="007147D9" w:rsidRDefault="00944062" w:rsidP="00B8267C">
      <w:r w:rsidRPr="007147D9">
        <w:t>Den tredje faktoren som bestemmer utmålingen av tilskudd til tros- og livssyns</w:t>
      </w:r>
      <w:r w:rsidR="00C92710">
        <w:t>s</w:t>
      </w:r>
      <w:r w:rsidRPr="007147D9">
        <w:t>amfunn utenom Den norske kirke, er samfunnenes medlemstall. Tilskuddene til de enkelte samfunnene gis etter en tilskuddssats per medlem. Tilskuddssatsen – kronebeløpet per medlem – er en matematisk fastsatt størrelse, dvs. det beløp</w:t>
      </w:r>
      <w:r w:rsidR="00754B46">
        <w:t>et</w:t>
      </w:r>
      <w:r w:rsidRPr="007147D9">
        <w:t xml:space="preserve"> som framkommer når tilskuddsgrunnlaget</w:t>
      </w:r>
      <w:r w:rsidRPr="007147D9">
        <w:rPr>
          <w:i/>
        </w:rPr>
        <w:t xml:space="preserve"> </w:t>
      </w:r>
      <w:r w:rsidRPr="007147D9">
        <w:t xml:space="preserve">(budsjetterte utgifter til Den norske kirke) deles på medlemstallet i Den norske kirke. </w:t>
      </w:r>
    </w:p>
    <w:p w:rsidR="00944062" w:rsidRPr="007147D9" w:rsidRDefault="00944062" w:rsidP="00B8267C">
      <w:pPr>
        <w:rPr>
          <w:rFonts w:eastAsiaTheme="minorEastAsia"/>
        </w:rPr>
      </w:pPr>
      <w:r w:rsidRPr="007147D9">
        <w:rPr>
          <w:rFonts w:eastAsiaTheme="minorEastAsia"/>
        </w:rPr>
        <w:t xml:space="preserve">Tilskudd per medlem krever at medlemslisten i det enkelte samfunn er korrekt på individnivå og kontrollerbar med fødselsnummer. Det stilles krav om absolutt korrekte medlemslister, da hvert enkelt medlem i dag utløser et rettskrav på offentlig støtte med i snitt 1 000 kroner per medlem. Brønnøysundregistrene kontrollerer </w:t>
      </w:r>
      <w:r w:rsidR="00035457">
        <w:rPr>
          <w:rFonts w:eastAsiaTheme="minorEastAsia"/>
        </w:rPr>
        <w:t>om</w:t>
      </w:r>
      <w:r w:rsidRPr="007147D9">
        <w:rPr>
          <w:rFonts w:eastAsiaTheme="minorEastAsia"/>
        </w:rPr>
        <w:t xml:space="preserve"> fødselsnum</w:t>
      </w:r>
      <w:r w:rsidR="00D86068">
        <w:rPr>
          <w:rFonts w:eastAsiaTheme="minorEastAsia"/>
        </w:rPr>
        <w:t>mer</w:t>
      </w:r>
      <w:r w:rsidRPr="007147D9">
        <w:rPr>
          <w:rFonts w:eastAsiaTheme="minorEastAsia"/>
        </w:rPr>
        <w:t xml:space="preserve">ne er gyldige og ikke står </w:t>
      </w:r>
      <w:r w:rsidRPr="007147D9">
        <w:rPr>
          <w:rFonts w:eastAsiaTheme="minorEastAsia"/>
        </w:rPr>
        <w:lastRenderedPageBreak/>
        <w:t xml:space="preserve">oppført flere ganger på samme medlemsliste, </w:t>
      </w:r>
      <w:r w:rsidR="00035457">
        <w:rPr>
          <w:rFonts w:eastAsiaTheme="minorEastAsia"/>
        </w:rPr>
        <w:t>om</w:t>
      </w:r>
      <w:r w:rsidRPr="007147D9">
        <w:rPr>
          <w:rFonts w:eastAsiaTheme="minorEastAsia"/>
        </w:rPr>
        <w:t xml:space="preserve"> vedkommende er norsk statsborger eller bosatt i </w:t>
      </w:r>
      <w:r w:rsidR="00035457">
        <w:rPr>
          <w:rFonts w:eastAsiaTheme="minorEastAsia"/>
        </w:rPr>
        <w:t xml:space="preserve">Norge og om samme person </w:t>
      </w:r>
      <w:r w:rsidRPr="007147D9">
        <w:rPr>
          <w:rFonts w:eastAsiaTheme="minorEastAsia"/>
        </w:rPr>
        <w:t>står oppført som medlem i flere samfunn</w:t>
      </w:r>
      <w:r w:rsidR="00035457">
        <w:rPr>
          <w:rFonts w:eastAsiaTheme="minorEastAsia"/>
        </w:rPr>
        <w:t>.</w:t>
      </w:r>
      <w:r w:rsidRPr="007147D9">
        <w:rPr>
          <w:rFonts w:eastAsiaTheme="minorEastAsia"/>
        </w:rPr>
        <w:t xml:space="preserve"> </w:t>
      </w:r>
    </w:p>
    <w:p w:rsidR="00944062" w:rsidRPr="007147D9" w:rsidRDefault="00944062" w:rsidP="00B8267C">
      <w:pPr>
        <w:rPr>
          <w:rFonts w:eastAsiaTheme="minorEastAsia"/>
        </w:rPr>
      </w:pPr>
      <w:r w:rsidRPr="007147D9">
        <w:rPr>
          <w:rFonts w:eastAsiaTheme="minorEastAsia"/>
        </w:rPr>
        <w:t xml:space="preserve">Det er i praksis ikke mulig å kontrollere at et innrapportert medlem faktisk er medlem av vedkommende samfunn. Utbetalingene er basert på tillit til at samfunnenes opplysninger om hvem som er medlemmer, er korrekte. </w:t>
      </w:r>
    </w:p>
    <w:p w:rsidR="00944062" w:rsidRPr="007147D9" w:rsidRDefault="00944062" w:rsidP="00EE262F">
      <w:pPr>
        <w:pStyle w:val="Overskrift4"/>
        <w:rPr>
          <w:rFonts w:eastAsiaTheme="minorEastAsia"/>
        </w:rPr>
      </w:pPr>
      <w:r w:rsidRPr="007147D9">
        <w:rPr>
          <w:rFonts w:eastAsiaTheme="minorEastAsia"/>
        </w:rPr>
        <w:t xml:space="preserve">Departementets vurderinger </w:t>
      </w:r>
    </w:p>
    <w:p w:rsidR="00944062" w:rsidRPr="007147D9" w:rsidRDefault="00944062" w:rsidP="00B8267C">
      <w:r w:rsidRPr="007147D9">
        <w:t xml:space="preserve">Det er ikke uvanlig at medlemstall inngår som faktor for tildeling av offentlig støtte til en organisasjon. Ofte er det en klar og proporsjonal sammenheng mellom organisasjonens medlemstall og organisasjonens ressursbehov. Medlemstall kan også være en egnet faktor ved fordelingen av offentlig støtte mellom likeartede organisasjoner. Eksempler på likeartede organisasjoner som mottar offentlig støtte i tråd med sin oppslutning, er de politiske partiene, som får partistøtte etter antallet stemmer oppnådd ved siste stortingsvalg. Også i offentlige tilskuddsordninger til idrettslag, barne- og ungdomstiltak, studieforbund m.m. har deltakelse og medlemsoppslutning betydning for utmålingen og fordelingen av støtten. Det er imidlertid ikke krav om at hver enkelt deltaker eller medlem skal være identifisert med fødselsnummer. Etter det departementet kjenner til, er tilskuddsordningen </w:t>
      </w:r>
      <w:r w:rsidR="00CA11CB">
        <w:t>for</w:t>
      </w:r>
      <w:r w:rsidRPr="007147D9">
        <w:t xml:space="preserve"> tros- og livssynssamfunnene den eneste offentlige tilskuddsordningen hvor dette er et absolutt vilkår. </w:t>
      </w:r>
    </w:p>
    <w:p w:rsidR="00944062" w:rsidRPr="007147D9" w:rsidRDefault="00944062" w:rsidP="00B8267C">
      <w:pPr>
        <w:rPr>
          <w:rFonts w:eastAsiaTheme="minorEastAsia"/>
        </w:rPr>
      </w:pPr>
      <w:r w:rsidRPr="007147D9">
        <w:rPr>
          <w:rFonts w:eastAsiaTheme="minorEastAsia"/>
        </w:rPr>
        <w:t xml:space="preserve">Departementet </w:t>
      </w:r>
      <w:r w:rsidR="00F86796">
        <w:rPr>
          <w:rFonts w:eastAsiaTheme="minorEastAsia"/>
        </w:rPr>
        <w:t xml:space="preserve">mener det er knyttet en del </w:t>
      </w:r>
      <w:r w:rsidR="00EC362C">
        <w:rPr>
          <w:rFonts w:eastAsiaTheme="minorEastAsia"/>
        </w:rPr>
        <w:t>problemstillinger</w:t>
      </w:r>
      <w:r w:rsidR="00F86796">
        <w:rPr>
          <w:rFonts w:eastAsiaTheme="minorEastAsia"/>
        </w:rPr>
        <w:t xml:space="preserve"> </w:t>
      </w:r>
      <w:r w:rsidR="008E381F">
        <w:rPr>
          <w:rFonts w:eastAsiaTheme="minorEastAsia"/>
        </w:rPr>
        <w:t>til</w:t>
      </w:r>
      <w:r w:rsidR="00F86796">
        <w:rPr>
          <w:rFonts w:eastAsiaTheme="minorEastAsia"/>
        </w:rPr>
        <w:t xml:space="preserve"> </w:t>
      </w:r>
      <w:r w:rsidRPr="007147D9">
        <w:rPr>
          <w:rFonts w:eastAsiaTheme="minorEastAsia"/>
        </w:rPr>
        <w:t xml:space="preserve">dagens </w:t>
      </w:r>
      <w:r w:rsidR="00F86796">
        <w:rPr>
          <w:rFonts w:eastAsiaTheme="minorEastAsia"/>
        </w:rPr>
        <w:t xml:space="preserve">regler for </w:t>
      </w:r>
      <w:r w:rsidRPr="007147D9">
        <w:rPr>
          <w:rFonts w:eastAsiaTheme="minorEastAsia"/>
        </w:rPr>
        <w:t xml:space="preserve">tildeling av støtte på grunnlag av medlemslister </w:t>
      </w:r>
      <w:r w:rsidR="00F86796">
        <w:rPr>
          <w:rFonts w:eastAsiaTheme="minorEastAsia"/>
        </w:rPr>
        <w:t xml:space="preserve">der hvert </w:t>
      </w:r>
      <w:r w:rsidRPr="007147D9">
        <w:rPr>
          <w:rFonts w:eastAsiaTheme="minorEastAsia"/>
        </w:rPr>
        <w:t xml:space="preserve">medlem </w:t>
      </w:r>
      <w:r w:rsidR="00F86796">
        <w:rPr>
          <w:rFonts w:eastAsiaTheme="minorEastAsia"/>
        </w:rPr>
        <w:t xml:space="preserve">skal være </w:t>
      </w:r>
      <w:r w:rsidRPr="007147D9">
        <w:rPr>
          <w:rFonts w:eastAsiaTheme="minorEastAsia"/>
        </w:rPr>
        <w:t xml:space="preserve">identifisert med fødselsnummer. </w:t>
      </w:r>
      <w:r w:rsidR="00F86796">
        <w:rPr>
          <w:rFonts w:eastAsiaTheme="minorEastAsia"/>
        </w:rPr>
        <w:t>Det vises til følgende:</w:t>
      </w:r>
    </w:p>
    <w:p w:rsidR="00035457" w:rsidRDefault="00944062" w:rsidP="00E41C0F">
      <w:pPr>
        <w:pStyle w:val="Listebombe2"/>
      </w:pPr>
      <w:r w:rsidRPr="00035457">
        <w:rPr>
          <w:i/>
        </w:rPr>
        <w:t>Kontrollhensyn</w:t>
      </w:r>
      <w:r w:rsidRPr="007147D9">
        <w:t xml:space="preserve">. </w:t>
      </w:r>
      <w:r w:rsidR="00035457" w:rsidRPr="007147D9">
        <w:t xml:space="preserve">Som nevnt er utbetalingen av støtten i dag basert på tillit til at utbetalingsgrunnlaget, dvs. medlemslistene, er korrekt. </w:t>
      </w:r>
      <w:r w:rsidRPr="007147D9">
        <w:t xml:space="preserve">Med den veksten det i senere år har vært i antallet tilskuddsberettigede samfunn og i antallet medlemmer det gis tilskudd for, med tilhørende vekst i de offentlige tilskuddene, synes behovet for kontroll med medlemslister </w:t>
      </w:r>
      <w:r w:rsidR="00035457">
        <w:t xml:space="preserve">og utbetalingsgrunnlag </w:t>
      </w:r>
      <w:r w:rsidRPr="007147D9">
        <w:t xml:space="preserve">å bli </w:t>
      </w:r>
      <w:r w:rsidR="001A6180">
        <w:t>viktigere</w:t>
      </w:r>
      <w:r w:rsidR="001764FE">
        <w:t xml:space="preserve"> enn før</w:t>
      </w:r>
      <w:r w:rsidR="001A6180">
        <w:t xml:space="preserve">. </w:t>
      </w:r>
    </w:p>
    <w:p w:rsidR="00944062" w:rsidRPr="007147D9" w:rsidRDefault="00944062" w:rsidP="00E41C0F">
      <w:pPr>
        <w:pStyle w:val="Listebombe2"/>
        <w:numPr>
          <w:ilvl w:val="0"/>
          <w:numId w:val="0"/>
        </w:numPr>
        <w:ind w:left="1117"/>
      </w:pPr>
    </w:p>
    <w:p w:rsidR="00B02B0E" w:rsidRDefault="00944062" w:rsidP="00E41C0F">
      <w:pPr>
        <w:pStyle w:val="Listebombe2"/>
      </w:pPr>
      <w:r w:rsidRPr="007147D9">
        <w:rPr>
          <w:i/>
        </w:rPr>
        <w:t>Personvernhensyn</w:t>
      </w:r>
      <w:r w:rsidRPr="007147D9">
        <w:t xml:space="preserve">. Medlemskap i tros- og livssynssamfunn er taushetsbelagte opplysninger. Selv om offentlige myndigheters innsikt i slike medlemslister ikke har annet formål enn å fastslå korrekt utmåling av tilskudd, er slike lister personsensitive. Ideelt sett burde ikke offentlige myndigheter ha innsikt i individuelle medlemskap i tros- og livssynssamfunn. </w:t>
      </w:r>
    </w:p>
    <w:p w:rsidR="00035457" w:rsidRDefault="00035457" w:rsidP="00E41C0F">
      <w:pPr>
        <w:pStyle w:val="Listebombe2"/>
        <w:numPr>
          <w:ilvl w:val="0"/>
          <w:numId w:val="0"/>
        </w:numPr>
        <w:ind w:left="1117"/>
      </w:pPr>
    </w:p>
    <w:p w:rsidR="00CF2651" w:rsidRDefault="00944062" w:rsidP="00E41C0F">
      <w:pPr>
        <w:pStyle w:val="Listebombe2"/>
      </w:pPr>
      <w:r w:rsidRPr="007147D9">
        <w:rPr>
          <w:i/>
        </w:rPr>
        <w:t>Lovregulering av tilskuddstellende medlemskap</w:t>
      </w:r>
      <w:r w:rsidRPr="007147D9">
        <w:t xml:space="preserve">. Når medlemskap på individnivå utløser rett til offentlig støtte, må det i regelverket for støtten defineres hvem som skal regnes som såkalt tilskuddstellende medlem. De enkelte samfunnene har ulike regler for hvem som skal regnes som medlemmer av samfunnet. Samfunnenes egne regler for medlemskap kan imidlertid ikke være bestemmende for hvilke medlemmer som skal regnes som tilskuddstellende. Hvilke medlemmer som skal regnes som tilskuddstellende, må etter dette reguleres av det offentlige, slik at utmålingen av støtten til de ulike samfunnene gis "på lik linje". </w:t>
      </w:r>
      <w:r w:rsidR="00035457">
        <w:t xml:space="preserve">Det er et kompliserende element at </w:t>
      </w:r>
      <w:r w:rsidR="00CF2651">
        <w:t xml:space="preserve">reglene om tilskuddstellende medlemskap avviker fra samfunnenes regler om medlemskap. </w:t>
      </w:r>
    </w:p>
    <w:p w:rsidR="00944062" w:rsidRPr="007147D9" w:rsidRDefault="00944062" w:rsidP="00E41C0F">
      <w:pPr>
        <w:pStyle w:val="Listebombe2"/>
        <w:numPr>
          <w:ilvl w:val="0"/>
          <w:numId w:val="0"/>
        </w:numPr>
        <w:ind w:left="1117"/>
      </w:pPr>
    </w:p>
    <w:p w:rsidR="003C571E" w:rsidRDefault="00944062" w:rsidP="00E41C0F">
      <w:pPr>
        <w:pStyle w:val="Listebombe2"/>
      </w:pPr>
      <w:r w:rsidRPr="007147D9">
        <w:rPr>
          <w:i/>
        </w:rPr>
        <w:lastRenderedPageBreak/>
        <w:t xml:space="preserve">Medlemstall som eneste fordelingskriterium. </w:t>
      </w:r>
      <w:r w:rsidRPr="007147D9">
        <w:t xml:space="preserve">I dag er antallet </w:t>
      </w:r>
      <w:r w:rsidR="00CF2651">
        <w:t xml:space="preserve">tilskuddstellende </w:t>
      </w:r>
      <w:r w:rsidRPr="007147D9">
        <w:t>medlemmer i samfunnene de</w:t>
      </w:r>
      <w:r w:rsidR="004A163D">
        <w:t>t</w:t>
      </w:r>
      <w:r w:rsidRPr="007147D9">
        <w:t xml:space="preserve"> </w:t>
      </w:r>
      <w:r w:rsidR="004A163D">
        <w:t xml:space="preserve">avgjørende kriteriet for fordelingen av den offentlige støtten mellom samfunnene. </w:t>
      </w:r>
      <w:r w:rsidR="00CF2651">
        <w:t>T</w:t>
      </w:r>
      <w:r w:rsidRPr="007147D9">
        <w:t xml:space="preserve">ros- og livssynssamfunn er likeartede organisatoriske sammenslutninger for så vidt som alle er dannet med grunnlag i en religiøs tro eller et livssyn, men samfunnene </w:t>
      </w:r>
      <w:r w:rsidR="00CF2651">
        <w:t xml:space="preserve">er </w:t>
      </w:r>
      <w:r w:rsidRPr="007147D9">
        <w:t xml:space="preserve">langt mer uensartet enn mange andre organisasjonskategorier, som for eksempel politiske partier. Det er store ulikheter i hvordan </w:t>
      </w:r>
      <w:r w:rsidR="001A6180">
        <w:t xml:space="preserve">det enkelte samfunnet </w:t>
      </w:r>
      <w:r w:rsidRPr="007147D9">
        <w:t>er organisert, framtrer og utfolder seg</w:t>
      </w:r>
      <w:r w:rsidR="00CF2651">
        <w:t xml:space="preserve">. Dette har </w:t>
      </w:r>
      <w:r w:rsidRPr="007147D9">
        <w:t>konsekvenser for samfunnets virksomhet og for betjeningen av medlemmene. Samfunn med samme medlemstall kan derfor hevdes å ha ulik</w:t>
      </w:r>
      <w:r w:rsidR="001764FE">
        <w:t>t</w:t>
      </w:r>
      <w:r w:rsidRPr="007147D9">
        <w:t xml:space="preserve"> utgifts</w:t>
      </w:r>
      <w:r w:rsidR="00CF2651">
        <w:t xml:space="preserve">- og støttebehov </w:t>
      </w:r>
      <w:r w:rsidRPr="007147D9">
        <w:t xml:space="preserve">ut fra sine kjennetegn som samfunn. </w:t>
      </w:r>
      <w:r w:rsidR="003C571E">
        <w:t xml:space="preserve">Mot denne bakgrunnen </w:t>
      </w:r>
      <w:r w:rsidR="004A163D">
        <w:t xml:space="preserve">kan det </w:t>
      </w:r>
      <w:r w:rsidR="003C571E">
        <w:t>reises s</w:t>
      </w:r>
      <w:r w:rsidRPr="007147D9">
        <w:t>pørsmål om medlemstall</w:t>
      </w:r>
      <w:r w:rsidR="003C571E">
        <w:t xml:space="preserve">et </w:t>
      </w:r>
      <w:r w:rsidR="00CF2651">
        <w:t>er et tilstrekkelig og presist uttrykk for økonomisk likebehandling samfunnene imellom</w:t>
      </w:r>
      <w:r w:rsidR="003C571E">
        <w:t>.</w:t>
      </w:r>
    </w:p>
    <w:p w:rsidR="00944062" w:rsidRPr="007147D9" w:rsidRDefault="00944062" w:rsidP="00E41C0F">
      <w:pPr>
        <w:pStyle w:val="Listebombe2"/>
        <w:numPr>
          <w:ilvl w:val="0"/>
          <w:numId w:val="0"/>
        </w:numPr>
        <w:ind w:left="1117"/>
      </w:pPr>
    </w:p>
    <w:p w:rsidR="00944062" w:rsidRPr="007147D9" w:rsidRDefault="00944062" w:rsidP="00E41C0F">
      <w:pPr>
        <w:pStyle w:val="Listebombe2"/>
      </w:pPr>
      <w:r w:rsidRPr="007147D9">
        <w:rPr>
          <w:i/>
        </w:rPr>
        <w:t>Insitament for samfunnene til å rekruttere og beholde medlemmer.</w:t>
      </w:r>
      <w:r w:rsidRPr="007147D9">
        <w:t xml:space="preserve"> En tilskuddsordning der de enkelte samfunnene har krav på støtte for hvert enkelt tilskuddstellende medlem, innebærer at </w:t>
      </w:r>
      <w:r w:rsidR="001764FE">
        <w:t xml:space="preserve">det offentlige gir </w:t>
      </w:r>
      <w:r w:rsidRPr="007147D9">
        <w:t xml:space="preserve">samfunnene </w:t>
      </w:r>
      <w:r w:rsidR="001764FE">
        <w:t xml:space="preserve">et </w:t>
      </w:r>
      <w:r w:rsidRPr="007147D9">
        <w:t>økonomisk insitament for å rekruttere og beholde medlemmer. Å bli medlem i et tros- eller livssynssamfunn er et personlig valg</w:t>
      </w:r>
      <w:r w:rsidR="00F35600">
        <w:t xml:space="preserve"> som staten</w:t>
      </w:r>
      <w:r w:rsidR="00082B04">
        <w:t xml:space="preserve"> ikke skal påvirke.</w:t>
      </w:r>
      <w:r w:rsidRPr="007147D9">
        <w:t xml:space="preserve"> </w:t>
      </w:r>
      <w:r w:rsidR="003C571E">
        <w:t>S</w:t>
      </w:r>
      <w:r w:rsidRPr="007147D9">
        <w:t>pørsmål</w:t>
      </w:r>
      <w:r w:rsidR="003C571E">
        <w:t xml:space="preserve">et </w:t>
      </w:r>
      <w:r w:rsidR="004A163D">
        <w:t xml:space="preserve">som kan reises, </w:t>
      </w:r>
      <w:r w:rsidR="003C571E">
        <w:t>er</w:t>
      </w:r>
      <w:r w:rsidRPr="007147D9">
        <w:t xml:space="preserve"> om en offentlig tilskuddsordning bør innrettes slik at dette personlige valget </w:t>
      </w:r>
      <w:r w:rsidR="00082B04">
        <w:t xml:space="preserve">får </w:t>
      </w:r>
      <w:r w:rsidRPr="007147D9">
        <w:t xml:space="preserve">en direkte og målbar økonomisk verdi for samfunnene. </w:t>
      </w:r>
    </w:p>
    <w:p w:rsidR="00735510" w:rsidRPr="007147D9" w:rsidRDefault="00942E92" w:rsidP="00735510">
      <w:r>
        <w:t>Om</w:t>
      </w:r>
      <w:r w:rsidR="00735510" w:rsidRPr="007147D9">
        <w:t xml:space="preserve"> utmålingen av støtte </w:t>
      </w:r>
      <w:r w:rsidR="00082B04">
        <w:t xml:space="preserve">samfunnene imellom </w:t>
      </w:r>
      <w:r w:rsidR="00735510" w:rsidRPr="007147D9">
        <w:t>burde ta hensyn til flere forhold enn samfunnenes medlemstall, ble drøftet av Stålsett-utvalget i NOU 2013:1. Utvalget anbefalte å videreføre dagens støtte basert på medlemstall</w:t>
      </w:r>
      <w:r w:rsidR="00F356B9">
        <w:t xml:space="preserve"> alene</w:t>
      </w:r>
      <w:r w:rsidR="00735510" w:rsidRPr="007147D9">
        <w:t>. Utvalget uttalte (NOU 2013: 1, side 366):</w:t>
      </w:r>
    </w:p>
    <w:p w:rsidR="00735510" w:rsidRPr="009A30DA" w:rsidRDefault="00735510" w:rsidP="009A30DA">
      <w:pPr>
        <w:pStyle w:val="blokksit"/>
        <w:rPr>
          <w:rStyle w:val="kursiv"/>
        </w:rPr>
      </w:pPr>
      <w:r w:rsidRPr="009A30DA">
        <w:rPr>
          <w:rStyle w:val="kursiv"/>
        </w:rPr>
        <w:t xml:space="preserve">Utvalget vil tilrå at en holder fast på dagens ordning med utmåling av lik støtte per medlem i tros- og livssynssamfunnene. Selv om det kan være argumenter for å ta hensyn til aktivitet, forskjeller i behov og forskjeller i størrelse, vil dette i meget stor grad komplisere ordningen og gjøre den mer sårbar for tilpasninger og urimelige utslag. En støtteordning som utmåles per medlem, er gjennomsiktig og lett forståelig. </w:t>
      </w:r>
    </w:p>
    <w:p w:rsidR="00735510" w:rsidRDefault="00735510" w:rsidP="00735510">
      <w:r w:rsidRPr="007147D9">
        <w:t xml:space="preserve">Departementet har </w:t>
      </w:r>
      <w:r>
        <w:t xml:space="preserve">foran pekt på enkelte </w:t>
      </w:r>
      <w:r w:rsidR="00EC362C">
        <w:t>problemstillinger</w:t>
      </w:r>
      <w:r>
        <w:t xml:space="preserve"> ved dagens regler om tildeling av støtte på bakgrunn av medlemstall og medlemslister med fødselsnummer. Departementet har foran også pekt på </w:t>
      </w:r>
      <w:r w:rsidR="00EC362C">
        <w:t>forhold</w:t>
      </w:r>
      <w:r>
        <w:t xml:space="preserve"> som kan </w:t>
      </w:r>
      <w:r w:rsidR="00EC362C">
        <w:t>grunngi</w:t>
      </w:r>
      <w:r>
        <w:t xml:space="preserve"> at flere </w:t>
      </w:r>
      <w:r w:rsidRPr="007147D9">
        <w:t xml:space="preserve">kriterier enn medlemstall </w:t>
      </w:r>
      <w:r>
        <w:t xml:space="preserve">inngår ved utmålingen av støtten samfunnene imellom. Departementet vil i det følgende skissemessig drøfte en ny tilnærming for utmåling og tildeling av støtte. </w:t>
      </w:r>
    </w:p>
    <w:p w:rsidR="00735510" w:rsidRPr="007147D9" w:rsidRDefault="00735510" w:rsidP="00E41C0F">
      <w:pPr>
        <w:pStyle w:val="Listebombe2"/>
      </w:pPr>
      <w:r w:rsidRPr="006E5618">
        <w:rPr>
          <w:i/>
        </w:rPr>
        <w:t xml:space="preserve">Medlemstall. </w:t>
      </w:r>
      <w:r w:rsidRPr="007147D9">
        <w:t>Dersom flere indikatorer enn medlemstall sk</w:t>
      </w:r>
      <w:r>
        <w:t>ulle</w:t>
      </w:r>
      <w:r w:rsidRPr="007147D9">
        <w:t xml:space="preserve"> inngå i grunnlaget for </w:t>
      </w:r>
      <w:r w:rsidR="004A163D">
        <w:t xml:space="preserve">fordelingen av </w:t>
      </w:r>
      <w:r w:rsidRPr="007147D9">
        <w:t>støtte</w:t>
      </w:r>
      <w:r w:rsidR="004A163D">
        <w:t>n</w:t>
      </w:r>
      <w:r w:rsidRPr="007147D9">
        <w:t xml:space="preserve">, antar departementet at det ikke lenger vil være nødvendig å innhente medlemslister med </w:t>
      </w:r>
      <w:r>
        <w:t>fødselsnummer</w:t>
      </w:r>
      <w:r w:rsidRPr="007147D9">
        <w:t>, og heller ikke ha særskilte regler for hva som skal regnes som såkalte tilskuddstellende medlemmer</w:t>
      </w:r>
      <w:r>
        <w:t>. Det antas da å være tilstrekkelig at s</w:t>
      </w:r>
      <w:r w:rsidRPr="007147D9">
        <w:t>amfunnet</w:t>
      </w:r>
      <w:r>
        <w:t>s</w:t>
      </w:r>
      <w:r w:rsidRPr="007147D9">
        <w:t xml:space="preserve"> </w:t>
      </w:r>
      <w:r>
        <w:t xml:space="preserve">samlede medlemstall </w:t>
      </w:r>
      <w:r w:rsidRPr="007147D9">
        <w:t xml:space="preserve">kan bekreftes av samfunnets revisor. </w:t>
      </w:r>
      <w:r>
        <w:t>Antakelig vil d</w:t>
      </w:r>
      <w:r w:rsidRPr="007147D9">
        <w:t>e</w:t>
      </w:r>
      <w:r>
        <w:t xml:space="preserve">t ved utmålingen av støtten også kunne vurderes å ta </w:t>
      </w:r>
      <w:r w:rsidRPr="007147D9">
        <w:t xml:space="preserve">hensyn til tilfeller der samfunnet i praksis betjener flere enn antallet bekreftede medlemmer, dersom samfunnet kan sannsynliggjøre dette på egnet måte. Ofte kan det være en motvilje hos mange til å la seg registrere og bli identifisert som medlemmer av et samfunn, selv om vedkommende deler samfunnets </w:t>
      </w:r>
      <w:r>
        <w:t xml:space="preserve">tros- og </w:t>
      </w:r>
      <w:r w:rsidRPr="007147D9">
        <w:t>verdigrunnlag</w:t>
      </w:r>
      <w:r w:rsidR="00942E92">
        <w:t>,</w:t>
      </w:r>
      <w:r w:rsidRPr="007147D9">
        <w:t xml:space="preserve"> </w:t>
      </w:r>
      <w:r w:rsidR="00942E92">
        <w:t xml:space="preserve">blir betjent av samfunnet eller </w:t>
      </w:r>
      <w:r>
        <w:t xml:space="preserve">benytter seg </w:t>
      </w:r>
      <w:r w:rsidRPr="007147D9">
        <w:t>av samfunnets tjenester</w:t>
      </w:r>
      <w:r>
        <w:t>.</w:t>
      </w:r>
      <w:r w:rsidRPr="007147D9" w:rsidDel="00C07625">
        <w:t xml:space="preserve"> </w:t>
      </w:r>
    </w:p>
    <w:p w:rsidR="00735510" w:rsidRDefault="00735510" w:rsidP="00E41C0F">
      <w:pPr>
        <w:pStyle w:val="Listebombe2"/>
      </w:pPr>
      <w:r w:rsidRPr="007147D9">
        <w:rPr>
          <w:i/>
        </w:rPr>
        <w:lastRenderedPageBreak/>
        <w:t xml:space="preserve">Geografisk utbredelse. </w:t>
      </w:r>
      <w:r>
        <w:t>T</w:t>
      </w:r>
      <w:r w:rsidRPr="007147D9">
        <w:t xml:space="preserve">o samfunn som ellers har like mange medlemmer, </w:t>
      </w:r>
      <w:r>
        <w:t xml:space="preserve">kan antas å </w:t>
      </w:r>
      <w:r w:rsidRPr="007147D9">
        <w:t xml:space="preserve">ha ulikt støttebehov </w:t>
      </w:r>
      <w:r>
        <w:t xml:space="preserve">dersom </w:t>
      </w:r>
      <w:r w:rsidRPr="007147D9">
        <w:t>det ene samfunnet har sine medlemmer bosatt i større deler av landet og derfor har organisert seg i flere menigheter eller grupper av medlemmer, mens det andre samfunnet har hoveddelen av sine medlemmer bosatt i et avgrenset geografisk område. Ut fra et likebehandlingsperspektiv kan det</w:t>
      </w:r>
      <w:r>
        <w:t xml:space="preserve"> da</w:t>
      </w:r>
      <w:r w:rsidRPr="007147D9">
        <w:t xml:space="preserve"> hevdes at det ene samfunnet bør få en større relativ støtte enn det andre. </w:t>
      </w:r>
      <w:r w:rsidR="00B239AB">
        <w:t>Ma</w:t>
      </w:r>
      <w:r w:rsidRPr="007147D9">
        <w:t xml:space="preserve">nge av de samfunnene som i dag mottar støtte, er lokalisert på ett eller få steder. </w:t>
      </w:r>
    </w:p>
    <w:p w:rsidR="00735510" w:rsidRDefault="00735510" w:rsidP="00E41C0F">
      <w:pPr>
        <w:pStyle w:val="Listebombe2"/>
      </w:pPr>
      <w:r w:rsidRPr="007147D9">
        <w:rPr>
          <w:i/>
        </w:rPr>
        <w:t xml:space="preserve">Aktivitetsomfang og -struktur. </w:t>
      </w:r>
      <w:r w:rsidRPr="007147D9">
        <w:t>Ulikheter i samfunnenes aktivitetsomfang og -struktur</w:t>
      </w:r>
      <w:r>
        <w:t xml:space="preserve"> er </w:t>
      </w:r>
      <w:r w:rsidRPr="007147D9">
        <w:t>ofte en følge av samfunnenes egenart og formål. Formålet til mange samfunn er å legge til rette for at medlemmene skal kunne møtes regelmessig, gjerne i samværsformer med seremonielle rammer som bekrefter medlemmenes tro og verdifelleskap. Driften av samfunn som kjennetegnes ved denne typen aktiviteter, kan hevdes å være mer ressurskrevende enn</w:t>
      </w:r>
      <w:r>
        <w:t xml:space="preserve"> driften av</w:t>
      </w:r>
      <w:r w:rsidRPr="007147D9">
        <w:t xml:space="preserve"> </w:t>
      </w:r>
      <w:r w:rsidR="00D86068">
        <w:t>de som har</w:t>
      </w:r>
      <w:r w:rsidRPr="007147D9">
        <w:t xml:space="preserve"> færre felleskapsaktiviteter og som legger større vekt på individuell trosutøvelse eller -praksis. </w:t>
      </w:r>
      <w:r>
        <w:t xml:space="preserve">Dette kan i tilfelle begrunne at støtten for en del utmåles etter ulikheter i aktivitetsomfang og -struktur. </w:t>
      </w:r>
    </w:p>
    <w:p w:rsidR="00735510" w:rsidRPr="007147D9" w:rsidRDefault="00735510" w:rsidP="00E41C0F">
      <w:pPr>
        <w:pStyle w:val="Listebombe2"/>
      </w:pPr>
      <w:r w:rsidRPr="007147D9">
        <w:rPr>
          <w:i/>
        </w:rPr>
        <w:t xml:space="preserve">Bygg og lokaler. </w:t>
      </w:r>
      <w:r w:rsidRPr="007147D9">
        <w:t>Samfunn som etter sin egenart legger stor vekt på å ha fellesarenaer for kollektiv trosutfoldelse eller gudstilbedelse i en seremoniell ramme, kan antas å ha et større behov for særskilt tilpassede bygg eller lokaler enn</w:t>
      </w:r>
      <w:r w:rsidR="00D86068">
        <w:t xml:space="preserve"> andre tros- og livssynssamfunn. Disse kan med dette</w:t>
      </w:r>
      <w:r w:rsidRPr="007147D9">
        <w:t xml:space="preserve"> anses å ha et større støttebehov enn andre samfunn.  </w:t>
      </w:r>
    </w:p>
    <w:p w:rsidR="00735510" w:rsidRDefault="00735510" w:rsidP="00735510">
      <w:r>
        <w:t xml:space="preserve">Også andre </w:t>
      </w:r>
      <w:r w:rsidRPr="007147D9">
        <w:t>kriterie</w:t>
      </w:r>
      <w:r>
        <w:t xml:space="preserve">r for </w:t>
      </w:r>
      <w:r w:rsidR="004A163D">
        <w:t xml:space="preserve">fordelingen av </w:t>
      </w:r>
      <w:r>
        <w:t>støtte</w:t>
      </w:r>
      <w:r w:rsidR="004A163D">
        <w:t>n samfunnene</w:t>
      </w:r>
      <w:r>
        <w:t xml:space="preserve"> </w:t>
      </w:r>
      <w:r w:rsidR="004A163D">
        <w:t xml:space="preserve">imellom </w:t>
      </w:r>
      <w:r w:rsidRPr="007147D9">
        <w:t xml:space="preserve">kunne vært drøftet, som forskjeller i samfunnenes formue og egeninntekter, medlemmenes alderssammensetning m.m. </w:t>
      </w:r>
    </w:p>
    <w:p w:rsidR="00735510" w:rsidRDefault="00735510" w:rsidP="00735510">
      <w:r>
        <w:t xml:space="preserve">Selv om departementet mener det kan </w:t>
      </w:r>
      <w:r w:rsidR="001E41E6">
        <w:t>være</w:t>
      </w:r>
      <w:r>
        <w:t xml:space="preserve"> grunner for å utmåle den offentlige støtten annerledes enn i dag, er departementet kommet til at dagens tildeling av støtte per </w:t>
      </w:r>
      <w:r w:rsidR="0030764D">
        <w:t>tilskuddstellende</w:t>
      </w:r>
      <w:r w:rsidR="001E41E6">
        <w:t xml:space="preserve"> medlem bør føres videre. Det innebærer</w:t>
      </w:r>
      <w:r>
        <w:t xml:space="preserve"> fortsatt krav til samfunnene om innsending av medlemslister med fødselsnummer. Et mer differensiert system for tildeling av støtte, slik som skissert over, innebærer i praksis en søknadsbasert tildeling. En søknadsbasert tildeling vil kreve individuell søknadsbehandling og kan åpne for mer skjønnspregede tildelinger. Av hensyn til de administrative konsekvensene ville det dessuten være nødvendig å begrense antallet støtte- og søknadsberettigede samfunn. For å være søknadsberettiget ville kravet til samfunnets medlemstall antakelig måtte settes til </w:t>
      </w:r>
      <w:r w:rsidR="00F94E61">
        <w:t>minst 1</w:t>
      </w:r>
      <w:r w:rsidR="00553D04">
        <w:t xml:space="preserve"> </w:t>
      </w:r>
      <w:r>
        <w:t>000</w:t>
      </w:r>
      <w:r w:rsidR="00F94E61">
        <w:t>.</w:t>
      </w:r>
      <w:r>
        <w:t xml:space="preserve"> </w:t>
      </w:r>
    </w:p>
    <w:p w:rsidR="00944062" w:rsidRPr="007147D9" w:rsidRDefault="00735510" w:rsidP="00412430">
      <w:r>
        <w:t>Når departementet går inn for å føre videre dagens utmåling av støtte etter antallet tilskuddstellende medlem, mener departementet det i tiden framover bør arbeides for å utvikle løsninger som kan gi en bedre kontroll av samfunnenes medlemslister. Bla</w:t>
      </w:r>
      <w:r w:rsidR="00B239AB">
        <w:t xml:space="preserve">nt annet </w:t>
      </w:r>
      <w:r>
        <w:t xml:space="preserve">kan det være aktuelt å utvikle registerløsninger </w:t>
      </w:r>
      <w:r w:rsidR="00EC4252">
        <w:t xml:space="preserve">for eksempel </w:t>
      </w:r>
      <w:r w:rsidR="00F94E61">
        <w:t xml:space="preserve">i </w:t>
      </w:r>
      <w:r>
        <w:t xml:space="preserve">Altinn der det enkelte medlemmet kan </w:t>
      </w:r>
      <w:r w:rsidR="004A163D">
        <w:t xml:space="preserve">bekrefte, eventuelt avkrefte, </w:t>
      </w:r>
      <w:r>
        <w:t xml:space="preserve">sitt medlemskap i </w:t>
      </w:r>
      <w:r w:rsidR="001E41E6">
        <w:t>et tros- eller livssynssamfunn</w:t>
      </w:r>
      <w:r>
        <w:t xml:space="preserve">. </w:t>
      </w:r>
      <w:r w:rsidR="00F94E61">
        <w:t>I kapittel</w:t>
      </w:r>
      <w:r>
        <w:t xml:space="preserve"> </w:t>
      </w:r>
      <w:r w:rsidR="004A163D">
        <w:t>18</w:t>
      </w:r>
      <w:r>
        <w:t xml:space="preserve"> er en slik løsning nærmere omtalt. </w:t>
      </w:r>
      <w:r w:rsidRPr="007147D9" w:rsidDel="00E26177">
        <w:t xml:space="preserve"> </w:t>
      </w:r>
    </w:p>
    <w:p w:rsidR="00F94E61" w:rsidRDefault="00F94E61" w:rsidP="00F94E61">
      <w:bookmarkStart w:id="2131" w:name="_Toc477277283"/>
      <w:bookmarkStart w:id="2132" w:name="_Toc477535598"/>
      <w:bookmarkStart w:id="2133" w:name="_Toc477630730"/>
      <w:bookmarkStart w:id="2134" w:name="_Toc477693694"/>
      <w:bookmarkStart w:id="2135" w:name="_Toc477704068"/>
      <w:bookmarkStart w:id="2136" w:name="_Toc477799282"/>
      <w:bookmarkStart w:id="2137" w:name="_Toc477805883"/>
      <w:bookmarkStart w:id="2138" w:name="_Toc477871542"/>
      <w:bookmarkStart w:id="2139" w:name="_Toc477878144"/>
      <w:bookmarkStart w:id="2140" w:name="_Toc477881547"/>
      <w:bookmarkStart w:id="2141" w:name="_Toc477886007"/>
      <w:bookmarkStart w:id="2142" w:name="_Toc478131435"/>
      <w:bookmarkStart w:id="2143" w:name="_Toc478138805"/>
      <w:bookmarkStart w:id="2144" w:name="_Toc478232332"/>
      <w:bookmarkStart w:id="2145" w:name="_Toc478237316"/>
      <w:r>
        <w:t xml:space="preserve">Departementets forslag til lovbestemmelse om utmåling av støtte er inntatt nedenfor under punkt 14.3. </w:t>
      </w:r>
    </w:p>
    <w:p w:rsidR="00944062" w:rsidRPr="007147D9" w:rsidRDefault="00735510" w:rsidP="001E491E">
      <w:pPr>
        <w:pStyle w:val="Overskrift2"/>
      </w:pPr>
      <w:bookmarkStart w:id="2146" w:name="_Toc481761853"/>
      <w:bookmarkStart w:id="2147" w:name="_Toc492900504"/>
      <w:r>
        <w:rPr>
          <w:rFonts w:eastAsiaTheme="minorEastAsia"/>
        </w:rPr>
        <w:lastRenderedPageBreak/>
        <w:t>Forslag til n</w:t>
      </w:r>
      <w:r w:rsidR="00944062" w:rsidRPr="007147D9">
        <w:rPr>
          <w:rFonts w:eastAsiaTheme="minorEastAsia"/>
        </w:rPr>
        <w:t>ye bestemmelser for utmåling og tildeling av støtte</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rsidR="00944062" w:rsidRPr="007147D9">
        <w:rPr>
          <w:rFonts w:eastAsiaTheme="minorEastAsia"/>
        </w:rPr>
        <w:t xml:space="preserve"> </w:t>
      </w:r>
      <w:bookmarkStart w:id="2148" w:name="_Toc477871543"/>
      <w:bookmarkStart w:id="2149" w:name="_Toc477878145"/>
      <w:bookmarkStart w:id="2150" w:name="_Toc477881548"/>
      <w:bookmarkStart w:id="2151" w:name="_Toc477886008"/>
      <w:bookmarkEnd w:id="2148"/>
      <w:bookmarkEnd w:id="2149"/>
      <w:bookmarkEnd w:id="2150"/>
      <w:bookmarkEnd w:id="2151"/>
    </w:p>
    <w:p w:rsidR="00944062" w:rsidRPr="007147D9" w:rsidRDefault="00944062" w:rsidP="00B8267C">
      <w:r w:rsidRPr="007147D9">
        <w:t xml:space="preserve">Statens tilskudd til tros- og livssynssamfunn utenom Den norske kirke er for 2017 budsjettert med godt og vel 300 mill. kroner, som svarer til ca. 16 pst. av tilskuddsgrunnlaget. Tilskuddsgrunnlaget for 2017 er på kr 2 </w:t>
      </w:r>
      <w:r w:rsidR="002F4182" w:rsidRPr="002F4182">
        <w:t>062 323</w:t>
      </w:r>
      <w:r w:rsidRPr="007147D9">
        <w:t xml:space="preserve"> 000. Statens rammetilskudd til Den norske kirke på 2 mrd. kroner utgjør så å si hele grunnlaget. Kommunenes tilskudd til tros- og livssynssamfunnene summerer seg i dag til rundt 300 mill. kroner, dvs. omtrent det samme som statens tilskudd. Ved statlig overtakelse av kommunenes oppgaver vil bevilgningsbehovet til tilskuddsordningen over statsbudsjettet være på rundt 600 mill. kroner</w:t>
      </w:r>
      <w:r w:rsidR="00E13C16">
        <w:t xml:space="preserve"> dersom dagens regler for </w:t>
      </w:r>
      <w:r w:rsidR="003C571E">
        <w:t xml:space="preserve">utmåling og tildeling av </w:t>
      </w:r>
      <w:r w:rsidR="00E13C16">
        <w:t>støtte føres videre</w:t>
      </w:r>
      <w:r w:rsidRPr="007147D9">
        <w:t xml:space="preserve">. </w:t>
      </w:r>
    </w:p>
    <w:p w:rsidR="00944062" w:rsidRPr="007147D9" w:rsidRDefault="00944062" w:rsidP="00B8267C">
      <w:r w:rsidRPr="007147D9">
        <w:t xml:space="preserve">Som nevnt foran er grunnlaget for tilskudd til tros- og livssynssamfunn utenom Den norske kirke </w:t>
      </w:r>
      <w:r w:rsidR="008E381F">
        <w:t xml:space="preserve">i dag </w:t>
      </w:r>
      <w:r w:rsidRPr="007147D9">
        <w:t xml:space="preserve">bestemt av hva det offentlige (staten og kommunene) budsjetterer som utgifter til Den norske kirke, fratrukket bevilgninger som ikke er bevilgninger til egentlige kirkelige formål. </w:t>
      </w:r>
      <w:r w:rsidR="00CE1020">
        <w:t xml:space="preserve">Selv om </w:t>
      </w:r>
      <w:r w:rsidRPr="007147D9">
        <w:t xml:space="preserve">departementet </w:t>
      </w:r>
      <w:r w:rsidR="00CE1020">
        <w:t xml:space="preserve">mener </w:t>
      </w:r>
      <w:r w:rsidRPr="007147D9">
        <w:t xml:space="preserve">det ved dette ikke er tatt </w:t>
      </w:r>
      <w:r w:rsidR="008E381F">
        <w:t xml:space="preserve">fullgodt </w:t>
      </w:r>
      <w:r w:rsidRPr="007147D9">
        <w:t>hensyn til Den norske kirkes særstilling som folkekirke og den ulikheten som er mellom Den norske kirke og andre tros- og livssynssamfunn</w:t>
      </w:r>
      <w:r w:rsidR="00CE1020">
        <w:t>, er d</w:t>
      </w:r>
      <w:r w:rsidRPr="007147D9">
        <w:t>epartementet likevel kommet til at dagens bestemmelser om hvordan tilskuddsgrunnlaget til andre tros- og livssynsamfunn skal fastsettes, bør føres videre uten vesentlige materielle endringer</w:t>
      </w:r>
      <w:r w:rsidR="00CE1020">
        <w:t>, jf. p</w:t>
      </w:r>
      <w:r w:rsidR="00B239AB">
        <w:t>un</w:t>
      </w:r>
      <w:r w:rsidR="00CE1020">
        <w:t>kt</w:t>
      </w:r>
      <w:r w:rsidR="00B239AB">
        <w:t xml:space="preserve"> </w:t>
      </w:r>
      <w:r w:rsidR="00CE1020">
        <w:t>14.2.2.2</w:t>
      </w:r>
      <w:r w:rsidRPr="007147D9">
        <w:t xml:space="preserve">. </w:t>
      </w:r>
    </w:p>
    <w:p w:rsidR="001F2F73" w:rsidRDefault="00CE1020" w:rsidP="001F2F73">
      <w:r>
        <w:t>D</w:t>
      </w:r>
      <w:r w:rsidR="00944062" w:rsidRPr="007147D9">
        <w:t xml:space="preserve">epartementet </w:t>
      </w:r>
      <w:r>
        <w:t xml:space="preserve">er som nevnt </w:t>
      </w:r>
      <w:r w:rsidR="00E13C16">
        <w:t xml:space="preserve">kommet til </w:t>
      </w:r>
      <w:r w:rsidR="00944062" w:rsidRPr="007147D9">
        <w:t xml:space="preserve">at medlemstallet i Den norske kirke ikke lenger bør inngå som faktor for utmålingen av tilskudd til andre tros- og livssynssamfunn. Når kirkens medlemstall utgår som reguleringsfaktor, må en annen komme i stedet. Departementet foreslår at tilskuddet til tros- og livssynssamfunn utenom Den norske kirke for framtiden reguleres i takt med </w:t>
      </w:r>
      <w:r w:rsidR="00EA788E">
        <w:t xml:space="preserve">tilskuddene </w:t>
      </w:r>
      <w:r w:rsidR="00944062" w:rsidRPr="007147D9">
        <w:t>til Den norske kirke</w:t>
      </w:r>
      <w:r w:rsidR="00EA788E">
        <w:t xml:space="preserve"> </w:t>
      </w:r>
      <w:r w:rsidR="00EE5FD2">
        <w:t xml:space="preserve">slik disse bevilges og utvikler seg over </w:t>
      </w:r>
      <w:r w:rsidR="00EA788E" w:rsidRPr="00EE5FD2">
        <w:rPr>
          <w:i/>
        </w:rPr>
        <w:t>statsbudsjettet</w:t>
      </w:r>
      <w:r w:rsidR="00EA788E">
        <w:t xml:space="preserve">. </w:t>
      </w:r>
      <w:r w:rsidR="00EE5FD2">
        <w:t xml:space="preserve">Ut fra forenklingshensyn mener departementet dette bør være regelen, selv om </w:t>
      </w:r>
      <w:r w:rsidR="00EE5FD2" w:rsidRPr="007147D9">
        <w:t xml:space="preserve">kirken </w:t>
      </w:r>
      <w:r w:rsidR="00EE5FD2">
        <w:t>eventuelt fortsatt vil bli finansiert gjennom tilskudd også over kommunebudsjettene,</w:t>
      </w:r>
      <w:r w:rsidR="00EE5FD2" w:rsidRPr="007147D9">
        <w:t xml:space="preserve"> jf. drøftingene </w:t>
      </w:r>
      <w:r w:rsidR="00EE5FD2">
        <w:t xml:space="preserve">foran </w:t>
      </w:r>
      <w:r w:rsidR="00EE5FD2" w:rsidRPr="007147D9">
        <w:t>i kap</w:t>
      </w:r>
      <w:r w:rsidR="00EE5FD2">
        <w:t>ittel</w:t>
      </w:r>
      <w:r w:rsidR="00EE5FD2" w:rsidRPr="007147D9">
        <w:t xml:space="preserve"> </w:t>
      </w:r>
      <w:r w:rsidR="00EE5FD2">
        <w:t>9</w:t>
      </w:r>
      <w:r w:rsidR="00EE5FD2" w:rsidRPr="007147D9">
        <w:t xml:space="preserve">. </w:t>
      </w:r>
    </w:p>
    <w:p w:rsidR="00922C1B" w:rsidRDefault="001F2F73" w:rsidP="001F2F73">
      <w:r w:rsidRPr="007147D9">
        <w:t xml:space="preserve">I dag </w:t>
      </w:r>
      <w:r w:rsidR="008E381F">
        <w:t>regnes</w:t>
      </w:r>
      <w:r w:rsidRPr="007147D9">
        <w:t xml:space="preserve"> </w:t>
      </w:r>
      <w:r>
        <w:t xml:space="preserve">tilskuddssatsen per medlem </w:t>
      </w:r>
      <w:r w:rsidR="00EE5FD2">
        <w:t xml:space="preserve">(summen av statens tilskuddssats og den kommunale tilsksudssatsen) </w:t>
      </w:r>
      <w:r w:rsidR="008E381F">
        <w:t xml:space="preserve">som </w:t>
      </w:r>
      <w:r>
        <w:t xml:space="preserve">uttrykk </w:t>
      </w:r>
      <w:r w:rsidRPr="007147D9">
        <w:t xml:space="preserve">for økonomisk likebehandling mellom Den norske kirke og andre tros- og livssynssamfunn. </w:t>
      </w:r>
      <w:r>
        <w:t>Departementet mener at denne tilskuddssatsen</w:t>
      </w:r>
      <w:r w:rsidR="007823C6">
        <w:t xml:space="preserve">, som i dag er på rundt kr 1 000 per medlem, </w:t>
      </w:r>
      <w:r w:rsidR="008E381F">
        <w:t>bør</w:t>
      </w:r>
      <w:r>
        <w:t xml:space="preserve"> legges til grunn ved gjennomføringen av de andre forslagene departementet tar</w:t>
      </w:r>
      <w:r w:rsidR="00942E92">
        <w:t xml:space="preserve"> opp</w:t>
      </w:r>
      <w:r w:rsidR="007823C6">
        <w:t xml:space="preserve">, og </w:t>
      </w:r>
      <w:r w:rsidR="00942E92">
        <w:t xml:space="preserve">som da vil være gjenstand for senere reguleringer. Første året legger departementet til grunn at tilskuddssatsen må </w:t>
      </w:r>
      <w:r w:rsidR="00F94E61">
        <w:t>korrigeres</w:t>
      </w:r>
      <w:r w:rsidR="00942E92">
        <w:t xml:space="preserve"> </w:t>
      </w:r>
      <w:r w:rsidR="004A163D">
        <w:t xml:space="preserve">opp </w:t>
      </w:r>
      <w:r w:rsidR="00942E92">
        <w:t xml:space="preserve">som en konsekvens av </w:t>
      </w:r>
      <w:r w:rsidR="00880A47">
        <w:t>forslaget</w:t>
      </w:r>
      <w:r w:rsidR="00B405E4">
        <w:t xml:space="preserve"> </w:t>
      </w:r>
      <w:r w:rsidR="00880A47">
        <w:t>om</w:t>
      </w:r>
      <w:r w:rsidR="00942E92">
        <w:t xml:space="preserve"> en aldersgrense på 15 år for tilskudd</w:t>
      </w:r>
      <w:r w:rsidR="00672352">
        <w:t>s</w:t>
      </w:r>
      <w:r w:rsidR="00942E92">
        <w:t>tellende medlemskap.</w:t>
      </w:r>
      <w:r w:rsidR="00672352">
        <w:t xml:space="preserve"> I dag inngår også medlemmer under 15 år som tilskuddstellende medlem</w:t>
      </w:r>
      <w:r w:rsidR="00880A47">
        <w:t>. Aldersfordelingen blant medlemmene er imidlertid ulik samfunnene imellom</w:t>
      </w:r>
      <w:r w:rsidR="00672352">
        <w:t xml:space="preserve">. </w:t>
      </w:r>
    </w:p>
    <w:p w:rsidR="00942E92" w:rsidRDefault="00F94E61" w:rsidP="001F2F73">
      <w:r>
        <w:t xml:space="preserve">Korrigeringen foreslås gjennomført ved at tilskuddssatsen </w:t>
      </w:r>
      <w:r w:rsidR="00922C1B">
        <w:t>første året, før regulering, justeres for det antallet medlemmer i Den norske kirke og i andre tros- og livssynssamfunn som er under 15 år. Dette gi</w:t>
      </w:r>
      <w:r w:rsidR="00B239AB">
        <w:t>r en noe høyere tilskuddssats fø</w:t>
      </w:r>
      <w:r w:rsidR="00922C1B">
        <w:t xml:space="preserve">r </w:t>
      </w:r>
      <w:r w:rsidR="00B239AB">
        <w:t xml:space="preserve">første </w:t>
      </w:r>
      <w:r w:rsidR="00922C1B">
        <w:t xml:space="preserve">regulering. </w:t>
      </w:r>
      <w:r w:rsidR="00880A47">
        <w:t>I kap</w:t>
      </w:r>
      <w:r w:rsidR="00553D04">
        <w:t xml:space="preserve">ittel </w:t>
      </w:r>
      <w:r w:rsidR="00880A47">
        <w:t xml:space="preserve">23 er </w:t>
      </w:r>
      <w:r w:rsidR="00922C1B">
        <w:t>nærmere omtalt virkningene av en slik korrigering</w:t>
      </w:r>
      <w:r w:rsidR="003C1B18">
        <w:t xml:space="preserve">, også </w:t>
      </w:r>
      <w:r w:rsidR="00880A47">
        <w:t xml:space="preserve">omfordelingsvirkningene </w:t>
      </w:r>
      <w:r w:rsidR="00922C1B">
        <w:t xml:space="preserve">mellom samfunnene </w:t>
      </w:r>
      <w:r w:rsidR="00880A47">
        <w:t>ved innføring av alderskravet for tilskuddstellende medlemskap</w:t>
      </w:r>
      <w:r w:rsidR="00922C1B">
        <w:t xml:space="preserve">. </w:t>
      </w:r>
    </w:p>
    <w:p w:rsidR="001F2F73" w:rsidRDefault="001F2F73" w:rsidP="001F2F73">
      <w:r>
        <w:t xml:space="preserve">Når </w:t>
      </w:r>
      <w:r w:rsidR="00672352">
        <w:t>den</w:t>
      </w:r>
      <w:r w:rsidR="00880A47">
        <w:t>ne</w:t>
      </w:r>
      <w:r w:rsidR="00672352">
        <w:t xml:space="preserve"> </w:t>
      </w:r>
      <w:r w:rsidR="003C1B18">
        <w:t>korrigerte</w:t>
      </w:r>
      <w:r w:rsidR="00672352">
        <w:t xml:space="preserve"> </w:t>
      </w:r>
      <w:r>
        <w:t>tilskuddssatsen i framtiden reguleres i takt med statens bevilgninger til Den norske kirke, mener departementet at den økonomiske likebehandlingen mellom Den norske kirke og andre tros- og livssynssamfunn blir ført videre i den nye tilskudd</w:t>
      </w:r>
      <w:r w:rsidR="00B239AB">
        <w:t>s</w:t>
      </w:r>
      <w:r>
        <w:t xml:space="preserve">ordningen. </w:t>
      </w:r>
      <w:r w:rsidR="001E41E6">
        <w:t>T</w:t>
      </w:r>
      <w:r w:rsidR="00096FCC">
        <w:t xml:space="preserve">il slutt i </w:t>
      </w:r>
      <w:r w:rsidR="001E41E6">
        <w:t>denne delen</w:t>
      </w:r>
      <w:r w:rsidR="00096FCC">
        <w:t xml:space="preserve"> er det </w:t>
      </w:r>
      <w:r w:rsidR="007823C6">
        <w:t>illustr</w:t>
      </w:r>
      <w:r w:rsidR="00096FCC">
        <w:t xml:space="preserve">ert med fiktive tall </w:t>
      </w:r>
      <w:r w:rsidR="007823C6">
        <w:t xml:space="preserve">hvordan tilskuddssatsen </w:t>
      </w:r>
      <w:r w:rsidR="00096FCC">
        <w:t xml:space="preserve">etter departmentets forslag </w:t>
      </w:r>
      <w:r w:rsidR="007823C6">
        <w:t>vil bli regulert i framtiden</w:t>
      </w:r>
      <w:r w:rsidR="00096FCC">
        <w:t>.</w:t>
      </w:r>
    </w:p>
    <w:p w:rsidR="001F2F73" w:rsidRDefault="001F2F73" w:rsidP="001F2F73">
      <w:r>
        <w:lastRenderedPageBreak/>
        <w:t>Departementet viser til dette og foreslår følgende lovbestemmelser om tilskudd til tros- og livssynssamfunn utenom Den norske kirke</w:t>
      </w:r>
      <w:r w:rsidR="004558C9">
        <w:t>, jf. lovutkastet § 4</w:t>
      </w:r>
      <w:r w:rsidR="00251233">
        <w:t xml:space="preserve"> første, tredje og fjerde ledd</w:t>
      </w:r>
      <w:r>
        <w:t>:</w:t>
      </w:r>
    </w:p>
    <w:p w:rsidR="00347945" w:rsidRPr="00E41C0F" w:rsidRDefault="00347945" w:rsidP="00E41C0F">
      <w:pPr>
        <w:pStyle w:val="blokksit"/>
        <w:rPr>
          <w:rStyle w:val="kursiv"/>
        </w:rPr>
      </w:pPr>
      <w:r w:rsidRPr="00E41C0F">
        <w:rPr>
          <w:rStyle w:val="kursiv"/>
        </w:rPr>
        <w:t xml:space="preserve">Registrert tros- </w:t>
      </w:r>
      <w:r w:rsidR="00365805" w:rsidRPr="00E41C0F">
        <w:rPr>
          <w:rStyle w:val="kursiv"/>
        </w:rPr>
        <w:t>eller</w:t>
      </w:r>
      <w:r w:rsidRPr="00E41C0F">
        <w:rPr>
          <w:rStyle w:val="kursiv"/>
        </w:rPr>
        <w:t xml:space="preserve"> livssynssamfunn kan kreve tilskudd fra staten. </w:t>
      </w:r>
    </w:p>
    <w:p w:rsidR="00365805" w:rsidRPr="00E41C0F" w:rsidRDefault="00365805" w:rsidP="00E41C0F">
      <w:pPr>
        <w:pStyle w:val="blokksit"/>
        <w:rPr>
          <w:rStyle w:val="kursiv"/>
        </w:rPr>
      </w:pPr>
      <w:r w:rsidRPr="00E41C0F">
        <w:rPr>
          <w:rStyle w:val="kursiv"/>
        </w:rPr>
        <w:t>Tilskuddet beregnes etter tros- eller livssyns</w:t>
      </w:r>
      <w:r w:rsidR="00082B04" w:rsidRPr="00E41C0F">
        <w:rPr>
          <w:rStyle w:val="kursiv"/>
        </w:rPr>
        <w:t>s</w:t>
      </w:r>
      <w:r w:rsidRPr="00E41C0F">
        <w:rPr>
          <w:rStyle w:val="kursiv"/>
        </w:rPr>
        <w:t>amfunnets medlemstall. Som tilskuddstellende medlem regnes bare person som fyller vilkårene i § 3 første ledd bokstav a–d.</w:t>
      </w:r>
    </w:p>
    <w:p w:rsidR="004558C9" w:rsidRPr="00E41C0F" w:rsidRDefault="004558C9" w:rsidP="00E41C0F">
      <w:pPr>
        <w:pStyle w:val="blokksit"/>
        <w:rPr>
          <w:rStyle w:val="kursiv"/>
        </w:rPr>
      </w:pPr>
      <w:r w:rsidRPr="00E41C0F">
        <w:rPr>
          <w:rStyle w:val="kursiv"/>
        </w:rPr>
        <w:t>Satsen for tilskudd per medlem fastsettes årlig og reguleres i samsvar med endringene i statens tilskudd til Den norske kirke. Følgende tilskudd til Den norske kirke skal ikke inngå i reguleringsgrunnlaget for tilskuddssatsen:</w:t>
      </w:r>
    </w:p>
    <w:p w:rsidR="00347945" w:rsidRPr="009A30DA" w:rsidRDefault="00347945" w:rsidP="002834ED">
      <w:pPr>
        <w:pStyle w:val="alfaliste2"/>
        <w:numPr>
          <w:ilvl w:val="1"/>
          <w:numId w:val="35"/>
        </w:numPr>
        <w:rPr>
          <w:rStyle w:val="kursiv"/>
        </w:rPr>
      </w:pPr>
      <w:r w:rsidRPr="009A30DA">
        <w:rPr>
          <w:rStyle w:val="kursiv"/>
        </w:rPr>
        <w:t>tilskudd til oppgaver Den norske kirke utfører på vegne av det offentlige</w:t>
      </w:r>
      <w:r w:rsidR="00675D18" w:rsidRPr="009A30DA">
        <w:rPr>
          <w:rStyle w:val="kursiv"/>
        </w:rPr>
        <w:t>,</w:t>
      </w:r>
      <w:r w:rsidRPr="009A30DA">
        <w:rPr>
          <w:rStyle w:val="kursiv"/>
        </w:rPr>
        <w:t xml:space="preserve"> </w:t>
      </w:r>
    </w:p>
    <w:p w:rsidR="00347945" w:rsidRPr="009A30DA" w:rsidRDefault="00D21B8B" w:rsidP="002834ED">
      <w:pPr>
        <w:pStyle w:val="alfaliste2"/>
        <w:numPr>
          <w:ilvl w:val="1"/>
          <w:numId w:val="35"/>
        </w:numPr>
        <w:rPr>
          <w:rStyle w:val="kursiv"/>
        </w:rPr>
      </w:pPr>
      <w:r w:rsidRPr="009A30DA">
        <w:rPr>
          <w:rStyle w:val="kursiv"/>
        </w:rPr>
        <w:t>investeringstilskudd til kirkebygg fra før 1900,</w:t>
      </w:r>
      <w:r w:rsidR="00B405E4" w:rsidRPr="009A30DA">
        <w:rPr>
          <w:rStyle w:val="kursiv"/>
        </w:rPr>
        <w:t xml:space="preserve"> </w:t>
      </w:r>
    </w:p>
    <w:p w:rsidR="00347945" w:rsidRPr="009A30DA" w:rsidRDefault="00347945" w:rsidP="002834ED">
      <w:pPr>
        <w:pStyle w:val="alfaliste2"/>
        <w:numPr>
          <w:ilvl w:val="1"/>
          <w:numId w:val="35"/>
        </w:numPr>
        <w:rPr>
          <w:rStyle w:val="kursiv"/>
        </w:rPr>
      </w:pPr>
      <w:r w:rsidRPr="009A30DA">
        <w:rPr>
          <w:rStyle w:val="kursiv"/>
        </w:rPr>
        <w:t>tilskudd til utgifter som følger av Den norske kirke</w:t>
      </w:r>
      <w:r w:rsidR="006E0A4D" w:rsidRPr="009A30DA">
        <w:rPr>
          <w:rStyle w:val="kursiv"/>
        </w:rPr>
        <w:t xml:space="preserve">s særlige stilling. </w:t>
      </w:r>
    </w:p>
    <w:p w:rsidR="00347945" w:rsidRPr="00347945" w:rsidRDefault="00347945" w:rsidP="00347945">
      <w:pPr>
        <w:pStyle w:val="Listeavsnitt"/>
        <w:spacing w:before="0" w:line="240" w:lineRule="auto"/>
        <w:ind w:left="1287"/>
        <w:rPr>
          <w:rFonts w:cs="Times New Roman"/>
          <w:i/>
        </w:rPr>
      </w:pPr>
    </w:p>
    <w:p w:rsidR="0049469B" w:rsidRDefault="00B405E4" w:rsidP="00B405E4">
      <w:pPr>
        <w:rPr>
          <w:rFonts w:cs="Times New Roman"/>
          <w:szCs w:val="24"/>
        </w:rPr>
      </w:pPr>
      <w:r>
        <w:rPr>
          <w:rFonts w:cs="Times New Roman"/>
          <w:szCs w:val="24"/>
        </w:rPr>
        <w:t xml:space="preserve">Den foreslåtte bestemmelsen i a) vil </w:t>
      </w:r>
      <w:r w:rsidR="00365805">
        <w:rPr>
          <w:rFonts w:cs="Times New Roman"/>
          <w:szCs w:val="24"/>
        </w:rPr>
        <w:t>omfatte</w:t>
      </w:r>
      <w:r>
        <w:rPr>
          <w:rFonts w:cs="Times New Roman"/>
          <w:szCs w:val="24"/>
        </w:rPr>
        <w:t xml:space="preserve"> tilskudd til </w:t>
      </w:r>
      <w:r w:rsidR="0049469B">
        <w:rPr>
          <w:rFonts w:cs="Times New Roman"/>
          <w:szCs w:val="24"/>
        </w:rPr>
        <w:t xml:space="preserve">offentlige </w:t>
      </w:r>
      <w:r>
        <w:rPr>
          <w:rFonts w:cs="Times New Roman"/>
          <w:szCs w:val="24"/>
        </w:rPr>
        <w:t xml:space="preserve">oppgaver </w:t>
      </w:r>
      <w:r w:rsidR="0049469B">
        <w:rPr>
          <w:rFonts w:cs="Times New Roman"/>
          <w:szCs w:val="24"/>
        </w:rPr>
        <w:t xml:space="preserve">som </w:t>
      </w:r>
      <w:r>
        <w:rPr>
          <w:rFonts w:cs="Times New Roman"/>
          <w:szCs w:val="24"/>
        </w:rPr>
        <w:t xml:space="preserve">Den norske kirke </w:t>
      </w:r>
      <w:r w:rsidR="0049469B">
        <w:rPr>
          <w:rFonts w:cs="Times New Roman"/>
          <w:szCs w:val="24"/>
        </w:rPr>
        <w:t>utfører på vegne av staten, kommunen</w:t>
      </w:r>
      <w:r>
        <w:rPr>
          <w:rFonts w:cs="Times New Roman"/>
          <w:szCs w:val="24"/>
        </w:rPr>
        <w:t>e</w:t>
      </w:r>
      <w:r w:rsidR="0049469B">
        <w:rPr>
          <w:rFonts w:cs="Times New Roman"/>
          <w:szCs w:val="24"/>
        </w:rPr>
        <w:t xml:space="preserve"> </w:t>
      </w:r>
      <w:r w:rsidR="00023851">
        <w:rPr>
          <w:rFonts w:cs="Times New Roman"/>
          <w:szCs w:val="24"/>
        </w:rPr>
        <w:t xml:space="preserve">eller </w:t>
      </w:r>
      <w:r w:rsidR="0049469B">
        <w:rPr>
          <w:rFonts w:cs="Times New Roman"/>
          <w:szCs w:val="24"/>
        </w:rPr>
        <w:t xml:space="preserve">alle innbyggere, så som forvaltningen av de </w:t>
      </w:r>
      <w:r w:rsidR="00365805">
        <w:rPr>
          <w:rFonts w:cs="Times New Roman"/>
          <w:szCs w:val="24"/>
        </w:rPr>
        <w:t>offentlige</w:t>
      </w:r>
      <w:r w:rsidR="0049469B">
        <w:rPr>
          <w:rFonts w:cs="Times New Roman"/>
          <w:szCs w:val="24"/>
        </w:rPr>
        <w:t xml:space="preserve"> gravplassene. </w:t>
      </w:r>
    </w:p>
    <w:p w:rsidR="00DB014E" w:rsidRPr="00DB014E" w:rsidRDefault="00DB014E" w:rsidP="00DB014E">
      <w:pPr>
        <w:rPr>
          <w:rFonts w:cs="Times New Roman"/>
          <w:szCs w:val="24"/>
        </w:rPr>
      </w:pPr>
      <w:r w:rsidRPr="00DB014E">
        <w:rPr>
          <w:rFonts w:cs="Times New Roman"/>
          <w:szCs w:val="24"/>
        </w:rPr>
        <w:t xml:space="preserve">Den foreslåtte bestemmelsen i b) er omtalt i punkt 14.2 ovenfor. Den kan sies å være omfattet av unntaket i a), </w:t>
      </w:r>
      <w:r>
        <w:rPr>
          <w:rFonts w:cs="Times New Roman"/>
          <w:szCs w:val="24"/>
        </w:rPr>
        <w:t>men bør gå klart fram av loven.</w:t>
      </w:r>
    </w:p>
    <w:p w:rsidR="00D36153" w:rsidRDefault="000F21A5" w:rsidP="00CE25F2">
      <w:r>
        <w:t xml:space="preserve">Den foreslåtte bestemmelsen i c) </w:t>
      </w:r>
      <w:r w:rsidR="008D4FD9">
        <w:t>henviser til visse utgifter som følger av Den norske kirkes særlige stilling. T</w:t>
      </w:r>
      <w:r w:rsidR="00D36153" w:rsidRPr="00D36153">
        <w:t xml:space="preserve">ilskudd begrunnet i avviklingen av tjenestebolig- og bopliktordningen for prestene i Den norske kirke </w:t>
      </w:r>
      <w:r w:rsidR="008D4FD9">
        <w:t>vil etter denne bestemmelsen</w:t>
      </w:r>
      <w:r w:rsidR="00D36153" w:rsidRPr="00D36153">
        <w:t xml:space="preserve"> h</w:t>
      </w:r>
      <w:r w:rsidR="00D36153">
        <w:t>oldes u</w:t>
      </w:r>
      <w:r w:rsidR="00D36153" w:rsidRPr="00D36153">
        <w:t>t</w:t>
      </w:r>
      <w:r w:rsidR="00D36153">
        <w:t>e</w:t>
      </w:r>
      <w:r w:rsidR="00D36153" w:rsidRPr="00D36153">
        <w:t>nom regu</w:t>
      </w:r>
      <w:r w:rsidR="00D36153">
        <w:t>le</w:t>
      </w:r>
      <w:r w:rsidR="00D36153" w:rsidRPr="00D36153">
        <w:t>ringsgrunnlaget</w:t>
      </w:r>
      <w:r w:rsidR="008D4FD9">
        <w:t>, slik som i dag, likeså</w:t>
      </w:r>
      <w:r w:rsidR="00D36153">
        <w:t xml:space="preserve"> </w:t>
      </w:r>
      <w:r w:rsidR="00D36153" w:rsidRPr="00D36153">
        <w:t>tilskudd til den delen av Den norske kirkes pensjonspremie som gjelder pensjonsrettigheter som kirkens tilsatte har opptjent som tjenestemenn i staten</w:t>
      </w:r>
      <w:r w:rsidR="001921B6">
        <w:t>.</w:t>
      </w:r>
      <w:r w:rsidR="00D36153">
        <w:t xml:space="preserve"> </w:t>
      </w:r>
      <w:r w:rsidR="008D4FD9">
        <w:t>Også tilskudd til kirkevalgene hvert fjerde år kommer inn under bestemmelsen. Det vises ellers til omtalen under p</w:t>
      </w:r>
      <w:r w:rsidR="00CE25F2">
        <w:t>unk</w:t>
      </w:r>
      <w:r w:rsidR="008D4FD9">
        <w:t>t 14.2 ovenfor</w:t>
      </w:r>
      <w:r w:rsidR="00B239AB">
        <w:t xml:space="preserve"> og forutsetningen om </w:t>
      </w:r>
      <w:r w:rsidR="00183E1C">
        <w:t>at det skal være mulig å beregne med forholdsvis stor nøyaktig</w:t>
      </w:r>
      <w:r w:rsidR="00626471">
        <w:t>het</w:t>
      </w:r>
      <w:r w:rsidR="00183E1C">
        <w:t xml:space="preserve"> hvilke utgifter som etter c) kan holdes utenom</w:t>
      </w:r>
      <w:r w:rsidR="008D4FD9">
        <w:t xml:space="preserve">. </w:t>
      </w:r>
    </w:p>
    <w:p w:rsidR="00CE25F2" w:rsidRPr="00EC4039" w:rsidRDefault="008D4FD9" w:rsidP="00CE25F2">
      <w:r>
        <w:rPr>
          <w:rFonts w:cs="Times New Roman"/>
          <w:szCs w:val="24"/>
        </w:rPr>
        <w:t xml:space="preserve">Etter departementets syn innebærer lovforslaget bokstavene a)–c) i hovedsak en videreføring av gjeldende rett om hvilke tilskudd til Den norske kirke som ikke skal medregnes i grunnlaget for tilskuddet til andre tros- og livssynssamfunn. </w:t>
      </w:r>
      <w:r w:rsidR="00CE25F2">
        <w:rPr>
          <w:rFonts w:cs="Times New Roman"/>
          <w:szCs w:val="24"/>
        </w:rPr>
        <w:t xml:space="preserve">I lovutkastet § 4 er det ellers foreslått </w:t>
      </w:r>
      <w:r w:rsidR="00CE25F2" w:rsidRPr="00D36153">
        <w:rPr>
          <w:rFonts w:cs="Times New Roman"/>
          <w:szCs w:val="24"/>
        </w:rPr>
        <w:t xml:space="preserve">at Kongen i forskrift kan gi nærmere bestemmelser </w:t>
      </w:r>
      <w:r w:rsidR="00CE25F2">
        <w:rPr>
          <w:rFonts w:cs="Times New Roman"/>
          <w:szCs w:val="24"/>
        </w:rPr>
        <w:t>om fastsetting av tilskuddssatsen. En forskrift som ytterligere presiserer hva som ikke skal medregnes i reguleringsgrunnlaget, må bygge på de forutsetninger som departementet har drøftet i punkt 14.2.</w:t>
      </w:r>
    </w:p>
    <w:p w:rsidR="001F2F73" w:rsidRDefault="00672352" w:rsidP="001F2F73">
      <w:pPr>
        <w:rPr>
          <w:rFonts w:cs="Times New Roman"/>
          <w:szCs w:val="24"/>
        </w:rPr>
      </w:pPr>
      <w:r>
        <w:rPr>
          <w:rFonts w:cs="Times New Roman"/>
          <w:szCs w:val="24"/>
        </w:rPr>
        <w:t>I</w:t>
      </w:r>
      <w:r w:rsidR="003F7B50" w:rsidRPr="003F7B50">
        <w:rPr>
          <w:rFonts w:cs="Times New Roman"/>
          <w:szCs w:val="24"/>
        </w:rPr>
        <w:t xml:space="preserve"> det følgende </w:t>
      </w:r>
      <w:r>
        <w:rPr>
          <w:rFonts w:cs="Times New Roman"/>
          <w:szCs w:val="24"/>
        </w:rPr>
        <w:t xml:space="preserve">er det </w:t>
      </w:r>
      <w:r w:rsidR="00C556F6">
        <w:rPr>
          <w:rFonts w:cs="Times New Roman"/>
          <w:szCs w:val="24"/>
        </w:rPr>
        <w:t>ved fiktive tall</w:t>
      </w:r>
      <w:r w:rsidR="003F7B50" w:rsidRPr="003F7B50">
        <w:rPr>
          <w:rFonts w:cs="Times New Roman"/>
          <w:szCs w:val="24"/>
        </w:rPr>
        <w:t xml:space="preserve"> </w:t>
      </w:r>
      <w:r w:rsidR="002B33EE">
        <w:rPr>
          <w:rFonts w:cs="Times New Roman"/>
          <w:szCs w:val="24"/>
        </w:rPr>
        <w:t xml:space="preserve">illustrert </w:t>
      </w:r>
      <w:r w:rsidR="003F7B50" w:rsidRPr="003F7B50">
        <w:rPr>
          <w:rFonts w:cs="Times New Roman"/>
          <w:szCs w:val="24"/>
        </w:rPr>
        <w:t>hvordan den foreslåtte lovbestemmelsen er å forstå</w:t>
      </w:r>
      <w:r>
        <w:rPr>
          <w:rFonts w:cs="Times New Roman"/>
          <w:szCs w:val="24"/>
        </w:rPr>
        <w:t xml:space="preserve"> og</w:t>
      </w:r>
      <w:r w:rsidR="00880A47">
        <w:rPr>
          <w:rFonts w:cs="Times New Roman"/>
          <w:szCs w:val="24"/>
        </w:rPr>
        <w:t xml:space="preserve"> hvordan</w:t>
      </w:r>
      <w:r>
        <w:rPr>
          <w:rFonts w:cs="Times New Roman"/>
          <w:szCs w:val="24"/>
        </w:rPr>
        <w:t xml:space="preserve"> overgang</w:t>
      </w:r>
      <w:r w:rsidR="00880A47">
        <w:rPr>
          <w:rFonts w:cs="Times New Roman"/>
          <w:szCs w:val="24"/>
        </w:rPr>
        <w:t>en</w:t>
      </w:r>
      <w:r>
        <w:rPr>
          <w:rFonts w:cs="Times New Roman"/>
          <w:szCs w:val="24"/>
        </w:rPr>
        <w:t xml:space="preserve"> fra dagens regelverk til nytt</w:t>
      </w:r>
      <w:r w:rsidR="00880A47">
        <w:rPr>
          <w:rFonts w:cs="Times New Roman"/>
          <w:szCs w:val="24"/>
        </w:rPr>
        <w:t xml:space="preserve"> regelverk vil kunne skje</w:t>
      </w:r>
      <w:r w:rsidR="001921B6">
        <w:rPr>
          <w:rFonts w:cs="Times New Roman"/>
          <w:szCs w:val="24"/>
        </w:rPr>
        <w:t>:</w:t>
      </w:r>
    </w:p>
    <w:p w:rsidR="00672352" w:rsidRDefault="00880A47" w:rsidP="00E41C0F">
      <w:pPr>
        <w:pStyle w:val="blokksit"/>
      </w:pPr>
      <w:r>
        <w:t>Det</w:t>
      </w:r>
      <w:r w:rsidR="003F7B50">
        <w:t xml:space="preserve"> nye </w:t>
      </w:r>
      <w:r>
        <w:t xml:space="preserve">regelverket </w:t>
      </w:r>
      <w:r w:rsidR="003F7B50">
        <w:t xml:space="preserve">gjennomføres i år 1. Året før, </w:t>
      </w:r>
      <w:r w:rsidR="00B726AB">
        <w:t xml:space="preserve">i år 0, </w:t>
      </w:r>
      <w:r w:rsidR="003F7B50">
        <w:t xml:space="preserve">var tilskuddssatsen kr 1 000 </w:t>
      </w:r>
      <w:r w:rsidR="00F95128">
        <w:t xml:space="preserve">per </w:t>
      </w:r>
      <w:r w:rsidR="003F7B50">
        <w:t>tilskuddstellende medlem</w:t>
      </w:r>
      <w:r w:rsidR="009F5CD1">
        <w:t>,</w:t>
      </w:r>
      <w:r w:rsidR="002B33EE">
        <w:t xml:space="preserve"> uavhengig av medlemmenes alder</w:t>
      </w:r>
      <w:r w:rsidR="003F7B50">
        <w:t xml:space="preserve"> (</w:t>
      </w:r>
      <w:r w:rsidR="00F95128">
        <w:t xml:space="preserve">summen av </w:t>
      </w:r>
      <w:r w:rsidR="003F7B50">
        <w:t xml:space="preserve">statens </w:t>
      </w:r>
      <w:r w:rsidR="00F95128">
        <w:t>tilskudds</w:t>
      </w:r>
      <w:r w:rsidR="00B726AB">
        <w:t>s</w:t>
      </w:r>
      <w:r w:rsidR="00F95128">
        <w:t xml:space="preserve">ats </w:t>
      </w:r>
      <w:r w:rsidR="003F7B50">
        <w:t xml:space="preserve">og </w:t>
      </w:r>
      <w:r w:rsidR="00F95128">
        <w:t xml:space="preserve">snittet av </w:t>
      </w:r>
      <w:r w:rsidR="003F7B50">
        <w:t>kommunen</w:t>
      </w:r>
      <w:r w:rsidR="00F95128">
        <w:t>e</w:t>
      </w:r>
      <w:r w:rsidR="003F7B50">
        <w:t>s tilskudd</w:t>
      </w:r>
      <w:r w:rsidR="00F95128">
        <w:t>ssats per medlem</w:t>
      </w:r>
      <w:r w:rsidR="00B726AB">
        <w:t xml:space="preserve"> etter dagens regelverk</w:t>
      </w:r>
      <w:r w:rsidR="003F7B50">
        <w:t>)</w:t>
      </w:r>
      <w:r w:rsidR="00F95128">
        <w:t xml:space="preserve">. </w:t>
      </w:r>
      <w:r w:rsidR="002B33EE">
        <w:t xml:space="preserve">Når antallet medlemmer i Den norske kirke og andre tros- og livssynssamfunn under 15 år korrigeres i grunnlaget for satsen, gir dette en effekt på </w:t>
      </w:r>
      <w:r w:rsidR="009F5CD1">
        <w:t xml:space="preserve">tilskuddssatsen med </w:t>
      </w:r>
      <w:r w:rsidR="002B33EE">
        <w:t>+ 100 kroner. Tilskuddssatsen ved inngangen til år 1 blir da 1 100 kroner</w:t>
      </w:r>
      <w:r w:rsidR="009F5CD1">
        <w:t xml:space="preserve">. Det er denne tilskuddssatsen som etter forslaget vil være gjenstand for regulering i år 1. </w:t>
      </w:r>
    </w:p>
    <w:p w:rsidR="003F7B50" w:rsidRPr="003F7B50" w:rsidRDefault="00F95128" w:rsidP="00E41C0F">
      <w:pPr>
        <w:pStyle w:val="blokksit"/>
      </w:pPr>
      <w:r>
        <w:t>I år 1 er statens tilskudd til Den norske kirke på 2,3</w:t>
      </w:r>
      <w:r w:rsidR="00B726AB">
        <w:t xml:space="preserve">0 </w:t>
      </w:r>
      <w:r>
        <w:t>m</w:t>
      </w:r>
      <w:r w:rsidR="00EC4039">
        <w:t>rd</w:t>
      </w:r>
      <w:r>
        <w:t>. kroner</w:t>
      </w:r>
      <w:r w:rsidR="006D67FD">
        <w:t>, inklusive statens tilskudd til Sjøma</w:t>
      </w:r>
      <w:r w:rsidR="001E41E6">
        <w:t xml:space="preserve">nnskirken og andre </w:t>
      </w:r>
      <w:r w:rsidR="00407AF3">
        <w:t xml:space="preserve">særlige </w:t>
      </w:r>
      <w:r w:rsidR="001E41E6">
        <w:t xml:space="preserve">tilskudd </w:t>
      </w:r>
      <w:r w:rsidR="006D67FD">
        <w:t>som skal regnes inn i grunnlaget for til</w:t>
      </w:r>
      <w:r w:rsidR="001E41E6">
        <w:t>sk</w:t>
      </w:r>
      <w:r w:rsidR="006D67FD">
        <w:t xml:space="preserve">udd til andre tros- og livssynssamfunn. </w:t>
      </w:r>
      <w:r>
        <w:t xml:space="preserve">I </w:t>
      </w:r>
      <w:r w:rsidR="001E41E6">
        <w:t>støtten</w:t>
      </w:r>
      <w:r>
        <w:t xml:space="preserve"> </w:t>
      </w:r>
      <w:r w:rsidR="006D67FD">
        <w:t>på 2,30 m</w:t>
      </w:r>
      <w:r w:rsidR="005C7201">
        <w:t>rd</w:t>
      </w:r>
      <w:r w:rsidR="006D67FD">
        <w:t xml:space="preserve">. kroner </w:t>
      </w:r>
      <w:r w:rsidR="008C1639">
        <w:t>inngår</w:t>
      </w:r>
      <w:r>
        <w:t xml:space="preserve"> 1</w:t>
      </w:r>
      <w:r w:rsidR="00B726AB">
        <w:t>5</w:t>
      </w:r>
      <w:r>
        <w:t xml:space="preserve">0 mill. kroner </w:t>
      </w:r>
      <w:r w:rsidR="008C1639">
        <w:t>til</w:t>
      </w:r>
      <w:r>
        <w:t xml:space="preserve"> formål som </w:t>
      </w:r>
      <w:r w:rsidR="00C556F6">
        <w:t>ifølge lov og forskrift</w:t>
      </w:r>
      <w:r>
        <w:t xml:space="preserve"> ikke skal medregnes i grunnlaget for tilskudd til andre tros- og livssynssamfunn</w:t>
      </w:r>
      <w:r w:rsidR="00B726AB">
        <w:t xml:space="preserve">. </w:t>
      </w:r>
      <w:r>
        <w:t>Det sammenliknbare tilsku</w:t>
      </w:r>
      <w:r w:rsidR="00B726AB">
        <w:t>d</w:t>
      </w:r>
      <w:r>
        <w:t xml:space="preserve">det til Den norske </w:t>
      </w:r>
      <w:r w:rsidR="00B726AB">
        <w:t>k</w:t>
      </w:r>
      <w:r>
        <w:t xml:space="preserve">irke </w:t>
      </w:r>
      <w:r w:rsidR="0030540F">
        <w:t>i år 0 (f</w:t>
      </w:r>
      <w:r>
        <w:t>oregående år</w:t>
      </w:r>
      <w:r w:rsidR="0030540F">
        <w:t>)</w:t>
      </w:r>
      <w:r>
        <w:t xml:space="preserve"> var på 2,</w:t>
      </w:r>
      <w:r w:rsidR="00B726AB">
        <w:t>0</w:t>
      </w:r>
      <w:r>
        <w:t xml:space="preserve"> </w:t>
      </w:r>
      <w:r w:rsidR="00EC4039">
        <w:t>mrd</w:t>
      </w:r>
      <w:r w:rsidR="00B726AB">
        <w:t xml:space="preserve">. kroner. </w:t>
      </w:r>
      <w:r w:rsidR="00B726AB">
        <w:lastRenderedPageBreak/>
        <w:t xml:space="preserve">Reguleringsgrunnlaget har dermed økt fra 2,0 </w:t>
      </w:r>
      <w:r w:rsidR="00EC4039">
        <w:t>mrd</w:t>
      </w:r>
      <w:r w:rsidR="006D4815">
        <w:t xml:space="preserve">. kroner </w:t>
      </w:r>
      <w:r w:rsidR="00B726AB">
        <w:t xml:space="preserve">i år 0 til 2,15 </w:t>
      </w:r>
      <w:r w:rsidR="00EC4039">
        <w:t>mrd</w:t>
      </w:r>
      <w:r w:rsidR="006D4815">
        <w:t xml:space="preserve">. kroner </w:t>
      </w:r>
      <w:r w:rsidR="00B726AB">
        <w:t xml:space="preserve">i år 1. </w:t>
      </w:r>
      <w:r>
        <w:t>Dette er en økning på</w:t>
      </w:r>
      <w:r w:rsidR="00B726AB">
        <w:t xml:space="preserve"> </w:t>
      </w:r>
      <w:r w:rsidR="0030540F">
        <w:t>7</w:t>
      </w:r>
      <w:r w:rsidR="00F8378C">
        <w:t>,5</w:t>
      </w:r>
      <w:r w:rsidR="0030540F">
        <w:t xml:space="preserve"> </w:t>
      </w:r>
      <w:r w:rsidR="00B726AB">
        <w:t>pst. (150 mill. kroner). Til</w:t>
      </w:r>
      <w:r w:rsidR="0030540F">
        <w:t>s</w:t>
      </w:r>
      <w:r w:rsidR="00B726AB">
        <w:t>kudds</w:t>
      </w:r>
      <w:r w:rsidR="0030540F">
        <w:t>s</w:t>
      </w:r>
      <w:r w:rsidR="00B726AB">
        <w:t>at</w:t>
      </w:r>
      <w:r w:rsidR="0030540F">
        <w:t>s</w:t>
      </w:r>
      <w:r w:rsidR="00B726AB">
        <w:t>en i år 0 på 1</w:t>
      </w:r>
      <w:r w:rsidR="00C3199F">
        <w:t xml:space="preserve"> </w:t>
      </w:r>
      <w:r w:rsidR="00B726AB">
        <w:t>0</w:t>
      </w:r>
      <w:r w:rsidR="00880A47">
        <w:t>0</w:t>
      </w:r>
      <w:r w:rsidR="00B726AB">
        <w:t>0</w:t>
      </w:r>
      <w:r w:rsidR="00880A47">
        <w:t xml:space="preserve"> kroner, korrigert opp til 1 </w:t>
      </w:r>
      <w:r w:rsidR="009F5CD1">
        <w:t>10</w:t>
      </w:r>
      <w:r w:rsidR="00880A47">
        <w:t xml:space="preserve">0 </w:t>
      </w:r>
      <w:r w:rsidR="00B726AB">
        <w:t>kroner</w:t>
      </w:r>
      <w:r w:rsidR="009F5CD1">
        <w:t xml:space="preserve"> på grunn av alderskravet til tilskuddstellende medlemmer</w:t>
      </w:r>
      <w:r w:rsidR="00880A47">
        <w:t>,</w:t>
      </w:r>
      <w:r w:rsidR="00B726AB">
        <w:t xml:space="preserve"> skal et</w:t>
      </w:r>
      <w:r w:rsidR="0030540F">
        <w:t>t</w:t>
      </w:r>
      <w:r w:rsidR="00B726AB">
        <w:t>er dette økes med 7</w:t>
      </w:r>
      <w:r w:rsidR="00F8378C">
        <w:t>,5</w:t>
      </w:r>
      <w:r w:rsidR="00B726AB">
        <w:t xml:space="preserve"> pst. til </w:t>
      </w:r>
      <w:r w:rsidR="0030540F">
        <w:t>1</w:t>
      </w:r>
      <w:r w:rsidR="006D4815">
        <w:t xml:space="preserve"> </w:t>
      </w:r>
      <w:r w:rsidR="00880A47">
        <w:t>1</w:t>
      </w:r>
      <w:r w:rsidR="009F5CD1">
        <w:t>8</w:t>
      </w:r>
      <w:r w:rsidR="00F8378C">
        <w:t>2</w:t>
      </w:r>
      <w:r w:rsidR="0030540F">
        <w:t xml:space="preserve"> kroner</w:t>
      </w:r>
      <w:r w:rsidR="00C3199F">
        <w:t xml:space="preserve"> i år 1</w:t>
      </w:r>
      <w:r w:rsidR="0030540F">
        <w:t>.</w:t>
      </w:r>
      <w:r w:rsidR="00B726AB">
        <w:t xml:space="preserve"> </w:t>
      </w:r>
    </w:p>
    <w:p w:rsidR="009F5CD1" w:rsidRPr="003F7B50" w:rsidRDefault="009F5CD1" w:rsidP="001F2F73">
      <w:pPr>
        <w:rPr>
          <w:rFonts w:cs="Times New Roman"/>
          <w:szCs w:val="24"/>
        </w:rPr>
      </w:pPr>
      <w:r>
        <w:rPr>
          <w:rFonts w:cs="Times New Roman"/>
          <w:szCs w:val="24"/>
        </w:rPr>
        <w:t xml:space="preserve">Det vises ellers til kapittel 23.3. </w:t>
      </w:r>
    </w:p>
    <w:p w:rsidR="004307B5" w:rsidRPr="004307B5" w:rsidRDefault="004307B5" w:rsidP="004307B5">
      <w:pPr>
        <w:pStyle w:val="Overskrift2"/>
      </w:pPr>
      <w:bookmarkStart w:id="2152" w:name="_Toc492900505"/>
      <w:r w:rsidRPr="004307B5">
        <w:t>Pensjonsstøtten til enkelte trossamfunn utenom Den norske kirke</w:t>
      </w:r>
      <w:bookmarkEnd w:id="2152"/>
    </w:p>
    <w:p w:rsidR="004307B5" w:rsidRDefault="004307B5" w:rsidP="004307B5">
      <w:pPr>
        <w:spacing w:after="0" w:line="240" w:lineRule="auto"/>
        <w:rPr>
          <w:rFonts w:cs="Times New Roman"/>
          <w:szCs w:val="24"/>
        </w:rPr>
      </w:pPr>
      <w:r w:rsidRPr="004307B5">
        <w:rPr>
          <w:rFonts w:cs="Times New Roman"/>
          <w:szCs w:val="24"/>
        </w:rPr>
        <w:t>Enkelte trossamfunn har i dag medlemskap i Statens pensjonskasse uten å betale full pensjonspremie, samtidig som de under den særskilte tilskuddsordningen for tros- og livssynssamfunn utenom Den norske kirke mottar tilskudd per medlem på linje med andre samfunn. I NOU 2013: 1 pekte Stålsett-utvalge</w:t>
      </w:r>
      <w:r>
        <w:rPr>
          <w:rFonts w:cs="Times New Roman"/>
          <w:szCs w:val="24"/>
        </w:rPr>
        <w:t>t på dette og uttalte (s. 408):</w:t>
      </w:r>
    </w:p>
    <w:p w:rsidR="004307B5" w:rsidRPr="004307B5" w:rsidRDefault="004307B5" w:rsidP="004307B5">
      <w:pPr>
        <w:spacing w:after="0" w:line="240" w:lineRule="auto"/>
        <w:rPr>
          <w:rFonts w:cs="Times New Roman"/>
          <w:szCs w:val="24"/>
        </w:rPr>
      </w:pPr>
    </w:p>
    <w:p w:rsidR="004307B5" w:rsidRPr="009A30DA" w:rsidRDefault="004307B5" w:rsidP="009A30DA">
      <w:pPr>
        <w:pStyle w:val="blokksit"/>
        <w:rPr>
          <w:rStyle w:val="kursiv"/>
        </w:rPr>
      </w:pPr>
      <w:r w:rsidRPr="009A30DA">
        <w:rPr>
          <w:rStyle w:val="kursiv"/>
        </w:rPr>
        <w:t xml:space="preserve">Utvalget mener at dekningen av pensjonsforpliktelser til enkelte kristne menigheter som også får støtte fra den særlige støtteordningen for tros- og livssynssamfunn, er en uakseptabel forskjellsbehandling som ikke bør fortsette. Gitt at dekningen av Den norske kirkes pensjonsforpliktelser kommer inn i beregningsgrunnlaget for tilkuddsordningen, vil disse menighetene kunne få en dobbel kompensasjon knyttet til pensjon. </w:t>
      </w:r>
    </w:p>
    <w:p w:rsidR="00167462" w:rsidRDefault="004307B5" w:rsidP="004307B5">
      <w:pPr>
        <w:spacing w:after="0" w:line="240" w:lineRule="auto"/>
        <w:rPr>
          <w:rFonts w:cs="Times New Roman"/>
          <w:szCs w:val="24"/>
        </w:rPr>
      </w:pPr>
      <w:r w:rsidRPr="004307B5">
        <w:rPr>
          <w:rFonts w:cs="Times New Roman"/>
          <w:szCs w:val="24"/>
        </w:rPr>
        <w:t xml:space="preserve">Departementet viser til dette og er enig i at det forholdet som Stålsett-utvalget peker på, kan framstå som forskjellsbehandling og i tilfelle bør opphøre. Saken vil bli fulgt opp av Arbeids- og sosialdepartementet og Statens pensjonskasse med en konkret gjennomgang av premievilkårene for de berørte trossamfunnene. </w:t>
      </w:r>
      <w:r w:rsidR="00167462">
        <w:rPr>
          <w:rFonts w:cs="Times New Roman"/>
          <w:szCs w:val="24"/>
        </w:rPr>
        <w:br w:type="page"/>
      </w:r>
    </w:p>
    <w:p w:rsidR="00944062" w:rsidRDefault="00D46C2F" w:rsidP="00944062">
      <w:pPr>
        <w:pStyle w:val="Overskrift1"/>
      </w:pPr>
      <w:bookmarkStart w:id="2153" w:name="_Toc477532382"/>
      <w:bookmarkStart w:id="2154" w:name="_Toc477533173"/>
      <w:bookmarkStart w:id="2155" w:name="_Toc477534764"/>
      <w:bookmarkStart w:id="2156" w:name="_Toc477534056"/>
      <w:bookmarkStart w:id="2157" w:name="_Toc477535632"/>
      <w:bookmarkStart w:id="2158" w:name="_Toc477536416"/>
      <w:bookmarkStart w:id="2159" w:name="_Toc477628281"/>
      <w:bookmarkStart w:id="2160" w:name="_Toc477629075"/>
      <w:bookmarkStart w:id="2161" w:name="_Toc477630764"/>
      <w:bookmarkStart w:id="2162" w:name="_Toc477636458"/>
      <w:bookmarkStart w:id="2163" w:name="_Toc477691277"/>
      <w:bookmarkStart w:id="2164" w:name="_Toc477692929"/>
      <w:bookmarkStart w:id="2165" w:name="_Toc477693728"/>
      <w:bookmarkStart w:id="2166" w:name="_Toc477694527"/>
      <w:bookmarkStart w:id="2167" w:name="_Toc477695326"/>
      <w:bookmarkStart w:id="2168" w:name="_Toc477696136"/>
      <w:bookmarkStart w:id="2169" w:name="_Toc477702394"/>
      <w:bookmarkStart w:id="2170" w:name="_Toc477703253"/>
      <w:bookmarkStart w:id="2171" w:name="_Toc477704112"/>
      <w:bookmarkStart w:id="2172" w:name="_Toc477704972"/>
      <w:bookmarkStart w:id="2173" w:name="_Toc477789746"/>
      <w:bookmarkStart w:id="2174" w:name="_Toc477794152"/>
      <w:bookmarkStart w:id="2175" w:name="_Toc477796638"/>
      <w:bookmarkStart w:id="2176" w:name="_Toc477797535"/>
      <w:bookmarkStart w:id="2177" w:name="_Toc477798433"/>
      <w:bookmarkStart w:id="2178" w:name="_Toc477799331"/>
      <w:bookmarkStart w:id="2179" w:name="_Toc477800506"/>
      <w:bookmarkStart w:id="2180" w:name="_Toc477802362"/>
      <w:bookmarkStart w:id="2181" w:name="_Toc477803258"/>
      <w:bookmarkStart w:id="2182" w:name="_Toc477804154"/>
      <w:bookmarkStart w:id="2183" w:name="_Toc477805035"/>
      <w:bookmarkStart w:id="2184" w:name="_Toc477805932"/>
      <w:bookmarkStart w:id="2185" w:name="_Toc477809448"/>
      <w:bookmarkStart w:id="2186" w:name="_Toc477857090"/>
      <w:bookmarkStart w:id="2187" w:name="_Toc477859678"/>
      <w:bookmarkStart w:id="2188" w:name="_Toc477857997"/>
      <w:bookmarkStart w:id="2189" w:name="_Toc477861330"/>
      <w:bookmarkStart w:id="2190" w:name="_Toc477864057"/>
      <w:bookmarkStart w:id="2191" w:name="_Toc477865293"/>
      <w:bookmarkStart w:id="2192" w:name="_Toc477866192"/>
      <w:bookmarkStart w:id="2193" w:name="_Toc477867091"/>
      <w:bookmarkStart w:id="2194" w:name="_Toc477867990"/>
      <w:bookmarkStart w:id="2195" w:name="_Toc477868889"/>
      <w:bookmarkStart w:id="2196" w:name="_Toc477869790"/>
      <w:bookmarkStart w:id="2197" w:name="_Toc477870691"/>
      <w:bookmarkStart w:id="2198" w:name="_Toc477871592"/>
      <w:bookmarkStart w:id="2199" w:name="_Toc477872265"/>
      <w:bookmarkStart w:id="2200" w:name="_Toc477873168"/>
      <w:bookmarkStart w:id="2201" w:name="_Toc477874079"/>
      <w:bookmarkStart w:id="2202" w:name="_Toc477875467"/>
      <w:bookmarkStart w:id="2203" w:name="_Toc477876376"/>
      <w:bookmarkStart w:id="2204" w:name="_Toc477877285"/>
      <w:bookmarkStart w:id="2205" w:name="_Toc477878194"/>
      <w:bookmarkStart w:id="2206" w:name="_Toc477876887"/>
      <w:bookmarkStart w:id="2207" w:name="_Toc477879760"/>
      <w:bookmarkStart w:id="2208" w:name="_Toc477880678"/>
      <w:bookmarkStart w:id="2209" w:name="_Toc477881597"/>
      <w:bookmarkStart w:id="2210" w:name="_Toc477886057"/>
      <w:bookmarkStart w:id="2211" w:name="_Toc477890390"/>
      <w:bookmarkStart w:id="2212" w:name="_Toc477936747"/>
      <w:bookmarkStart w:id="2213" w:name="_Toc477937921"/>
      <w:bookmarkStart w:id="2214" w:name="_Toc477532555"/>
      <w:bookmarkStart w:id="2215" w:name="_Toc477533346"/>
      <w:bookmarkStart w:id="2216" w:name="_Toc477534937"/>
      <w:bookmarkStart w:id="2217" w:name="_Toc477534229"/>
      <w:bookmarkStart w:id="2218" w:name="_Toc477535805"/>
      <w:bookmarkStart w:id="2219" w:name="_Toc477536589"/>
      <w:bookmarkStart w:id="2220" w:name="_Toc477628454"/>
      <w:bookmarkStart w:id="2221" w:name="_Toc477629248"/>
      <w:bookmarkStart w:id="2222" w:name="_Toc477630937"/>
      <w:bookmarkStart w:id="2223" w:name="_Toc477636631"/>
      <w:bookmarkStart w:id="2224" w:name="_Toc477691450"/>
      <w:bookmarkStart w:id="2225" w:name="_Toc477693102"/>
      <w:bookmarkStart w:id="2226" w:name="_Toc477693901"/>
      <w:bookmarkStart w:id="2227" w:name="_Toc477694700"/>
      <w:bookmarkStart w:id="2228" w:name="_Toc477695499"/>
      <w:bookmarkStart w:id="2229" w:name="_Toc477696309"/>
      <w:bookmarkStart w:id="2230" w:name="_Toc477702567"/>
      <w:bookmarkStart w:id="2231" w:name="_Toc477703426"/>
      <w:bookmarkStart w:id="2232" w:name="_Toc477704285"/>
      <w:bookmarkStart w:id="2233" w:name="_Toc477705145"/>
      <w:bookmarkStart w:id="2234" w:name="_Toc477789919"/>
      <w:bookmarkStart w:id="2235" w:name="_Toc477794325"/>
      <w:bookmarkStart w:id="2236" w:name="_Toc477796811"/>
      <w:bookmarkStart w:id="2237" w:name="_Toc477797708"/>
      <w:bookmarkStart w:id="2238" w:name="_Toc477798606"/>
      <w:bookmarkStart w:id="2239" w:name="_Toc477799504"/>
      <w:bookmarkStart w:id="2240" w:name="_Toc477800679"/>
      <w:bookmarkStart w:id="2241" w:name="_Toc477802535"/>
      <w:bookmarkStart w:id="2242" w:name="_Toc477803431"/>
      <w:bookmarkStart w:id="2243" w:name="_Toc477804327"/>
      <w:bookmarkStart w:id="2244" w:name="_Toc477805208"/>
      <w:bookmarkStart w:id="2245" w:name="_Toc477806105"/>
      <w:bookmarkStart w:id="2246" w:name="_Toc477809621"/>
      <w:bookmarkStart w:id="2247" w:name="_Toc477857263"/>
      <w:bookmarkStart w:id="2248" w:name="_Toc477859851"/>
      <w:bookmarkStart w:id="2249" w:name="_Toc477858170"/>
      <w:bookmarkStart w:id="2250" w:name="_Toc477861503"/>
      <w:bookmarkStart w:id="2251" w:name="_Toc477864230"/>
      <w:bookmarkStart w:id="2252" w:name="_Toc477865466"/>
      <w:bookmarkStart w:id="2253" w:name="_Toc477866365"/>
      <w:bookmarkStart w:id="2254" w:name="_Toc477867264"/>
      <w:bookmarkStart w:id="2255" w:name="_Toc477868163"/>
      <w:bookmarkStart w:id="2256" w:name="_Toc477869062"/>
      <w:bookmarkStart w:id="2257" w:name="_Toc477869963"/>
      <w:bookmarkStart w:id="2258" w:name="_Toc477870864"/>
      <w:bookmarkStart w:id="2259" w:name="_Toc477871765"/>
      <w:bookmarkStart w:id="2260" w:name="_Toc477872438"/>
      <w:bookmarkStart w:id="2261" w:name="_Toc477873341"/>
      <w:bookmarkStart w:id="2262" w:name="_Toc477874252"/>
      <w:bookmarkStart w:id="2263" w:name="_Toc477875640"/>
      <w:bookmarkStart w:id="2264" w:name="_Toc477876549"/>
      <w:bookmarkStart w:id="2265" w:name="_Toc477877458"/>
      <w:bookmarkStart w:id="2266" w:name="_Toc477878367"/>
      <w:bookmarkStart w:id="2267" w:name="_Toc477879022"/>
      <w:bookmarkStart w:id="2268" w:name="_Toc477879933"/>
      <w:bookmarkStart w:id="2269" w:name="_Toc477880851"/>
      <w:bookmarkStart w:id="2270" w:name="_Toc477881770"/>
      <w:bookmarkStart w:id="2271" w:name="_Toc477886230"/>
      <w:bookmarkStart w:id="2272" w:name="_Toc477890563"/>
      <w:bookmarkStart w:id="2273" w:name="_Toc477936920"/>
      <w:bookmarkStart w:id="2274" w:name="_Toc477938094"/>
      <w:bookmarkStart w:id="2275" w:name="_Toc478131439"/>
      <w:bookmarkStart w:id="2276" w:name="_Toc478138809"/>
      <w:bookmarkStart w:id="2277" w:name="_Toc478232334"/>
      <w:bookmarkStart w:id="2278" w:name="_Toc478237318"/>
      <w:bookmarkStart w:id="2279" w:name="_Toc481761854"/>
      <w:bookmarkStart w:id="2280" w:name="_Toc492900506"/>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lastRenderedPageBreak/>
        <w:t>V</w:t>
      </w:r>
      <w:r w:rsidR="00944062" w:rsidRPr="00ED749A">
        <w:t>ilkår</w:t>
      </w:r>
      <w:r w:rsidR="00944062">
        <w:t xml:space="preserve"> for tilskudd</w:t>
      </w:r>
      <w:bookmarkEnd w:id="2275"/>
      <w:bookmarkEnd w:id="2276"/>
      <w:bookmarkEnd w:id="2277"/>
      <w:bookmarkEnd w:id="2278"/>
      <w:bookmarkEnd w:id="2279"/>
      <w:bookmarkEnd w:id="2280"/>
    </w:p>
    <w:p w:rsidR="009F58E9" w:rsidRPr="00A427AA" w:rsidRDefault="009F58E9" w:rsidP="00A427AA">
      <w:pPr>
        <w:pStyle w:val="Overskrift2"/>
      </w:pPr>
      <w:bookmarkStart w:id="2281" w:name="_Toc477789922"/>
      <w:bookmarkStart w:id="2282" w:name="_Toc477794328"/>
      <w:bookmarkStart w:id="2283" w:name="_Toc477796814"/>
      <w:bookmarkStart w:id="2284" w:name="_Toc477797711"/>
      <w:bookmarkStart w:id="2285" w:name="_Toc477798609"/>
      <w:bookmarkStart w:id="2286" w:name="_Toc477799507"/>
      <w:bookmarkStart w:id="2287" w:name="_Toc477800682"/>
      <w:bookmarkStart w:id="2288" w:name="_Toc477802538"/>
      <w:bookmarkStart w:id="2289" w:name="_Toc477803434"/>
      <w:bookmarkStart w:id="2290" w:name="_Toc477804330"/>
      <w:bookmarkStart w:id="2291" w:name="_Toc477805211"/>
      <w:bookmarkStart w:id="2292" w:name="_Toc477806108"/>
      <w:bookmarkStart w:id="2293" w:name="_Toc477809624"/>
      <w:bookmarkStart w:id="2294" w:name="_Toc477857266"/>
      <w:bookmarkStart w:id="2295" w:name="_Toc477859854"/>
      <w:bookmarkStart w:id="2296" w:name="_Toc477858173"/>
      <w:bookmarkStart w:id="2297" w:name="_Toc477861506"/>
      <w:bookmarkStart w:id="2298" w:name="_Toc477864233"/>
      <w:bookmarkStart w:id="2299" w:name="_Toc477865469"/>
      <w:bookmarkStart w:id="2300" w:name="_Toc477866368"/>
      <w:bookmarkStart w:id="2301" w:name="_Toc477867267"/>
      <w:bookmarkStart w:id="2302" w:name="_Toc477868166"/>
      <w:bookmarkStart w:id="2303" w:name="_Toc477869065"/>
      <w:bookmarkStart w:id="2304" w:name="_Toc477869966"/>
      <w:bookmarkStart w:id="2305" w:name="_Toc477870867"/>
      <w:bookmarkStart w:id="2306" w:name="_Toc477871768"/>
      <w:bookmarkStart w:id="2307" w:name="_Toc477872441"/>
      <w:bookmarkStart w:id="2308" w:name="_Toc477873344"/>
      <w:bookmarkStart w:id="2309" w:name="_Toc477874255"/>
      <w:bookmarkStart w:id="2310" w:name="_Toc477875643"/>
      <w:bookmarkStart w:id="2311" w:name="_Toc477876552"/>
      <w:bookmarkStart w:id="2312" w:name="_Toc477877461"/>
      <w:bookmarkStart w:id="2313" w:name="_Toc477878370"/>
      <w:bookmarkStart w:id="2314" w:name="_Toc477879025"/>
      <w:bookmarkStart w:id="2315" w:name="_Toc477879936"/>
      <w:bookmarkStart w:id="2316" w:name="_Toc477880854"/>
      <w:bookmarkStart w:id="2317" w:name="_Toc477881773"/>
      <w:bookmarkStart w:id="2318" w:name="_Toc477886233"/>
      <w:bookmarkStart w:id="2319" w:name="_Toc477890566"/>
      <w:bookmarkStart w:id="2320" w:name="_Toc477936923"/>
      <w:bookmarkStart w:id="2321" w:name="_Toc477938097"/>
      <w:bookmarkStart w:id="2322" w:name="_Toc477277306"/>
      <w:bookmarkStart w:id="2323" w:name="_Toc477535808"/>
      <w:bookmarkStart w:id="2324" w:name="_Toc477630940"/>
      <w:bookmarkStart w:id="2325" w:name="_Toc477693904"/>
      <w:bookmarkStart w:id="2326" w:name="_Toc477704288"/>
      <w:bookmarkStart w:id="2327" w:name="_Toc477799508"/>
      <w:bookmarkStart w:id="2328" w:name="_Toc477806109"/>
      <w:bookmarkStart w:id="2329" w:name="_Toc477871769"/>
      <w:bookmarkStart w:id="2330" w:name="_Toc477878371"/>
      <w:bookmarkStart w:id="2331" w:name="_Toc477881774"/>
      <w:bookmarkStart w:id="2332" w:name="_Toc477886234"/>
      <w:bookmarkStart w:id="2333" w:name="_Toc478131440"/>
      <w:bookmarkStart w:id="2334" w:name="_Toc478138810"/>
      <w:bookmarkStart w:id="2335" w:name="_Toc478232335"/>
      <w:bookmarkStart w:id="2336" w:name="_Toc478237319"/>
      <w:bookmarkStart w:id="2337" w:name="_Toc481761855"/>
      <w:bookmarkStart w:id="2338" w:name="_Toc492900507"/>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r w:rsidRPr="00A427AA">
        <w:t>Innledning</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r w:rsidRPr="00A427AA">
        <w:t xml:space="preserve"> </w:t>
      </w:r>
    </w:p>
    <w:p w:rsidR="009B1E17" w:rsidRDefault="009B1E17" w:rsidP="00E113D2">
      <w:r>
        <w:t>Departementet viser til kapittel 7 ovenfor</w:t>
      </w:r>
      <w:r w:rsidR="005A5B3A">
        <w:t xml:space="preserve">, der det blant annet er foreslått krav til registrering av tros- og livssynssamfunn. Lovforslaget fra departementet legger opp til at registrering skal være grunnvilkår for blant annet krav om statstilskudd. </w:t>
      </w:r>
      <w:r>
        <w:t xml:space="preserve"> </w:t>
      </w:r>
    </w:p>
    <w:p w:rsidR="00020C2D" w:rsidRDefault="0051174E" w:rsidP="009F58E9">
      <w:r>
        <w:t xml:space="preserve">I dette kapitlet drøfter departementet hvilke </w:t>
      </w:r>
      <w:r w:rsidR="00906922">
        <w:t>ytterligere</w:t>
      </w:r>
      <w:r>
        <w:t xml:space="preserve"> vilkår som bør stilles for </w:t>
      </w:r>
      <w:r w:rsidR="009A23E0">
        <w:t>stats</w:t>
      </w:r>
      <w:r>
        <w:t>tilskudd</w:t>
      </w:r>
      <w:r w:rsidR="009A23E0">
        <w:t xml:space="preserve"> til tros- og livssynssamfunn i den særlige støtteordningen</w:t>
      </w:r>
      <w:r>
        <w:t xml:space="preserve">. </w:t>
      </w:r>
      <w:r w:rsidR="00020C2D">
        <w:t xml:space="preserve">Utgangspunktet er at registrerte tros- og livssynssamfunn kan </w:t>
      </w:r>
      <w:r w:rsidR="00020C2D" w:rsidRPr="00FB6C59">
        <w:rPr>
          <w:i/>
        </w:rPr>
        <w:t>kreve</w:t>
      </w:r>
      <w:r w:rsidR="00020C2D">
        <w:t xml:space="preserve"> statstilskudd. Vilkårene som foreslås i dette kapitlet, er derfor formulert som grunnlag for å nekte tilskudd, eventuelt grunnlag for å kreve utbetalt tilskudd tilbakebetalt. I tillegg legger departementet opp til at tros- og livssynssamfunn eksplisitt skal forplikte seg til å oppfylle disse vilkårene når de fremmer krav om tilskudd. </w:t>
      </w:r>
    </w:p>
    <w:p w:rsidR="00F027C9" w:rsidRPr="00707CBE" w:rsidRDefault="009A23E0" w:rsidP="009F58E9">
      <w:r>
        <w:t>Hvilke v</w:t>
      </w:r>
      <w:r w:rsidR="000F0665">
        <w:t xml:space="preserve">ilkår </w:t>
      </w:r>
      <w:r>
        <w:t xml:space="preserve">som bør stilles </w:t>
      </w:r>
      <w:r w:rsidR="000F0665">
        <w:t>for tilskudd</w:t>
      </w:r>
      <w:r>
        <w:t>,</w:t>
      </w:r>
      <w:r w:rsidR="000F0665">
        <w:t xml:space="preserve"> </w:t>
      </w:r>
      <w:r>
        <w:t xml:space="preserve">har også sammenheng </w:t>
      </w:r>
      <w:r w:rsidR="00C4714B">
        <w:t>med hvilke krav til</w:t>
      </w:r>
      <w:r w:rsidR="000F0665">
        <w:t xml:space="preserve"> rapportering mv.</w:t>
      </w:r>
      <w:r>
        <w:t xml:space="preserve"> som skal gjelde</w:t>
      </w:r>
      <w:r w:rsidR="000F0665">
        <w:t xml:space="preserve">, og det siste er behandlet i kapittel </w:t>
      </w:r>
      <w:r w:rsidR="00786C73">
        <w:t>16</w:t>
      </w:r>
      <w:r w:rsidR="000F0665">
        <w:t xml:space="preserve">. </w:t>
      </w:r>
      <w:r w:rsidR="000F0665">
        <w:rPr>
          <w:rFonts w:cs="Times New Roman"/>
          <w:szCs w:val="24"/>
        </w:rPr>
        <w:t xml:space="preserve"> </w:t>
      </w:r>
    </w:p>
    <w:p w:rsidR="00A811EB" w:rsidRPr="006C4C2A" w:rsidRDefault="00A811EB" w:rsidP="009F58E9">
      <w:pPr>
        <w:rPr>
          <w:rFonts w:cs="Times New Roman"/>
          <w:szCs w:val="24"/>
        </w:rPr>
      </w:pPr>
      <w:bookmarkStart w:id="2339" w:name="_Toc477258626"/>
      <w:bookmarkStart w:id="2340" w:name="_Toc477260896"/>
      <w:bookmarkStart w:id="2341" w:name="_Toc477270317"/>
      <w:bookmarkStart w:id="2342" w:name="_Toc477272289"/>
      <w:bookmarkStart w:id="2343" w:name="_Toc477274469"/>
      <w:bookmarkStart w:id="2344" w:name="_Toc477275186"/>
      <w:bookmarkStart w:id="2345" w:name="_Toc477277311"/>
      <w:bookmarkStart w:id="2346" w:name="_Toc477279430"/>
      <w:bookmarkStart w:id="2347" w:name="_Toc477531785"/>
      <w:bookmarkStart w:id="2348" w:name="_Toc477532563"/>
      <w:bookmarkStart w:id="2349" w:name="_Toc477533354"/>
      <w:bookmarkStart w:id="2350" w:name="_Toc477534945"/>
      <w:bookmarkStart w:id="2351" w:name="_Toc477534237"/>
      <w:bookmarkStart w:id="2352" w:name="_Toc477535813"/>
      <w:bookmarkStart w:id="2353" w:name="_Toc477536597"/>
      <w:bookmarkStart w:id="2354" w:name="_Toc477628462"/>
      <w:bookmarkStart w:id="2355" w:name="_Toc477629256"/>
      <w:bookmarkStart w:id="2356" w:name="_Toc477630945"/>
      <w:bookmarkStart w:id="2357" w:name="_Toc477636639"/>
      <w:bookmarkStart w:id="2358" w:name="_Toc477691458"/>
      <w:bookmarkStart w:id="2359" w:name="_Toc477693110"/>
      <w:bookmarkStart w:id="2360" w:name="_Toc477693909"/>
      <w:bookmarkStart w:id="2361" w:name="_Toc477694708"/>
      <w:bookmarkStart w:id="2362" w:name="_Toc477695507"/>
      <w:bookmarkStart w:id="2363" w:name="_Toc477696317"/>
      <w:bookmarkStart w:id="2364" w:name="_Toc477702591"/>
      <w:bookmarkStart w:id="2365" w:name="_Toc477703450"/>
      <w:bookmarkStart w:id="2366" w:name="_Toc477704309"/>
      <w:bookmarkStart w:id="2367" w:name="_Toc477705169"/>
      <w:bookmarkStart w:id="2368" w:name="_Toc477789944"/>
      <w:bookmarkStart w:id="2369" w:name="_Toc477794350"/>
      <w:bookmarkStart w:id="2370" w:name="_Toc477796836"/>
      <w:bookmarkStart w:id="2371" w:name="_Toc477797733"/>
      <w:bookmarkStart w:id="2372" w:name="_Toc477798631"/>
      <w:bookmarkStart w:id="2373" w:name="_Toc477799529"/>
      <w:bookmarkStart w:id="2374" w:name="_Toc477800704"/>
      <w:bookmarkStart w:id="2375" w:name="_Toc477802560"/>
      <w:bookmarkStart w:id="2376" w:name="_Toc477803456"/>
      <w:bookmarkStart w:id="2377" w:name="_Toc477804352"/>
      <w:bookmarkStart w:id="2378" w:name="_Toc477805233"/>
      <w:bookmarkStart w:id="2379" w:name="_Toc477806130"/>
      <w:bookmarkStart w:id="2380" w:name="_Toc477809646"/>
      <w:bookmarkStart w:id="2381" w:name="_Toc477857288"/>
      <w:bookmarkStart w:id="2382" w:name="_Toc477859876"/>
      <w:bookmarkStart w:id="2383" w:name="_Toc477858195"/>
      <w:bookmarkStart w:id="2384" w:name="_Toc477861528"/>
      <w:bookmarkStart w:id="2385" w:name="_Toc477864255"/>
      <w:bookmarkStart w:id="2386" w:name="_Toc477865491"/>
      <w:bookmarkStart w:id="2387" w:name="_Toc477866390"/>
      <w:bookmarkStart w:id="2388" w:name="_Toc477867289"/>
      <w:bookmarkStart w:id="2389" w:name="_Toc477868188"/>
      <w:bookmarkStart w:id="2390" w:name="_Toc477869087"/>
      <w:bookmarkStart w:id="2391" w:name="_Toc477869988"/>
      <w:bookmarkStart w:id="2392" w:name="_Toc477870889"/>
      <w:bookmarkStart w:id="2393" w:name="_Toc477871790"/>
      <w:bookmarkStart w:id="2394" w:name="_Toc477872463"/>
      <w:bookmarkStart w:id="2395" w:name="_Toc477873366"/>
      <w:bookmarkStart w:id="2396" w:name="_Toc477874277"/>
      <w:bookmarkStart w:id="2397" w:name="_Toc477873847"/>
      <w:bookmarkStart w:id="2398" w:name="_Toc477875665"/>
      <w:bookmarkStart w:id="2399" w:name="_Toc477876574"/>
      <w:bookmarkStart w:id="2400" w:name="_Toc477877483"/>
      <w:bookmarkStart w:id="2401" w:name="_Toc477878392"/>
      <w:bookmarkStart w:id="2402" w:name="_Toc477879047"/>
      <w:bookmarkStart w:id="2403" w:name="_Toc477879958"/>
      <w:bookmarkStart w:id="2404" w:name="_Toc477880876"/>
      <w:bookmarkStart w:id="2405" w:name="_Toc477881795"/>
      <w:bookmarkStart w:id="2406" w:name="_Toc477886255"/>
      <w:bookmarkStart w:id="2407" w:name="_Toc477890588"/>
      <w:bookmarkStart w:id="2408" w:name="_Toc477936945"/>
      <w:bookmarkStart w:id="2409" w:name="_Toc477938119"/>
      <w:bookmarkStart w:id="2410" w:name="_Toc477702605"/>
      <w:bookmarkStart w:id="2411" w:name="_Toc477703464"/>
      <w:bookmarkStart w:id="2412" w:name="_Toc477704323"/>
      <w:bookmarkStart w:id="2413" w:name="_Toc477705183"/>
      <w:bookmarkStart w:id="2414" w:name="_Toc477789958"/>
      <w:bookmarkStart w:id="2415" w:name="_Toc477794364"/>
      <w:bookmarkStart w:id="2416" w:name="_Toc477796850"/>
      <w:bookmarkStart w:id="2417" w:name="_Toc477797747"/>
      <w:bookmarkStart w:id="2418" w:name="_Toc477798645"/>
      <w:bookmarkStart w:id="2419" w:name="_Toc477799543"/>
      <w:bookmarkStart w:id="2420" w:name="_Toc477800718"/>
      <w:bookmarkStart w:id="2421" w:name="_Toc477802574"/>
      <w:bookmarkStart w:id="2422" w:name="_Toc477803470"/>
      <w:bookmarkStart w:id="2423" w:name="_Toc477804366"/>
      <w:bookmarkStart w:id="2424" w:name="_Toc477805247"/>
      <w:bookmarkStart w:id="2425" w:name="_Toc477806144"/>
      <w:bookmarkStart w:id="2426" w:name="_Toc477809660"/>
      <w:bookmarkStart w:id="2427" w:name="_Toc477857302"/>
      <w:bookmarkStart w:id="2428" w:name="_Toc477859890"/>
      <w:bookmarkStart w:id="2429" w:name="_Toc477858209"/>
      <w:bookmarkStart w:id="2430" w:name="_Toc477861542"/>
      <w:bookmarkStart w:id="2431" w:name="_Toc477864269"/>
      <w:bookmarkStart w:id="2432" w:name="_Toc477865505"/>
      <w:bookmarkStart w:id="2433" w:name="_Toc477866404"/>
      <w:bookmarkStart w:id="2434" w:name="_Toc477867303"/>
      <w:bookmarkStart w:id="2435" w:name="_Toc477868202"/>
      <w:bookmarkStart w:id="2436" w:name="_Toc477869101"/>
      <w:bookmarkStart w:id="2437" w:name="_Toc477870002"/>
      <w:bookmarkStart w:id="2438" w:name="_Toc477870903"/>
      <w:bookmarkStart w:id="2439" w:name="_Toc477871804"/>
      <w:bookmarkStart w:id="2440" w:name="_Toc477872477"/>
      <w:bookmarkStart w:id="2441" w:name="_Toc477873380"/>
      <w:bookmarkStart w:id="2442" w:name="_Toc477874291"/>
      <w:bookmarkStart w:id="2443" w:name="_Toc477874770"/>
      <w:bookmarkStart w:id="2444" w:name="_Toc477875679"/>
      <w:bookmarkStart w:id="2445" w:name="_Toc477876588"/>
      <w:bookmarkStart w:id="2446" w:name="_Toc477877497"/>
      <w:bookmarkStart w:id="2447" w:name="_Toc477878406"/>
      <w:bookmarkStart w:id="2448" w:name="_Toc477879061"/>
      <w:bookmarkStart w:id="2449" w:name="_Toc477879972"/>
      <w:bookmarkStart w:id="2450" w:name="_Toc477880890"/>
      <w:bookmarkStart w:id="2451" w:name="_Toc477881809"/>
      <w:bookmarkStart w:id="2452" w:name="_Toc477886269"/>
      <w:bookmarkStart w:id="2453" w:name="_Toc477890602"/>
      <w:bookmarkStart w:id="2454" w:name="_Toc477936959"/>
      <w:bookmarkStart w:id="2455" w:name="_Toc477938133"/>
      <w:bookmarkStart w:id="2456" w:name="_Toc477789980"/>
      <w:bookmarkStart w:id="2457" w:name="_Toc477794386"/>
      <w:bookmarkStart w:id="2458" w:name="_Toc477796872"/>
      <w:bookmarkStart w:id="2459" w:name="_Toc477797769"/>
      <w:bookmarkStart w:id="2460" w:name="_Toc477798667"/>
      <w:bookmarkStart w:id="2461" w:name="_Toc477799565"/>
      <w:bookmarkStart w:id="2462" w:name="_Toc477800740"/>
      <w:bookmarkStart w:id="2463" w:name="_Toc477802596"/>
      <w:bookmarkStart w:id="2464" w:name="_Toc477803492"/>
      <w:bookmarkStart w:id="2465" w:name="_Toc477804388"/>
      <w:bookmarkStart w:id="2466" w:name="_Toc477805269"/>
      <w:bookmarkStart w:id="2467" w:name="_Toc477806166"/>
      <w:bookmarkStart w:id="2468" w:name="_Toc477809682"/>
      <w:bookmarkStart w:id="2469" w:name="_Toc477857324"/>
      <w:bookmarkStart w:id="2470" w:name="_Toc477859912"/>
      <w:bookmarkStart w:id="2471" w:name="_Toc477858231"/>
      <w:bookmarkStart w:id="2472" w:name="_Toc477861564"/>
      <w:bookmarkStart w:id="2473" w:name="_Toc477864291"/>
      <w:bookmarkStart w:id="2474" w:name="_Toc477865527"/>
      <w:bookmarkStart w:id="2475" w:name="_Toc477866426"/>
      <w:bookmarkStart w:id="2476" w:name="_Toc477867325"/>
      <w:bookmarkStart w:id="2477" w:name="_Toc477868224"/>
      <w:bookmarkStart w:id="2478" w:name="_Toc477869123"/>
      <w:bookmarkStart w:id="2479" w:name="_Toc477870024"/>
      <w:bookmarkStart w:id="2480" w:name="_Toc477870925"/>
      <w:bookmarkStart w:id="2481" w:name="_Toc477871826"/>
      <w:bookmarkStart w:id="2482" w:name="_Toc477872499"/>
      <w:bookmarkStart w:id="2483" w:name="_Toc477873402"/>
      <w:bookmarkStart w:id="2484" w:name="_Toc477874313"/>
      <w:bookmarkStart w:id="2485" w:name="_Toc477874792"/>
      <w:bookmarkStart w:id="2486" w:name="_Toc477875701"/>
      <w:bookmarkStart w:id="2487" w:name="_Toc477876610"/>
      <w:bookmarkStart w:id="2488" w:name="_Toc477877519"/>
      <w:bookmarkStart w:id="2489" w:name="_Toc477878428"/>
      <w:bookmarkStart w:id="2490" w:name="_Toc477879083"/>
      <w:bookmarkStart w:id="2491" w:name="_Toc477879994"/>
      <w:bookmarkStart w:id="2492" w:name="_Toc477880912"/>
      <w:bookmarkStart w:id="2493" w:name="_Toc477881831"/>
      <w:bookmarkStart w:id="2494" w:name="_Toc477886291"/>
      <w:bookmarkStart w:id="2495" w:name="_Toc477890624"/>
      <w:bookmarkStart w:id="2496" w:name="_Toc477936981"/>
      <w:bookmarkStart w:id="2497" w:name="_Toc477938155"/>
      <w:bookmarkStart w:id="2498" w:name="_Toc477277321"/>
      <w:bookmarkStart w:id="2499" w:name="_Toc477535823"/>
      <w:bookmarkStart w:id="2500" w:name="_Toc477630955"/>
      <w:bookmarkStart w:id="2501" w:name="_Toc477693919"/>
      <w:bookmarkStart w:id="2502" w:name="_Toc477704344"/>
      <w:bookmarkStart w:id="2503" w:name="_Toc477799582"/>
      <w:bookmarkStart w:id="2504" w:name="_Toc477806183"/>
      <w:bookmarkStart w:id="2505" w:name="_Toc477871843"/>
      <w:bookmarkStart w:id="2506" w:name="_Toc477878445"/>
      <w:bookmarkStart w:id="2507" w:name="_Toc477881848"/>
      <w:bookmarkStart w:id="2508" w:name="_Toc477886308"/>
      <w:bookmarkStart w:id="2509" w:name="_Toc478131441"/>
      <w:bookmarkStart w:id="2510" w:name="_Toc478138811"/>
      <w:bookmarkStart w:id="2511" w:name="_Toc478232336"/>
      <w:bookmarkStart w:id="2512" w:name="_Toc478237320"/>
      <w:bookmarkStart w:id="2513" w:name="_Toc476320962"/>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Pr>
          <w:rFonts w:cs="Times New Roman"/>
          <w:szCs w:val="24"/>
        </w:rPr>
        <w:t xml:space="preserve">De vilkårene som er foreslått gitt for tilskudd til tros- og livssynssamfunn, </w:t>
      </w:r>
      <w:r w:rsidR="006C4C2A">
        <w:rPr>
          <w:rFonts w:cs="Times New Roman"/>
          <w:szCs w:val="24"/>
        </w:rPr>
        <w:t>vil etter forslaget gjelde</w:t>
      </w:r>
      <w:r>
        <w:rPr>
          <w:rFonts w:cs="Times New Roman"/>
          <w:szCs w:val="24"/>
        </w:rPr>
        <w:t xml:space="preserve"> tilsvarende for Den norske kirke. </w:t>
      </w:r>
    </w:p>
    <w:p w:rsidR="00FB2B22" w:rsidRDefault="00FB2B22" w:rsidP="00867A9E">
      <w:pPr>
        <w:pStyle w:val="Overskrift2"/>
      </w:pPr>
      <w:bookmarkStart w:id="2514" w:name="_Toc481761856"/>
      <w:bookmarkStart w:id="2515" w:name="_Toc492900508"/>
      <w:r>
        <w:t>"Rett og sømd" – virksomhet i samsvar med norsk lov og grunnleggende verdier</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4"/>
      <w:bookmarkEnd w:id="2515"/>
      <w:r>
        <w:t xml:space="preserve"> </w:t>
      </w:r>
    </w:p>
    <w:p w:rsidR="00944062" w:rsidRDefault="00FB2B22" w:rsidP="00FB2B22">
      <w:pPr>
        <w:pStyle w:val="Overskrift3"/>
      </w:pPr>
      <w:bookmarkStart w:id="2516" w:name="_Toc477277322"/>
      <w:bookmarkStart w:id="2517" w:name="_Toc477535824"/>
      <w:bookmarkStart w:id="2518" w:name="_Toc477630956"/>
      <w:bookmarkStart w:id="2519" w:name="_Toc477693920"/>
      <w:bookmarkStart w:id="2520" w:name="_Toc477704345"/>
      <w:bookmarkStart w:id="2521" w:name="_Toc477799583"/>
      <w:bookmarkStart w:id="2522" w:name="_Toc477806184"/>
      <w:bookmarkStart w:id="2523" w:name="_Toc477870943"/>
      <w:bookmarkStart w:id="2524" w:name="_Toc477871844"/>
      <w:bookmarkStart w:id="2525" w:name="_Toc477878446"/>
      <w:bookmarkStart w:id="2526" w:name="_Toc477881849"/>
      <w:bookmarkStart w:id="2527" w:name="_Toc477886309"/>
      <w:bookmarkStart w:id="2528" w:name="_Toc478131442"/>
      <w:bookmarkStart w:id="2529" w:name="_Toc478138812"/>
      <w:bookmarkStart w:id="2530" w:name="_Toc478232337"/>
      <w:bookmarkStart w:id="2531" w:name="_Toc478237321"/>
      <w:bookmarkStart w:id="2532" w:name="_Toc481761857"/>
      <w:bookmarkStart w:id="2533" w:name="_Toc492900509"/>
      <w:bookmarkEnd w:id="2513"/>
      <w:r>
        <w:t>Gjeldende rett</w:t>
      </w:r>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r>
        <w:t xml:space="preserve"> </w:t>
      </w:r>
    </w:p>
    <w:p w:rsidR="00A27168" w:rsidRDefault="00944062" w:rsidP="00A27168">
      <w:r w:rsidRPr="00327D36">
        <w:t>Gjeldende lovgivning stiller</w:t>
      </w:r>
      <w:r>
        <w:t xml:space="preserve"> </w:t>
      </w:r>
      <w:r w:rsidRPr="00327D36">
        <w:t xml:space="preserve">som </w:t>
      </w:r>
      <w:r w:rsidR="00260743">
        <w:t xml:space="preserve">grunnleggende </w:t>
      </w:r>
      <w:r w:rsidRPr="00327D36">
        <w:t xml:space="preserve">vilkår for </w:t>
      </w:r>
      <w:r w:rsidR="0025607E">
        <w:t xml:space="preserve">blant annet </w:t>
      </w:r>
      <w:r w:rsidR="00626471">
        <w:t xml:space="preserve">tildeling av </w:t>
      </w:r>
      <w:r w:rsidRPr="00327D36">
        <w:t>tilskudd</w:t>
      </w:r>
      <w:r w:rsidR="00626471">
        <w:t>,</w:t>
      </w:r>
      <w:r w:rsidRPr="00327D36">
        <w:t xml:space="preserve"> at tros- og livssynssamfunn ikke krenke</w:t>
      </w:r>
      <w:r>
        <w:t>r</w:t>
      </w:r>
      <w:r w:rsidRPr="00327D36">
        <w:t xml:space="preserve"> «rett og</w:t>
      </w:r>
      <w:r w:rsidR="00A27168">
        <w:t xml:space="preserve"> moral» eller «rett og sømd». </w:t>
      </w:r>
    </w:p>
    <w:p w:rsidR="00A27168" w:rsidRDefault="00944062" w:rsidP="00A27168">
      <w:r w:rsidRPr="00327D36">
        <w:t xml:space="preserve">Trossamfunnsloven § 1 gir alle rett til å drive religiøs virksomhet og til å etablere trossamfunn så lenge «rett og sømd ikkje vert krenkt». I trossamfunnsloven § 13 er det fastsatt som et vilkår for å bli registrert at trossamfunnet med sin lære eller virksomhet ikke er i strid med «rett og moral». </w:t>
      </w:r>
      <w:r w:rsidR="00707CBE">
        <w:t>L</w:t>
      </w:r>
      <w:r w:rsidRPr="00327D36">
        <w:t>ivssynssamfunn</w:t>
      </w:r>
      <w:r w:rsidR="00707CBE">
        <w:t>sloven</w:t>
      </w:r>
      <w:r w:rsidRPr="00327D36">
        <w:t xml:space="preserve"> § 1 fastslår at livssynssamfunn som ikke krenker «rett og sømd», k</w:t>
      </w:r>
      <w:r w:rsidR="00A27168">
        <w:t xml:space="preserve">an kreve offentlige tilskudd. </w:t>
      </w:r>
    </w:p>
    <w:p w:rsidR="00A27168" w:rsidRDefault="00944062" w:rsidP="00A27168">
      <w:r w:rsidRPr="00327D36">
        <w:t xml:space="preserve">Med vilkåret om at tros- eller livssynssamfunn ikke skal krenke </w:t>
      </w:r>
      <w:r w:rsidRPr="00327D36">
        <w:rPr>
          <w:i/>
        </w:rPr>
        <w:t>rett</w:t>
      </w:r>
      <w:r w:rsidRPr="00327D36">
        <w:t xml:space="preserve">, oppstilles et </w:t>
      </w:r>
      <w:r w:rsidR="0025607E">
        <w:t xml:space="preserve">generelt </w:t>
      </w:r>
      <w:r w:rsidRPr="00327D36">
        <w:t>krav om å følge norsk lov</w:t>
      </w:r>
      <w:r w:rsidR="00707CBE">
        <w:t xml:space="preserve">, mens "sømd"- eller "moral"-vilkåret </w:t>
      </w:r>
      <w:r w:rsidR="00562074">
        <w:t>tydeligere henviser til etiske eller verdimessige vurderinger</w:t>
      </w:r>
      <w:r w:rsidRPr="00327D36">
        <w:t xml:space="preserve">.  </w:t>
      </w:r>
    </w:p>
    <w:p w:rsidR="00944062" w:rsidRPr="00B61037" w:rsidRDefault="00944062" w:rsidP="00A27168">
      <w:r w:rsidRPr="00327D36">
        <w:t xml:space="preserve">I sine spesielle merknader til </w:t>
      </w:r>
      <w:r>
        <w:t>«</w:t>
      </w:r>
      <w:r w:rsidRPr="00327D36">
        <w:t>rett og sømd</w:t>
      </w:r>
      <w:r>
        <w:t>»</w:t>
      </w:r>
      <w:r w:rsidRPr="00327D36">
        <w:t xml:space="preserve">-begrensningen i trossamfunnsloven § 1 </w:t>
      </w:r>
      <w:r>
        <w:t xml:space="preserve">pekte </w:t>
      </w:r>
      <w:r w:rsidRPr="00327D36">
        <w:t>Dissenterlovkomiteen på</w:t>
      </w:r>
      <w:r>
        <w:t xml:space="preserve"> følgende</w:t>
      </w:r>
      <w:r w:rsidRPr="00327D36">
        <w:t xml:space="preserve"> (s. 155)</w:t>
      </w:r>
      <w:r>
        <w:t>:</w:t>
      </w:r>
      <w:r w:rsidR="00A27168">
        <w:rPr>
          <w:i/>
        </w:rPr>
        <w:t xml:space="preserve"> </w:t>
      </w:r>
    </w:p>
    <w:p w:rsidR="00944062" w:rsidRPr="009A30DA" w:rsidRDefault="00944062" w:rsidP="009A30DA">
      <w:pPr>
        <w:pStyle w:val="blokksit"/>
        <w:rPr>
          <w:rStyle w:val="kursiv"/>
        </w:rPr>
      </w:pPr>
      <w:r w:rsidRPr="009A30DA">
        <w:rPr>
          <w:rStyle w:val="kursiv"/>
        </w:rPr>
        <w:t>De grenser som gjelder for den religiøse friheten, er det som gjelder for handlefriheten i det hele.</w:t>
      </w:r>
      <w:r w:rsidR="00A27168" w:rsidRPr="009A30DA">
        <w:rPr>
          <w:rStyle w:val="kursiv"/>
        </w:rPr>
        <w:t xml:space="preserve"> </w:t>
      </w:r>
      <w:r w:rsidRPr="009A30DA">
        <w:rPr>
          <w:rStyle w:val="kursiv"/>
        </w:rPr>
        <w:t xml:space="preserve">Henvisningen til rett og sømmelighet stiller opp en standard hvis innhold må bestemmes etter den alminnelige oppfatning </w:t>
      </w:r>
      <w:r w:rsidR="00A27168" w:rsidRPr="009A30DA">
        <w:rPr>
          <w:rStyle w:val="kursiv"/>
        </w:rPr>
        <w:t xml:space="preserve">i folket av hva som er sømmelig. </w:t>
      </w:r>
    </w:p>
    <w:p w:rsidR="00944062" w:rsidRDefault="00944062" w:rsidP="00A27168">
      <w:pPr>
        <w:rPr>
          <w:szCs w:val="24"/>
        </w:rPr>
      </w:pPr>
      <w:r w:rsidRPr="00327D36">
        <w:rPr>
          <w:szCs w:val="24"/>
        </w:rPr>
        <w:t xml:space="preserve">Komiteen framholdt følgende </w:t>
      </w:r>
      <w:r>
        <w:rPr>
          <w:szCs w:val="24"/>
        </w:rPr>
        <w:t xml:space="preserve">om </w:t>
      </w:r>
      <w:r w:rsidRPr="00327D36">
        <w:rPr>
          <w:szCs w:val="24"/>
        </w:rPr>
        <w:t>«rett og moral»-vilkåret for registrering og tilskudd (s. 168):</w:t>
      </w:r>
    </w:p>
    <w:p w:rsidR="00A27168" w:rsidRPr="009A30DA" w:rsidRDefault="00944062" w:rsidP="009A30DA">
      <w:pPr>
        <w:pStyle w:val="blokksit"/>
        <w:rPr>
          <w:rStyle w:val="kursiv"/>
        </w:rPr>
      </w:pPr>
      <w:r w:rsidRPr="009A30DA">
        <w:rPr>
          <w:rStyle w:val="kursiv"/>
        </w:rPr>
        <w:t>I og for seg kan en kanskje si at intet trossamfunn burde få eksistere hvis dets lære strider mot rett og moral. Men en må her regne med at for de trossamfunn som ikke blir registrert, de helt private, vil det råde en meget utstrakt frihet. Selv om deres lære er i strid med god moral, vil det ikke bli grepet inn hvis dette ikke gir seg utslag i handlinger som strider mot gjeldende straffelov.</w:t>
      </w:r>
    </w:p>
    <w:p w:rsidR="00A27168" w:rsidRPr="009A30DA" w:rsidRDefault="00944062" w:rsidP="009A30DA">
      <w:pPr>
        <w:pStyle w:val="blokksit"/>
        <w:rPr>
          <w:rStyle w:val="kursiv"/>
        </w:rPr>
      </w:pPr>
      <w:r w:rsidRPr="009A30DA">
        <w:rPr>
          <w:rStyle w:val="kursiv"/>
        </w:rPr>
        <w:lastRenderedPageBreak/>
        <w:t xml:space="preserve">Skal et trossamfunn bli registrert og få offentlig støtte og offentlige funksjoner, må åpenbart kravene stilles vesentlig strengere. Vilkåret må da være at læren ikke støter an mot rett og moral. Forutsetningen er egentlig at trossamfunnet representerer en positiv verdi, som staten kan være tjent med å vise tillit og å støtte, både ut fra interesse for folkemoralen og for den del av kulturen som det religiøse liv representerer. </w:t>
      </w:r>
    </w:p>
    <w:p w:rsidR="00944062" w:rsidRPr="009A30DA" w:rsidRDefault="00944062" w:rsidP="009A30DA">
      <w:pPr>
        <w:pStyle w:val="blokksit"/>
        <w:rPr>
          <w:rStyle w:val="kursiv"/>
        </w:rPr>
      </w:pPr>
      <w:r w:rsidRPr="009A30DA">
        <w:rPr>
          <w:rStyle w:val="kursiv"/>
        </w:rPr>
        <w:t>Ved vurderingen av et trossamfunns lære vil det være det rådende moralsyn i landet som legges til grunn. Det er åpenbart ikke en snever kristelig eller statskirkelig målestokk som skal nyttes. Men vurderingen vil likevel bygge på det syn som er alminnelig i landet, påvirket som det er av den kristendom som har vært her i århundrer. Man bør ikke godta hva som helst som moralsk fordi det betegner seg som uttrykk for en religiøs lære. Trossamfunn som går inn for polygami, som dyrker usunn ekstase eller tolererer utskeielser, som pålegger sine medlemmer bud imot helserøkt og folkeopplysning o. l. vil selvsagt ikke få godkjenning av de</w:t>
      </w:r>
      <w:r w:rsidR="008D200B" w:rsidRPr="009A30DA">
        <w:rPr>
          <w:rStyle w:val="kursiv"/>
        </w:rPr>
        <w:t>t</w:t>
      </w:r>
      <w:r w:rsidRPr="009A30DA">
        <w:rPr>
          <w:rStyle w:val="kursiv"/>
        </w:rPr>
        <w:t xml:space="preserve"> offentlige, selv om deres forhold ikke er slik at det leder til straffe</w:t>
      </w:r>
      <w:r w:rsidR="00A27168" w:rsidRPr="009A30DA">
        <w:rPr>
          <w:rStyle w:val="kursiv"/>
        </w:rPr>
        <w:t>rettslig forfølgning.</w:t>
      </w:r>
    </w:p>
    <w:p w:rsidR="00562074" w:rsidRDefault="00562074" w:rsidP="00A27168">
      <w:pPr>
        <w:rPr>
          <w:szCs w:val="24"/>
        </w:rPr>
      </w:pPr>
      <w:r>
        <w:rPr>
          <w:szCs w:val="24"/>
        </w:rPr>
        <w:t xml:space="preserve">Dissenterlovkomiteen synes å ha forutsatt at et trossamfunn </w:t>
      </w:r>
      <w:r w:rsidRPr="00562074">
        <w:rPr>
          <w:i/>
          <w:szCs w:val="24"/>
        </w:rPr>
        <w:t>positivt</w:t>
      </w:r>
      <w:r>
        <w:rPr>
          <w:szCs w:val="24"/>
        </w:rPr>
        <w:t xml:space="preserve"> må bidra til verdidannelse i samfunnet, men dette har </w:t>
      </w:r>
      <w:r w:rsidR="002A2299">
        <w:rPr>
          <w:szCs w:val="24"/>
        </w:rPr>
        <w:t xml:space="preserve">altså </w:t>
      </w:r>
      <w:r>
        <w:rPr>
          <w:szCs w:val="24"/>
        </w:rPr>
        <w:t>ikke ko</w:t>
      </w:r>
      <w:r w:rsidR="002A2299">
        <w:rPr>
          <w:szCs w:val="24"/>
        </w:rPr>
        <w:t xml:space="preserve">mmet klart til uttrykk i loven. Slik har bestemmelsene heller ikke vært tolket i praksis, i alle fall ikke de seneste tiårene. </w:t>
      </w:r>
    </w:p>
    <w:p w:rsidR="00A27168" w:rsidRDefault="00944062" w:rsidP="00A27168">
      <w:pPr>
        <w:rPr>
          <w:szCs w:val="24"/>
        </w:rPr>
      </w:pPr>
      <w:r w:rsidRPr="00327D36">
        <w:rPr>
          <w:szCs w:val="24"/>
        </w:rPr>
        <w:t>Sivilombudsmannen har bemerket blant annet følgende om vilkåret (sak 97–1562):</w:t>
      </w:r>
    </w:p>
    <w:p w:rsidR="00944062" w:rsidRPr="009A30DA" w:rsidRDefault="00944062" w:rsidP="009A30DA">
      <w:pPr>
        <w:pStyle w:val="blokksit"/>
        <w:rPr>
          <w:rStyle w:val="kursiv"/>
        </w:rPr>
      </w:pPr>
      <w:r w:rsidRPr="009A30DA">
        <w:rPr>
          <w:rStyle w:val="kursiv"/>
        </w:rPr>
        <w:t>Bare dersom virksomheten klart og tydelig fremstår som og opptrer på en måte som er i strid med allment aksepterte krav til en forsvarlig samfunnsorden og en allment godkjent samfunnsmoral, kan det etter mitt syn bli tale om å nekte trossamfunnet registrert. Det må således kreves klare holdepunkter for å nekte et trossamfunn registrering med den begrunnelse at dets lære eller arbeid strider mot «rett og moral». På bakgrunn av tros- og livssynsfrihetens prinsipp må det offentlige her ha en tung bevisbyrde. Antakelser omkring et trossamfunns lære og arbeid ut fra mer eller mindre uklare formuleringer i registreringsgrunnlaget (</w:t>
      </w:r>
      <w:r w:rsidR="008D200B" w:rsidRPr="009A30DA">
        <w:rPr>
          <w:rStyle w:val="kursiv"/>
        </w:rPr>
        <w:t>trosvedkjenningen, vedtektene m</w:t>
      </w:r>
      <w:r w:rsidRPr="009A30DA">
        <w:rPr>
          <w:rStyle w:val="kursiv"/>
        </w:rPr>
        <w:t>v.), kan ikke være tilstrekkelig. Det samme gjelder frykten for at et trossamfunn kan utnyttes og virke tiltrekkende på uønskede elementer i samfunnet. Dette er for øvrig en frykt – og til en viss grad også en realitet – som knytter seg til mange trossamfunn, også vel etablerte og verdensomspennende samfunn. Rent faglige og forskningsmessige innvendinger kan åpenbart heller</w:t>
      </w:r>
      <w:r w:rsidR="00A27168" w:rsidRPr="009A30DA">
        <w:rPr>
          <w:rStyle w:val="kursiv"/>
        </w:rPr>
        <w:t xml:space="preserve"> ikke være tilstrekkelig.</w:t>
      </w:r>
    </w:p>
    <w:p w:rsidR="00944062" w:rsidRDefault="00944062" w:rsidP="001E491E">
      <w:pPr>
        <w:pStyle w:val="Overskrift3"/>
      </w:pPr>
      <w:bookmarkStart w:id="2534" w:name="_Toc477277323"/>
      <w:bookmarkStart w:id="2535" w:name="_Toc477535825"/>
      <w:bookmarkStart w:id="2536" w:name="_Toc477630957"/>
      <w:bookmarkStart w:id="2537" w:name="_Toc477693921"/>
      <w:bookmarkStart w:id="2538" w:name="_Toc477704346"/>
      <w:bookmarkStart w:id="2539" w:name="_Toc477799584"/>
      <w:bookmarkStart w:id="2540" w:name="_Toc477806185"/>
      <w:bookmarkStart w:id="2541" w:name="_Toc477870944"/>
      <w:bookmarkStart w:id="2542" w:name="_Toc477871845"/>
      <w:bookmarkStart w:id="2543" w:name="_Toc477878447"/>
      <w:bookmarkStart w:id="2544" w:name="_Toc477881850"/>
      <w:bookmarkStart w:id="2545" w:name="_Toc477886310"/>
      <w:bookmarkStart w:id="2546" w:name="_Toc478131443"/>
      <w:bookmarkStart w:id="2547" w:name="_Toc478138813"/>
      <w:bookmarkStart w:id="2548" w:name="_Toc478232338"/>
      <w:bookmarkStart w:id="2549" w:name="_Toc478237322"/>
      <w:bookmarkStart w:id="2550" w:name="_Toc481761858"/>
      <w:bookmarkStart w:id="2551" w:name="_Toc492900510"/>
      <w:bookmarkStart w:id="2552" w:name="_Toc472326852"/>
      <w:bookmarkStart w:id="2553" w:name="_Toc476320963"/>
      <w:r>
        <w:t>NOU 2013:</w:t>
      </w:r>
      <w:r w:rsidR="005E7004">
        <w:t xml:space="preserve"> </w:t>
      </w:r>
      <w:r>
        <w:t>1</w:t>
      </w:r>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t xml:space="preserve"> </w:t>
      </w:r>
      <w:bookmarkEnd w:id="2552"/>
      <w:bookmarkEnd w:id="2553"/>
    </w:p>
    <w:p w:rsidR="00434133" w:rsidRDefault="00727EDD" w:rsidP="00434133">
      <w:r>
        <w:t>Stålsett-u</w:t>
      </w:r>
      <w:r w:rsidR="00944062" w:rsidRPr="00B61037">
        <w:t xml:space="preserve">tvalget </w:t>
      </w:r>
      <w:r w:rsidR="0026145E">
        <w:t>hevdet</w:t>
      </w:r>
      <w:r w:rsidR="002A2299">
        <w:t xml:space="preserve"> at håndhevelsen av "rett </w:t>
      </w:r>
      <w:r w:rsidR="007F4392">
        <w:t xml:space="preserve">og moral"-vilkåret overfor tilskuddsberettigede tros- eller livssynssamfunn blant annet </w:t>
      </w:r>
      <w:r w:rsidR="0026145E">
        <w:t>har vært preget av</w:t>
      </w:r>
      <w:r w:rsidR="007F4392">
        <w:t xml:space="preserve"> at det </w:t>
      </w:r>
      <w:r w:rsidR="0026145E">
        <w:t xml:space="preserve">i dag </w:t>
      </w:r>
      <w:r w:rsidR="007F4392">
        <w:t>er svært mange samfunn som</w:t>
      </w:r>
      <w:r w:rsidR="0026145E">
        <w:t xml:space="preserve"> får støtte, og at forvaltningsansvaret er spredt på mange instanser. I tillegg mente utvalget at kravet om å overholde regler i andre lover er "svake og lite tydelige" (utredningen s. 341). På bakgrunn av blant annet dette mente utvalget at det i dag er </w:t>
      </w:r>
      <w:r w:rsidR="007F4392">
        <w:t xml:space="preserve">utfordrende "å oppnå en stram og konsekvent linje når det gjelder å nekte støtte". </w:t>
      </w:r>
      <w:r w:rsidR="0026145E">
        <w:t>Utvalget anbefalte</w:t>
      </w:r>
      <w:r w:rsidR="00434133">
        <w:t xml:space="preserve"> </w:t>
      </w:r>
      <w:r w:rsidR="00944062" w:rsidRPr="00B61037">
        <w:t>at «rett og moral»- og «rett og sømd»-vilkårene ble byttet ut med mer spesifiserte vilkår for tilskudd til tros- og livssynssamfunn</w:t>
      </w:r>
      <w:r w:rsidR="00434133">
        <w:t xml:space="preserve">. </w:t>
      </w:r>
    </w:p>
    <w:p w:rsidR="00434133" w:rsidRDefault="00434133" w:rsidP="00434133">
      <w:pPr>
        <w:rPr>
          <w:i/>
        </w:rPr>
      </w:pPr>
      <w:r>
        <w:t>For å tydeliggjøre kravet om å følge "rett" la u</w:t>
      </w:r>
      <w:r w:rsidRPr="00327D36">
        <w:t xml:space="preserve">tvalget </w:t>
      </w:r>
      <w:r>
        <w:t>fra</w:t>
      </w:r>
      <w:r w:rsidRPr="00327D36">
        <w:t>m forslag til særlige hjemler for å frata tros- og livssynssamfunn retten til tilskudd på grunn av brudd på tilskudds</w:t>
      </w:r>
      <w:r>
        <w:t>vilkårene og visse brudd på annen lovgivning (§ 5</w:t>
      </w:r>
      <w:r w:rsidR="00A13110">
        <w:t>-3</w:t>
      </w:r>
      <w:r w:rsidRPr="00327D36">
        <w:t xml:space="preserve"> annet og tredje ledd i lovforslaget): </w:t>
      </w:r>
    </w:p>
    <w:p w:rsidR="00434133" w:rsidRPr="009A30DA" w:rsidRDefault="00434133" w:rsidP="009A30DA">
      <w:pPr>
        <w:pStyle w:val="blokksit"/>
        <w:rPr>
          <w:rStyle w:val="kursiv"/>
        </w:rPr>
      </w:pPr>
      <w:r w:rsidRPr="009A30DA">
        <w:rPr>
          <w:rStyle w:val="kursiv"/>
        </w:rPr>
        <w:t>Ved vesentlige brudd på vilkårene etter kapittel 2, andre krav etter loven her eller krav i forskrifter gitt med hjemmel i loven, kan departementet frata et tros- og livssynssamfunn godkjenning med rett til statstilskudd.</w:t>
      </w:r>
    </w:p>
    <w:p w:rsidR="00434133" w:rsidRPr="009A30DA" w:rsidRDefault="00434133" w:rsidP="009A30DA">
      <w:pPr>
        <w:pStyle w:val="blokksit"/>
        <w:rPr>
          <w:rStyle w:val="kursiv"/>
        </w:rPr>
      </w:pPr>
      <w:r w:rsidRPr="009A30DA">
        <w:rPr>
          <w:rStyle w:val="kursiv"/>
        </w:rPr>
        <w:t>Tros- og livssynssamfunn kan fratas godkjenning med rett til statstilskudd hvis det avdekkes vesentlige og vedvarende lovbrudd og samfunnet ikke iverksetter tiltak som kan hindre slike brudd i fremtiden. Særlig vekt legges på brudd på lover som skal beskytte barns interesser og rettigheter, brudd på diskrimineringslovgivning og på brudd på lover som skal hindre oppfordring til hat og vold.</w:t>
      </w:r>
    </w:p>
    <w:p w:rsidR="00944062" w:rsidRPr="00B61037" w:rsidRDefault="00434133" w:rsidP="00A27168">
      <w:r>
        <w:lastRenderedPageBreak/>
        <w:t>Utvalget foreslo dessuten tydelige verdivilkår for tilskudd</w:t>
      </w:r>
      <w:r w:rsidR="00944062" w:rsidRPr="00B61037">
        <w:t xml:space="preserve"> (§ 2</w:t>
      </w:r>
      <w:r w:rsidR="00A13110">
        <w:t>-2</w:t>
      </w:r>
      <w:r w:rsidR="00944062" w:rsidRPr="00B61037">
        <w:t xml:space="preserve"> nr. 6 i lovforslaget)</w:t>
      </w:r>
      <w:r w:rsidR="00944062">
        <w:t>:</w:t>
      </w:r>
    </w:p>
    <w:p w:rsidR="00944062" w:rsidRPr="009A30DA" w:rsidRDefault="00944062" w:rsidP="009A30DA">
      <w:pPr>
        <w:rPr>
          <w:rStyle w:val="kursiv"/>
        </w:rPr>
      </w:pPr>
      <w:r w:rsidRPr="009A30DA">
        <w:rPr>
          <w:rStyle w:val="kursiv"/>
        </w:rPr>
        <w:t>Samfunnet må ikke</w:t>
      </w:r>
    </w:p>
    <w:p w:rsidR="00944062" w:rsidRPr="009A30DA" w:rsidRDefault="00A27168" w:rsidP="002834ED">
      <w:pPr>
        <w:pStyle w:val="alfaliste2"/>
        <w:numPr>
          <w:ilvl w:val="1"/>
          <w:numId w:val="36"/>
        </w:numPr>
        <w:rPr>
          <w:rStyle w:val="kursiv"/>
        </w:rPr>
      </w:pPr>
      <w:r w:rsidRPr="009A30DA">
        <w:rPr>
          <w:rStyle w:val="kursiv"/>
        </w:rPr>
        <w:t>o</w:t>
      </w:r>
      <w:r w:rsidR="00944062" w:rsidRPr="009A30DA">
        <w:rPr>
          <w:rStyle w:val="kursiv"/>
        </w:rPr>
        <w:t>rganisere eller oppmuntre til oppvekstvilkår for barn som er klart skadelige for</w:t>
      </w:r>
      <w:r w:rsidR="00260743" w:rsidRPr="009A30DA">
        <w:rPr>
          <w:rStyle w:val="kursiv"/>
        </w:rPr>
        <w:t xml:space="preserve"> </w:t>
      </w:r>
      <w:r w:rsidR="00944062" w:rsidRPr="009A30DA">
        <w:rPr>
          <w:rStyle w:val="kursiv"/>
        </w:rPr>
        <w:t>deres utvikling, for eksempel godkjenne eller forsvare vold mot barn i form av fysisk</w:t>
      </w:r>
      <w:r w:rsidR="00260743" w:rsidRPr="009A30DA">
        <w:rPr>
          <w:rStyle w:val="kursiv"/>
        </w:rPr>
        <w:t xml:space="preserve"> </w:t>
      </w:r>
      <w:r w:rsidR="00944062" w:rsidRPr="009A30DA">
        <w:rPr>
          <w:rStyle w:val="kursiv"/>
        </w:rPr>
        <w:t>avstraffelse.</w:t>
      </w:r>
    </w:p>
    <w:p w:rsidR="00944062" w:rsidRPr="009A30DA" w:rsidRDefault="00A27168" w:rsidP="009A30DA">
      <w:pPr>
        <w:pStyle w:val="alfaliste2"/>
        <w:rPr>
          <w:rStyle w:val="kursiv"/>
        </w:rPr>
      </w:pPr>
      <w:r w:rsidRPr="009A30DA">
        <w:rPr>
          <w:rStyle w:val="kursiv"/>
        </w:rPr>
        <w:t>o</w:t>
      </w:r>
      <w:r w:rsidR="00944062" w:rsidRPr="009A30DA">
        <w:rPr>
          <w:rStyle w:val="kursiv"/>
        </w:rPr>
        <w:t>ppfordre til eller bifalle illegitime voldshandlinger og straffereaksjoner som bryter</w:t>
      </w:r>
      <w:r w:rsidR="00260743" w:rsidRPr="009A30DA">
        <w:rPr>
          <w:rStyle w:val="kursiv"/>
        </w:rPr>
        <w:t xml:space="preserve"> </w:t>
      </w:r>
      <w:r w:rsidR="00944062" w:rsidRPr="009A30DA">
        <w:rPr>
          <w:rStyle w:val="kursiv"/>
        </w:rPr>
        <w:t>med grunnleggende menneskerettigheter.</w:t>
      </w:r>
    </w:p>
    <w:p w:rsidR="00944062" w:rsidRPr="009A30DA" w:rsidRDefault="00A27168" w:rsidP="009A30DA">
      <w:pPr>
        <w:pStyle w:val="alfaliste2"/>
        <w:rPr>
          <w:rStyle w:val="kursiv"/>
        </w:rPr>
      </w:pPr>
      <w:r w:rsidRPr="009A30DA">
        <w:rPr>
          <w:rStyle w:val="kursiv"/>
        </w:rPr>
        <w:t>v</w:t>
      </w:r>
      <w:r w:rsidR="00944062" w:rsidRPr="009A30DA">
        <w:rPr>
          <w:rStyle w:val="kursiv"/>
        </w:rPr>
        <w:t>erve medlemmer ved bruk av tvang, manipulasjon og økonomiske fordeler eller ved krenkelse av retten til priv</w:t>
      </w:r>
      <w:r w:rsidR="00260743" w:rsidRPr="009A30DA">
        <w:rPr>
          <w:rStyle w:val="kursiv"/>
        </w:rPr>
        <w:t>atliv, eller hindre utmeldelse.</w:t>
      </w:r>
    </w:p>
    <w:p w:rsidR="00B46480" w:rsidRDefault="00B46480" w:rsidP="001D146F">
      <w:r>
        <w:t xml:space="preserve">Disse </w:t>
      </w:r>
      <w:r w:rsidR="000B1092">
        <w:t>verdi</w:t>
      </w:r>
      <w:r>
        <w:t xml:space="preserve">vilkårene er omtalt </w:t>
      </w:r>
      <w:r w:rsidR="000B1092">
        <w:t xml:space="preserve">som "krav til visse standarder for ivaretakelse av viktige rettigheter og interesser" og er kommentert </w:t>
      </w:r>
      <w:r>
        <w:t xml:space="preserve">på følgende måte i utvalgets </w:t>
      </w:r>
      <w:r w:rsidR="000B1092">
        <w:t xml:space="preserve">merknader til lovforslaget (utredningen </w:t>
      </w:r>
      <w:r>
        <w:t xml:space="preserve">s. 420): </w:t>
      </w:r>
    </w:p>
    <w:p w:rsidR="00B46480" w:rsidRPr="009A30DA" w:rsidRDefault="00B46480" w:rsidP="009A30DA">
      <w:pPr>
        <w:pStyle w:val="blokksit"/>
        <w:rPr>
          <w:rStyle w:val="kursiv"/>
        </w:rPr>
      </w:pPr>
      <w:r w:rsidRPr="009A30DA">
        <w:rPr>
          <w:rStyle w:val="kursiv"/>
          <w:rFonts w:eastAsiaTheme="minorHAnsi"/>
        </w:rPr>
        <w:t xml:space="preserve">Et krav stilles om ikke å organisere eller oppmuntre til oppvekstvilkår som er klart skadelig for barns utvikling for eksempel å ikke godkjenne eller forsvare fysisk avstraffelse av barn. Fysisk avstraffelse er nevnt som et eksempel. Det må understrekes at også andre former for oppvekstvilkår kan være klart skadelige. Det stilles krav om ikke å oppfordre til eller bifalle illegitime voldshandlinger og straffereaksjoner som bryter grunnleggende menneskerettigheter. Med dette er det særlig ment uttalelser om 1) bruk av terror eller 2) uttalelser om straff av personer som bryter med trossamfunnets etiske grunnlag, knyttet til seksuell orientering eller andre normer for seksualliv («utroskap»), ved å gå ut av trossamfunnet («frafall»), eller ytringer om personer som omtaler religiøse oppfatninger («blasfemi»). Kravene under punkt tre </w:t>
      </w:r>
      <w:r w:rsidR="00F808EF" w:rsidRPr="009A30DA">
        <w:rPr>
          <w:rStyle w:val="kursiv"/>
          <w:rFonts w:eastAsiaTheme="minorHAnsi"/>
        </w:rPr>
        <w:t xml:space="preserve">[refererer til alle de tre vilkårene] </w:t>
      </w:r>
      <w:r w:rsidRPr="009A30DA">
        <w:rPr>
          <w:rStyle w:val="kursiv"/>
          <w:rFonts w:eastAsiaTheme="minorHAnsi"/>
        </w:rPr>
        <w:t xml:space="preserve">omfatter også adferd som i seg selv ikke vil være straffbar etter andre lover, men som likevel er av en slik karakter at adferden ikke tilfredsstiller kravene til den offentlige støtteordningen. Eksempelvis vil en forkynnelse i et trossamfunn som oppfordrer til fysisk avstraffelse av barn, i seg selv ikke være straffbar, men kunne gi grunnlag for ikke å tilfredsstille kravene til den offentlige støtteordningen. </w:t>
      </w:r>
    </w:p>
    <w:p w:rsidR="00A421D0" w:rsidRDefault="00944062" w:rsidP="00A27168">
      <w:r w:rsidRPr="00327D36">
        <w:t>Videre foreslo utvalget at tros- eller livssynssamfunnene ved søknad om tilskudd skal bekrefte skriftlig at de kjenner til</w:t>
      </w:r>
      <w:r w:rsidR="00260743">
        <w:t>,</w:t>
      </w:r>
      <w:r w:rsidRPr="00327D36">
        <w:t xml:space="preserve"> og vil </w:t>
      </w:r>
      <w:r w:rsidR="00260743">
        <w:t>overholde</w:t>
      </w:r>
      <w:r w:rsidR="00D41CFD">
        <w:t xml:space="preserve">, </w:t>
      </w:r>
      <w:r w:rsidR="00260743">
        <w:t xml:space="preserve">disse </w:t>
      </w:r>
      <w:r w:rsidR="00F808EF">
        <w:t>verdi</w:t>
      </w:r>
      <w:r w:rsidR="00260743">
        <w:t>kravene</w:t>
      </w:r>
      <w:r w:rsidR="00D41CFD">
        <w:t xml:space="preserve"> (lovutkastet § 2</w:t>
      </w:r>
      <w:r w:rsidR="00A13110">
        <w:t>-2</w:t>
      </w:r>
      <w:r w:rsidR="00D41CFD">
        <w:t xml:space="preserve"> nr. 7)</w:t>
      </w:r>
      <w:r w:rsidR="00260743">
        <w:t xml:space="preserve">. </w:t>
      </w:r>
    </w:p>
    <w:p w:rsidR="00F808EF" w:rsidRDefault="00944062" w:rsidP="00F808EF">
      <w:r w:rsidRPr="005E7004">
        <w:t>U</w:t>
      </w:r>
      <w:r w:rsidR="00B731BB">
        <w:t xml:space="preserve">tvalget vurderte også om det burde </w:t>
      </w:r>
      <w:r w:rsidRPr="005E7004">
        <w:t xml:space="preserve">stilles </w:t>
      </w:r>
      <w:r w:rsidR="00D41CFD">
        <w:t>ytterligere verdivilkår, for eksempel</w:t>
      </w:r>
      <w:r w:rsidRPr="005E7004">
        <w:t xml:space="preserve"> strengere krav til likebehandling av hetero- og homofile i tros- og livssynssamfunn som mottar tilskudd, enn det som følger av diskrimineringslovgivningen (</w:t>
      </w:r>
      <w:r w:rsidR="00B731BB">
        <w:t xml:space="preserve">NOU 2013: 1 </w:t>
      </w:r>
      <w:r w:rsidRPr="005E7004">
        <w:t xml:space="preserve">s. 346). Konkret dreide vurderingene seg om valg av ledere og mulighet for medlemskap i tros- og livssynssamfunnene. </w:t>
      </w:r>
      <w:r w:rsidR="00F808EF">
        <w:t xml:space="preserve">Utvalget konkluderte med ikke </w:t>
      </w:r>
      <w:r w:rsidR="00626471">
        <w:t xml:space="preserve">å </w:t>
      </w:r>
      <w:r w:rsidR="00F808EF">
        <w:t xml:space="preserve">fremme forslag om skjerping av </w:t>
      </w:r>
      <w:r w:rsidR="00F808EF" w:rsidRPr="005E7004">
        <w:t xml:space="preserve">likebehandlingskravene </w:t>
      </w:r>
      <w:r w:rsidR="00F808EF">
        <w:t xml:space="preserve">i tilskuddsordningen på disse punktene. </w:t>
      </w:r>
    </w:p>
    <w:p w:rsidR="001F2C68" w:rsidRPr="00597566" w:rsidRDefault="007A452A" w:rsidP="00597566">
      <w:pPr>
        <w:rPr>
          <w:rFonts w:cs="Times New Roman"/>
          <w:szCs w:val="24"/>
        </w:rPr>
      </w:pPr>
      <w:r>
        <w:t>De fleste h</w:t>
      </w:r>
      <w:r w:rsidR="007E0447">
        <w:t>øringsinstansene som uttalte seg om tilskuddsvilkårene i lovutkastet § 2</w:t>
      </w:r>
      <w:r w:rsidR="00A13110">
        <w:t>-2</w:t>
      </w:r>
      <w:r w:rsidR="007E0447">
        <w:t xml:space="preserve"> nr. 6, </w:t>
      </w:r>
      <w:r w:rsidR="00756342">
        <w:t xml:space="preserve">var enten helt eller </w:t>
      </w:r>
      <w:r>
        <w:t xml:space="preserve">delvis </w:t>
      </w:r>
      <w:r w:rsidR="00756342">
        <w:t>positive</w:t>
      </w:r>
      <w:r>
        <w:t xml:space="preserve">. </w:t>
      </w:r>
      <w:r w:rsidR="000C3E2D">
        <w:t>Human-Etisk Forbund (</w:t>
      </w:r>
      <w:r w:rsidR="007E0447">
        <w:t>HEF</w:t>
      </w:r>
      <w:r w:rsidR="000C3E2D">
        <w:t>)</w:t>
      </w:r>
      <w:r w:rsidR="00590894">
        <w:t xml:space="preserve"> og</w:t>
      </w:r>
      <w:r w:rsidR="00D2425B">
        <w:t xml:space="preserve"> </w:t>
      </w:r>
      <w:r w:rsidR="00871359" w:rsidRPr="008B1C04">
        <w:rPr>
          <w:rFonts w:cs="Times New Roman"/>
          <w:szCs w:val="24"/>
        </w:rPr>
        <w:t>LIM (Likestilling, integrering, mangfold)</w:t>
      </w:r>
      <w:r w:rsidR="00590894">
        <w:rPr>
          <w:rFonts w:cs="Times New Roman"/>
          <w:szCs w:val="24"/>
        </w:rPr>
        <w:t xml:space="preserve"> </w:t>
      </w:r>
      <w:r w:rsidR="00756342">
        <w:rPr>
          <w:rFonts w:cs="Times New Roman"/>
          <w:szCs w:val="24"/>
        </w:rPr>
        <w:t xml:space="preserve">ga sin uforbeholdne støtte. </w:t>
      </w:r>
      <w:r w:rsidR="000C3E2D">
        <w:rPr>
          <w:rFonts w:cs="Times New Roman"/>
          <w:szCs w:val="24"/>
        </w:rPr>
        <w:t>Det teologiske fakultet ved Universitetet i Oslo (</w:t>
      </w:r>
      <w:r w:rsidR="00756342">
        <w:rPr>
          <w:rFonts w:cs="Times New Roman"/>
          <w:szCs w:val="24"/>
        </w:rPr>
        <w:t>TF</w:t>
      </w:r>
      <w:r w:rsidR="000C3E2D">
        <w:rPr>
          <w:rFonts w:cs="Times New Roman"/>
          <w:szCs w:val="24"/>
        </w:rPr>
        <w:t>)</w:t>
      </w:r>
      <w:r w:rsidR="00756342">
        <w:rPr>
          <w:rFonts w:cs="Times New Roman"/>
          <w:szCs w:val="24"/>
        </w:rPr>
        <w:t xml:space="preserve"> støttet også forslaget, men mente at </w:t>
      </w:r>
      <w:r w:rsidR="00D2425B">
        <w:rPr>
          <w:rFonts w:cs="Times New Roman"/>
          <w:szCs w:val="24"/>
        </w:rPr>
        <w:t xml:space="preserve">det </w:t>
      </w:r>
      <w:r w:rsidR="00756342">
        <w:rPr>
          <w:rFonts w:cs="Times New Roman"/>
          <w:szCs w:val="24"/>
        </w:rPr>
        <w:t xml:space="preserve">var </w:t>
      </w:r>
      <w:r w:rsidR="00D2425B">
        <w:rPr>
          <w:rFonts w:cs="Times New Roman"/>
          <w:szCs w:val="24"/>
        </w:rPr>
        <w:t xml:space="preserve">"uklart hvilke deler av tros- og livssynssamfunnene som forventes å overholde disse kravene, og hvordan de kan la seg overvåke i praksis". </w:t>
      </w:r>
      <w:r w:rsidR="003918D7">
        <w:rPr>
          <w:rFonts w:cs="Times New Roman"/>
          <w:szCs w:val="24"/>
        </w:rPr>
        <w:t>Norges Kristne Råd (NKR)</w:t>
      </w:r>
      <w:r w:rsidR="00590894">
        <w:rPr>
          <w:rFonts w:cs="Times New Roman"/>
          <w:szCs w:val="24"/>
        </w:rPr>
        <w:t xml:space="preserve"> </w:t>
      </w:r>
      <w:r w:rsidR="00756342">
        <w:rPr>
          <w:rFonts w:cs="Times New Roman"/>
          <w:szCs w:val="24"/>
        </w:rPr>
        <w:t>var enig i at "rett og sømd" kan t</w:t>
      </w:r>
      <w:r w:rsidR="00EF3D4E">
        <w:rPr>
          <w:rFonts w:cs="Times New Roman"/>
          <w:szCs w:val="24"/>
        </w:rPr>
        <w:t xml:space="preserve">renge en nærmere avklaring og </w:t>
      </w:r>
      <w:r w:rsidR="00756342">
        <w:rPr>
          <w:rFonts w:cs="Times New Roman"/>
          <w:szCs w:val="24"/>
        </w:rPr>
        <w:t>at eksemplene som opplistes i lovforslaget, bør være diskvalifiserende for tilskudd. NKR fant det imidlertid betenkelig</w:t>
      </w:r>
      <w:r w:rsidR="00FE05F0">
        <w:rPr>
          <w:rFonts w:cs="Times New Roman"/>
          <w:szCs w:val="24"/>
        </w:rPr>
        <w:t xml:space="preserve"> og potensielt mistenkeliggjørende og stigmatiserende</w:t>
      </w:r>
      <w:r w:rsidR="00756342">
        <w:rPr>
          <w:rFonts w:cs="Times New Roman"/>
          <w:szCs w:val="24"/>
        </w:rPr>
        <w:t xml:space="preserve"> at </w:t>
      </w:r>
      <w:r w:rsidR="00756342" w:rsidRPr="00756342">
        <w:rPr>
          <w:rFonts w:cs="Times New Roman"/>
          <w:szCs w:val="24"/>
        </w:rPr>
        <w:t xml:space="preserve">det for </w:t>
      </w:r>
      <w:r w:rsidR="00FE05F0">
        <w:rPr>
          <w:rFonts w:cs="Times New Roman"/>
          <w:szCs w:val="24"/>
        </w:rPr>
        <w:t>tros- og livssynssamfunn l</w:t>
      </w:r>
      <w:r w:rsidR="00756342" w:rsidRPr="00756342">
        <w:rPr>
          <w:rFonts w:cs="Times New Roman"/>
          <w:szCs w:val="24"/>
        </w:rPr>
        <w:t xml:space="preserve">ovfestes </w:t>
      </w:r>
      <w:r w:rsidR="00FE05F0">
        <w:rPr>
          <w:rFonts w:cs="Times New Roman"/>
          <w:szCs w:val="24"/>
        </w:rPr>
        <w:t>"</w:t>
      </w:r>
      <w:r w:rsidR="00756342" w:rsidRPr="00756342">
        <w:rPr>
          <w:rFonts w:cs="Times New Roman"/>
          <w:szCs w:val="24"/>
        </w:rPr>
        <w:t>særskilte</w:t>
      </w:r>
      <w:r w:rsidR="00FE05F0">
        <w:rPr>
          <w:rFonts w:cs="Times New Roman"/>
          <w:szCs w:val="24"/>
        </w:rPr>
        <w:t xml:space="preserve"> </w:t>
      </w:r>
      <w:r w:rsidR="00756342" w:rsidRPr="00756342">
        <w:rPr>
          <w:rFonts w:cs="Times New Roman"/>
          <w:szCs w:val="24"/>
        </w:rPr>
        <w:t>krav som bør være selvsagte for alle typer organisasjoner som mottar offentlige tilskuddsmidler</w:t>
      </w:r>
      <w:r w:rsidR="00FE05F0">
        <w:rPr>
          <w:rFonts w:cs="Times New Roman"/>
          <w:szCs w:val="24"/>
        </w:rPr>
        <w:t>"</w:t>
      </w:r>
      <w:r w:rsidR="00756342" w:rsidRPr="00756342">
        <w:rPr>
          <w:rFonts w:cs="Times New Roman"/>
          <w:szCs w:val="24"/>
        </w:rPr>
        <w:t>.</w:t>
      </w:r>
      <w:r w:rsidR="00FE05F0">
        <w:rPr>
          <w:rFonts w:cs="Times New Roman"/>
          <w:szCs w:val="24"/>
        </w:rPr>
        <w:t xml:space="preserve"> </w:t>
      </w:r>
      <w:r w:rsidR="001747FB">
        <w:rPr>
          <w:rFonts w:cs="Times New Roman"/>
          <w:szCs w:val="24"/>
        </w:rPr>
        <w:t>Videre mente NKR at det var uheldig at lovforslaget åpner for en skjønnsvurdering av hva som kan være skadelig for barns utvikling</w:t>
      </w:r>
      <w:r w:rsidR="00DC1933">
        <w:rPr>
          <w:rFonts w:cs="Times New Roman"/>
          <w:szCs w:val="24"/>
        </w:rPr>
        <w:t xml:space="preserve">. Rådet </w:t>
      </w:r>
      <w:r w:rsidR="001747FB">
        <w:rPr>
          <w:rFonts w:cs="Times New Roman"/>
          <w:szCs w:val="24"/>
        </w:rPr>
        <w:t>påpekte</w:t>
      </w:r>
      <w:r w:rsidR="00DC1933">
        <w:rPr>
          <w:rFonts w:cs="Times New Roman"/>
          <w:szCs w:val="24"/>
        </w:rPr>
        <w:t xml:space="preserve"> også</w:t>
      </w:r>
      <w:r w:rsidR="001747FB">
        <w:rPr>
          <w:rFonts w:cs="Times New Roman"/>
          <w:szCs w:val="24"/>
        </w:rPr>
        <w:t xml:space="preserve"> at forholdene som trekkes fram under § 2</w:t>
      </w:r>
      <w:r w:rsidR="00A13110">
        <w:rPr>
          <w:rFonts w:cs="Times New Roman"/>
          <w:szCs w:val="24"/>
        </w:rPr>
        <w:t>-2</w:t>
      </w:r>
      <w:r w:rsidR="001747FB">
        <w:rPr>
          <w:rFonts w:cs="Times New Roman"/>
          <w:szCs w:val="24"/>
        </w:rPr>
        <w:t xml:space="preserve"> nr. 6 </w:t>
      </w:r>
      <w:r w:rsidR="004E3914">
        <w:rPr>
          <w:rFonts w:cs="Times New Roman"/>
          <w:szCs w:val="24"/>
        </w:rPr>
        <w:t xml:space="preserve">bokstav </w:t>
      </w:r>
      <w:r w:rsidR="001747FB">
        <w:rPr>
          <w:rFonts w:cs="Times New Roman"/>
          <w:szCs w:val="24"/>
        </w:rPr>
        <w:t>a</w:t>
      </w:r>
      <w:r w:rsidR="004E3914">
        <w:rPr>
          <w:rFonts w:cs="Times New Roman"/>
          <w:szCs w:val="24"/>
        </w:rPr>
        <w:t xml:space="preserve"> i utvalgets lovutkast</w:t>
      </w:r>
      <w:r w:rsidR="001747FB">
        <w:rPr>
          <w:rFonts w:cs="Times New Roman"/>
          <w:szCs w:val="24"/>
        </w:rPr>
        <w:t xml:space="preserve">, allerede er forbudt etter barneloven. </w:t>
      </w:r>
      <w:r w:rsidR="00DC1933">
        <w:rPr>
          <w:rFonts w:cs="Times New Roman"/>
          <w:szCs w:val="24"/>
        </w:rPr>
        <w:t xml:space="preserve">NKR støttet </w:t>
      </w:r>
      <w:r w:rsidR="00120067">
        <w:rPr>
          <w:rFonts w:cs="Times New Roman"/>
          <w:szCs w:val="24"/>
        </w:rPr>
        <w:t>v</w:t>
      </w:r>
      <w:r w:rsidR="004E3914">
        <w:rPr>
          <w:rFonts w:cs="Times New Roman"/>
          <w:szCs w:val="24"/>
        </w:rPr>
        <w:t xml:space="preserve">ilkåret </w:t>
      </w:r>
      <w:r w:rsidR="00120067">
        <w:rPr>
          <w:rFonts w:cs="Times New Roman"/>
          <w:szCs w:val="24"/>
        </w:rPr>
        <w:lastRenderedPageBreak/>
        <w:t>om verving av medlemmer etc.</w:t>
      </w:r>
      <w:r w:rsidR="00F14C22">
        <w:rPr>
          <w:rFonts w:cs="Times New Roman"/>
          <w:szCs w:val="24"/>
        </w:rPr>
        <w:t xml:space="preserve">, men </w:t>
      </w:r>
      <w:r w:rsidR="00597566">
        <w:rPr>
          <w:rFonts w:cs="Times New Roman"/>
          <w:szCs w:val="24"/>
        </w:rPr>
        <w:t xml:space="preserve">mente at det ellers var tilstrekkelig å lovfeste at tros- og livssynssamfunnene ikke må </w:t>
      </w:r>
      <w:r w:rsidR="00597566" w:rsidRPr="00597566">
        <w:rPr>
          <w:rFonts w:cs="Times New Roman"/>
          <w:szCs w:val="24"/>
        </w:rPr>
        <w:t xml:space="preserve">tilskynde eller medvirke til handlinger som strider mot norsk lov </w:t>
      </w:r>
      <w:r w:rsidR="00597566">
        <w:rPr>
          <w:rFonts w:cs="Times New Roman"/>
          <w:szCs w:val="24"/>
        </w:rPr>
        <w:t xml:space="preserve">eller SP </w:t>
      </w:r>
      <w:r w:rsidR="00597566" w:rsidRPr="00597566">
        <w:rPr>
          <w:rFonts w:cs="Times New Roman"/>
          <w:szCs w:val="24"/>
        </w:rPr>
        <w:t>art. 20</w:t>
      </w:r>
      <w:r w:rsidR="00597566">
        <w:rPr>
          <w:rFonts w:cs="Times New Roman"/>
          <w:szCs w:val="24"/>
        </w:rPr>
        <w:t xml:space="preserve"> </w:t>
      </w:r>
      <w:r w:rsidR="0013280E">
        <w:rPr>
          <w:rFonts w:cs="Times New Roman"/>
          <w:szCs w:val="24"/>
        </w:rPr>
        <w:t xml:space="preserve">om </w:t>
      </w:r>
      <w:r w:rsidR="002C0754">
        <w:rPr>
          <w:rFonts w:cs="Times New Roman"/>
          <w:szCs w:val="24"/>
        </w:rPr>
        <w:t>krigspropaganda og fremme av</w:t>
      </w:r>
      <w:r w:rsidR="002C0754" w:rsidRPr="002C0754">
        <w:t xml:space="preserve"> </w:t>
      </w:r>
      <w:r w:rsidR="002C0754">
        <w:rPr>
          <w:rFonts w:cs="Times New Roman"/>
          <w:szCs w:val="24"/>
        </w:rPr>
        <w:t xml:space="preserve">hat. Kirkerådet </w:t>
      </w:r>
      <w:r w:rsidR="0013280E">
        <w:rPr>
          <w:rFonts w:cs="Times New Roman"/>
          <w:szCs w:val="24"/>
        </w:rPr>
        <w:t>uttalte at "oppramsinger av hva som ikke er lov er lite hensiktsmessig, da slike lister sjelden blir uttømmende"</w:t>
      </w:r>
      <w:r w:rsidR="00713696">
        <w:rPr>
          <w:rFonts w:cs="Times New Roman"/>
          <w:szCs w:val="24"/>
        </w:rPr>
        <w:t>,</w:t>
      </w:r>
      <w:r w:rsidR="00597566">
        <w:rPr>
          <w:rFonts w:cs="Times New Roman"/>
          <w:szCs w:val="24"/>
        </w:rPr>
        <w:t xml:space="preserve"> men</w:t>
      </w:r>
      <w:r w:rsidR="0013280E">
        <w:rPr>
          <w:rFonts w:cs="Times New Roman"/>
          <w:szCs w:val="24"/>
        </w:rPr>
        <w:t xml:space="preserve"> </w:t>
      </w:r>
      <w:r w:rsidR="001747FB">
        <w:rPr>
          <w:rFonts w:cs="Times New Roman"/>
          <w:szCs w:val="24"/>
        </w:rPr>
        <w:t>ga</w:t>
      </w:r>
      <w:r w:rsidR="0013280E">
        <w:rPr>
          <w:rFonts w:cs="Times New Roman"/>
          <w:szCs w:val="24"/>
        </w:rPr>
        <w:t xml:space="preserve"> </w:t>
      </w:r>
      <w:r w:rsidR="001747FB">
        <w:rPr>
          <w:rFonts w:cs="Times New Roman"/>
          <w:szCs w:val="24"/>
        </w:rPr>
        <w:t>sin tilslutning til NKRs uttalelse.</w:t>
      </w:r>
      <w:r w:rsidR="0013280E">
        <w:rPr>
          <w:rFonts w:cs="Times New Roman"/>
          <w:szCs w:val="24"/>
        </w:rPr>
        <w:t xml:space="preserve"> </w:t>
      </w:r>
      <w:r w:rsidR="00EB4558">
        <w:rPr>
          <w:rFonts w:cs="Times New Roman"/>
          <w:szCs w:val="24"/>
        </w:rPr>
        <w:t>Tromsø Stift – Den katolske kirke i Nord-Norge</w:t>
      </w:r>
      <w:r w:rsidR="0013280E">
        <w:rPr>
          <w:rFonts w:cs="Times New Roman"/>
          <w:szCs w:val="24"/>
        </w:rPr>
        <w:t>, som tok avstand fra</w:t>
      </w:r>
      <w:r w:rsidR="0013280E">
        <w:t xml:space="preserve"> fors</w:t>
      </w:r>
      <w:r w:rsidR="00F14C22">
        <w:t xml:space="preserve">laget, mente blant annet at </w:t>
      </w:r>
      <w:r w:rsidR="00597566">
        <w:t>forslaget</w:t>
      </w:r>
      <w:r w:rsidR="00F14C22">
        <w:t xml:space="preserve"> utfordre</w:t>
      </w:r>
      <w:r w:rsidR="00597566">
        <w:t>t</w:t>
      </w:r>
      <w:r w:rsidR="00F14C22">
        <w:t xml:space="preserve"> Grunnlovens likebehandlingsprinsipp</w:t>
      </w:r>
      <w:r w:rsidR="00597566">
        <w:t>.</w:t>
      </w:r>
    </w:p>
    <w:p w:rsidR="002665BB" w:rsidRDefault="00946D25" w:rsidP="002665BB">
      <w:pPr>
        <w:pStyle w:val="Overskrift3"/>
      </w:pPr>
      <w:bookmarkStart w:id="2554" w:name="_Toc476320965"/>
      <w:bookmarkStart w:id="2555" w:name="_Toc477277324"/>
      <w:bookmarkStart w:id="2556" w:name="_Toc477535826"/>
      <w:bookmarkStart w:id="2557" w:name="_Toc477630958"/>
      <w:bookmarkStart w:id="2558" w:name="_Toc477693922"/>
      <w:bookmarkStart w:id="2559" w:name="_Toc477704347"/>
      <w:bookmarkStart w:id="2560" w:name="_Toc477799585"/>
      <w:bookmarkStart w:id="2561" w:name="_Toc477806186"/>
      <w:bookmarkStart w:id="2562" w:name="_Toc477870945"/>
      <w:bookmarkStart w:id="2563" w:name="_Toc477871846"/>
      <w:bookmarkStart w:id="2564" w:name="_Toc477878448"/>
      <w:bookmarkStart w:id="2565" w:name="_Toc477881851"/>
      <w:bookmarkStart w:id="2566" w:name="_Toc477886311"/>
      <w:bookmarkStart w:id="2567" w:name="_Toc478131444"/>
      <w:bookmarkStart w:id="2568" w:name="_Toc478138814"/>
      <w:bookmarkStart w:id="2569" w:name="_Toc478232339"/>
      <w:bookmarkStart w:id="2570" w:name="_Toc478237323"/>
      <w:bookmarkStart w:id="2571" w:name="_Toc481761859"/>
      <w:bookmarkStart w:id="2572" w:name="_Toc492900511"/>
      <w:r>
        <w:t xml:space="preserve">Stortingets </w:t>
      </w:r>
      <w:r w:rsidR="00B35FDC">
        <w:t>anmodningsvedtak nr. 929,</w:t>
      </w:r>
      <w:r w:rsidR="002665BB">
        <w:t xml:space="preserve"> 16. juni 2016</w:t>
      </w:r>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p>
    <w:p w:rsidR="002665BB" w:rsidRPr="00327D36" w:rsidRDefault="002665BB" w:rsidP="002665BB">
      <w:r w:rsidRPr="00327D36">
        <w:t xml:space="preserve">Under behandlingen av Meld. St. 30 (2015–2016) </w:t>
      </w:r>
      <w:r w:rsidRPr="00327D36">
        <w:rPr>
          <w:i/>
        </w:rPr>
        <w:t>Fra mottak til arbeidsliv – en effektiv integreringspolitikk</w:t>
      </w:r>
      <w:r w:rsidRPr="00327D36">
        <w:t xml:space="preserve"> og et representantforslag fra Karin Andersen og Audun Lysbakken om å sikre integrering (Dokument 8:29 S (2015–2016)</w:t>
      </w:r>
      <w:r>
        <w:t>)</w:t>
      </w:r>
      <w:r w:rsidRPr="00327D36">
        <w:t xml:space="preserve"> fattet Stortinget </w:t>
      </w:r>
      <w:r w:rsidR="00B35FDC">
        <w:t>anmodnings</w:t>
      </w:r>
      <w:r w:rsidRPr="00327D36">
        <w:t>vedtak</w:t>
      </w:r>
      <w:r w:rsidR="00B35FDC">
        <w:t xml:space="preserve"> nr. 929,</w:t>
      </w:r>
      <w:r w:rsidRPr="00327D36">
        <w:t xml:space="preserve"> 16. juni 2016:</w:t>
      </w:r>
    </w:p>
    <w:p w:rsidR="00F808EF" w:rsidRPr="00FF11A9" w:rsidRDefault="00F808EF" w:rsidP="00F808EF">
      <w:pPr>
        <w:pStyle w:val="Listetbhj"/>
        <w:numPr>
          <w:ilvl w:val="0"/>
          <w:numId w:val="0"/>
        </w:numPr>
        <w:ind w:left="567"/>
        <w:rPr>
          <w:i/>
        </w:rPr>
      </w:pPr>
      <w:r w:rsidRPr="00FF11A9">
        <w:rPr>
          <w:i/>
        </w:rPr>
        <w:t>Stortinget ber regjeringen utrede en mulighet for å trekke tilbake økonomisk støtte til trossamfunn som:</w:t>
      </w:r>
    </w:p>
    <w:p w:rsidR="00F808EF" w:rsidRPr="00FF11A9" w:rsidRDefault="00F808EF" w:rsidP="002834ED">
      <w:pPr>
        <w:pStyle w:val="Listetbhj"/>
        <w:numPr>
          <w:ilvl w:val="0"/>
          <w:numId w:val="4"/>
        </w:numPr>
        <w:rPr>
          <w:i/>
        </w:rPr>
      </w:pPr>
      <w:r w:rsidRPr="00FF11A9">
        <w:rPr>
          <w:i/>
        </w:rPr>
        <w:t>oppfordrer til lovbrudd,</w:t>
      </w:r>
    </w:p>
    <w:p w:rsidR="00F808EF" w:rsidRPr="00FF11A9" w:rsidRDefault="00F808EF" w:rsidP="002834ED">
      <w:pPr>
        <w:pStyle w:val="Listetbhj"/>
        <w:numPr>
          <w:ilvl w:val="0"/>
          <w:numId w:val="4"/>
        </w:numPr>
        <w:rPr>
          <w:i/>
        </w:rPr>
      </w:pPr>
      <w:r w:rsidRPr="00FF11A9">
        <w:rPr>
          <w:i/>
        </w:rPr>
        <w:t>tar imot utenlandsk finansiering fra stater som bryter fundamentale menneskerettigheter,</w:t>
      </w:r>
    </w:p>
    <w:p w:rsidR="00F808EF" w:rsidRDefault="00F808EF" w:rsidP="002834ED">
      <w:pPr>
        <w:pStyle w:val="Listetbhj"/>
        <w:numPr>
          <w:ilvl w:val="0"/>
          <w:numId w:val="4"/>
        </w:numPr>
      </w:pPr>
      <w:r w:rsidRPr="00FF11A9">
        <w:rPr>
          <w:i/>
        </w:rPr>
        <w:t>andre alvorlige forhold som kan medføre tilbaketrekking av statlig støtte</w:t>
      </w:r>
      <w:r w:rsidRPr="001C6503">
        <w:t>.</w:t>
      </w:r>
    </w:p>
    <w:p w:rsidR="00F808EF" w:rsidRDefault="00F808EF" w:rsidP="00F808EF">
      <w:pPr>
        <w:pStyle w:val="Sitattbhj"/>
      </w:pPr>
      <w:r w:rsidRPr="001C6503">
        <w:t>Regjeringen bes utrede retningslinjer for når sl</w:t>
      </w:r>
      <w:r>
        <w:t>ik støtte kan trekkes tilbake.</w:t>
      </w:r>
    </w:p>
    <w:p w:rsidR="002665BB" w:rsidRDefault="002665BB" w:rsidP="002665BB">
      <w:r w:rsidRPr="00327D36">
        <w:t xml:space="preserve">I </w:t>
      </w:r>
      <w:r w:rsidR="00946D25">
        <w:t xml:space="preserve">komiteens innstilling, </w:t>
      </w:r>
      <w:r w:rsidRPr="00327D36">
        <w:t>Innst. 399 S (2015–2016)</w:t>
      </w:r>
      <w:r w:rsidR="00946D25">
        <w:t xml:space="preserve">, uttalte flertallet </w:t>
      </w:r>
      <w:r w:rsidR="00B35FDC">
        <w:t xml:space="preserve">dessuten </w:t>
      </w:r>
      <w:r w:rsidRPr="00327D36">
        <w:t>følgende:</w:t>
      </w:r>
    </w:p>
    <w:p w:rsidR="002665BB" w:rsidRDefault="002665BB" w:rsidP="002665BB">
      <w:pPr>
        <w:pStyle w:val="Sitattbhj"/>
      </w:pPr>
      <w:r w:rsidRPr="001C6503">
        <w:t xml:space="preserve">Komiteens flertall, medlemmene fra Høyre, Fremskrittspartiet, Senterpartiet, Venstre og Sosialistisk Venstreparti, mener det må ha konsekvenser at trossamfunn og religiøse ledere fremmer holdninger som strider mot grunnleggende menneskerettigheter, demokratiske verdier og prinsipper, samt holdninger som innskrenker og hemmer integrering og utsetter noen for sterk sosial kontroll. Dette gjelder uansett trosretning. </w:t>
      </w:r>
    </w:p>
    <w:p w:rsidR="002665BB" w:rsidRDefault="002665BB" w:rsidP="002665BB">
      <w:pPr>
        <w:pStyle w:val="Sitattbhj"/>
      </w:pPr>
      <w:r w:rsidRPr="001C6503">
        <w:t>Flertallet mener regjeringen må utrede hvordan statlige myndigheter skal forho</w:t>
      </w:r>
      <w:r>
        <w:t>lde seg til slike trossamfunn.</w:t>
      </w:r>
    </w:p>
    <w:p w:rsidR="00FB2B22" w:rsidRDefault="00FB2B22" w:rsidP="00FB2B22">
      <w:pPr>
        <w:pStyle w:val="Overskrift3"/>
      </w:pPr>
      <w:bookmarkStart w:id="2573" w:name="_Toc477277325"/>
      <w:bookmarkStart w:id="2574" w:name="_Toc477535827"/>
      <w:bookmarkStart w:id="2575" w:name="_Toc477630959"/>
      <w:bookmarkStart w:id="2576" w:name="_Toc477693923"/>
      <w:bookmarkStart w:id="2577" w:name="_Toc477704348"/>
      <w:bookmarkStart w:id="2578" w:name="_Toc477799586"/>
      <w:bookmarkStart w:id="2579" w:name="_Toc477806187"/>
      <w:bookmarkStart w:id="2580" w:name="_Toc477870946"/>
      <w:bookmarkStart w:id="2581" w:name="_Toc477871847"/>
      <w:bookmarkStart w:id="2582" w:name="_Toc477878449"/>
      <w:bookmarkStart w:id="2583" w:name="_Toc477881852"/>
      <w:bookmarkStart w:id="2584" w:name="_Toc477886312"/>
      <w:bookmarkStart w:id="2585" w:name="_Toc478131445"/>
      <w:bookmarkStart w:id="2586" w:name="_Toc478138815"/>
      <w:bookmarkStart w:id="2587" w:name="_Toc478232340"/>
      <w:bookmarkStart w:id="2588" w:name="_Toc478237324"/>
      <w:bookmarkStart w:id="2589" w:name="_Toc481761860"/>
      <w:bookmarkStart w:id="2590" w:name="_Toc492900512"/>
      <w:r>
        <w:t>Departementets vurderinger</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r>
        <w:t xml:space="preserve"> </w:t>
      </w:r>
    </w:p>
    <w:p w:rsidR="003D3173" w:rsidRDefault="003D3173" w:rsidP="001D146F">
      <w:pPr>
        <w:pStyle w:val="Overskrift4"/>
      </w:pPr>
      <w:r>
        <w:t>Utgangspunkt</w:t>
      </w:r>
    </w:p>
    <w:p w:rsidR="00F808EF" w:rsidRDefault="00727DD4" w:rsidP="00F808EF">
      <w:r>
        <w:t>I kapittel</w:t>
      </w:r>
      <w:r w:rsidR="00F808EF">
        <w:t xml:space="preserve"> 6.3.3 ovenfor har departementet,</w:t>
      </w:r>
      <w:r w:rsidR="00F808EF" w:rsidRPr="00CC7C54">
        <w:t xml:space="preserve"> </w:t>
      </w:r>
      <w:r w:rsidR="00F808EF">
        <w:t xml:space="preserve">i lys av blant annet statens aktivt støttende tros- og livssynspolitikk, redegjort for noen prinsipielle utgangspunkter for vurderingen av vilkår for tilskudd, og det vises til dette. Etter departementets syn, og i tråd med anbefalingene fra Stålsett-utvalget, er det behov for å tydeliggjøre dagens grunnleggende krav i tilskuddsordningen om at tros- og livssynssamfunn ikke skal krenke "rett og moral" eller "rett og sømd". Det er også behov for å legge til rette for tettere oppfølging av tros- og livssynssamfunn som mottar tilskudd.  </w:t>
      </w:r>
    </w:p>
    <w:p w:rsidR="00F808EF" w:rsidRDefault="00F808EF" w:rsidP="00F808EF">
      <w:r>
        <w:t xml:space="preserve">Departementet vil peke på at </w:t>
      </w:r>
      <w:r w:rsidRPr="00327D36">
        <w:t xml:space="preserve">likebehandlings- og forutsigbarhetshensyn </w:t>
      </w:r>
      <w:r>
        <w:t xml:space="preserve">tilsier at forvaltningen generelt bør ha et relativt </w:t>
      </w:r>
      <w:r w:rsidRPr="00327D36">
        <w:t xml:space="preserve">snevert rom for </w:t>
      </w:r>
      <w:r>
        <w:t>s</w:t>
      </w:r>
      <w:r w:rsidRPr="00327D36">
        <w:t>kjønnsutøvelse i saker om tilskudd til tros- og livssynssamfunn. Dette taler for å erstatte nåværende «rett og moral»- og «rett</w:t>
      </w:r>
      <w:r>
        <w:t xml:space="preserve"> og sømd»-vilkår med mer presist angitte vilkår. På den andre siden er det ne</w:t>
      </w:r>
      <w:r w:rsidR="00960330">
        <w:t>ppe mulig å utforme særlig</w:t>
      </w:r>
      <w:r w:rsidR="00EF1D4F">
        <w:t>e</w:t>
      </w:r>
      <w:r w:rsidR="00960330">
        <w:t xml:space="preserve"> verd</w:t>
      </w:r>
      <w:r w:rsidR="00EF1D4F">
        <w:t>i</w:t>
      </w:r>
      <w:r>
        <w:t xml:space="preserve">vilkår som ikke forutsetter utøvelse av et visst skjønn. Håndhevelsen av </w:t>
      </w:r>
      <w:r>
        <w:lastRenderedPageBreak/>
        <w:t>vilkårene bør – i en viss utstrekning – også kunne tilpasses utvikling</w:t>
      </w:r>
      <w:r w:rsidR="00626471">
        <w:t>en</w:t>
      </w:r>
      <w:r>
        <w:t xml:space="preserve"> i samfunnets syn på ulike verdispørsmål, men dette synspunktet bør neppe trekkes for langt.    </w:t>
      </w:r>
    </w:p>
    <w:p w:rsidR="00F808EF" w:rsidRDefault="00F808EF" w:rsidP="00F808EF">
      <w:r>
        <w:t xml:space="preserve">Departementet mener for det første at kravet om å følge norsk lov bør tydeliggjøres, og at loven bør inneholde en hjemmel for å nekte tros- eller livssynssamfunn økonomisk støtte dersom tros- og livssynssamfunn står ansvarlig for kvalifiserte brudd på annen lovgivning, for eksempel straffeloven eller diskrimineringsregelverk. </w:t>
      </w:r>
    </w:p>
    <w:p w:rsidR="00F808EF" w:rsidRDefault="00F808EF" w:rsidP="00F808EF">
      <w:r>
        <w:t>For det andre mener departementet at det fortsatt skal stilles visse verdimessige vilkår for støtte. Det gjeldende kravet om å ikke krenke "sømd" eller "moral" bør dermed presiseres. I disse tilfellene skal den offentlige støtten kunne nektes eller fratas tros- og livssynssamfunn selv om det ikke kan konstateres brudd på annen lovgivning, for eksempel straffeloven.</w:t>
      </w:r>
    </w:p>
    <w:p w:rsidR="003D3173" w:rsidRDefault="003D3173" w:rsidP="001E491E">
      <w:pPr>
        <w:pStyle w:val="Overskrift4"/>
      </w:pPr>
      <w:r>
        <w:t>Krav om å følge norsk lov</w:t>
      </w:r>
    </w:p>
    <w:p w:rsidR="00FB2B22" w:rsidRDefault="00FB2B22" w:rsidP="00FB2B22">
      <w:pPr>
        <w:rPr>
          <w:i/>
        </w:rPr>
      </w:pPr>
      <w:r w:rsidRPr="00327D36">
        <w:t xml:space="preserve">Lovforslaget i NOU 2013: 1 legger opp til at </w:t>
      </w:r>
      <w:r>
        <w:t>tros- og livssynssamfunn</w:t>
      </w:r>
      <w:r w:rsidRPr="00327D36">
        <w:t xml:space="preserve"> </w:t>
      </w:r>
      <w:r>
        <w:t xml:space="preserve">kan nektes tilskudd </w:t>
      </w:r>
      <w:r w:rsidRPr="00327D36">
        <w:t xml:space="preserve">når </w:t>
      </w:r>
      <w:r w:rsidR="003C48B6">
        <w:t>organisasjonen er ansvarlig for</w:t>
      </w:r>
      <w:r w:rsidRPr="00327D36">
        <w:t xml:space="preserve"> vesentlige brudd på lovens vilkår for tilskudd, eller hvis det avdekkes vesentlige og vedvarende brudd på andre lover</w:t>
      </w:r>
      <w:r>
        <w:t>,</w:t>
      </w:r>
      <w:r w:rsidRPr="00327D36">
        <w:t xml:space="preserve"> og </w:t>
      </w:r>
      <w:r w:rsidR="00CC7C54">
        <w:t>samfunnene</w:t>
      </w:r>
      <w:r>
        <w:t xml:space="preserve"> </w:t>
      </w:r>
      <w:r w:rsidRPr="00327D36">
        <w:t>ikke iverksetter tiltak som kan hindre</w:t>
      </w:r>
      <w:r>
        <w:t xml:space="preserve"> flere overtredelser</w:t>
      </w:r>
      <w:r w:rsidRPr="00327D36">
        <w:t>. Utvalget bemerket blant annet følgende om lovbrudd som grunnlag for å nekte tilskudd (</w:t>
      </w:r>
      <w:r w:rsidR="00CC7C54">
        <w:t xml:space="preserve">utredningen </w:t>
      </w:r>
      <w:r w:rsidRPr="00327D36">
        <w:t>s. 342):</w:t>
      </w:r>
    </w:p>
    <w:p w:rsidR="00CC7C54" w:rsidRPr="00E41C0F" w:rsidRDefault="00FB2B22" w:rsidP="00E41C0F">
      <w:pPr>
        <w:pStyle w:val="blokksit"/>
        <w:rPr>
          <w:rStyle w:val="kursiv"/>
        </w:rPr>
      </w:pPr>
      <w:r w:rsidRPr="00E41C0F">
        <w:rPr>
          <w:rStyle w:val="kursiv"/>
        </w:rPr>
        <w:t>Organisasjonen må være ansvarlig for lovbruddet, enten ved at organisasjonen i vedtekter og lignende ikke vil bøye seg for lovkrav, eller ved at organisasjonen ikke iverksetter tiltak for å hindre fremtidige lovbrudd. Det er heller ikke hvilket som helst lovbrudd som gir grunnlag for å stoppe støtte. Brudd på brannforskrifter eller byggeforskrifter gir ikke grunnlag for å nekte støtte.</w:t>
      </w:r>
    </w:p>
    <w:p w:rsidR="00CC7C54" w:rsidRPr="00E41C0F" w:rsidRDefault="00FB2B22" w:rsidP="00E41C0F">
      <w:pPr>
        <w:pStyle w:val="blokksit"/>
        <w:rPr>
          <w:rStyle w:val="kursiv"/>
        </w:rPr>
      </w:pPr>
      <w:r w:rsidRPr="00E41C0F">
        <w:rPr>
          <w:rStyle w:val="kursiv"/>
        </w:rPr>
        <w:t>Et eksempel på et lovbrudd kan være et trossamfunn som diskriminerer ved ansettelse ved for eksempel ikke å ville ansette en homofil person i en vaktmesterstilling uten religiøse funksjoner. Hvis samfunnet fastholder at de vil fortsette å nekte homofile ansettelse, er dette et eksempel på virksomhet som på varig basis kan være i strid med norsk lov på dette feltet og som eventuelt kan føre til at støtte ikke bør gis.</w:t>
      </w:r>
    </w:p>
    <w:p w:rsidR="00FB2B22" w:rsidRPr="00E41C0F" w:rsidRDefault="00FB2B22" w:rsidP="00E41C0F">
      <w:pPr>
        <w:pStyle w:val="blokksit"/>
        <w:rPr>
          <w:rStyle w:val="kursiv"/>
        </w:rPr>
      </w:pPr>
      <w:r w:rsidRPr="00E41C0F">
        <w:rPr>
          <w:rStyle w:val="kursiv"/>
        </w:rPr>
        <w:t>Utvalget vil i tillegg vektlegge lovbrudd knyttet til oppfordring til vold, og lovbrudd som går ut over barns interesser og rettigheter, jf. vektlegging av barns interesser i drøftingen i kapittel 19.</w:t>
      </w:r>
    </w:p>
    <w:p w:rsidR="00FB2B22" w:rsidRDefault="00FB2B22" w:rsidP="00FB2B22">
      <w:r w:rsidRPr="00327D36">
        <w:t xml:space="preserve">Departementet er i all hovedsak </w:t>
      </w:r>
      <w:r>
        <w:t xml:space="preserve">enig i utvalgets vurderinger. </w:t>
      </w:r>
    </w:p>
    <w:p w:rsidR="00FB2B22" w:rsidRDefault="00AF06D3" w:rsidP="00FB2B22">
      <w:r>
        <w:t xml:space="preserve">Departementet vil </w:t>
      </w:r>
      <w:r w:rsidR="00EA784D">
        <w:t>imidlertid</w:t>
      </w:r>
      <w:r>
        <w:t xml:space="preserve"> understreke at dersom det begås </w:t>
      </w:r>
      <w:r w:rsidR="00FB2B22" w:rsidRPr="00327D36">
        <w:t xml:space="preserve">straffbare handlinger i et tros- eller livssynssamfunn, er det ikke </w:t>
      </w:r>
      <w:r w:rsidR="001266A0" w:rsidRPr="00327D36">
        <w:t xml:space="preserve">primært </w:t>
      </w:r>
      <w:r w:rsidR="00FB2B22" w:rsidRPr="00327D36">
        <w:t>gjennom tilskudds</w:t>
      </w:r>
      <w:r w:rsidR="00626471">
        <w:t xml:space="preserve">ordningen </w:t>
      </w:r>
      <w:r w:rsidR="00FB2B22" w:rsidRPr="00327D36">
        <w:t>at staten skal sanksjonere</w:t>
      </w:r>
      <w:r>
        <w:t xml:space="preserve"> forholdene</w:t>
      </w:r>
      <w:r w:rsidR="00FB2B22" w:rsidRPr="00327D36">
        <w:t>. Straffbare forhold er i første rekke en sak fo</w:t>
      </w:r>
      <w:r w:rsidR="00FB2B22">
        <w:t>r politi- og påtalemyndighet</w:t>
      </w:r>
      <w:r w:rsidR="00E63048">
        <w:t>, også når overtredelsene er begått i et trossamfunn eller med en religiøs begrunnelse</w:t>
      </w:r>
      <w:r w:rsidR="00FB2B22">
        <w:t xml:space="preserve">. </w:t>
      </w:r>
      <w:r w:rsidR="008079EF">
        <w:t>Dette kan tilsi at det i</w:t>
      </w:r>
      <w:r w:rsidR="00FB2B22" w:rsidRPr="00327D36">
        <w:t xml:space="preserve"> saker om straffbare forhold </w:t>
      </w:r>
      <w:r w:rsidR="007746AE">
        <w:t>vanligvis</w:t>
      </w:r>
      <w:r w:rsidR="00FB2B22" w:rsidRPr="00327D36">
        <w:t xml:space="preserve"> </w:t>
      </w:r>
      <w:r w:rsidR="008079EF">
        <w:t xml:space="preserve">bør </w:t>
      </w:r>
      <w:r w:rsidR="00FB2B22" w:rsidRPr="00327D36">
        <w:t xml:space="preserve">foreligge en rettskraftig dom før tilskuddsforvalter nekter tros- eller livssynssamfunnet tilskudd </w:t>
      </w:r>
      <w:r w:rsidR="00E82FA4">
        <w:t>eller krever tilskudd tilbakebetalt</w:t>
      </w:r>
      <w:r w:rsidR="00EA784D">
        <w:t>. I</w:t>
      </w:r>
      <w:r w:rsidR="00FB2B22" w:rsidRPr="00327D36">
        <w:t xml:space="preserve">nntil det foreligger en rettskraftig dom kan tilskuddsforvalter </w:t>
      </w:r>
      <w:r w:rsidR="001266A0">
        <w:t>eventuelt</w:t>
      </w:r>
      <w:r>
        <w:t xml:space="preserve"> </w:t>
      </w:r>
      <w:r w:rsidR="00FB2B22" w:rsidRPr="00327D36">
        <w:t>stille samfunn</w:t>
      </w:r>
      <w:r w:rsidR="00FB2B22">
        <w:t xml:space="preserve">ets krav om tilskudd i bero. </w:t>
      </w:r>
    </w:p>
    <w:p w:rsidR="002F5643" w:rsidRDefault="002F5643" w:rsidP="00FB2B22">
      <w:r>
        <w:t>Å nekte et tros- eller livssynsamfunn statstilskudd p</w:t>
      </w:r>
      <w:r w:rsidR="00407AF3">
        <w:t xml:space="preserve">å grunn av </w:t>
      </w:r>
      <w:r>
        <w:t>vesentlige lovbrudd vil imidlertid ha et annet formål enn å sanksjonere det straffbare forholdet.</w:t>
      </w:r>
      <w:r w:rsidR="008079EF">
        <w:t xml:space="preserve"> Det vil primært være begrunnet i kravet om forsvarlig forvaltning av det offentliges midler og andre forutsetninger for tilskuddet.</w:t>
      </w:r>
      <w:r>
        <w:t xml:space="preserve"> Kravet til bevis i slike saker vil derfor være mindre strengt enn i saker etter straffeloven. Blant annet slike grunner kan tilsi a</w:t>
      </w:r>
      <w:r w:rsidR="008079EF">
        <w:t>t sak om nekting eller tilbakebe</w:t>
      </w:r>
      <w:r>
        <w:t>t</w:t>
      </w:r>
      <w:r w:rsidR="008079EF">
        <w:t>a</w:t>
      </w:r>
      <w:r>
        <w:t>ling av tilskudd ikke</w:t>
      </w:r>
      <w:r w:rsidR="008079EF">
        <w:t xml:space="preserve"> stilles i bero i påvente av straffesaken.</w:t>
      </w:r>
    </w:p>
    <w:p w:rsidR="00EA784D" w:rsidRDefault="00FB2B22" w:rsidP="00FB2B22">
      <w:r w:rsidRPr="00327D36">
        <w:t xml:space="preserve">Etter </w:t>
      </w:r>
      <w:r w:rsidR="003D3173">
        <w:t>Stålsett-</w:t>
      </w:r>
      <w:r w:rsidRPr="00327D36">
        <w:t>utvalgets forslag sk</w:t>
      </w:r>
      <w:r w:rsidR="003D3173">
        <w:t>ulle</w:t>
      </w:r>
      <w:r w:rsidRPr="00327D36">
        <w:t xml:space="preserve"> retten til tilskudd ikke kunne fratas tros- og livssynssamfunn som iverksetter tiltak for å hindre nye lovbrudd. Departementet mener imidlertid at enkelte lovbrudd </w:t>
      </w:r>
      <w:r w:rsidR="00E75133">
        <w:t>kan være</w:t>
      </w:r>
      <w:r w:rsidRPr="00327D36">
        <w:t xml:space="preserve"> så alvorlige at tilskudd etter omstendighetene bør kunne nektes </w:t>
      </w:r>
      <w:r w:rsidR="00E82FA4">
        <w:t xml:space="preserve">eller kreves tilbakebetalt </w:t>
      </w:r>
      <w:r w:rsidRPr="00327D36">
        <w:t xml:space="preserve">selv om tros- eller livssynssamfunnet iverksetter </w:t>
      </w:r>
      <w:r>
        <w:t xml:space="preserve">tiltak </w:t>
      </w:r>
      <w:r>
        <w:lastRenderedPageBreak/>
        <w:t>for å hindre gjentakelse. Seksuelle overgrep mot barn og</w:t>
      </w:r>
      <w:r w:rsidRPr="00327D36">
        <w:t xml:space="preserve"> </w:t>
      </w:r>
      <w:r>
        <w:t>terrorfinansiering er eksempler på forhold som bør kunne medfø</w:t>
      </w:r>
      <w:r w:rsidR="00923EB6">
        <w:t xml:space="preserve">re at tilskudd uansett ikke gis. </w:t>
      </w:r>
      <w:r w:rsidR="00544E6F">
        <w:t xml:space="preserve">Brudd på bestemmelser som skal beskytte barns interesser, brudd på diskrimineringslovgivningen og brudd på lovbestemmelser </w:t>
      </w:r>
      <w:r w:rsidR="00923EB6">
        <w:t>som skal hindre oppfordring til</w:t>
      </w:r>
      <w:r w:rsidR="00544E6F">
        <w:t xml:space="preserve"> hat eller vold</w:t>
      </w:r>
      <w:r w:rsidR="00954C97">
        <w:t>,</w:t>
      </w:r>
      <w:r w:rsidR="00544E6F">
        <w:t xml:space="preserve"> </w:t>
      </w:r>
      <w:r w:rsidR="00923EB6">
        <w:t xml:space="preserve">foreslås </w:t>
      </w:r>
      <w:r w:rsidR="00544E6F">
        <w:t>n</w:t>
      </w:r>
      <w:r w:rsidR="00923EB6">
        <w:t>evnt</w:t>
      </w:r>
      <w:r w:rsidR="00544E6F">
        <w:t xml:space="preserve"> i loven som alvorlige lovbrudd det skal legges vekt på ved vurdering av om tilskudd skal nektes.</w:t>
      </w:r>
    </w:p>
    <w:p w:rsidR="00F808EF" w:rsidRPr="00D41CFD" w:rsidRDefault="00F808EF" w:rsidP="00F808EF">
      <w:r w:rsidRPr="00D41CFD">
        <w:t xml:space="preserve">Departementet </w:t>
      </w:r>
      <w:r w:rsidRPr="00DA1F30">
        <w:t xml:space="preserve">foreslår følgende bestemmelse </w:t>
      </w:r>
      <w:r>
        <w:t xml:space="preserve">i </w:t>
      </w:r>
      <w:r w:rsidRPr="00BE7FA7">
        <w:t>lovforslaget § 6 første ledd</w:t>
      </w:r>
      <w:r w:rsidRPr="00D41CFD">
        <w:t>:</w:t>
      </w:r>
    </w:p>
    <w:p w:rsidR="00F808EF" w:rsidRPr="00E41C0F" w:rsidRDefault="00F808EF" w:rsidP="00E41C0F">
      <w:pPr>
        <w:pStyle w:val="blokksit"/>
        <w:rPr>
          <w:rStyle w:val="kursiv"/>
        </w:rPr>
      </w:pPr>
      <w:r w:rsidRPr="00E41C0F">
        <w:rPr>
          <w:rStyle w:val="kursiv"/>
        </w:rPr>
        <w:t xml:space="preserve">Tros- eller livssynssamfunn som begår alvorlige lovbrudd, kan nektes tilskudd etter § 4. I vurderingen skal det legges særlig vekt på brudd på lovbestemmelser som skal beskytte barns interesser, brudd på diskrimineringslovgivning og brudd på lovbestemmelser som skal hindre oppfordring til hat eller vold.  </w:t>
      </w:r>
    </w:p>
    <w:p w:rsidR="00F808EF" w:rsidRDefault="00F808EF" w:rsidP="00F808EF">
      <w:r>
        <w:t xml:space="preserve">Forslaget legger opp til at tilskudd </w:t>
      </w:r>
      <w:r w:rsidRPr="00D51D33">
        <w:rPr>
          <w:i/>
        </w:rPr>
        <w:t>kan</w:t>
      </w:r>
      <w:r>
        <w:t xml:space="preserve"> nektes, og denne vurderingen må gjøres konkret. Et grunnvilkår er at det faktisk er konstatert et lovbrudd</w:t>
      </w:r>
      <w:r w:rsidR="00EF1D4F">
        <w:t>; en</w:t>
      </w:r>
      <w:r>
        <w:t xml:space="preserve"> mistanke om lovbrudd er ikke nok til å nekte tilskudd. Samfunnet som sådan må videre klart kunne knyttes til det aktuelle lovbruddet for at det skal være aktuelt å nekte tilskudd. Dessuten må lovbruddet være tilstrekkelig alvorlig til at det er grunn til å nekte tilskudd. At lovbruddet eventuelt er vedvarende, vil kunne være et moment i vurderingen av alvorlighetsgraden. Det kan også ha betydning om samfunnet har iverksatt tiltak for å hindre nye lovbrudd. I vurderingen skal det legges særlig vekt på </w:t>
      </w:r>
      <w:r w:rsidR="007746AE">
        <w:t>d</w:t>
      </w:r>
      <w:r>
        <w:t>e typer lovbrudd</w:t>
      </w:r>
      <w:r w:rsidR="007746AE">
        <w:t xml:space="preserve"> som er </w:t>
      </w:r>
      <w:r w:rsidR="007B766C">
        <w:t>nevnt</w:t>
      </w:r>
      <w:r w:rsidR="007746AE">
        <w:t xml:space="preserve"> i bestemmelsen</w:t>
      </w:r>
      <w:r>
        <w:t xml:space="preserve">. </w:t>
      </w:r>
    </w:p>
    <w:p w:rsidR="003D3173" w:rsidRDefault="003D3173" w:rsidP="001E491E">
      <w:pPr>
        <w:pStyle w:val="Overskrift4"/>
      </w:pPr>
      <w:r>
        <w:t>Verdimessige vilkår</w:t>
      </w:r>
    </w:p>
    <w:p w:rsidR="003D3173" w:rsidRDefault="001B12EA" w:rsidP="00FB2B22">
      <w:r>
        <w:t>D</w:t>
      </w:r>
      <w:r w:rsidR="003D3173">
        <w:t xml:space="preserve">epartementet mener </w:t>
      </w:r>
      <w:r w:rsidR="00FB6C59">
        <w:t xml:space="preserve">som nevnt </w:t>
      </w:r>
      <w:r w:rsidR="003D3173">
        <w:t>at det</w:t>
      </w:r>
      <w:r>
        <w:t xml:space="preserve"> gjeldende </w:t>
      </w:r>
      <w:r w:rsidR="00FC79DA">
        <w:t>tilskudds</w:t>
      </w:r>
      <w:r>
        <w:t>vi</w:t>
      </w:r>
      <w:r w:rsidR="003D3173">
        <w:t xml:space="preserve">lkåret </w:t>
      </w:r>
      <w:r w:rsidR="00FC79DA">
        <w:t xml:space="preserve">om "sømd" eller "moral" </w:t>
      </w:r>
      <w:r w:rsidR="00344A7F">
        <w:t>bør formuleres mer konkret</w:t>
      </w:r>
      <w:r w:rsidR="00960330">
        <w:t>, men har påpekt at det er</w:t>
      </w:r>
      <w:r w:rsidR="00FB6C59">
        <w:t xml:space="preserve"> krevende å utforme </w:t>
      </w:r>
      <w:r w:rsidR="00344A7F">
        <w:t>verdivilkår</w:t>
      </w:r>
      <w:r w:rsidR="00FB6C59">
        <w:t xml:space="preserve"> for tilskudd</w:t>
      </w:r>
      <w:r w:rsidR="00344A7F">
        <w:t xml:space="preserve">. </w:t>
      </w:r>
      <w:r w:rsidR="00EF1338">
        <w:t xml:space="preserve">Av hensyn til blant annet forutberegnelighet i ordningen </w:t>
      </w:r>
      <w:r w:rsidR="00344A7F">
        <w:t xml:space="preserve">og oppfølging fra myndighetenes side </w:t>
      </w:r>
      <w:r w:rsidR="00EF1338">
        <w:t>bør vilkår utformes mest mulig presist i loven</w:t>
      </w:r>
      <w:r w:rsidR="007542F6">
        <w:t>, mens</w:t>
      </w:r>
      <w:r w:rsidR="00960330">
        <w:t xml:space="preserve"> mer åpent formulerte vilkår vil gi rom for konkret vurdering av blant annet rimelighet</w:t>
      </w:r>
      <w:r w:rsidR="007542F6">
        <w:t xml:space="preserve">. </w:t>
      </w:r>
    </w:p>
    <w:p w:rsidR="00842C9F" w:rsidRDefault="007331C5" w:rsidP="007E317C">
      <w:r>
        <w:t xml:space="preserve">Departementet har merket seg </w:t>
      </w:r>
      <w:r w:rsidR="007E317C" w:rsidRPr="002D7120">
        <w:t>Stålsett</w:t>
      </w:r>
      <w:r w:rsidR="006C740A">
        <w:t>-</w:t>
      </w:r>
      <w:r w:rsidR="007E317C" w:rsidRPr="002D7120">
        <w:t>utvalget</w:t>
      </w:r>
      <w:r>
        <w:t xml:space="preserve">s </w:t>
      </w:r>
      <w:r w:rsidR="00960330">
        <w:t xml:space="preserve">relativt </w:t>
      </w:r>
      <w:r>
        <w:t xml:space="preserve">konkret formulerte verdivilkår og deler i hovedsak utvalgets vurdering av hvilke forhold som bør </w:t>
      </w:r>
      <w:r w:rsidR="00960330">
        <w:t>kunne diskvalifisere for</w:t>
      </w:r>
      <w:r>
        <w:t xml:space="preserve"> tilskudd. </w:t>
      </w:r>
      <w:r w:rsidR="00B438E8">
        <w:t>Stålsett-utvalgets forslag til vilkår er dels formulert som vilkår for godkjenning av tros- og livssynssamfunn, blant annet som grunnlag for tildeling av tilskudd, og dels som vilkår for sanksjoner, at samfunnet kan fratas godkjenning med rett til statstilskudd.</w:t>
      </w:r>
    </w:p>
    <w:p w:rsidR="00795DA4" w:rsidRDefault="00795DA4" w:rsidP="007E317C">
      <w:r>
        <w:t xml:space="preserve">Departementet viser </w:t>
      </w:r>
      <w:r w:rsidR="004341BD">
        <w:t>i denne sammenheng</w:t>
      </w:r>
      <w:r w:rsidR="004B1555">
        <w:t>en</w:t>
      </w:r>
      <w:r w:rsidR="004341BD">
        <w:t xml:space="preserve"> </w:t>
      </w:r>
      <w:r>
        <w:t xml:space="preserve">også til </w:t>
      </w:r>
      <w:r w:rsidR="004341BD">
        <w:t>r</w:t>
      </w:r>
      <w:r>
        <w:t>egjeringens satsing mot negativ sosial kontroll</w:t>
      </w:r>
      <w:r w:rsidR="004341BD">
        <w:t xml:space="preserve"> (</w:t>
      </w:r>
      <w:r w:rsidR="004341BD" w:rsidRPr="00407AF3">
        <w:rPr>
          <w:i/>
        </w:rPr>
        <w:t>Retten til å bestemme over eget liv</w:t>
      </w:r>
      <w:r w:rsidR="004341BD" w:rsidRPr="004341BD">
        <w:t>. Handlingsplan mot negativ sosial kontroll, tvangsekteskap o</w:t>
      </w:r>
      <w:r w:rsidR="004341BD">
        <w:t>g kjønnslemlestelse (2017</w:t>
      </w:r>
      <w:r w:rsidR="00B52A69">
        <w:t>–</w:t>
      </w:r>
      <w:r w:rsidR="004341BD">
        <w:t>2020).</w:t>
      </w:r>
      <w:r>
        <w:t xml:space="preserve"> Tros- og livssynssamfunnene kan ha stor innflytelse på dette verd</w:t>
      </w:r>
      <w:r w:rsidR="004341BD">
        <w:t>i</w:t>
      </w:r>
      <w:r>
        <w:t>området</w:t>
      </w:r>
      <w:r w:rsidR="004341BD">
        <w:t xml:space="preserve"> og det er viktig at de er seg bevisst det ansvaret dette medfører.</w:t>
      </w:r>
    </w:p>
    <w:p w:rsidR="003D4C4D" w:rsidRDefault="00B438E8" w:rsidP="00E63048">
      <w:r>
        <w:t>Departementet er i tvil o</w:t>
      </w:r>
      <w:r w:rsidR="00960330">
        <w:t xml:space="preserve">m hvordan </w:t>
      </w:r>
      <w:r>
        <w:t xml:space="preserve">verdivilkår </w:t>
      </w:r>
      <w:r w:rsidR="00960330">
        <w:t xml:space="preserve">mest hensiktsmessig </w:t>
      </w:r>
      <w:r>
        <w:t>bør utf</w:t>
      </w:r>
      <w:r w:rsidR="003D4C4D">
        <w:t>ormes</w:t>
      </w:r>
      <w:r w:rsidR="009700C6">
        <w:t xml:space="preserve">. </w:t>
      </w:r>
      <w:r w:rsidR="00960330">
        <w:t>I tilfeller som slike vilkår skal ramme, vil t</w:t>
      </w:r>
      <w:r w:rsidR="003D4C4D">
        <w:t>erskelen for å nekte tilskudd</w:t>
      </w:r>
      <w:r w:rsidR="00960330">
        <w:t xml:space="preserve"> generelt</w:t>
      </w:r>
      <w:r w:rsidR="003D4C4D">
        <w:t xml:space="preserve"> være lavere enn</w:t>
      </w:r>
      <w:r w:rsidR="00960330">
        <w:t xml:space="preserve"> når det kan konstateres lovbrudd, og tilskuddsforvalteren</w:t>
      </w:r>
      <w:r w:rsidR="00385168">
        <w:t xml:space="preserve"> vil uansett måtte gjøre en selvstendig, skjønnsmessig vurdering</w:t>
      </w:r>
      <w:r w:rsidR="003D4C4D">
        <w:t xml:space="preserve">. </w:t>
      </w:r>
    </w:p>
    <w:p w:rsidR="00E63048" w:rsidRDefault="00B438E8" w:rsidP="00E63048">
      <w:r>
        <w:t xml:space="preserve">Etter departementets syn </w:t>
      </w:r>
      <w:r w:rsidR="001C5F06">
        <w:t xml:space="preserve">bør </w:t>
      </w:r>
      <w:r w:rsidR="00764210">
        <w:t>verdi</w:t>
      </w:r>
      <w:r w:rsidR="001C5F06">
        <w:t xml:space="preserve">vilkår </w:t>
      </w:r>
      <w:r w:rsidR="00385168">
        <w:t xml:space="preserve">være avgrenset til å </w:t>
      </w:r>
      <w:r w:rsidR="001C5F06">
        <w:t xml:space="preserve">ramme aktivitet i tros- og livssynssamfunn som på </w:t>
      </w:r>
      <w:r w:rsidR="00385168">
        <w:t xml:space="preserve">en </w:t>
      </w:r>
      <w:r w:rsidR="001C5F06">
        <w:t xml:space="preserve">kvalifisert måte rammer </w:t>
      </w:r>
      <w:r w:rsidR="00764210">
        <w:t xml:space="preserve">andres, primært </w:t>
      </w:r>
      <w:r w:rsidR="001C5F06">
        <w:t>ikke-medlemmer</w:t>
      </w:r>
      <w:r w:rsidR="009700C6">
        <w:t>s</w:t>
      </w:r>
      <w:r w:rsidR="00764210">
        <w:t>,</w:t>
      </w:r>
      <w:r w:rsidR="001C5F06">
        <w:t xml:space="preserve"> rettigheter og friheter</w:t>
      </w:r>
      <w:r w:rsidR="006E0F2A">
        <w:t xml:space="preserve">, jf. EMK artikkel 9 nr. 2. </w:t>
      </w:r>
      <w:r w:rsidR="00764210">
        <w:t xml:space="preserve">Medlemmene vil kunne reagere med å forlate det aktuelle samfunnet. </w:t>
      </w:r>
      <w:r w:rsidR="006E0F2A">
        <w:t>Også tros- og livssynsamfunn som aktivt hindrer utmelding bør kunne nektes tilskudd</w:t>
      </w:r>
      <w:r w:rsidR="00385168">
        <w:t>, slik Stålsett-utvalget foreslo</w:t>
      </w:r>
      <w:r w:rsidR="006E0F2A">
        <w:t xml:space="preserve">. Departementet er </w:t>
      </w:r>
      <w:r w:rsidR="00385168">
        <w:t xml:space="preserve">videre </w:t>
      </w:r>
      <w:r w:rsidR="006E0F2A">
        <w:t>enig med Stålsett-utvalget i at tros- og livssynssamfunn som "</w:t>
      </w:r>
      <w:r w:rsidR="00FB2B22" w:rsidRPr="00327D36">
        <w:t>organiserer eller oppmuntrer til oppvekstvilkår for barn som er klart skadelige</w:t>
      </w:r>
      <w:r w:rsidR="006E0F2A">
        <w:t>"</w:t>
      </w:r>
      <w:r w:rsidR="00AF06D3">
        <w:t>,</w:t>
      </w:r>
      <w:r w:rsidR="00FB2B22" w:rsidRPr="00327D36">
        <w:t xml:space="preserve"> </w:t>
      </w:r>
      <w:r w:rsidR="006E0F2A">
        <w:t>heller</w:t>
      </w:r>
      <w:r w:rsidR="00FB2B22" w:rsidRPr="00327D36">
        <w:t xml:space="preserve"> ikke bør ha rett til tilskudd.  </w:t>
      </w:r>
    </w:p>
    <w:p w:rsidR="006E0F2A" w:rsidRDefault="006E0F2A" w:rsidP="00FB2B22">
      <w:r>
        <w:lastRenderedPageBreak/>
        <w:t xml:space="preserve">På denne bakgrunnen foreslår departementet et verdivilkår som er mer generelt utformet enn </w:t>
      </w:r>
      <w:r w:rsidR="009700C6">
        <w:t>forslaget fra Stålsett-utvalget</w:t>
      </w:r>
      <w:r w:rsidR="006C6818">
        <w:t>, jf. departementets lovutkast § 6 annet ledd</w:t>
      </w:r>
      <w:r w:rsidR="009700C6">
        <w:t>:</w:t>
      </w:r>
      <w:r>
        <w:t xml:space="preserve"> </w:t>
      </w:r>
    </w:p>
    <w:p w:rsidR="006E0F2A" w:rsidRPr="00E41C0F" w:rsidRDefault="00561D02" w:rsidP="00E41C0F">
      <w:pPr>
        <w:pStyle w:val="blokksit"/>
        <w:rPr>
          <w:rStyle w:val="kursiv"/>
        </w:rPr>
      </w:pPr>
      <w:r w:rsidRPr="00E41C0F">
        <w:rPr>
          <w:rStyle w:val="kursiv"/>
        </w:rPr>
        <w:t>Tros- eller livssynssamfunn som utfører, oppfordrer til eller uttrykker støtte til handlinger som utgjør en alvorlig krenkelse av andres rettigheter og friheter</w:t>
      </w:r>
      <w:r w:rsidR="003F2A46" w:rsidRPr="00E41C0F">
        <w:rPr>
          <w:rStyle w:val="kursiv"/>
        </w:rPr>
        <w:t>,</w:t>
      </w:r>
      <w:r w:rsidRPr="00E41C0F">
        <w:rPr>
          <w:rStyle w:val="kursiv"/>
        </w:rPr>
        <w:t xml:space="preserve"> kan nektes tilskudd etter § 4. Samfunn som organiserer eller oppmuntrer til oppvekstvilkår for barn som er klart skadelige, skal nektes tilskudd.</w:t>
      </w:r>
      <w:r w:rsidR="006E0F2A" w:rsidRPr="00E41C0F">
        <w:rPr>
          <w:rStyle w:val="kursiv"/>
        </w:rPr>
        <w:t xml:space="preserve">  </w:t>
      </w:r>
    </w:p>
    <w:p w:rsidR="009700C6" w:rsidRDefault="00E52B1A" w:rsidP="00FB2B22">
      <w:r>
        <w:t xml:space="preserve">Hovedvilkåret gir grunnlag for at tilskuddsmyndigheten </w:t>
      </w:r>
      <w:r w:rsidRPr="001E491E">
        <w:rPr>
          <w:i/>
        </w:rPr>
        <w:t>kan</w:t>
      </w:r>
      <w:r>
        <w:t xml:space="preserve"> nekte tilskudd. Det forutsettes dermed en konkret vurdering av det aktuelle forholdet. </w:t>
      </w:r>
      <w:r w:rsidR="00561D02">
        <w:t>Ordlyden vil kunne omfatte forhold som kan være lovbrudd,</w:t>
      </w:r>
      <w:r w:rsidR="006C6818">
        <w:t xml:space="preserve"> og da kan hjemmelen i § 6 første ledd anvendes. Bestemmelsen i annet ledd </w:t>
      </w:r>
      <w:r w:rsidR="00561D02">
        <w:t xml:space="preserve">har som formål å ramme </w:t>
      </w:r>
      <w:r w:rsidR="00BA273E">
        <w:t xml:space="preserve">krenkelser av andres rettigheter og friheter </w:t>
      </w:r>
      <w:r w:rsidR="006C6818">
        <w:t xml:space="preserve">som ikke er i strid med lov, men som likevel </w:t>
      </w:r>
      <w:r w:rsidR="00BA273E">
        <w:t>er tilstrekkelig alvorlige til at tilskudd bør nektes</w:t>
      </w:r>
      <w:r w:rsidR="00561D02">
        <w:t xml:space="preserve">. </w:t>
      </w:r>
      <w:r w:rsidR="006C6818">
        <w:t>At forholdet er vedvarende, og at det ev</w:t>
      </w:r>
      <w:r w:rsidR="00B52A69">
        <w:t>e</w:t>
      </w:r>
      <w:r w:rsidR="00EF1D4F">
        <w:t xml:space="preserve">ntuelt </w:t>
      </w:r>
      <w:r w:rsidR="006C6818">
        <w:t xml:space="preserve">ikke iverksettes tiltak for å hindre framtidige krenkelser, vil også her være av betydning for vurderingen av om tilskudd skal nektes. Også i disse tilfellene </w:t>
      </w:r>
      <w:r>
        <w:t>må en kunne</w:t>
      </w:r>
      <w:r w:rsidR="006C6818">
        <w:t xml:space="preserve"> konstatere at organisasjonen er</w:t>
      </w:r>
      <w:r>
        <w:t xml:space="preserve"> ansvarlig for forholdet. Et klart eksempel på dette vil kunne være at </w:t>
      </w:r>
      <w:r w:rsidR="00142B8E">
        <w:t>krenkelsen framgår av</w:t>
      </w:r>
      <w:r>
        <w:t xml:space="preserve"> vedtekter</w:t>
      </w:r>
      <w:r w:rsidR="00142B8E">
        <w:t xml:space="preserve"> eller andre dokumenter</w:t>
      </w:r>
      <w:r>
        <w:t xml:space="preserve">, kommer til uttrykk gjennom fast praksis eller lignende. Vilkåret om barns oppvekstvilkår er formulert som en </w:t>
      </w:r>
      <w:r w:rsidRPr="001E491E">
        <w:rPr>
          <w:i/>
        </w:rPr>
        <w:t>skal</w:t>
      </w:r>
      <w:r w:rsidR="00561D02">
        <w:t>-regel, og t</w:t>
      </w:r>
      <w:r w:rsidR="00B860AC">
        <w:t xml:space="preserve">ilskuddsforvalteren vil dermed ha plikt til å nekte tilskudd dersom </w:t>
      </w:r>
      <w:r w:rsidR="006C6818">
        <w:t xml:space="preserve">dette </w:t>
      </w:r>
      <w:r w:rsidR="00B860AC">
        <w:t>vilkåret</w:t>
      </w:r>
      <w:r>
        <w:t xml:space="preserve"> er oppfylt.  </w:t>
      </w:r>
    </w:p>
    <w:p w:rsidR="003D4C4D" w:rsidRDefault="003D4C4D" w:rsidP="000D5136">
      <w:r>
        <w:t>Departementet ber særskilt om høringsintansenes synspunkt</w:t>
      </w:r>
      <w:r w:rsidR="001520D9">
        <w:t>er på utformingen av verdivilkår for tilskudd</w:t>
      </w:r>
      <w:r>
        <w:t>.</w:t>
      </w:r>
    </w:p>
    <w:p w:rsidR="00D42865" w:rsidRDefault="00D42865" w:rsidP="001E491E">
      <w:pPr>
        <w:pStyle w:val="Overskrift2"/>
      </w:pPr>
      <w:bookmarkStart w:id="2591" w:name="_Toc477277326"/>
      <w:bookmarkStart w:id="2592" w:name="_Toc477535828"/>
      <w:bookmarkStart w:id="2593" w:name="_Toc477630960"/>
      <w:bookmarkStart w:id="2594" w:name="_Toc477693924"/>
      <w:bookmarkStart w:id="2595" w:name="_Toc477704349"/>
      <w:bookmarkStart w:id="2596" w:name="_Toc477799587"/>
      <w:bookmarkStart w:id="2597" w:name="_Toc477806188"/>
      <w:bookmarkStart w:id="2598" w:name="_Toc477870947"/>
      <w:bookmarkStart w:id="2599" w:name="_Toc477871848"/>
      <w:bookmarkStart w:id="2600" w:name="_Toc477878450"/>
      <w:bookmarkStart w:id="2601" w:name="_Toc477881853"/>
      <w:bookmarkStart w:id="2602" w:name="_Toc477886313"/>
      <w:bookmarkStart w:id="2603" w:name="_Toc478131446"/>
      <w:bookmarkStart w:id="2604" w:name="_Toc478138816"/>
      <w:bookmarkStart w:id="2605" w:name="_Toc478232341"/>
      <w:bookmarkStart w:id="2606" w:name="_Toc478237325"/>
      <w:bookmarkStart w:id="2607" w:name="_Toc481761861"/>
      <w:bookmarkStart w:id="2608" w:name="_Toc492900513"/>
      <w:r>
        <w:t>Særlig om krav til kjønnslikestilling</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rsidR="00D42865" w:rsidRDefault="00D42865" w:rsidP="001E491E">
      <w:pPr>
        <w:pStyle w:val="Overskrift3"/>
      </w:pPr>
      <w:bookmarkStart w:id="2609" w:name="_Toc477277327"/>
      <w:bookmarkStart w:id="2610" w:name="_Toc477535829"/>
      <w:bookmarkStart w:id="2611" w:name="_Toc477630961"/>
      <w:bookmarkStart w:id="2612" w:name="_Toc477693925"/>
      <w:bookmarkStart w:id="2613" w:name="_Toc477704350"/>
      <w:bookmarkStart w:id="2614" w:name="_Toc477799588"/>
      <w:bookmarkStart w:id="2615" w:name="_Toc477806189"/>
      <w:bookmarkStart w:id="2616" w:name="_Toc477871849"/>
      <w:bookmarkStart w:id="2617" w:name="_Toc477878451"/>
      <w:bookmarkStart w:id="2618" w:name="_Toc477881854"/>
      <w:bookmarkStart w:id="2619" w:name="_Toc477886314"/>
      <w:bookmarkStart w:id="2620" w:name="_Toc478131447"/>
      <w:bookmarkStart w:id="2621" w:name="_Toc478138817"/>
      <w:bookmarkStart w:id="2622" w:name="_Toc478232342"/>
      <w:bookmarkStart w:id="2623" w:name="_Toc478237326"/>
      <w:bookmarkStart w:id="2624" w:name="_Toc481761862"/>
      <w:bookmarkStart w:id="2625" w:name="_Toc492900514"/>
      <w:r>
        <w:t>Gjeldende rett</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p>
    <w:p w:rsidR="000F1FB7" w:rsidRDefault="00177BD5" w:rsidP="00177BD5">
      <w:r>
        <w:t xml:space="preserve">Diskriminering på grunn av kjønn er forbudt på alle områder i samfunnet – også i trossamfunn. For at trossamfunn skal kunne behandle menn og kvinner ulikt må de generelle vilkårene i </w:t>
      </w:r>
      <w:r w:rsidR="0007501A">
        <w:t>lov 21. juni 2013 nr. 59 om likestilling mellom kjønnene (</w:t>
      </w:r>
      <w:r>
        <w:t>likestillingsloven</w:t>
      </w:r>
      <w:r w:rsidR="0007501A">
        <w:t>)</w:t>
      </w:r>
      <w:r>
        <w:t xml:space="preserve"> § 6 om lovlig forskjellsbehandling være oppfylt. </w:t>
      </w:r>
      <w:r w:rsidR="00B23396">
        <w:t xml:space="preserve">I praksis betyr det at forskjellsbehandling på grunn av kjønn </w:t>
      </w:r>
      <w:r w:rsidR="00126452">
        <w:t xml:space="preserve">i et trossamfunn </w:t>
      </w:r>
      <w:r w:rsidR="00B23396">
        <w:t>er tillatt når den bygger på et religiøst grunnlag</w:t>
      </w:r>
      <w:r w:rsidR="00C83858">
        <w:t xml:space="preserve"> (saklig formål)</w:t>
      </w:r>
      <w:r w:rsidR="00B23396">
        <w:t>, at kravet om et bestemt kjønn er nødvendig for å kunne ha en stilling</w:t>
      </w:r>
      <w:r w:rsidR="00126452">
        <w:t>, et verv</w:t>
      </w:r>
      <w:r w:rsidR="00B23396">
        <w:t xml:space="preserve"> mv. </w:t>
      </w:r>
      <w:r w:rsidR="00C83858">
        <w:t xml:space="preserve">(nødvendig for å oppnå formålet) </w:t>
      </w:r>
      <w:r w:rsidR="00B23396">
        <w:t xml:space="preserve">og at </w:t>
      </w:r>
      <w:r w:rsidR="00126452">
        <w:t xml:space="preserve">målet for </w:t>
      </w:r>
      <w:r w:rsidR="00B23396">
        <w:t xml:space="preserve">forskjellsbehandlingen </w:t>
      </w:r>
      <w:r w:rsidR="00126452">
        <w:t xml:space="preserve">står i et rimelig forhold til virkningen for den som forskjellsbehandles </w:t>
      </w:r>
      <w:r w:rsidR="00C83858">
        <w:t>(ikke uforholdsmessig)</w:t>
      </w:r>
      <w:r w:rsidR="00B23396">
        <w:t>. Tidligere inneholdt likestillingsloven en særlig bestemmelse om at loven ikke skulle gjelde for "indre forhold i trossamfunn", men denne unntaksbestemmelsen er nå opphevet.</w:t>
      </w:r>
      <w:r w:rsidR="000F1FB7">
        <w:t xml:space="preserve"> </w:t>
      </w:r>
    </w:p>
    <w:p w:rsidR="00177BD5" w:rsidRDefault="000F1FB7" w:rsidP="00177BD5">
      <w:r>
        <w:t>Det er gitt særlige regler om kjønnsbalansen i styrer i allmennaksjeselskaper, jf. lov</w:t>
      </w:r>
      <w:r w:rsidR="001607D4">
        <w:t xml:space="preserve"> 13. juni 1997 nr. 45. om allmennaksjeselskaper § 6-11 a</w:t>
      </w:r>
      <w:r>
        <w:t>, som innebærer at det skal være 40 p</w:t>
      </w:r>
      <w:r w:rsidR="00B52A69">
        <w:t>st.</w:t>
      </w:r>
      <w:r>
        <w:t xml:space="preserve"> kvinner (og menn) i styrene. Dette kravet gjelder tilsvarende for offentlige, heleide foretak (statsforetak), interkommunale selskaper, store samvirkeforetak og aksjeselskaper </w:t>
      </w:r>
      <w:r w:rsidR="001607D4">
        <w:t xml:space="preserve">der kommuner har mer enn 2/3 eierandel. </w:t>
      </w:r>
    </w:p>
    <w:p w:rsidR="00EC13E4" w:rsidRDefault="0007501A" w:rsidP="00177BD5">
      <w:r>
        <w:t>Kvinnekonvensjonen</w:t>
      </w:r>
      <w:r w:rsidR="0059208E">
        <w:t xml:space="preserve"> (KDK)</w:t>
      </w:r>
      <w:r w:rsidR="00727DD4">
        <w:t xml:space="preserve"> er, som nevnt i kapittel</w:t>
      </w:r>
      <w:r>
        <w:t xml:space="preserve"> 6.2.2, inkorporert i norsk rett, og konvensjonen </w:t>
      </w:r>
      <w:r w:rsidR="00C83858">
        <w:t>går relativt langt i å pålegge</w:t>
      </w:r>
      <w:r>
        <w:t xml:space="preserve"> staten å treffe tiltak for å mot</w:t>
      </w:r>
      <w:r w:rsidR="00EC13E4">
        <w:t xml:space="preserve">virke diskriminering av kvinner. </w:t>
      </w:r>
      <w:r w:rsidR="004843D3">
        <w:t xml:space="preserve">Diskriminering av kvinner er i konvensjonen definert som "enhver forskjellsbehandling, utestenging eller begrensning på grunnlag av kjønn", jf. artikkel 1. </w:t>
      </w:r>
      <w:r w:rsidR="00154030">
        <w:t xml:space="preserve">Flere av bestemmelsene i konvensjonen er relevante for en vurdering av hvordan tilskuddsordningen for tros- og livssynssamfunn bør utformes: </w:t>
      </w:r>
    </w:p>
    <w:p w:rsidR="00154030" w:rsidRPr="00E41C0F" w:rsidRDefault="00154030" w:rsidP="00E41C0F">
      <w:pPr>
        <w:pStyle w:val="blokksit"/>
        <w:rPr>
          <w:rStyle w:val="kursiv"/>
        </w:rPr>
      </w:pPr>
      <w:r w:rsidRPr="00E41C0F">
        <w:rPr>
          <w:rStyle w:val="kursiv"/>
        </w:rPr>
        <w:lastRenderedPageBreak/>
        <w:t xml:space="preserve">Artikkel 2 </w:t>
      </w:r>
    </w:p>
    <w:p w:rsidR="00154030" w:rsidRPr="00E41C0F" w:rsidRDefault="00682B50" w:rsidP="00E41C0F">
      <w:pPr>
        <w:pStyle w:val="blokksit"/>
        <w:rPr>
          <w:rStyle w:val="kursiv"/>
        </w:rPr>
      </w:pPr>
      <w:r w:rsidRPr="00E41C0F">
        <w:rPr>
          <w:rStyle w:val="kursiv"/>
        </w:rPr>
        <w:t>Konvensjonspartene fordømmer alle former for kvinnediskriminering og er enige om å føre en politikk, uten opphold og med alle egnede midler, som tar sikte på å avskaffe alle former for kvinnediskriminering, og for dette formål forplikter de seg til:</w:t>
      </w:r>
      <w:r w:rsidR="00154030" w:rsidRPr="00E41C0F">
        <w:rPr>
          <w:rStyle w:val="kursiv"/>
        </w:rPr>
        <w:t xml:space="preserve"> …</w:t>
      </w:r>
    </w:p>
    <w:p w:rsidR="00154030" w:rsidRPr="00E41C0F" w:rsidRDefault="00443B3D" w:rsidP="00E41C0F">
      <w:pPr>
        <w:pStyle w:val="blokksit"/>
        <w:rPr>
          <w:rStyle w:val="kursiv"/>
        </w:rPr>
      </w:pPr>
      <w:r w:rsidRPr="00E41C0F">
        <w:rPr>
          <w:rStyle w:val="kursiv"/>
        </w:rPr>
        <w:t xml:space="preserve">e) </w:t>
      </w:r>
      <w:r w:rsidR="00637D51" w:rsidRPr="00E41C0F">
        <w:rPr>
          <w:rStyle w:val="kursiv"/>
        </w:rPr>
        <w:t>å treffe alle tiltak som er nødvendige for å hindre at personer, organisasjoner eller foretak diskriminerer kvinner</w:t>
      </w:r>
      <w:r w:rsidRPr="00E41C0F">
        <w:rPr>
          <w:rStyle w:val="kursiv"/>
        </w:rPr>
        <w:t>, …</w:t>
      </w:r>
    </w:p>
    <w:p w:rsidR="00443B3D" w:rsidRPr="00E41C0F" w:rsidRDefault="00443B3D" w:rsidP="00E41C0F">
      <w:pPr>
        <w:pStyle w:val="blokksit"/>
        <w:rPr>
          <w:rStyle w:val="kursiv"/>
        </w:rPr>
      </w:pPr>
      <w:r w:rsidRPr="00E41C0F">
        <w:rPr>
          <w:rStyle w:val="kursiv"/>
        </w:rPr>
        <w:t>Artikkel 5</w:t>
      </w:r>
    </w:p>
    <w:p w:rsidR="00637D51" w:rsidRPr="00E41C0F" w:rsidRDefault="00637D51" w:rsidP="00E41C0F">
      <w:pPr>
        <w:pStyle w:val="blokksit"/>
        <w:rPr>
          <w:rStyle w:val="kursiv"/>
        </w:rPr>
      </w:pPr>
      <w:r w:rsidRPr="00E41C0F">
        <w:rPr>
          <w:rStyle w:val="kursiv"/>
        </w:rPr>
        <w:t>Konvensjonspartene skal treffe alle tiltak som er nødvendige</w:t>
      </w:r>
    </w:p>
    <w:p w:rsidR="00C83858" w:rsidRPr="00E41C0F" w:rsidRDefault="00637D51" w:rsidP="00E41C0F">
      <w:pPr>
        <w:pStyle w:val="alfaliste2"/>
        <w:numPr>
          <w:ilvl w:val="1"/>
          <w:numId w:val="45"/>
        </w:numPr>
        <w:rPr>
          <w:rStyle w:val="kursiv"/>
        </w:rPr>
      </w:pPr>
      <w:r w:rsidRPr="00E41C0F">
        <w:rPr>
          <w:rStyle w:val="kursiv"/>
        </w:rPr>
        <w:t>for å endre menns og kvinners sosiale og kulturelle atferdsmønstre, med sikte på å avskaffe fordommer og hevdvunnen og all annen praksis som bygger på stereotype manns- og kvinneroller, eller på forestillingen om at et av kjønnene er det andre underlegent eller overlegent</w:t>
      </w:r>
      <w:r w:rsidR="00443B3D" w:rsidRPr="00E41C0F">
        <w:rPr>
          <w:rStyle w:val="kursiv"/>
        </w:rPr>
        <w:t>. …</w:t>
      </w:r>
    </w:p>
    <w:p w:rsidR="00637D51" w:rsidRDefault="00637D51">
      <w:r>
        <w:t>FNs kvinnekomite har i tolkningsuttalelser utdypet bes</w:t>
      </w:r>
      <w:r w:rsidR="00BB515D">
        <w:t>temmelsene i konvensjonen</w:t>
      </w:r>
      <w:r w:rsidR="00AF0F78">
        <w:t>. K</w:t>
      </w:r>
      <w:r w:rsidR="00BB515D">
        <w:t xml:space="preserve">omiteen </w:t>
      </w:r>
      <w:r w:rsidR="00AF0F78">
        <w:t xml:space="preserve">har </w:t>
      </w:r>
      <w:r w:rsidR="00BB515D">
        <w:t xml:space="preserve">blant annet uttrykt at staten skal avstå fra å "sponse" praksiser i private organisasjoner som innebærer at kvinner og menn </w:t>
      </w:r>
      <w:r w:rsidR="00407AF3">
        <w:t xml:space="preserve">behandles </w:t>
      </w:r>
      <w:r w:rsidR="00BB515D">
        <w:t>ulikt, at statene skal ta aktive skritt for å hindre diskriminering av kvinner og at staten i noen tilfeller kan holdes ansvarlig for diskriminering som skjer i private organisasjoner</w:t>
      </w:r>
      <w:r w:rsidR="00AF0F78">
        <w:t xml:space="preserve"> (se Kvinnediskrimineringskomiteens General Recommendation No. 28 on the Core Obligations of States Parties under Article 2, 2010, særlig punktene 13, 35, 37)</w:t>
      </w:r>
      <w:r w:rsidR="00BB515D">
        <w:t xml:space="preserve">. </w:t>
      </w:r>
    </w:p>
    <w:p w:rsidR="0007501A" w:rsidRDefault="00727DD4" w:rsidP="00177BD5">
      <w:r>
        <w:t>Som nevnt ovenfor i kapittel</w:t>
      </w:r>
      <w:r w:rsidR="00BB515D">
        <w:t xml:space="preserve"> 6.2.2 kan det være spenninger mellom statens plikter etter </w:t>
      </w:r>
      <w:r w:rsidR="0059208E">
        <w:t>KDK</w:t>
      </w:r>
      <w:r w:rsidR="00BB515D">
        <w:t xml:space="preserve"> og statens plikt til å respektere tros- og livssynssamfunnenes frihet i indre forhold</w:t>
      </w:r>
      <w:r w:rsidR="003B3C75">
        <w:t xml:space="preserve"> etter blant annet EMK artikkel 9</w:t>
      </w:r>
      <w:r w:rsidR="00BB515D">
        <w:t xml:space="preserve">. </w:t>
      </w:r>
    </w:p>
    <w:p w:rsidR="00D42865" w:rsidRDefault="00D42865" w:rsidP="001E491E">
      <w:pPr>
        <w:pStyle w:val="Overskrift3"/>
      </w:pPr>
      <w:bookmarkStart w:id="2626" w:name="_Toc477535830"/>
      <w:bookmarkStart w:id="2627" w:name="_Toc477630962"/>
      <w:bookmarkStart w:id="2628" w:name="_Toc477693926"/>
      <w:bookmarkStart w:id="2629" w:name="_Toc477704351"/>
      <w:bookmarkStart w:id="2630" w:name="_Toc477799589"/>
      <w:bookmarkStart w:id="2631" w:name="_Toc477806190"/>
      <w:bookmarkStart w:id="2632" w:name="_Toc477870949"/>
      <w:bookmarkStart w:id="2633" w:name="_Toc477871850"/>
      <w:bookmarkStart w:id="2634" w:name="_Toc477878452"/>
      <w:bookmarkStart w:id="2635" w:name="_Toc477881855"/>
      <w:bookmarkStart w:id="2636" w:name="_Toc477886315"/>
      <w:bookmarkStart w:id="2637" w:name="_Toc478131448"/>
      <w:bookmarkStart w:id="2638" w:name="_Toc478138818"/>
      <w:bookmarkStart w:id="2639" w:name="_Toc478232343"/>
      <w:bookmarkStart w:id="2640" w:name="_Toc478237327"/>
      <w:bookmarkStart w:id="2641" w:name="_Toc481761863"/>
      <w:bookmarkStart w:id="2642" w:name="_Toc492900515"/>
      <w:r>
        <w:t>NOU 2013: 1</w:t>
      </w:r>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p>
    <w:p w:rsidR="00806499" w:rsidRDefault="003B3C75" w:rsidP="00D42865">
      <w:r>
        <w:t xml:space="preserve">Stålsett-utvalget drøftet om det </w:t>
      </w:r>
      <w:r w:rsidR="00B52A69">
        <w:t xml:space="preserve">i tilskuddsordningen for tros- og livssynssamfunn </w:t>
      </w:r>
      <w:r>
        <w:t xml:space="preserve">bør </w:t>
      </w:r>
      <w:r w:rsidR="00BD0C22">
        <w:t xml:space="preserve">stilles særlige vilkår som relaterer seg til diskriminering av </w:t>
      </w:r>
      <w:r w:rsidR="00443B3D">
        <w:t xml:space="preserve">kvinner. Hele utvalget foreslo </w:t>
      </w:r>
      <w:r w:rsidR="00EF1D4F">
        <w:t xml:space="preserve">som </w:t>
      </w:r>
      <w:r w:rsidR="00443B3D">
        <w:t>vilkår for tilskudd at samfunn</w:t>
      </w:r>
      <w:r w:rsidR="00EF1D4F">
        <w:t>et</w:t>
      </w:r>
      <w:r w:rsidR="00443B3D">
        <w:t xml:space="preserve"> har vedtekter som fastsetter en styringsstruktur som stå</w:t>
      </w:r>
      <w:r w:rsidR="00806499">
        <w:t>r</w:t>
      </w:r>
      <w:r w:rsidR="00BA273E">
        <w:t xml:space="preserve"> </w:t>
      </w:r>
      <w:r w:rsidR="00443B3D">
        <w:t xml:space="preserve">ansvarlig overfor staten for forvaltningen av tilskuddet, jf. ovenfor. Flertallet i utvalget foreslo </w:t>
      </w:r>
      <w:r w:rsidR="00AC00E2">
        <w:t xml:space="preserve">i forlengelsen av dette, og med henvisningen til statens </w:t>
      </w:r>
      <w:r w:rsidR="002709EC">
        <w:t>plikter etter KDK</w:t>
      </w:r>
      <w:r w:rsidR="00AC00E2">
        <w:t xml:space="preserve">, dessuten </w:t>
      </w:r>
      <w:r w:rsidR="00443B3D">
        <w:t xml:space="preserve">et </w:t>
      </w:r>
      <w:r w:rsidR="00806499">
        <w:t>krav</w:t>
      </w:r>
      <w:r w:rsidR="00443B3D">
        <w:t xml:space="preserve"> om at denne styringsstrukturen skal være åpen for personer av begge kjønn</w:t>
      </w:r>
      <w:r w:rsidR="00AC00E2">
        <w:t xml:space="preserve"> (utredningen s. 345)</w:t>
      </w:r>
      <w:r w:rsidR="00443B3D">
        <w:t xml:space="preserve">. </w:t>
      </w:r>
      <w:r w:rsidR="00806499">
        <w:t>Flertallet foreslo følgende vilkår for statstilskudd (lovfo</w:t>
      </w:r>
      <w:r w:rsidR="002709EC">
        <w:t>rslaget § 2</w:t>
      </w:r>
      <w:r w:rsidR="0027653F">
        <w:t>-2</w:t>
      </w:r>
      <w:r w:rsidR="002709EC">
        <w:t xml:space="preserve"> nr. 4 annet</w:t>
      </w:r>
      <w:r w:rsidR="00806499">
        <w:t xml:space="preserve"> punktum):</w:t>
      </w:r>
    </w:p>
    <w:p w:rsidR="003B3C75" w:rsidRPr="00E41C0F" w:rsidRDefault="00806499" w:rsidP="00E41C0F">
      <w:pPr>
        <w:pStyle w:val="blokksit"/>
        <w:rPr>
          <w:rStyle w:val="kursiv"/>
        </w:rPr>
      </w:pPr>
      <w:r w:rsidRPr="00E41C0F">
        <w:rPr>
          <w:rStyle w:val="kursiv"/>
        </w:rPr>
        <w:t xml:space="preserve">Deltakelse i samfunnets styringsstruktur må være åpen for personer av begge kjønn.  </w:t>
      </w:r>
    </w:p>
    <w:p w:rsidR="00D42865" w:rsidRDefault="00AC00E2" w:rsidP="00D42865">
      <w:r>
        <w:t>Mindretallet var uenige i at det skulle stilles et slikt krav om tilgang til styringsstruktu</w:t>
      </w:r>
      <w:r w:rsidR="002709EC">
        <w:t>ren for begge kjønn og framhold</w:t>
      </w:r>
      <w:r>
        <w:t>t f</w:t>
      </w:r>
      <w:r w:rsidR="003B3C75">
        <w:t>ølgende</w:t>
      </w:r>
      <w:r>
        <w:t xml:space="preserve"> (utredningen s. 345)</w:t>
      </w:r>
      <w:r w:rsidR="003B3C75">
        <w:t xml:space="preserve">: </w:t>
      </w:r>
    </w:p>
    <w:p w:rsidR="00D42865" w:rsidRPr="00E41C0F" w:rsidRDefault="002709EC" w:rsidP="00E41C0F">
      <w:pPr>
        <w:pStyle w:val="blokksit"/>
        <w:rPr>
          <w:rStyle w:val="kursiv"/>
        </w:rPr>
      </w:pPr>
      <w:r w:rsidRPr="00E41C0F">
        <w:rPr>
          <w:rStyle w:val="kursiv"/>
        </w:rPr>
        <w:t>[L]</w:t>
      </w:r>
      <w:r w:rsidR="00D42865" w:rsidRPr="00E41C0F">
        <w:rPr>
          <w:rStyle w:val="kursiv"/>
        </w:rPr>
        <w:t>ikes</w:t>
      </w:r>
      <w:r w:rsidR="00AC00E2" w:rsidRPr="00E41C0F">
        <w:rPr>
          <w:rStyle w:val="kursiv"/>
        </w:rPr>
        <w:t xml:space="preserve">tillingsstillingsloven … </w:t>
      </w:r>
      <w:r w:rsidR="00D42865" w:rsidRPr="00E41C0F">
        <w:rPr>
          <w:rStyle w:val="kursiv"/>
        </w:rPr>
        <w:t xml:space="preserve">åpner </w:t>
      </w:r>
      <w:r w:rsidRPr="00E41C0F">
        <w:rPr>
          <w:rStyle w:val="kursiv"/>
        </w:rPr>
        <w:t>[fortsatt]</w:t>
      </w:r>
      <w:r w:rsidR="00AC00E2" w:rsidRPr="00E41C0F">
        <w:rPr>
          <w:rStyle w:val="kursiv"/>
        </w:rPr>
        <w:t xml:space="preserve"> </w:t>
      </w:r>
      <w:r w:rsidR="00D42865" w:rsidRPr="00E41C0F">
        <w:rPr>
          <w:rStyle w:val="kursiv"/>
        </w:rPr>
        <w:t>for at trossamfunn kan forskjellsbehandle kvinner og menn dersom det er nødvendig for å oppnå et saklig formål. Disse medlemmene vil tilrå at tilskuddsordningen ikke innrettes slik at den strammer inn handlingsrommet som i dag kan finnes knyttet til styringsorganer i trossamfunn. Disse medlemmene vil peke på at en regulering av styringsstruktur vil kunne forskjellsbehandle ulike trossamfunn, da noen trossamfunn ikke skiller mellom teologisk og økonomisk styringsorden, mens andre gjør det.</w:t>
      </w:r>
    </w:p>
    <w:p w:rsidR="00B36917" w:rsidRDefault="00B36917" w:rsidP="001E491E">
      <w:pPr>
        <w:pStyle w:val="Sitattbhj"/>
        <w:ind w:left="0"/>
        <w:rPr>
          <w:i w:val="0"/>
          <w:sz w:val="24"/>
          <w:szCs w:val="24"/>
        </w:rPr>
      </w:pPr>
      <w:bookmarkStart w:id="2643" w:name="_Toc477277329"/>
      <w:r>
        <w:rPr>
          <w:i w:val="0"/>
          <w:sz w:val="24"/>
          <w:szCs w:val="24"/>
        </w:rPr>
        <w:t>E</w:t>
      </w:r>
      <w:r w:rsidR="005355D5">
        <w:rPr>
          <w:i w:val="0"/>
          <w:sz w:val="24"/>
          <w:szCs w:val="24"/>
        </w:rPr>
        <w:t>t knapt flertall av</w:t>
      </w:r>
      <w:r>
        <w:rPr>
          <w:i w:val="0"/>
          <w:sz w:val="24"/>
          <w:szCs w:val="24"/>
        </w:rPr>
        <w:t xml:space="preserve"> hørings</w:t>
      </w:r>
      <w:r w:rsidR="005355D5">
        <w:rPr>
          <w:i w:val="0"/>
          <w:sz w:val="24"/>
          <w:szCs w:val="24"/>
        </w:rPr>
        <w:t xml:space="preserve">instansene som uttalte seg om flertallsforslaget, </w:t>
      </w:r>
      <w:r>
        <w:rPr>
          <w:i w:val="0"/>
          <w:sz w:val="24"/>
          <w:szCs w:val="24"/>
        </w:rPr>
        <w:t>var negative til dette</w:t>
      </w:r>
      <w:r w:rsidR="00262371">
        <w:rPr>
          <w:i w:val="0"/>
          <w:sz w:val="24"/>
          <w:szCs w:val="24"/>
        </w:rPr>
        <w:t xml:space="preserve">, blant andre </w:t>
      </w:r>
      <w:r>
        <w:rPr>
          <w:i w:val="0"/>
          <w:sz w:val="24"/>
          <w:szCs w:val="24"/>
        </w:rPr>
        <w:t>HEF</w:t>
      </w:r>
      <w:r w:rsidR="001C7A0F">
        <w:rPr>
          <w:i w:val="0"/>
          <w:sz w:val="24"/>
          <w:szCs w:val="24"/>
        </w:rPr>
        <w:t>, Oslo katolske bispedømme, Borg biskop og bispedømmeråd</w:t>
      </w:r>
      <w:r w:rsidR="00EB4558">
        <w:rPr>
          <w:i w:val="0"/>
          <w:sz w:val="24"/>
          <w:szCs w:val="24"/>
        </w:rPr>
        <w:t xml:space="preserve"> og </w:t>
      </w:r>
      <w:r w:rsidR="00262371">
        <w:rPr>
          <w:i w:val="0"/>
          <w:sz w:val="24"/>
          <w:szCs w:val="24"/>
        </w:rPr>
        <w:t>NKR</w:t>
      </w:r>
      <w:r w:rsidR="004636DD">
        <w:rPr>
          <w:i w:val="0"/>
          <w:sz w:val="24"/>
          <w:szCs w:val="24"/>
        </w:rPr>
        <w:t xml:space="preserve">. Førstnevnte uttalte </w:t>
      </w:r>
      <w:r w:rsidR="002709EC">
        <w:rPr>
          <w:i w:val="0"/>
          <w:sz w:val="24"/>
          <w:szCs w:val="24"/>
        </w:rPr>
        <w:t>blant annet følgende:</w:t>
      </w:r>
    </w:p>
    <w:p w:rsidR="00B36917" w:rsidRPr="00E41C0F" w:rsidRDefault="00B36917" w:rsidP="00E41C0F">
      <w:pPr>
        <w:pStyle w:val="blokksit"/>
        <w:rPr>
          <w:rStyle w:val="kursiv"/>
        </w:rPr>
      </w:pPr>
      <w:r w:rsidRPr="00E41C0F">
        <w:rPr>
          <w:rStyle w:val="kursiv"/>
        </w:rPr>
        <w:lastRenderedPageBreak/>
        <w:t>HEF har alltid støttet tros- og livssynssamfunns rett til å styre seg selv og selv bestemme egen, intern organisering. Flertallets forslag vil være et brudd med dette, og vil snarere enn likebehandling av tros- og livssynssamfunn, føre til at noen ikke får det som enn så lenge er deres rettmessige kompensasjon av skattemidler.</w:t>
      </w:r>
    </w:p>
    <w:p w:rsidR="00B36917" w:rsidRPr="00E41C0F" w:rsidRDefault="00B36917" w:rsidP="00E41C0F">
      <w:pPr>
        <w:pStyle w:val="blokksit"/>
        <w:rPr>
          <w:rStyle w:val="kursiv"/>
        </w:rPr>
      </w:pPr>
      <w:r w:rsidRPr="00E41C0F">
        <w:rPr>
          <w:rStyle w:val="kursiv"/>
        </w:rPr>
        <w:t>HEF mener at så lenge medlemskap er frivillig og utmelding mulig, må det høre til individets rett også å slutte seg til trossamfunn som har en annen oppfatning av demokrati og kvinners plass enn gjeldende norm i samfunnet. Vi støtter derfor utvalgets mindretall i dette spørsmålet, men vil fortsette å kritisere slike oppfatninger i den offentlige debatten.</w:t>
      </w:r>
    </w:p>
    <w:p w:rsidR="00262371" w:rsidRDefault="00262371" w:rsidP="001E491E">
      <w:pPr>
        <w:pStyle w:val="Sitattbhj"/>
        <w:ind w:left="0"/>
        <w:rPr>
          <w:i w:val="0"/>
          <w:sz w:val="24"/>
          <w:szCs w:val="24"/>
        </w:rPr>
      </w:pPr>
      <w:r>
        <w:rPr>
          <w:i w:val="0"/>
          <w:sz w:val="24"/>
          <w:szCs w:val="24"/>
        </w:rPr>
        <w:t>NKR viste bla</w:t>
      </w:r>
      <w:r w:rsidR="00B52A69">
        <w:rPr>
          <w:i w:val="0"/>
          <w:sz w:val="24"/>
          <w:szCs w:val="24"/>
        </w:rPr>
        <w:t xml:space="preserve">nt annet </w:t>
      </w:r>
      <w:r>
        <w:rPr>
          <w:i w:val="0"/>
          <w:sz w:val="24"/>
          <w:szCs w:val="24"/>
        </w:rPr>
        <w:t xml:space="preserve">til følgende for å begrunne sitt syn: </w:t>
      </w:r>
    </w:p>
    <w:p w:rsidR="00262371" w:rsidRPr="00E41C0F" w:rsidRDefault="00262371" w:rsidP="00E41C0F">
      <w:pPr>
        <w:pStyle w:val="blokksit"/>
        <w:rPr>
          <w:rStyle w:val="kursiv"/>
        </w:rPr>
      </w:pPr>
      <w:r w:rsidRPr="00E41C0F">
        <w:rPr>
          <w:rStyle w:val="kursiv"/>
        </w:rPr>
        <w:t>Spørsmålet om kvinners medvirkning i religiøse riter, undervisning og ledelsesstrukturer vurderes teologisk noe ulikt i trossamfunn. NKR har foretatt en undersøkelse blant sine medlemssamfunn for å se i hvilken grad de vil bli berørt av den foreslåtte bestemmelse. De fleste av medlemssamfunnene har i dag ledelsesstrukturer der kvinner deltar. En stikkprøvekontroll av registreringsdata fra Brønnøysundregistrene av styringsstrukturen i en tredjedel av landets ca 300 pinsemenigheter viser at de fleste har styrer/menighetsråd med deltakelse fra begge kjønn. Enkelte trossamfunn kjennetegnes ved at de er organisert ut fra en forestilling om at enkeltmennesker har en særskilt kompetanse til å fortolke trosgrunnlag og tilhørende embetssyn og utpeke ledere. Enkelte posisjoner er ikke åpne for kvinner.</w:t>
      </w:r>
    </w:p>
    <w:p w:rsidR="005355D5" w:rsidRPr="00E41C0F" w:rsidRDefault="00262371" w:rsidP="00E41C0F">
      <w:pPr>
        <w:pStyle w:val="blokksit"/>
        <w:rPr>
          <w:rStyle w:val="kursiv"/>
        </w:rPr>
      </w:pPr>
      <w:r w:rsidRPr="00E41C0F">
        <w:rPr>
          <w:rStyle w:val="kursiv"/>
        </w:rPr>
        <w:t>Andre trossamfunn har en ledelsesstruktur som ikke er foreningsbasert, men forankret i kompetente organer utenfor Norges grenser. Det vil oppleves som tungvint og svært lite hensiktsmessig om trossamfunn for å tilfredsstille et slikt krav måtte opprette et særskilt organ for å forvalte offentlige tilskudd ettersom tilskuddene inngår i den ordinære økonomiforvaltningen i trossamfunnet. Det vil etter NKRs oppfatning også være lite hensiktsmessig å etablere en ordning med en unntaksadgang etter søknad, ettersom slike søknader etter all sannsynligvis ville vært teologisk/dogmatisk begrunnet og derfor måtte innvilges.</w:t>
      </w:r>
    </w:p>
    <w:p w:rsidR="00912504" w:rsidRDefault="00EB4558" w:rsidP="001E491E">
      <w:r>
        <w:t>T</w:t>
      </w:r>
      <w:r w:rsidR="00407AF3">
        <w:t xml:space="preserve">eologisk fakultet ved Universitetet i Oslo </w:t>
      </w:r>
      <w:r w:rsidR="00432F7B">
        <w:t xml:space="preserve">og </w:t>
      </w:r>
      <w:r w:rsidR="004636DD">
        <w:t>Like</w:t>
      </w:r>
      <w:r w:rsidR="00432F7B">
        <w:t>s</w:t>
      </w:r>
      <w:r w:rsidR="004636DD">
        <w:t>tillings- og diskrimineringsombudet var blant instansene som støttet flertallsforslaget.</w:t>
      </w:r>
      <w:r w:rsidR="00912504">
        <w:t xml:space="preserve"> Ombudet begrunnet sin støtte med henvisning til K</w:t>
      </w:r>
      <w:r w:rsidR="004636DD">
        <w:t>DK</w:t>
      </w:r>
      <w:r w:rsidR="00912504">
        <w:t>s artikler</w:t>
      </w:r>
      <w:r w:rsidR="00835D93">
        <w:t xml:space="preserve"> 2 e</w:t>
      </w:r>
      <w:r w:rsidR="00142B8E">
        <w:t>)</w:t>
      </w:r>
      <w:r w:rsidR="00835D93">
        <w:t xml:space="preserve"> og f</w:t>
      </w:r>
      <w:r w:rsidR="00142B8E">
        <w:t>)</w:t>
      </w:r>
      <w:r w:rsidR="00835D93">
        <w:t>, 5 a</w:t>
      </w:r>
      <w:r w:rsidR="00142B8E">
        <w:t>)</w:t>
      </w:r>
      <w:r w:rsidR="00835D93">
        <w:t xml:space="preserve"> og 13 c</w:t>
      </w:r>
      <w:r w:rsidR="00142B8E">
        <w:t>)</w:t>
      </w:r>
      <w:r w:rsidR="00835D93">
        <w:t xml:space="preserve"> og </w:t>
      </w:r>
      <w:r w:rsidR="00142B8E">
        <w:t>uttalte</w:t>
      </w:r>
      <w:r w:rsidR="00835D93">
        <w:t>:</w:t>
      </w:r>
    </w:p>
    <w:p w:rsidR="00912504" w:rsidRPr="00E41C0F" w:rsidRDefault="00912504" w:rsidP="00E41C0F">
      <w:pPr>
        <w:pStyle w:val="blokksit"/>
        <w:rPr>
          <w:rStyle w:val="kursiv"/>
        </w:rPr>
      </w:pPr>
      <w:r w:rsidRPr="00E41C0F">
        <w:rPr>
          <w:rStyle w:val="kursiv"/>
        </w:rPr>
        <w:t>Å sette vilkår til lik deltakelse av menn og kvinner i religiøse styringsstrukturer som en forutsetning for statsstøtte, gir et normativt signal om viktigheten av likestilling mellom kjønnene, som er et av de grunnleggende prinsippene i det norske samfunn.</w:t>
      </w:r>
    </w:p>
    <w:p w:rsidR="004636DD" w:rsidRPr="00E41C0F" w:rsidRDefault="00912504" w:rsidP="00E41C0F">
      <w:pPr>
        <w:pStyle w:val="blokksit"/>
        <w:rPr>
          <w:rStyle w:val="kursiv"/>
        </w:rPr>
      </w:pPr>
      <w:r w:rsidRPr="00E41C0F">
        <w:rPr>
          <w:rStyle w:val="kursiv"/>
        </w:rPr>
        <w:t>Forslaget pålegger trossamfunnene således at de bare må være åpen for å la begge kjønn delta i deres styringsstruktur, som en betingelse for å motta statsstøtte. Ombudet mener at dette er en ganske mild form for oppfordring til trossamfunnene å integrere likestillingsprinsippet i deres organisasjonsform, uten å gripe inn i deres religionsfrihet.</w:t>
      </w:r>
      <w:r w:rsidR="004636DD" w:rsidRPr="00E41C0F">
        <w:rPr>
          <w:rStyle w:val="kursiv"/>
        </w:rPr>
        <w:t xml:space="preserve">  </w:t>
      </w:r>
    </w:p>
    <w:p w:rsidR="00D42865" w:rsidRDefault="00D42865" w:rsidP="001E491E">
      <w:pPr>
        <w:pStyle w:val="Overskrift3"/>
      </w:pPr>
      <w:bookmarkStart w:id="2644" w:name="_Toc477535831"/>
      <w:bookmarkStart w:id="2645" w:name="_Toc477630963"/>
      <w:bookmarkStart w:id="2646" w:name="_Toc477693927"/>
      <w:bookmarkStart w:id="2647" w:name="_Toc477704352"/>
      <w:bookmarkStart w:id="2648" w:name="_Toc477799590"/>
      <w:bookmarkStart w:id="2649" w:name="_Toc477806191"/>
      <w:bookmarkStart w:id="2650" w:name="_Toc477871851"/>
      <w:bookmarkStart w:id="2651" w:name="_Toc477878453"/>
      <w:bookmarkStart w:id="2652" w:name="_Toc477881856"/>
      <w:bookmarkStart w:id="2653" w:name="_Toc477886316"/>
      <w:bookmarkStart w:id="2654" w:name="_Toc478131449"/>
      <w:bookmarkStart w:id="2655" w:name="_Toc478138819"/>
      <w:bookmarkStart w:id="2656" w:name="_Toc478232344"/>
      <w:bookmarkStart w:id="2657" w:name="_Toc478237328"/>
      <w:bookmarkStart w:id="2658" w:name="_Toc481761864"/>
      <w:bookmarkStart w:id="2659" w:name="_Toc492900516"/>
      <w:r>
        <w:t>Departementets vurderinger</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r>
        <w:t xml:space="preserve"> </w:t>
      </w:r>
    </w:p>
    <w:p w:rsidR="00DF3972" w:rsidRDefault="00806499" w:rsidP="007C2A65">
      <w:r w:rsidRPr="002709EC">
        <w:t xml:space="preserve">Etter departementets syn </w:t>
      </w:r>
      <w:r w:rsidR="00832946" w:rsidRPr="002709EC">
        <w:t>b</w:t>
      </w:r>
      <w:r w:rsidR="002709EC" w:rsidRPr="002709EC">
        <w:t>ør en i utgangspunktet ikke</w:t>
      </w:r>
      <w:r w:rsidR="00DF3972" w:rsidRPr="002709EC">
        <w:t xml:space="preserve"> stille mer inngripende krav overfor</w:t>
      </w:r>
      <w:r w:rsidR="00DF3972">
        <w:t xml:space="preserve"> tros- og livssynssamfunn om likebehandling på grunnlag av kjønn enn det annen virksomhet er underlagt</w:t>
      </w:r>
      <w:r w:rsidR="00B7519D">
        <w:t xml:space="preserve"> i likestillingsloven</w:t>
      </w:r>
      <w:r w:rsidR="00DF3972">
        <w:t xml:space="preserve">. På den andre siden kan en hevde at staten forpliktes til nettopp </w:t>
      </w:r>
      <w:r w:rsidR="008B28F8">
        <w:t xml:space="preserve">å stille </w:t>
      </w:r>
      <w:r w:rsidR="00DF3972">
        <w:t xml:space="preserve">mer vidtrekkende krav når tros- og livssynssamfunnene gis økonomisk støtte. Det sistnevnte synspunktet kan finne støtte i </w:t>
      </w:r>
      <w:r w:rsidR="0059208E">
        <w:t>KDK</w:t>
      </w:r>
      <w:r w:rsidR="00DF3972">
        <w:t xml:space="preserve">s bestemmelser og FN-komiteens </w:t>
      </w:r>
      <w:r w:rsidR="00AF0F78">
        <w:t>tolknings</w:t>
      </w:r>
      <w:r w:rsidR="00DF3972">
        <w:t xml:space="preserve">uttalelser. </w:t>
      </w:r>
    </w:p>
    <w:p w:rsidR="00900675" w:rsidRDefault="00900675" w:rsidP="007C2A65">
      <w:r>
        <w:t xml:space="preserve">Departementet </w:t>
      </w:r>
      <w:r w:rsidR="002709EC">
        <w:t>oppfatter det som</w:t>
      </w:r>
      <w:r>
        <w:t xml:space="preserve"> uklart om forslaget fra flertallet i Stålsett-utvalget egentlig innebærer noe mer enn det som allerede følger av det generelle kravet til forskjellsbehandling i likestillingsloven § 6. Hvis "styringsstrukturen" er et rent administrativt organ, har trossamfunnet ikke adgang til å nekte kvinner tilgang. </w:t>
      </w:r>
    </w:p>
    <w:p w:rsidR="0054462D" w:rsidRDefault="00900675" w:rsidP="007C2A65">
      <w:r>
        <w:lastRenderedPageBreak/>
        <w:t>Etter departementets oppfatning er det ikke rimelig å tolke gjeldende rett slik at K</w:t>
      </w:r>
      <w:r w:rsidR="0059208E">
        <w:t>DK</w:t>
      </w:r>
      <w:r>
        <w:t xml:space="preserve"> gir et klart forbud mot at staten kan gi statstilskudd til trossa</w:t>
      </w:r>
      <w:r w:rsidR="00D50FB8">
        <w:t>mfunn som forskjellsbehandler</w:t>
      </w:r>
      <w:r>
        <w:t xml:space="preserve"> kvinner og menn. </w:t>
      </w:r>
      <w:r w:rsidR="0089281C">
        <w:t>På den andre siden er det, etter departementets syn, rimelig å tolke K</w:t>
      </w:r>
      <w:r w:rsidR="0059208E">
        <w:t>DK</w:t>
      </w:r>
      <w:r w:rsidR="0089281C">
        <w:t xml:space="preserve"> slik at staten aktivt bør arbeide for likhet mellom kvinner og menn i tros- og livssynssamfunn. </w:t>
      </w:r>
      <w:r>
        <w:t>Departementet viser</w:t>
      </w:r>
      <w:r w:rsidR="00544E8F">
        <w:t xml:space="preserve"> til drøftelsen ovenfor i kapittel 6.3.3</w:t>
      </w:r>
      <w:r>
        <w:t>,</w:t>
      </w:r>
      <w:r w:rsidR="0089281C">
        <w:t xml:space="preserve"> der det er pekt på at andre virkemidler enn rettslige vilkår for tilskudd i noen tilfeller kan være </w:t>
      </w:r>
      <w:r w:rsidR="008A4C81">
        <w:t>bedre</w:t>
      </w:r>
      <w:r w:rsidR="0089281C">
        <w:t xml:space="preserve"> egnet til å påvirke interne forhold i tros- og livssynssamfunn. For blant annet å unngå at tilskuddsordningen kan oppfattes slik at staten bidrar til å legitimere illegitim forskjellsbehandling innad i tros- og livssynssamfunn, mener departementet at</w:t>
      </w:r>
      <w:r w:rsidR="007B2FB5">
        <w:t xml:space="preserve"> staten i dialog med samfunnene bør vurdere egnede tiltak for påvirkning. Målet for slik dialog og slike tiltak bør være å skape internt engasjement for likestillingsarbeid i samfunnene. </w:t>
      </w:r>
    </w:p>
    <w:p w:rsidR="007B2FB5" w:rsidRDefault="007B2FB5" w:rsidP="007C2A65">
      <w:r>
        <w:t xml:space="preserve">Departementet vil vurdere </w:t>
      </w:r>
      <w:r w:rsidR="008A4C81">
        <w:t xml:space="preserve">nærmere </w:t>
      </w:r>
      <w:r>
        <w:t>hvordan dette arbeidet bør skje. En mulighet kan for eksempel være å stille krav om at tros- og livssynssamfunnenes ordinære rapportering i tilskuddsordningen skal redegjør</w:t>
      </w:r>
      <w:r w:rsidR="00EF1D4F">
        <w:t>e</w:t>
      </w:r>
      <w:r>
        <w:t xml:space="preserve"> for hvordan samfunnene arbeider med likestillingsspørsmål</w:t>
      </w:r>
      <w:r w:rsidR="00B7519D">
        <w:t xml:space="preserve">, se nedenfor i kapittel </w:t>
      </w:r>
      <w:r w:rsidR="008A4C81">
        <w:t>16</w:t>
      </w:r>
      <w:r>
        <w:t>. Slike krav til rapportering kan også stilles mer konkret, for eksemp</w:t>
      </w:r>
      <w:r w:rsidR="002709EC">
        <w:t>el dersom tilskuddsforvalteren</w:t>
      </w:r>
      <w:r>
        <w:t xml:space="preserve"> blir kjent med utfordringer i enkeltsamfunn. </w:t>
      </w:r>
      <w:r w:rsidR="00B7519D">
        <w:t xml:space="preserve">På den andre </w:t>
      </w:r>
      <w:r w:rsidR="002709EC">
        <w:t xml:space="preserve">siden </w:t>
      </w:r>
      <w:r w:rsidR="00B7519D">
        <w:t xml:space="preserve">vil departementet som et generelt utgangspunkt være forsiktig med å pålegge tros- og livssynssamfunn nye og byrdefulle rapporteringskrav. Et annet tiltak som kan vurderes, er å bruke særskilte tilskudd for å stimulere til internt arbeid med kjønnslikestilling i samfunnene. </w:t>
      </w:r>
    </w:p>
    <w:p w:rsidR="00944062" w:rsidRPr="005E7004" w:rsidRDefault="00FB2B22" w:rsidP="005E7004">
      <w:pPr>
        <w:pStyle w:val="Overskrift2"/>
        <w:rPr>
          <w:rStyle w:val="Overskrift2Tegn"/>
          <w:b/>
        </w:rPr>
      </w:pPr>
      <w:bookmarkStart w:id="2660" w:name="_Toc477531804"/>
      <w:bookmarkStart w:id="2661" w:name="_Toc477532582"/>
      <w:bookmarkStart w:id="2662" w:name="_Toc477533373"/>
      <w:bookmarkStart w:id="2663" w:name="_Toc477534964"/>
      <w:bookmarkStart w:id="2664" w:name="_Toc477534256"/>
      <w:bookmarkStart w:id="2665" w:name="_Toc477535832"/>
      <w:bookmarkStart w:id="2666" w:name="_Toc477536616"/>
      <w:bookmarkStart w:id="2667" w:name="_Toc477628481"/>
      <w:bookmarkStart w:id="2668" w:name="_Toc477629275"/>
      <w:bookmarkStart w:id="2669" w:name="_Toc477630964"/>
      <w:bookmarkStart w:id="2670" w:name="_Toc477636658"/>
      <w:bookmarkStart w:id="2671" w:name="_Toc477691477"/>
      <w:bookmarkStart w:id="2672" w:name="_Toc477693129"/>
      <w:bookmarkStart w:id="2673" w:name="_Toc477693928"/>
      <w:bookmarkStart w:id="2674" w:name="_Toc477694727"/>
      <w:bookmarkStart w:id="2675" w:name="_Toc477695526"/>
      <w:bookmarkStart w:id="2676" w:name="_Toc477696336"/>
      <w:bookmarkStart w:id="2677" w:name="_Toc477702635"/>
      <w:bookmarkStart w:id="2678" w:name="_Toc477703494"/>
      <w:bookmarkStart w:id="2679" w:name="_Toc477704353"/>
      <w:bookmarkStart w:id="2680" w:name="_Toc477705213"/>
      <w:bookmarkStart w:id="2681" w:name="_Toc477790006"/>
      <w:bookmarkStart w:id="2682" w:name="_Toc477794412"/>
      <w:bookmarkStart w:id="2683" w:name="_Toc477796898"/>
      <w:bookmarkStart w:id="2684" w:name="_Toc477797795"/>
      <w:bookmarkStart w:id="2685" w:name="_Toc477798693"/>
      <w:bookmarkStart w:id="2686" w:name="_Toc477799591"/>
      <w:bookmarkStart w:id="2687" w:name="_Toc477800766"/>
      <w:bookmarkStart w:id="2688" w:name="_Toc477802622"/>
      <w:bookmarkStart w:id="2689" w:name="_Toc477803518"/>
      <w:bookmarkStart w:id="2690" w:name="_Toc477804414"/>
      <w:bookmarkStart w:id="2691" w:name="_Toc477805295"/>
      <w:bookmarkStart w:id="2692" w:name="_Toc477806192"/>
      <w:bookmarkStart w:id="2693" w:name="_Toc477809708"/>
      <w:bookmarkStart w:id="2694" w:name="_Toc477857350"/>
      <w:bookmarkStart w:id="2695" w:name="_Toc477859938"/>
      <w:bookmarkStart w:id="2696" w:name="_Toc477858257"/>
      <w:bookmarkStart w:id="2697" w:name="_Toc477861590"/>
      <w:bookmarkStart w:id="2698" w:name="_Toc477864317"/>
      <w:bookmarkStart w:id="2699" w:name="_Toc477865553"/>
      <w:bookmarkStart w:id="2700" w:name="_Toc477866452"/>
      <w:bookmarkStart w:id="2701" w:name="_Toc477867351"/>
      <w:bookmarkStart w:id="2702" w:name="_Toc477868250"/>
      <w:bookmarkStart w:id="2703" w:name="_Toc477869149"/>
      <w:bookmarkStart w:id="2704" w:name="_Toc477870050"/>
      <w:bookmarkStart w:id="2705" w:name="_Toc477870951"/>
      <w:bookmarkStart w:id="2706" w:name="_Toc477871852"/>
      <w:bookmarkStart w:id="2707" w:name="_Toc477872525"/>
      <w:bookmarkStart w:id="2708" w:name="_Toc477873428"/>
      <w:bookmarkStart w:id="2709" w:name="_Toc477874339"/>
      <w:bookmarkStart w:id="2710" w:name="_Toc477874818"/>
      <w:bookmarkStart w:id="2711" w:name="_Toc477875727"/>
      <w:bookmarkStart w:id="2712" w:name="_Toc477876636"/>
      <w:bookmarkStart w:id="2713" w:name="_Toc477877545"/>
      <w:bookmarkStart w:id="2714" w:name="_Toc477878454"/>
      <w:bookmarkStart w:id="2715" w:name="_Toc477879109"/>
      <w:bookmarkStart w:id="2716" w:name="_Toc477880020"/>
      <w:bookmarkStart w:id="2717" w:name="_Toc477880938"/>
      <w:bookmarkStart w:id="2718" w:name="_Toc477881857"/>
      <w:bookmarkStart w:id="2719" w:name="_Toc477886317"/>
      <w:bookmarkStart w:id="2720" w:name="_Toc477890650"/>
      <w:bookmarkStart w:id="2721" w:name="_Toc477937007"/>
      <w:bookmarkStart w:id="2722" w:name="_Toc477938181"/>
      <w:bookmarkStart w:id="2723" w:name="_Toc477277330"/>
      <w:bookmarkStart w:id="2724" w:name="_Toc477535833"/>
      <w:bookmarkStart w:id="2725" w:name="_Toc477630965"/>
      <w:bookmarkStart w:id="2726" w:name="_Toc477693929"/>
      <w:bookmarkStart w:id="2727" w:name="_Toc477704354"/>
      <w:bookmarkStart w:id="2728" w:name="_Toc477799592"/>
      <w:bookmarkStart w:id="2729" w:name="_Toc477806193"/>
      <w:bookmarkStart w:id="2730" w:name="_Toc477870952"/>
      <w:bookmarkStart w:id="2731" w:name="_Toc477871853"/>
      <w:bookmarkStart w:id="2732" w:name="_Toc477878455"/>
      <w:bookmarkStart w:id="2733" w:name="_Toc477881858"/>
      <w:bookmarkStart w:id="2734" w:name="_Toc477886318"/>
      <w:bookmarkStart w:id="2735" w:name="_Toc478131450"/>
      <w:bookmarkStart w:id="2736" w:name="_Toc478138820"/>
      <w:bookmarkStart w:id="2737" w:name="_Toc478232345"/>
      <w:bookmarkStart w:id="2738" w:name="_Toc478237329"/>
      <w:bookmarkStart w:id="2739" w:name="_Toc481761865"/>
      <w:bookmarkStart w:id="2740" w:name="_Toc492900517"/>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r>
        <w:rPr>
          <w:rStyle w:val="Overskrift2Tegn"/>
          <w:b/>
        </w:rPr>
        <w:t>Forbud mot utenlandsk finansiering</w:t>
      </w:r>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p>
    <w:p w:rsidR="00944062" w:rsidRDefault="00FE3249" w:rsidP="00944062">
      <w:pPr>
        <w:pStyle w:val="Overskrift3"/>
      </w:pPr>
      <w:bookmarkStart w:id="2741" w:name="_Toc476320966"/>
      <w:bookmarkStart w:id="2742" w:name="_Toc477277333"/>
      <w:bookmarkStart w:id="2743" w:name="_Toc477535836"/>
      <w:bookmarkStart w:id="2744" w:name="_Toc477630968"/>
      <w:bookmarkStart w:id="2745" w:name="_Toc477693932"/>
      <w:bookmarkStart w:id="2746" w:name="_Toc477704357"/>
      <w:bookmarkStart w:id="2747" w:name="_Toc477799595"/>
      <w:bookmarkStart w:id="2748" w:name="_Toc477806196"/>
      <w:bookmarkStart w:id="2749" w:name="_Toc477871856"/>
      <w:bookmarkStart w:id="2750" w:name="_Toc477878458"/>
      <w:bookmarkStart w:id="2751" w:name="_Toc477881861"/>
      <w:bookmarkStart w:id="2752" w:name="_Toc477886321"/>
      <w:bookmarkStart w:id="2753" w:name="_Toc478131451"/>
      <w:bookmarkStart w:id="2754" w:name="_Toc478138821"/>
      <w:bookmarkStart w:id="2755" w:name="_Toc478232346"/>
      <w:bookmarkStart w:id="2756" w:name="_Toc478237330"/>
      <w:bookmarkStart w:id="2757" w:name="_Toc481761866"/>
      <w:bookmarkStart w:id="2758" w:name="_Toc492900518"/>
      <w:r>
        <w:t>Stortingets a</w:t>
      </w:r>
      <w:r w:rsidR="00944062">
        <w:t>nmodningsvedtak 12. januar 2016</w:t>
      </w:r>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944062" w:rsidRDefault="00944062" w:rsidP="00F83CB2">
      <w:r w:rsidRPr="00327D36">
        <w:t>Etter et representantforslag fra Harald T. Nesvik, Jonas Gahr Støre, Knut Arild Hareide, Marit Arnstad, Trond Helleland og Trine Skei Grande om et felles løft for god integrering, Dokument 8:37 S (2015–2016), fattet Stortinget følgende anmodningsvedtak den 12. januar 2016 (n</w:t>
      </w:r>
      <w:r>
        <w:t>r</w:t>
      </w:r>
      <w:r w:rsidRPr="00327D36">
        <w:t>. 442):</w:t>
      </w:r>
    </w:p>
    <w:p w:rsidR="00944062" w:rsidRPr="00E41C0F" w:rsidRDefault="00944062" w:rsidP="00E41C0F">
      <w:pPr>
        <w:pStyle w:val="blokksit"/>
        <w:rPr>
          <w:rStyle w:val="kursiv"/>
        </w:rPr>
      </w:pPr>
      <w:r w:rsidRPr="00E41C0F">
        <w:rPr>
          <w:rStyle w:val="kursiv"/>
        </w:rPr>
        <w:t>Stortinget ber regjeringen utrede en ordning som gjør at kun stater som praktiserer religionsfrihet tillates å bistå med finansiering av trossamfunn i Norge. Regjeringen anmodes videre om å arbeide for å tette alle smutthull i regelverket, herunder bruk av stiftelser.</w:t>
      </w:r>
    </w:p>
    <w:p w:rsidR="00944062" w:rsidRPr="00327D36" w:rsidRDefault="00944062" w:rsidP="000E5928">
      <w:r w:rsidRPr="00327D36">
        <w:t xml:space="preserve">Vedtak </w:t>
      </w:r>
      <w:r w:rsidR="00B35FDC">
        <w:t xml:space="preserve">nr. </w:t>
      </w:r>
      <w:r w:rsidRPr="00327D36">
        <w:t>442 ble fulgt opp med en utredning i samarbeid mellom Kulturdepartementet, Justis- og beredskapsdepartementet og Utenriksdepartementet. Stortinget ble orientert om utredningsfunnene i Prop. 1 S (201</w:t>
      </w:r>
      <w:r w:rsidR="00A27D24">
        <w:t>6–2017) for Kulturdepartementet</w:t>
      </w:r>
      <w:r w:rsidR="00F83CB2">
        <w:t xml:space="preserve"> s. 132–134. </w:t>
      </w:r>
      <w:r w:rsidR="00A2008E">
        <w:t>Hovedpunktene</w:t>
      </w:r>
      <w:r w:rsidR="000E5928">
        <w:t xml:space="preserve"> i orienteringen var følgende: </w:t>
      </w:r>
    </w:p>
    <w:p w:rsidR="00944062" w:rsidRPr="001E491E" w:rsidRDefault="00944062" w:rsidP="00E41C0F">
      <w:pPr>
        <w:pStyle w:val="Listebombe2"/>
      </w:pPr>
      <w:r w:rsidRPr="001E491E">
        <w:t xml:space="preserve">Et forbud mot utenlandsk finansiering av norske trossamfunn vil i utgangspunktet bare kunne </w:t>
      </w:r>
      <w:r w:rsidR="003220E4">
        <w:t>omfatte forbud mot å motta slik finansiering i Norge.</w:t>
      </w:r>
      <w:r w:rsidRPr="001E491E">
        <w:t xml:space="preserve"> Det vil også lettere la seg håndheve enn et forbud mot å gi bidrag fra utlandet. </w:t>
      </w:r>
    </w:p>
    <w:p w:rsidR="00944062" w:rsidRPr="00EC072D" w:rsidRDefault="00944062" w:rsidP="00E41C0F">
      <w:pPr>
        <w:pStyle w:val="Listebombe2"/>
      </w:pPr>
      <w:r w:rsidRPr="00EC072D">
        <w:t xml:space="preserve">Et forbud som kun omfatter finansiering fra </w:t>
      </w:r>
      <w:r w:rsidRPr="00EC072D">
        <w:rPr>
          <w:iCs/>
        </w:rPr>
        <w:t>stater</w:t>
      </w:r>
      <w:r w:rsidRPr="00EC072D">
        <w:t xml:space="preserve"> som ikke respekterer religionsfriheten, vil ikke være til hinder for </w:t>
      </w:r>
      <w:r w:rsidR="003220E4">
        <w:t xml:space="preserve">at det kan </w:t>
      </w:r>
      <w:r w:rsidRPr="00EC072D">
        <w:t>motta</w:t>
      </w:r>
      <w:r w:rsidR="003220E4">
        <w:t>s</w:t>
      </w:r>
      <w:r w:rsidRPr="00EC072D">
        <w:t xml:space="preserve"> bidrag fra private i disse landene. En må</w:t>
      </w:r>
      <w:r w:rsidR="005D7E46">
        <w:t xml:space="preserve"> videre</w:t>
      </w:r>
      <w:r w:rsidRPr="00EC072D">
        <w:t xml:space="preserve"> ta stilling til om et forbud bør omfatte bidrag fra utenlandske statsborgere som oppholder seg i Norge, og/eller utenlandske juridiske personer i Norge. </w:t>
      </w:r>
    </w:p>
    <w:p w:rsidR="00944062" w:rsidRPr="00EC072D" w:rsidRDefault="00EF1D4F" w:rsidP="00E41C0F">
      <w:pPr>
        <w:pStyle w:val="Listebombe2"/>
      </w:pPr>
      <w:r>
        <w:rPr>
          <w:iCs/>
        </w:rPr>
        <w:t>Siden et</w:t>
      </w:r>
      <w:r w:rsidR="000E5928">
        <w:rPr>
          <w:iCs/>
        </w:rPr>
        <w:t xml:space="preserve"> t</w:t>
      </w:r>
      <w:r w:rsidR="00944062" w:rsidRPr="00EC072D">
        <w:rPr>
          <w:iCs/>
        </w:rPr>
        <w:t>rossamfunn</w:t>
      </w:r>
      <w:r w:rsidR="00944062" w:rsidRPr="00EC072D">
        <w:t xml:space="preserve"> ikke </w:t>
      </w:r>
      <w:r>
        <w:t xml:space="preserve">er </w:t>
      </w:r>
      <w:r w:rsidR="00944062" w:rsidRPr="00EC072D">
        <w:t>en særskilt rettslig størrelse i Norge i dag</w:t>
      </w:r>
      <w:r w:rsidR="000E5928">
        <w:t xml:space="preserve">, </w:t>
      </w:r>
      <w:r w:rsidR="002A251D">
        <w:t>må</w:t>
      </w:r>
      <w:r>
        <w:t xml:space="preserve"> </w:t>
      </w:r>
      <w:r w:rsidR="000E5928">
        <w:t xml:space="preserve">et </w:t>
      </w:r>
      <w:r w:rsidR="00944062" w:rsidRPr="00EC072D">
        <w:t xml:space="preserve">forbud </w:t>
      </w:r>
      <w:r w:rsidR="002A251D">
        <w:t>mot å motta finansiering avgrenses</w:t>
      </w:r>
      <w:r w:rsidR="000E5928">
        <w:t xml:space="preserve"> til</w:t>
      </w:r>
      <w:r w:rsidR="00944062" w:rsidRPr="00EC072D">
        <w:t xml:space="preserve"> for eksempel å gjelde </w:t>
      </w:r>
      <w:r w:rsidR="00944062" w:rsidRPr="00EC072D">
        <w:lastRenderedPageBreak/>
        <w:t xml:space="preserve">trossamfunn som mottar tilskudd etter trossamfunnsloven, se nærmere nedenfor. </w:t>
      </w:r>
    </w:p>
    <w:p w:rsidR="00944062" w:rsidRPr="00EC072D" w:rsidRDefault="00944062" w:rsidP="00E41C0F">
      <w:pPr>
        <w:pStyle w:val="Listebombe2"/>
      </w:pPr>
      <w:r w:rsidRPr="00EC072D">
        <w:t>En må ta stilling til hvilke former for støtte et forbud skal omfatte</w:t>
      </w:r>
      <w:r w:rsidR="000E5928">
        <w:t>, og hvilke konkrete stater som skal omfattes av et forbud</w:t>
      </w:r>
      <w:r w:rsidRPr="00EC072D">
        <w:t xml:space="preserve">. </w:t>
      </w:r>
    </w:p>
    <w:p w:rsidR="008A4C81" w:rsidRDefault="00944062" w:rsidP="00E41C0F">
      <w:pPr>
        <w:pStyle w:val="Listebombe2"/>
      </w:pPr>
      <w:r w:rsidRPr="00EC072D">
        <w:t>Det overordnede menneskerettslige spørsmålet som et forbud vil reise, er om rettighetene til mottaker av bidrag vil krenkes, i første rekke religionsfriheten, men også foreningsfriheten og diskrimineringsforbudet. Spørsmålene som må besvares, vil være om et forbud vil være et inngrep i religionsfriheten og/eller andre friheter, om et forbud vil forfølge minst ett legitimt formål, om et forbud vil være nødvendig</w:t>
      </w:r>
      <w:r w:rsidR="00EF1D4F">
        <w:t xml:space="preserve"> og </w:t>
      </w:r>
      <w:r w:rsidRPr="00EC072D">
        <w:t xml:space="preserve">egnet for å oppnå formålet og ikke uforholdsmessig, og om et forbud vil være i strid med diskrimineringsforbudet. </w:t>
      </w:r>
      <w:r w:rsidRPr="000E5928">
        <w:t xml:space="preserve">Departementets vurdering </w:t>
      </w:r>
      <w:r w:rsidR="005D7E46">
        <w:t xml:space="preserve">i Prop. 1 S (2016-2017) </w:t>
      </w:r>
      <w:r w:rsidR="000E5928">
        <w:t>var</w:t>
      </w:r>
      <w:r w:rsidRPr="000E5928">
        <w:t xml:space="preserve"> at internasjonale konvensjoner om menneskerettigheter neppe er til hinder for et generelt forbud rettet mot finansiering fra stater som selv ikke respekterer religionsfriheten. </w:t>
      </w:r>
    </w:p>
    <w:p w:rsidR="00944062" w:rsidRPr="009F1FA5" w:rsidRDefault="008A4C81" w:rsidP="00E41C0F">
      <w:pPr>
        <w:pStyle w:val="Listebombe2"/>
      </w:pPr>
      <w:r w:rsidRPr="008A4C81">
        <w:t xml:space="preserve">Et forbud må i tilfellet lovfestes, og flere modeller for gjennomføring kan tenkes. En kan for eksempel vurdere å innføre et forbud mot utenlandsk finansiering som et vilkår for å motta statstilskudd som trossamfunn i Norge. </w:t>
      </w:r>
    </w:p>
    <w:p w:rsidR="009F1FA5" w:rsidRDefault="009F1FA5" w:rsidP="00E41C0F">
      <w:pPr>
        <w:pStyle w:val="Listebombe2"/>
      </w:pPr>
      <w:r>
        <w:t xml:space="preserve">Det vil generelt være utfordrende å utforme et regelverk som ikke kan omgås. </w:t>
      </w:r>
      <w:r w:rsidR="002A251D">
        <w:t xml:space="preserve">Et forbud vil for eksempel kunne omgås ved at bidrag ytes via mellommenn i Norge eller i andre land som ikke omfattes av forbudet. Det vil være </w:t>
      </w:r>
      <w:r w:rsidR="001B43AE">
        <w:t xml:space="preserve">vanskelig å tette slike "smutthull" uten å komme i konflikt med </w:t>
      </w:r>
      <w:r w:rsidR="002A251D">
        <w:t>menneskerettslig</w:t>
      </w:r>
      <w:r w:rsidR="001B43AE">
        <w:t>e forpliktelser.</w:t>
      </w:r>
    </w:p>
    <w:p w:rsidR="00944062" w:rsidRPr="00EC072D" w:rsidRDefault="009F1FA5" w:rsidP="00E41C0F">
      <w:pPr>
        <w:pStyle w:val="Listebombe2"/>
      </w:pPr>
      <w:r>
        <w:t xml:space="preserve">Det finnes i dag ingen god oversikt over hvor utbredt ulike typer utenlandsk finansiering av trossamfunn i Norge er, og det er vanskelig å ha en oppfatning om hvordan et forbud vil slå ut for ulike trossamfunn. </w:t>
      </w:r>
    </w:p>
    <w:p w:rsidR="009F1FA5" w:rsidRPr="007B4B00" w:rsidRDefault="009F1FA5" w:rsidP="001D146F">
      <w:r>
        <w:t>S</w:t>
      </w:r>
      <w:r w:rsidR="00AA098C">
        <w:t>om det har framgått ovenfor i kapittel</w:t>
      </w:r>
      <w:r w:rsidR="002709EC">
        <w:t xml:space="preserve"> </w:t>
      </w:r>
      <w:r w:rsidR="00AF5FA5">
        <w:t>15.2.3</w:t>
      </w:r>
      <w:r w:rsidR="00285794">
        <w:t>, omfatter</w:t>
      </w:r>
      <w:r>
        <w:t xml:space="preserve"> også Stortingets anmodningsvedtak 929 fra 16. juni 2016 </w:t>
      </w:r>
      <w:r w:rsidR="00285794">
        <w:t>et punkt om utenlandsk finansiering av trossamfunn</w:t>
      </w:r>
      <w:r w:rsidR="00A8721C">
        <w:t xml:space="preserve">, men dette </w:t>
      </w:r>
      <w:r w:rsidR="00AF5FA5">
        <w:t>v</w:t>
      </w:r>
      <w:r w:rsidR="00285794" w:rsidRPr="00EC072D" w:rsidDel="00A8721C">
        <w:t>edtak</w:t>
      </w:r>
      <w:r w:rsidR="00AF5FA5">
        <w:t xml:space="preserve">et </w:t>
      </w:r>
      <w:r w:rsidR="00285794">
        <w:t>har</w:t>
      </w:r>
      <w:r w:rsidR="00285794" w:rsidRPr="00EC072D">
        <w:t xml:space="preserve"> en noe annen innretning </w:t>
      </w:r>
      <w:r w:rsidR="00285794">
        <w:t>e</w:t>
      </w:r>
      <w:r w:rsidR="00285794" w:rsidRPr="00EC072D">
        <w:t xml:space="preserve">nn anmodningsvedtak 442. Departementet </w:t>
      </w:r>
      <w:r w:rsidR="00285794">
        <w:t xml:space="preserve">varslet i </w:t>
      </w:r>
      <w:r w:rsidR="00285794" w:rsidRPr="00327D36">
        <w:t>Prop. 1 S (201</w:t>
      </w:r>
      <w:r w:rsidR="00285794">
        <w:t>6–2017) at en ville</w:t>
      </w:r>
      <w:r w:rsidR="00285794" w:rsidRPr="00EC072D">
        <w:t xml:space="preserve"> følge opp anmodningsvedtak nr. 929 i </w:t>
      </w:r>
      <w:r w:rsidR="00285794">
        <w:t>arbeidet med ny lovgivning for tros- og livssynssamfunn.</w:t>
      </w:r>
    </w:p>
    <w:p w:rsidR="002665BB" w:rsidRDefault="002665BB" w:rsidP="002665BB">
      <w:pPr>
        <w:pStyle w:val="Overskrift3"/>
      </w:pPr>
      <w:bookmarkStart w:id="2759" w:name="_Toc477277334"/>
      <w:bookmarkStart w:id="2760" w:name="_Toc477535837"/>
      <w:bookmarkStart w:id="2761" w:name="_Toc477630969"/>
      <w:bookmarkStart w:id="2762" w:name="_Toc477693933"/>
      <w:bookmarkStart w:id="2763" w:name="_Toc477704358"/>
      <w:bookmarkStart w:id="2764" w:name="_Toc477799596"/>
      <w:bookmarkStart w:id="2765" w:name="_Toc477806197"/>
      <w:bookmarkStart w:id="2766" w:name="_Toc477871857"/>
      <w:bookmarkStart w:id="2767" w:name="_Toc477878459"/>
      <w:bookmarkStart w:id="2768" w:name="_Toc477881862"/>
      <w:bookmarkStart w:id="2769" w:name="_Toc477886322"/>
      <w:bookmarkStart w:id="2770" w:name="_Toc478131452"/>
      <w:bookmarkStart w:id="2771" w:name="_Toc478138822"/>
      <w:bookmarkStart w:id="2772" w:name="_Toc478232347"/>
      <w:bookmarkStart w:id="2773" w:name="_Toc478237331"/>
      <w:bookmarkStart w:id="2774" w:name="_Toc481761867"/>
      <w:bookmarkStart w:id="2775" w:name="_Toc492900519"/>
      <w:r>
        <w:t>Departementets vurderinger</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r>
        <w:t xml:space="preserve"> </w:t>
      </w:r>
    </w:p>
    <w:p w:rsidR="00872EC0" w:rsidRDefault="00B35FDC" w:rsidP="00872EC0">
      <w:r>
        <w:t xml:space="preserve">Med utgangspunkt i vurderingene som ble formidlet til Stortinget i </w:t>
      </w:r>
      <w:r w:rsidRPr="00327D36">
        <w:t>Prop. 1 S (201</w:t>
      </w:r>
      <w:r>
        <w:t>6–2017), og Stortingets anmodningsvedtak nr. 929 fra 16. juni 2016, har d</w:t>
      </w:r>
      <w:r w:rsidR="00944062">
        <w:t xml:space="preserve">epartementet vurdert ulike modeller for å forhindre uønsket utenlandsk bistand med finansiering av trossamfunn i Norge. </w:t>
      </w:r>
    </w:p>
    <w:p w:rsidR="00872EC0" w:rsidRDefault="00944062" w:rsidP="00872EC0">
      <w:r w:rsidRPr="00327D36">
        <w:t>Et direkte forbud for tros- og livssynssamfunn til å motta finansiering fra visse stater vil</w:t>
      </w:r>
      <w:r w:rsidR="00B35FDC">
        <w:t>, etter departementets vurdering,</w:t>
      </w:r>
      <w:r w:rsidRPr="00327D36">
        <w:t xml:space="preserve"> være krevende å håndheve. Verken </w:t>
      </w:r>
      <w:r w:rsidRPr="00327D36">
        <w:rPr>
          <w:i/>
        </w:rPr>
        <w:t xml:space="preserve">trossamfunn </w:t>
      </w:r>
      <w:r w:rsidRPr="00327D36">
        <w:t xml:space="preserve">eller </w:t>
      </w:r>
      <w:r w:rsidRPr="00327D36">
        <w:rPr>
          <w:i/>
        </w:rPr>
        <w:t xml:space="preserve">livssynssamfunn </w:t>
      </w:r>
      <w:r w:rsidRPr="00327D36">
        <w:t xml:space="preserve">er særskilte rettslige størrelser i Norge. Tros- og livssynssamfunn </w:t>
      </w:r>
      <w:r w:rsidRPr="00327D36">
        <w:rPr>
          <w:color w:val="000000"/>
        </w:rPr>
        <w:t xml:space="preserve">(og andre frivillige organisasjoner) kan etableres og drives uten noen form for myndighetsgodkjenning eller -registrering. Dermed </w:t>
      </w:r>
      <w:r w:rsidRPr="00327D36">
        <w:t>vil det lett kunne oppstå usikkerhet om hvilke instanser på mottakersiden i Nor</w:t>
      </w:r>
      <w:r w:rsidR="00872EC0">
        <w:t>ge som er omfattet av forbudet.</w:t>
      </w:r>
    </w:p>
    <w:p w:rsidR="00872EC0" w:rsidRDefault="00944062" w:rsidP="00872EC0">
      <w:pPr>
        <w:rPr>
          <w:color w:val="000000"/>
        </w:rPr>
      </w:pPr>
      <w:r>
        <w:rPr>
          <w:color w:val="000000"/>
        </w:rPr>
        <w:t xml:space="preserve">Dersom et forbud heller </w:t>
      </w:r>
      <w:r w:rsidRPr="00327D36">
        <w:rPr>
          <w:color w:val="000000"/>
        </w:rPr>
        <w:t xml:space="preserve">innføres </w:t>
      </w:r>
      <w:r w:rsidR="005D7E46">
        <w:rPr>
          <w:color w:val="000000"/>
        </w:rPr>
        <w:t xml:space="preserve">indirekte </w:t>
      </w:r>
      <w:r w:rsidRPr="00327D36">
        <w:rPr>
          <w:color w:val="000000"/>
        </w:rPr>
        <w:t>som et vilkår for tilskudd til tros- og livssynssamfunn, slik anmodningsvedtak</w:t>
      </w:r>
      <w:r w:rsidR="00B35FDC">
        <w:rPr>
          <w:color w:val="000000"/>
        </w:rPr>
        <w:t xml:space="preserve"> nr.</w:t>
      </w:r>
      <w:r w:rsidRPr="00327D36">
        <w:rPr>
          <w:color w:val="000000"/>
        </w:rPr>
        <w:t xml:space="preserve"> 929 legger opp til, vil det ikke være tvil om hvilke instanser p</w:t>
      </w:r>
      <w:r w:rsidR="00872EC0">
        <w:rPr>
          <w:color w:val="000000"/>
        </w:rPr>
        <w:t xml:space="preserve">å mottakersiden som omfattes. </w:t>
      </w:r>
      <w:r w:rsidRPr="00327D36">
        <w:rPr>
          <w:color w:val="000000"/>
        </w:rPr>
        <w:t xml:space="preserve">Et tilskuddsvilkår </w:t>
      </w:r>
      <w:r w:rsidR="00B35FDC">
        <w:rPr>
          <w:color w:val="000000"/>
        </w:rPr>
        <w:t>vil kun få virkning for</w:t>
      </w:r>
      <w:r w:rsidR="00AF5FA5">
        <w:rPr>
          <w:color w:val="000000"/>
        </w:rPr>
        <w:t xml:space="preserve"> tros- og livssynssamfunn som velger å fremme krav om stats</w:t>
      </w:r>
      <w:r w:rsidRPr="00327D36">
        <w:rPr>
          <w:color w:val="000000"/>
        </w:rPr>
        <w:t xml:space="preserve">tilskudd, og som er sikret visse inntekter </w:t>
      </w:r>
      <w:r w:rsidRPr="00327D36">
        <w:rPr>
          <w:color w:val="000000"/>
        </w:rPr>
        <w:lastRenderedPageBreak/>
        <w:t xml:space="preserve">via tilskuddsordningen. </w:t>
      </w:r>
      <w:r w:rsidR="000E5928">
        <w:rPr>
          <w:color w:val="000000"/>
        </w:rPr>
        <w:t>Derfor</w:t>
      </w:r>
      <w:r w:rsidR="000E5928" w:rsidRPr="00327D36">
        <w:rPr>
          <w:color w:val="000000"/>
        </w:rPr>
        <w:t xml:space="preserve"> </w:t>
      </w:r>
      <w:r w:rsidRPr="00327D36">
        <w:rPr>
          <w:color w:val="000000"/>
        </w:rPr>
        <w:t>lar det seg i utgangspunktet lettere forsvare mennesker</w:t>
      </w:r>
      <w:r w:rsidR="00872EC0">
        <w:rPr>
          <w:color w:val="000000"/>
        </w:rPr>
        <w:t>ettslig enn et direkte forbud</w:t>
      </w:r>
      <w:r w:rsidR="00AF5FA5">
        <w:rPr>
          <w:color w:val="000000"/>
        </w:rPr>
        <w:t xml:space="preserve"> mot utenlandsk finansiering</w:t>
      </w:r>
      <w:r w:rsidR="00872EC0">
        <w:rPr>
          <w:color w:val="000000"/>
        </w:rPr>
        <w:t>.</w:t>
      </w:r>
    </w:p>
    <w:p w:rsidR="00872EC0" w:rsidRDefault="00944062" w:rsidP="00872EC0">
      <w:pPr>
        <w:rPr>
          <w:color w:val="000000"/>
        </w:rPr>
      </w:pPr>
      <w:r w:rsidRPr="00327D36">
        <w:rPr>
          <w:color w:val="000000"/>
        </w:rPr>
        <w:t xml:space="preserve">Anmodningsvedtak </w:t>
      </w:r>
      <w:r w:rsidR="00217E43">
        <w:rPr>
          <w:color w:val="000000"/>
        </w:rPr>
        <w:t xml:space="preserve">nr. </w:t>
      </w:r>
      <w:r w:rsidRPr="00327D36">
        <w:rPr>
          <w:color w:val="000000"/>
        </w:rPr>
        <w:t xml:space="preserve">929 legger opp til et videre forbud enn </w:t>
      </w:r>
      <w:r w:rsidR="00217E43">
        <w:rPr>
          <w:color w:val="000000"/>
        </w:rPr>
        <w:t xml:space="preserve">vedtak nr. </w:t>
      </w:r>
      <w:r>
        <w:rPr>
          <w:color w:val="000000"/>
        </w:rPr>
        <w:t>442 – i den forstand at «</w:t>
      </w:r>
      <w:r w:rsidRPr="00327D36">
        <w:rPr>
          <w:color w:val="000000"/>
        </w:rPr>
        <w:t>stater som bryter fundamentale menneskerettigheter</w:t>
      </w:r>
      <w:r>
        <w:rPr>
          <w:color w:val="000000"/>
        </w:rPr>
        <w:t xml:space="preserve">» er en videre kategori </w:t>
      </w:r>
      <w:r w:rsidRPr="00327D36">
        <w:rPr>
          <w:color w:val="000000"/>
        </w:rPr>
        <w:t xml:space="preserve">enn </w:t>
      </w:r>
      <w:r>
        <w:rPr>
          <w:color w:val="000000"/>
        </w:rPr>
        <w:t>«</w:t>
      </w:r>
      <w:r w:rsidRPr="00327D36">
        <w:rPr>
          <w:color w:val="000000"/>
        </w:rPr>
        <w:t>stater som ikke praktiserer religionsfrihet</w:t>
      </w:r>
      <w:r>
        <w:rPr>
          <w:color w:val="000000"/>
        </w:rPr>
        <w:t>»</w:t>
      </w:r>
      <w:r w:rsidRPr="00327D36">
        <w:rPr>
          <w:color w:val="000000"/>
        </w:rPr>
        <w:t xml:space="preserve">. Et </w:t>
      </w:r>
      <w:r>
        <w:rPr>
          <w:color w:val="000000"/>
        </w:rPr>
        <w:t xml:space="preserve">forbud </w:t>
      </w:r>
      <w:r w:rsidRPr="00327D36">
        <w:rPr>
          <w:color w:val="000000"/>
        </w:rPr>
        <w:t xml:space="preserve">som kun gjelder finansiering fra </w:t>
      </w:r>
      <w:r>
        <w:rPr>
          <w:color w:val="000000"/>
        </w:rPr>
        <w:t>sistnevnte kategori stater</w:t>
      </w:r>
      <w:r w:rsidR="000E5928">
        <w:rPr>
          <w:color w:val="000000"/>
        </w:rPr>
        <w:t>,</w:t>
      </w:r>
      <w:r>
        <w:rPr>
          <w:color w:val="000000"/>
        </w:rPr>
        <w:t xml:space="preserve"> vil i større</w:t>
      </w:r>
      <w:r w:rsidRPr="00327D36">
        <w:rPr>
          <w:color w:val="000000"/>
        </w:rPr>
        <w:t xml:space="preserve"> grad være i tråd med gjensidighetsprinsippet i internasjonale relasjoner. Departementet m</w:t>
      </w:r>
      <w:r>
        <w:rPr>
          <w:color w:val="000000"/>
        </w:rPr>
        <w:t xml:space="preserve">ener derfor at </w:t>
      </w:r>
      <w:r w:rsidR="00217E43">
        <w:rPr>
          <w:color w:val="000000"/>
        </w:rPr>
        <w:t xml:space="preserve">et </w:t>
      </w:r>
      <w:r w:rsidR="001A527E">
        <w:rPr>
          <w:color w:val="000000"/>
        </w:rPr>
        <w:t xml:space="preserve">eventuelt </w:t>
      </w:r>
      <w:r>
        <w:rPr>
          <w:color w:val="000000"/>
        </w:rPr>
        <w:t>forbud</w:t>
      </w:r>
      <w:r w:rsidRPr="00327D36">
        <w:rPr>
          <w:color w:val="000000"/>
        </w:rPr>
        <w:t xml:space="preserve"> bør gjelde for finan</w:t>
      </w:r>
      <w:r>
        <w:rPr>
          <w:color w:val="000000"/>
        </w:rPr>
        <w:t>si</w:t>
      </w:r>
      <w:r w:rsidRPr="00327D36">
        <w:rPr>
          <w:color w:val="000000"/>
        </w:rPr>
        <w:t>ering</w:t>
      </w:r>
      <w:r>
        <w:rPr>
          <w:color w:val="000000"/>
        </w:rPr>
        <w:t xml:space="preserve"> fra stater som ikke </w:t>
      </w:r>
      <w:r w:rsidR="00217E43">
        <w:rPr>
          <w:color w:val="000000"/>
        </w:rPr>
        <w:t xml:space="preserve">selv </w:t>
      </w:r>
      <w:r>
        <w:rPr>
          <w:color w:val="000000"/>
        </w:rPr>
        <w:t>praktiserer</w:t>
      </w:r>
      <w:r w:rsidRPr="00327D36">
        <w:rPr>
          <w:color w:val="000000"/>
        </w:rPr>
        <w:t xml:space="preserve"> religionsfrihet – det vil si stater som er ansvarlige for gjentatte og alvorlige krenkelser av retten til relig</w:t>
      </w:r>
      <w:r>
        <w:rPr>
          <w:color w:val="000000"/>
        </w:rPr>
        <w:t>i</w:t>
      </w:r>
      <w:r w:rsidRPr="00327D36">
        <w:rPr>
          <w:color w:val="000000"/>
        </w:rPr>
        <w:t xml:space="preserve">onsfrihet. Hvilke </w:t>
      </w:r>
      <w:r w:rsidR="000E5928">
        <w:rPr>
          <w:color w:val="000000"/>
        </w:rPr>
        <w:t xml:space="preserve">konkrete </w:t>
      </w:r>
      <w:r w:rsidRPr="00327D36">
        <w:rPr>
          <w:color w:val="000000"/>
        </w:rPr>
        <w:t xml:space="preserve">stater som skal omfattes, vil departementet </w:t>
      </w:r>
      <w:r>
        <w:rPr>
          <w:color w:val="000000"/>
        </w:rPr>
        <w:t xml:space="preserve">kunne </w:t>
      </w:r>
      <w:r w:rsidRPr="00327D36">
        <w:rPr>
          <w:color w:val="000000"/>
        </w:rPr>
        <w:t>komme tilbake til i arb</w:t>
      </w:r>
      <w:r w:rsidR="00872EC0">
        <w:rPr>
          <w:color w:val="000000"/>
        </w:rPr>
        <w:t>eidet med forskrift til loven.</w:t>
      </w:r>
    </w:p>
    <w:p w:rsidR="00B222C1" w:rsidRDefault="005D7E46" w:rsidP="00872EC0">
      <w:pPr>
        <w:rPr>
          <w:color w:val="000000"/>
        </w:rPr>
      </w:pPr>
      <w:r>
        <w:rPr>
          <w:color w:val="000000"/>
        </w:rPr>
        <w:t>Etter departementets forslag vil t</w:t>
      </w:r>
      <w:r w:rsidR="00944062">
        <w:rPr>
          <w:color w:val="000000"/>
        </w:rPr>
        <w:t>ilskudd</w:t>
      </w:r>
      <w:r w:rsidR="00EF1D4F">
        <w:rPr>
          <w:color w:val="000000"/>
        </w:rPr>
        <w:t>s</w:t>
      </w:r>
      <w:r w:rsidR="00944062">
        <w:rPr>
          <w:color w:val="000000"/>
        </w:rPr>
        <w:t xml:space="preserve">vilkåret kun omfatte offentlig </w:t>
      </w:r>
      <w:r>
        <w:rPr>
          <w:color w:val="000000"/>
        </w:rPr>
        <w:t xml:space="preserve">utenlandsk </w:t>
      </w:r>
      <w:r w:rsidR="00944062">
        <w:rPr>
          <w:color w:val="000000"/>
        </w:rPr>
        <w:t>finansiering, det vil si bidrag fra offentlige organ</w:t>
      </w:r>
      <w:r w:rsidR="00217E43">
        <w:rPr>
          <w:color w:val="000000"/>
        </w:rPr>
        <w:t>er</w:t>
      </w:r>
      <w:r w:rsidR="00944062">
        <w:rPr>
          <w:color w:val="000000"/>
        </w:rPr>
        <w:t xml:space="preserve"> og rettssubjekter under </w:t>
      </w:r>
      <w:r>
        <w:rPr>
          <w:color w:val="000000"/>
        </w:rPr>
        <w:t xml:space="preserve">den fremmede </w:t>
      </w:r>
      <w:r w:rsidR="00944062">
        <w:rPr>
          <w:color w:val="000000"/>
        </w:rPr>
        <w:t xml:space="preserve">statens eller andre offentlige myndigheters kontroll. </w:t>
      </w:r>
      <w:r w:rsidR="001A527E">
        <w:rPr>
          <w:color w:val="000000"/>
        </w:rPr>
        <w:t>Det vil kunne være vanskelig å avgjøre om en finansiering skal ti</w:t>
      </w:r>
      <w:r w:rsidR="0000163B">
        <w:rPr>
          <w:color w:val="000000"/>
        </w:rPr>
        <w:t xml:space="preserve">lskrives staten eller et </w:t>
      </w:r>
      <w:r>
        <w:rPr>
          <w:color w:val="000000"/>
        </w:rPr>
        <w:t>privat rettssubjekt</w:t>
      </w:r>
      <w:r w:rsidR="001A527E">
        <w:rPr>
          <w:color w:val="000000"/>
        </w:rPr>
        <w:t xml:space="preserve">. </w:t>
      </w:r>
      <w:r w:rsidR="00B222C1">
        <w:rPr>
          <w:color w:val="000000"/>
        </w:rPr>
        <w:t xml:space="preserve">Et individ som innehar en ledende rolle vil </w:t>
      </w:r>
      <w:r>
        <w:rPr>
          <w:color w:val="000000"/>
        </w:rPr>
        <w:t xml:space="preserve">f.eks. </w:t>
      </w:r>
      <w:r w:rsidR="00B222C1">
        <w:rPr>
          <w:color w:val="000000"/>
        </w:rPr>
        <w:t>lett bli assosiert med staten. I enkelte sammenhenger kan det formodes at vedkommende handler på statens og ikke på egne priva</w:t>
      </w:r>
      <w:r w:rsidR="00362EF6">
        <w:rPr>
          <w:color w:val="000000"/>
        </w:rPr>
        <w:t>t</w:t>
      </w:r>
      <w:r w:rsidR="00B222C1">
        <w:rPr>
          <w:color w:val="000000"/>
        </w:rPr>
        <w:t>e vegne.</w:t>
      </w:r>
    </w:p>
    <w:p w:rsidR="00872EC0" w:rsidRDefault="00944062" w:rsidP="00872EC0">
      <w:pPr>
        <w:rPr>
          <w:color w:val="000000"/>
        </w:rPr>
      </w:pPr>
      <w:r>
        <w:rPr>
          <w:color w:val="000000"/>
        </w:rPr>
        <w:t>R</w:t>
      </w:r>
      <w:r w:rsidRPr="00327D36">
        <w:rPr>
          <w:color w:val="000000"/>
        </w:rPr>
        <w:t>egle</w:t>
      </w:r>
      <w:r w:rsidR="00B222C1">
        <w:rPr>
          <w:color w:val="000000"/>
        </w:rPr>
        <w:t xml:space="preserve">r om avståelse fra å motta slik utenlandsfinansiering </w:t>
      </w:r>
      <w:r>
        <w:rPr>
          <w:color w:val="000000"/>
        </w:rPr>
        <w:t xml:space="preserve">bør </w:t>
      </w:r>
      <w:r w:rsidR="00B222C1">
        <w:rPr>
          <w:color w:val="000000"/>
        </w:rPr>
        <w:t xml:space="preserve">uansett </w:t>
      </w:r>
      <w:r>
        <w:rPr>
          <w:color w:val="000000"/>
        </w:rPr>
        <w:t xml:space="preserve">praktiseres med en viss </w:t>
      </w:r>
      <w:r w:rsidRPr="00327D36">
        <w:rPr>
          <w:color w:val="000000"/>
        </w:rPr>
        <w:t>varsomhet. Tros- og livssynssamfunn som har tatt imot bidrag i aktsom god t</w:t>
      </w:r>
      <w:r>
        <w:rPr>
          <w:color w:val="000000"/>
        </w:rPr>
        <w:t xml:space="preserve">ro om at bidragsyteren ikke er et offentlig organ eller kontrollert av det offentlige, </w:t>
      </w:r>
      <w:r w:rsidRPr="00327D36">
        <w:rPr>
          <w:color w:val="000000"/>
        </w:rPr>
        <w:t xml:space="preserve">skal ikke rammes. </w:t>
      </w:r>
    </w:p>
    <w:p w:rsidR="00872EC0" w:rsidRDefault="00944062" w:rsidP="00872EC0">
      <w:pPr>
        <w:rPr>
          <w:color w:val="000000"/>
        </w:rPr>
      </w:pPr>
      <w:r>
        <w:rPr>
          <w:color w:val="000000"/>
        </w:rPr>
        <w:t>Spørsmålet om kriterier for når et rettssubjekt skal anses styrt eller kontrollert av staten, vil departementet komme tilbake til i arbeid</w:t>
      </w:r>
      <w:r w:rsidR="00872EC0">
        <w:rPr>
          <w:color w:val="000000"/>
        </w:rPr>
        <w:t>et med forskriftene til loven.</w:t>
      </w:r>
    </w:p>
    <w:p w:rsidR="00872EC0" w:rsidRDefault="00944062" w:rsidP="00872EC0">
      <w:r w:rsidRPr="00327D36">
        <w:t>For at formålet med tilskuddsvilkåret i størst mulig grad skal oppnås</w:t>
      </w:r>
      <w:r w:rsidR="000D1FAE">
        <w:t>,</w:t>
      </w:r>
      <w:r w:rsidRPr="00327D36">
        <w:t xml:space="preserve"> bør det gjelde flere former for støtte, ikke bare </w:t>
      </w:r>
      <w:r w:rsidR="00217E43">
        <w:t xml:space="preserve">direkte </w:t>
      </w:r>
      <w:r w:rsidRPr="00327D36">
        <w:t>pengebidrag. Også verdien av varer, tjenester og andre tilsvarende ytelser som er mottatt vederlagsfritt elle</w:t>
      </w:r>
      <w:r>
        <w:t xml:space="preserve">r </w:t>
      </w:r>
      <w:r w:rsidR="00872EC0">
        <w:t>til underpris, bør inkluderes.</w:t>
      </w:r>
    </w:p>
    <w:p w:rsidR="00872EC0" w:rsidRDefault="00944062" w:rsidP="00872EC0">
      <w:pPr>
        <w:rPr>
          <w:color w:val="000000"/>
        </w:rPr>
      </w:pPr>
      <w:r w:rsidRPr="00327D36">
        <w:rPr>
          <w:color w:val="000000"/>
        </w:rPr>
        <w:t xml:space="preserve">Med små bidrag kan det neppe sies å foreligge en påregnelig risiko for uheldige bindinger eller forventninger om innflytelse på eller gjenytelse fra mottaker. Dette taler for at det bør være en beløpsgrense for når vilkåret skal anses brutt. En beløpsgrense vil imidlertid kunne åpne for omgåelser, f.eks. ved at det ytes flere bidrag under grensen, hvilket tilsier at den også </w:t>
      </w:r>
      <w:r>
        <w:rPr>
          <w:color w:val="000000"/>
        </w:rPr>
        <w:t>bør gjelde</w:t>
      </w:r>
      <w:r w:rsidRPr="00327D36">
        <w:rPr>
          <w:color w:val="000000"/>
        </w:rPr>
        <w:t xml:space="preserve"> for summen</w:t>
      </w:r>
      <w:r>
        <w:rPr>
          <w:color w:val="000000"/>
        </w:rPr>
        <w:t xml:space="preserve"> av flere bidrag fra én stat</w:t>
      </w:r>
      <w:r w:rsidR="00217E43">
        <w:rPr>
          <w:color w:val="000000"/>
        </w:rPr>
        <w:t>, eventuelt over en viss periode</w:t>
      </w:r>
      <w:r>
        <w:rPr>
          <w:color w:val="000000"/>
        </w:rPr>
        <w:t>.</w:t>
      </w:r>
    </w:p>
    <w:p w:rsidR="00872EC0" w:rsidRDefault="00944062" w:rsidP="00872EC0">
      <w:pPr>
        <w:rPr>
          <w:color w:val="000000"/>
        </w:rPr>
      </w:pPr>
      <w:r w:rsidRPr="00327D36">
        <w:rPr>
          <w:color w:val="000000"/>
        </w:rPr>
        <w:t>Departementet mener at 100 000 kr</w:t>
      </w:r>
      <w:r w:rsidR="000D1FAE">
        <w:rPr>
          <w:color w:val="000000"/>
        </w:rPr>
        <w:t>oner</w:t>
      </w:r>
      <w:r w:rsidRPr="00327D36">
        <w:rPr>
          <w:color w:val="000000"/>
        </w:rPr>
        <w:t xml:space="preserve"> </w:t>
      </w:r>
      <w:r w:rsidR="00217E43">
        <w:rPr>
          <w:color w:val="000000"/>
        </w:rPr>
        <w:t xml:space="preserve">i utgangspunktet </w:t>
      </w:r>
      <w:r w:rsidRPr="00327D36">
        <w:rPr>
          <w:color w:val="000000"/>
        </w:rPr>
        <w:t>kan være en passende grense, og at den bør gjelde både for ett og summen av flere bidrag fra én stat i løpet av ett regnskapsår. Beløpsgrensen bør etter hvert justeres i tråd med prisveksten, hvilket kan tale for at den fastsettes i forskrift.</w:t>
      </w:r>
      <w:r w:rsidR="00AF5FA5">
        <w:rPr>
          <w:color w:val="000000"/>
        </w:rPr>
        <w:t xml:space="preserve"> </w:t>
      </w:r>
      <w:r w:rsidR="00272FFE">
        <w:rPr>
          <w:color w:val="000000"/>
        </w:rPr>
        <w:t xml:space="preserve"> </w:t>
      </w:r>
    </w:p>
    <w:p w:rsidR="00872EC0" w:rsidRDefault="00944062" w:rsidP="00872EC0">
      <w:pPr>
        <w:rPr>
          <w:color w:val="000000"/>
        </w:rPr>
      </w:pPr>
      <w:r w:rsidRPr="00327D36">
        <w:t>Av likebehandlin</w:t>
      </w:r>
      <w:r>
        <w:t>gshensyn bør vilkåret</w:t>
      </w:r>
      <w:r w:rsidRPr="00327D36">
        <w:t xml:space="preserve"> gjelde for både tros- og livssynssamfunn.</w:t>
      </w:r>
    </w:p>
    <w:p w:rsidR="00944062" w:rsidRPr="00872EC0" w:rsidRDefault="00D23E2B" w:rsidP="00872EC0">
      <w:pPr>
        <w:rPr>
          <w:color w:val="000000"/>
        </w:rPr>
      </w:pPr>
      <w:r>
        <w:t xml:space="preserve">Dersom man vil </w:t>
      </w:r>
      <w:r w:rsidR="00AA5714">
        <w:t>innføre</w:t>
      </w:r>
      <w:r>
        <w:t xml:space="preserve"> et lovmessig hinder mot</w:t>
      </w:r>
      <w:r w:rsidR="00F6740C">
        <w:t xml:space="preserve"> uønsket utenlandsk</w:t>
      </w:r>
      <w:r>
        <w:t xml:space="preserve"> finansiering av trossamfunn i Norge, </w:t>
      </w:r>
      <w:r w:rsidR="00F6740C">
        <w:t>mener d</w:t>
      </w:r>
      <w:r w:rsidR="00944062">
        <w:t xml:space="preserve">epartementet </w:t>
      </w:r>
      <w:r w:rsidR="00F6740C">
        <w:t>det best kan gjøres med</w:t>
      </w:r>
      <w:r w:rsidR="00AF5FA5">
        <w:t xml:space="preserve"> følgende bestemmelse i lovutkastet § 6 tredje ledd</w:t>
      </w:r>
      <w:r w:rsidR="00944062">
        <w:t>:</w:t>
      </w:r>
    </w:p>
    <w:p w:rsidR="00944062" w:rsidRPr="00E41C0F" w:rsidRDefault="00AF5FA5" w:rsidP="00E41C0F">
      <w:pPr>
        <w:pStyle w:val="blokksit"/>
        <w:rPr>
          <w:rStyle w:val="kursiv"/>
        </w:rPr>
      </w:pPr>
      <w:r w:rsidRPr="00E41C0F">
        <w:rPr>
          <w:rStyle w:val="kursiv"/>
        </w:rPr>
        <w:t xml:space="preserve">Tros- eller livssynssamfunn som tar imot bidrag fra stater som ikke respekterer retten til tros- og livssynsfrihet, kan nektes tilskudd etter § 4.  </w:t>
      </w:r>
      <w:r w:rsidR="00944062" w:rsidRPr="00E41C0F">
        <w:rPr>
          <w:rStyle w:val="kursiv"/>
        </w:rPr>
        <w:t xml:space="preserve"> </w:t>
      </w:r>
    </w:p>
    <w:p w:rsidR="005F4ADD" w:rsidRDefault="005F4ADD" w:rsidP="001E491E">
      <w:pPr>
        <w:pStyle w:val="Overskrift2"/>
      </w:pPr>
      <w:bookmarkStart w:id="2776" w:name="_Toc477535839"/>
      <w:bookmarkStart w:id="2777" w:name="_Toc477630971"/>
      <w:bookmarkStart w:id="2778" w:name="_Toc477693935"/>
      <w:bookmarkStart w:id="2779" w:name="_Toc477704360"/>
      <w:bookmarkStart w:id="2780" w:name="_Toc477799598"/>
      <w:bookmarkStart w:id="2781" w:name="_Toc477806199"/>
      <w:bookmarkStart w:id="2782" w:name="_Toc477871859"/>
      <w:bookmarkStart w:id="2783" w:name="_Toc477878461"/>
      <w:bookmarkStart w:id="2784" w:name="_Toc477881864"/>
      <w:bookmarkStart w:id="2785" w:name="_Toc477886324"/>
      <w:bookmarkStart w:id="2786" w:name="_Toc478131453"/>
      <w:bookmarkStart w:id="2787" w:name="_Toc478138823"/>
      <w:bookmarkStart w:id="2788" w:name="_Toc478232348"/>
      <w:bookmarkStart w:id="2789" w:name="_Toc478237332"/>
      <w:bookmarkStart w:id="2790" w:name="_Toc481761868"/>
      <w:bookmarkStart w:id="2791" w:name="_Toc492900520"/>
      <w:r>
        <w:lastRenderedPageBreak/>
        <w:t xml:space="preserve">Erklæring ved </w:t>
      </w:r>
      <w:r w:rsidR="00A85FA2">
        <w:t>krav</w:t>
      </w:r>
      <w:r>
        <w:t xml:space="preserve"> om tilskudd</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rsidR="00786C73" w:rsidRDefault="005D2894" w:rsidP="001E491E">
      <w:pPr>
        <w:pStyle w:val="Overskrift3"/>
      </w:pPr>
      <w:bookmarkStart w:id="2792" w:name="_Toc477886325"/>
      <w:bookmarkStart w:id="2793" w:name="_Toc478131454"/>
      <w:bookmarkStart w:id="2794" w:name="_Toc478138824"/>
      <w:bookmarkStart w:id="2795" w:name="_Toc478232349"/>
      <w:bookmarkStart w:id="2796" w:name="_Toc478237333"/>
      <w:bookmarkStart w:id="2797" w:name="_Toc481761869"/>
      <w:bookmarkStart w:id="2798" w:name="_Toc492900521"/>
      <w:r>
        <w:t>Innledning</w:t>
      </w:r>
      <w:bookmarkEnd w:id="2792"/>
      <w:bookmarkEnd w:id="2793"/>
      <w:bookmarkEnd w:id="2794"/>
      <w:bookmarkEnd w:id="2795"/>
      <w:bookmarkEnd w:id="2796"/>
      <w:bookmarkEnd w:id="2797"/>
      <w:bookmarkEnd w:id="2798"/>
    </w:p>
    <w:p w:rsidR="005D2894" w:rsidRDefault="005D2894" w:rsidP="001E491E">
      <w:r>
        <w:t>Stålsett-utvalget foreslo at tros- og livssynssamfunn ved søknad (krav) om tilskudd skulle pålegges å bekrefte "kjennskap til og vilje til overholdelse av" verdivilkårene for tilskudd (NOU 2013: 1 s. 358–359 og lovutkastet § 2</w:t>
      </w:r>
      <w:r w:rsidR="0027653F">
        <w:t>-2</w:t>
      </w:r>
      <w:r>
        <w:t xml:space="preserve"> nr. 7). </w:t>
      </w:r>
      <w:r w:rsidR="006C734B">
        <w:t xml:space="preserve">Fra utvalget ble det spesielt </w:t>
      </w:r>
      <w:r w:rsidR="00C911D0">
        <w:t>pekt på at det kan være viktig at</w:t>
      </w:r>
      <w:r w:rsidR="006C734B">
        <w:t xml:space="preserve"> tros- eller livssynssamfunnet skriver under på at det ikke forsvarer eller aksepterer bruk av fysisk avstraffelse mot barn. </w:t>
      </w:r>
    </w:p>
    <w:p w:rsidR="005D2894" w:rsidRDefault="005D2894" w:rsidP="001E491E">
      <w:pPr>
        <w:pStyle w:val="Overskrift3"/>
      </w:pPr>
      <w:bookmarkStart w:id="2799" w:name="_Toc477886326"/>
      <w:bookmarkStart w:id="2800" w:name="_Toc478131455"/>
      <w:bookmarkStart w:id="2801" w:name="_Toc478138825"/>
      <w:bookmarkStart w:id="2802" w:name="_Toc478232350"/>
      <w:bookmarkStart w:id="2803" w:name="_Toc478237334"/>
      <w:bookmarkStart w:id="2804" w:name="_Toc481761870"/>
      <w:bookmarkStart w:id="2805" w:name="_Toc492900522"/>
      <w:r>
        <w:t>Departementets vurderinger</w:t>
      </w:r>
      <w:bookmarkEnd w:id="2799"/>
      <w:bookmarkEnd w:id="2800"/>
      <w:bookmarkEnd w:id="2801"/>
      <w:bookmarkEnd w:id="2802"/>
      <w:bookmarkEnd w:id="2803"/>
      <w:bookmarkEnd w:id="2804"/>
      <w:bookmarkEnd w:id="2805"/>
      <w:r>
        <w:t xml:space="preserve"> </w:t>
      </w:r>
    </w:p>
    <w:p w:rsidR="005D2894" w:rsidRDefault="006C734B" w:rsidP="001E491E">
      <w:r>
        <w:t>Departementet er enig i at en bør kreve at tros- og livssynssamfunn eksplisitt forplikter seg til å oppfylle vilkårene for tilskudd når krav framsettes. Denne forpliktelsen bør, etter departementets syn, gjelde alle vilkårene for tilskudd, ikke bare verdivilkåret. En slik erklæring vil kunne bidra til at forutsetningene for tilskuddet gjøres klarere</w:t>
      </w:r>
      <w:r w:rsidR="00297C1E">
        <w:t xml:space="preserve"> og </w:t>
      </w:r>
      <w:r>
        <w:t xml:space="preserve">til </w:t>
      </w:r>
      <w:r w:rsidR="00297C1E">
        <w:t>bevisstgjøring i samfunnet. D</w:t>
      </w:r>
      <w:r>
        <w:t xml:space="preserve">et kan </w:t>
      </w:r>
      <w:r w:rsidR="00297C1E">
        <w:t xml:space="preserve">også </w:t>
      </w:r>
      <w:r>
        <w:t xml:space="preserve">lette oppfølgingen dersom det oppstår mistanke om brudd på vilkår. </w:t>
      </w:r>
      <w:r w:rsidR="00297C1E">
        <w:t>Departementet foreslår føl</w:t>
      </w:r>
      <w:r w:rsidR="00C911D0">
        <w:t xml:space="preserve">gende bestemmelse i </w:t>
      </w:r>
      <w:r w:rsidR="00E15D0B" w:rsidRPr="00E15D0B">
        <w:t>lov</w:t>
      </w:r>
      <w:r w:rsidR="000B51F0">
        <w:t>utkastet § 4 femte</w:t>
      </w:r>
      <w:r w:rsidR="00C911D0" w:rsidRPr="00E15D0B">
        <w:t xml:space="preserve"> ledd</w:t>
      </w:r>
      <w:r w:rsidR="00297C1E">
        <w:t xml:space="preserve">: </w:t>
      </w:r>
    </w:p>
    <w:p w:rsidR="00297C1E" w:rsidRPr="00E41C0F" w:rsidRDefault="00C911D0" w:rsidP="00E41C0F">
      <w:pPr>
        <w:pStyle w:val="blokksit"/>
        <w:rPr>
          <w:rStyle w:val="kursiv"/>
        </w:rPr>
      </w:pPr>
      <w:r w:rsidRPr="00E41C0F">
        <w:rPr>
          <w:rStyle w:val="kursiv"/>
        </w:rPr>
        <w:t>Samfunnet skal når det fremmer krav om tilskudd, skriftlig bekrefte at det er kjent med og vil overholde vilkårene for tilskudd i § 6.</w:t>
      </w:r>
      <w:r w:rsidR="00297C1E" w:rsidRPr="00E41C0F">
        <w:rPr>
          <w:rStyle w:val="kursiv"/>
        </w:rPr>
        <w:t xml:space="preserve"> </w:t>
      </w:r>
    </w:p>
    <w:p w:rsidR="00980166" w:rsidRDefault="00980166" w:rsidP="004865D2">
      <w:pPr>
        <w:pStyle w:val="Overskrift2"/>
      </w:pPr>
      <w:bookmarkStart w:id="2806" w:name="_Toc481761871"/>
      <w:bookmarkStart w:id="2807" w:name="_Toc492900523"/>
      <w:r>
        <w:t>Særlige hjemler for straff</w:t>
      </w:r>
      <w:bookmarkEnd w:id="2806"/>
      <w:bookmarkEnd w:id="2807"/>
    </w:p>
    <w:p w:rsidR="00C931DC" w:rsidRDefault="00C344CC" w:rsidP="007A0B73">
      <w:r w:rsidRPr="00980166">
        <w:t>Gjeldende</w:t>
      </w:r>
      <w:r>
        <w:t xml:space="preserve"> trossamfunnslov § 29 inneholder en bestemmelse som fastsetter at brudd på nærmere angitt paragrafer i trossamfunnsloven kan straffes med bot. </w:t>
      </w:r>
      <w:r w:rsidR="00F4078A">
        <w:t>Det gjelder tr</w:t>
      </w:r>
      <w:r>
        <w:t>ossamfunnsloven §§ 4 andre punktum, §10, § 12, § 16, § 17, § 22, § 23</w:t>
      </w:r>
      <w:r w:rsidR="00F4078A">
        <w:t xml:space="preserve">, § 24 andre ledd og § 27 a. De fleste av disse bestemmelsene gjelder offentlige oppgaver som trossamfunnene ikke lenger har. </w:t>
      </w:r>
    </w:p>
    <w:p w:rsidR="00C931DC" w:rsidRDefault="00F4078A" w:rsidP="007A0B73">
      <w:r>
        <w:t>Stålsett-utvalget</w:t>
      </w:r>
      <w:r w:rsidR="00C931DC">
        <w:t xml:space="preserve"> mente det ikke var hensiktsmessig med en "egen rett til å ilegge bøter i loven" </w:t>
      </w:r>
      <w:r w:rsidR="00C931DC" w:rsidRPr="00C931DC">
        <w:t xml:space="preserve">(NOU 2013: 1 s. </w:t>
      </w:r>
      <w:r w:rsidR="00C931DC">
        <w:t>415)</w:t>
      </w:r>
      <w:r w:rsidR="00C931DC" w:rsidRPr="00C931DC">
        <w:t xml:space="preserve">. </w:t>
      </w:r>
    </w:p>
    <w:p w:rsidR="00C344CC" w:rsidRDefault="00C931DC" w:rsidP="007A0B73">
      <w:r>
        <w:t>Departementet viser til dette, og til at straffeloven selv</w:t>
      </w:r>
      <w:r w:rsidR="00980166">
        <w:t xml:space="preserve">, blant annet i kapittel 39 om forseelser mot person, </w:t>
      </w:r>
      <w:r w:rsidR="007A0B73">
        <w:t xml:space="preserve">inneholder </w:t>
      </w:r>
      <w:r>
        <w:t xml:space="preserve">straffehjemler som fortsatt kan være aktuelle. </w:t>
      </w:r>
      <w:r w:rsidR="00980166">
        <w:t>Det</w:t>
      </w:r>
      <w:r>
        <w:t xml:space="preserve"> foreslås derfor ikke viderefø</w:t>
      </w:r>
      <w:r w:rsidR="00980166">
        <w:t xml:space="preserve">rt bestemmelser med særlige straffehjemler i </w:t>
      </w:r>
      <w:r w:rsidR="007A0B73">
        <w:t xml:space="preserve">den nye </w:t>
      </w:r>
      <w:r w:rsidR="00980166">
        <w:t>lov</w:t>
      </w:r>
      <w:r w:rsidR="007A0B73">
        <w:t>en</w:t>
      </w:r>
      <w:r w:rsidR="00980166">
        <w:t>.</w:t>
      </w:r>
    </w:p>
    <w:p w:rsidR="00167462" w:rsidRPr="005F4ADD" w:rsidRDefault="00167462" w:rsidP="001E491E">
      <w:r w:rsidRPr="005F4ADD">
        <w:br w:type="page"/>
      </w:r>
    </w:p>
    <w:p w:rsidR="00D203D9" w:rsidRPr="00C1027C" w:rsidRDefault="00BC4F7B" w:rsidP="00C1027C">
      <w:pPr>
        <w:pStyle w:val="Overskrift1"/>
      </w:pPr>
      <w:bookmarkStart w:id="2808" w:name="_Toc477806200"/>
      <w:bookmarkStart w:id="2809" w:name="_Toc477871860"/>
      <w:bookmarkStart w:id="2810" w:name="_Toc477878462"/>
      <w:bookmarkStart w:id="2811" w:name="_Toc477881866"/>
      <w:bookmarkStart w:id="2812" w:name="_Toc477886328"/>
      <w:bookmarkStart w:id="2813" w:name="_Toc477277336"/>
      <w:bookmarkStart w:id="2814" w:name="_Toc477535840"/>
      <w:bookmarkStart w:id="2815" w:name="_Toc477630972"/>
      <w:bookmarkStart w:id="2816" w:name="_Toc477693936"/>
      <w:bookmarkStart w:id="2817" w:name="_Toc477704361"/>
      <w:bookmarkStart w:id="2818" w:name="_Toc477799599"/>
      <w:bookmarkStart w:id="2819" w:name="_Toc478131457"/>
      <w:bookmarkStart w:id="2820" w:name="_Toc478138827"/>
      <w:bookmarkStart w:id="2821" w:name="_Toc478232352"/>
      <w:bookmarkStart w:id="2822" w:name="_Toc478237336"/>
      <w:bookmarkStart w:id="2823" w:name="_Toc481761872"/>
      <w:bookmarkStart w:id="2824" w:name="_Toc492900524"/>
      <w:r w:rsidRPr="00C1027C">
        <w:lastRenderedPageBreak/>
        <w:t xml:space="preserve">Bruk av tilskudd og </w:t>
      </w:r>
      <w:r w:rsidR="00640F06" w:rsidRPr="00C1027C">
        <w:t>r</w:t>
      </w:r>
      <w:r w:rsidR="00167462" w:rsidRPr="00C1027C">
        <w:t>apportering</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r w:rsidR="00167462" w:rsidRPr="00C1027C">
        <w:t xml:space="preserve"> </w:t>
      </w:r>
    </w:p>
    <w:p w:rsidR="00677ECB" w:rsidRDefault="00677ECB" w:rsidP="007C6638">
      <w:pPr>
        <w:pStyle w:val="Overskrift2"/>
      </w:pPr>
      <w:bookmarkStart w:id="2825" w:name="_Toc477277337"/>
      <w:bookmarkStart w:id="2826" w:name="_Toc477535841"/>
      <w:bookmarkStart w:id="2827" w:name="_Toc477630973"/>
      <w:bookmarkStart w:id="2828" w:name="_Toc477693937"/>
      <w:bookmarkStart w:id="2829" w:name="_Toc477704362"/>
      <w:bookmarkStart w:id="2830" w:name="_Toc477799600"/>
      <w:bookmarkStart w:id="2831" w:name="_Toc477806201"/>
      <w:bookmarkStart w:id="2832" w:name="_Toc477870960"/>
      <w:bookmarkStart w:id="2833" w:name="_Toc477871861"/>
      <w:bookmarkStart w:id="2834" w:name="_Toc477878463"/>
      <w:bookmarkStart w:id="2835" w:name="_Toc477881867"/>
      <w:bookmarkStart w:id="2836" w:name="_Toc477886329"/>
      <w:bookmarkStart w:id="2837" w:name="_Toc478131458"/>
      <w:bookmarkStart w:id="2838" w:name="_Toc478138828"/>
      <w:bookmarkStart w:id="2839" w:name="_Toc478237337"/>
      <w:bookmarkStart w:id="2840" w:name="_Toc481761873"/>
      <w:bookmarkStart w:id="2841" w:name="_Toc492900525"/>
      <w:r>
        <w:t>Bruk av tilskudd</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677ECB" w:rsidRDefault="00677ECB" w:rsidP="00677ECB">
      <w:pPr>
        <w:pStyle w:val="Overskrift3"/>
      </w:pPr>
      <w:bookmarkStart w:id="2842" w:name="_Toc477277338"/>
      <w:bookmarkStart w:id="2843" w:name="_Toc477535842"/>
      <w:bookmarkStart w:id="2844" w:name="_Toc477630974"/>
      <w:bookmarkStart w:id="2845" w:name="_Toc477693938"/>
      <w:bookmarkStart w:id="2846" w:name="_Toc477704363"/>
      <w:bookmarkStart w:id="2847" w:name="_Toc477799601"/>
      <w:bookmarkStart w:id="2848" w:name="_Toc477806202"/>
      <w:bookmarkStart w:id="2849" w:name="_Toc477870961"/>
      <w:bookmarkStart w:id="2850" w:name="_Toc477871862"/>
      <w:bookmarkStart w:id="2851" w:name="_Toc477878464"/>
      <w:bookmarkStart w:id="2852" w:name="_Toc477881868"/>
      <w:bookmarkStart w:id="2853" w:name="_Toc477886330"/>
      <w:bookmarkStart w:id="2854" w:name="_Toc478131459"/>
      <w:bookmarkStart w:id="2855" w:name="_Toc478138829"/>
      <w:bookmarkStart w:id="2856" w:name="_Toc478232353"/>
      <w:bookmarkStart w:id="2857" w:name="_Toc478237338"/>
      <w:bookmarkStart w:id="2858" w:name="_Toc481761874"/>
      <w:bookmarkStart w:id="2859" w:name="_Toc492900526"/>
      <w:r>
        <w:t>Innledning</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rsidR="00677ECB" w:rsidRDefault="00677ECB" w:rsidP="00677ECB">
      <w:r w:rsidRPr="00327D36">
        <w:t>Etter gjeldende lovgivning skal trossamfunnene bruke tilskuddene til religiøse formål, mens tilskuddene til livssynssamfunn skal benyttes til formål som går inn under virk</w:t>
      </w:r>
      <w:r>
        <w:t xml:space="preserve">somheten som livssynssamfunn. </w:t>
      </w:r>
    </w:p>
    <w:p w:rsidR="00801BDA" w:rsidRDefault="00677ECB" w:rsidP="00677ECB">
      <w:pPr>
        <w:rPr>
          <w:i/>
        </w:rPr>
      </w:pPr>
      <w:r w:rsidRPr="00327D36">
        <w:t xml:space="preserve">Hva som menes med "religiøse formål", er ikke nærmere definert i trossamfunnsloven eller i dens tilhørende forskrift, og </w:t>
      </w:r>
      <w:r w:rsidR="00C32D03">
        <w:t xml:space="preserve">formålet </w:t>
      </w:r>
      <w:r w:rsidRPr="00327D36">
        <w:t>er ment å være forholdsvis vidt. Lovens forarbeider gir grunnlag for å hevde at det med dette forutsettes at tilskuddene skal gå til finansiering av trossamfunnets virksomhet. Dissenterlovkomiteen uttalte følgende om trossamfunnenes bruk av tilskuddene (</w:t>
      </w:r>
      <w:r w:rsidR="00C32D03">
        <w:t xml:space="preserve">utredningen </w:t>
      </w:r>
      <w:r w:rsidRPr="00327D36">
        <w:t xml:space="preserve">s. 89): </w:t>
      </w:r>
    </w:p>
    <w:p w:rsidR="00677ECB" w:rsidRPr="00E41C0F" w:rsidRDefault="00677ECB" w:rsidP="00E41C0F">
      <w:pPr>
        <w:pStyle w:val="blokksit"/>
        <w:rPr>
          <w:rStyle w:val="kursiv"/>
        </w:rPr>
      </w:pPr>
      <w:r w:rsidRPr="00E41C0F">
        <w:rPr>
          <w:rStyle w:val="kursiv"/>
        </w:rPr>
        <w:t xml:space="preserve">Hvilke formål trossamfunnene vil nytte beløpene til innenfor sin virksomhet, må de for øvrig selv være herre over. De vil utvilsomt i alle tilfelle bare dekke en meget liten del av trossamfunnenes samlede utgifter til lokale, lønn til prest, til administrasjon m.v. </w:t>
      </w:r>
    </w:p>
    <w:p w:rsidR="00C32D03" w:rsidRDefault="00677ECB" w:rsidP="00677ECB">
      <w:pPr>
        <w:rPr>
          <w:i/>
        </w:rPr>
      </w:pPr>
      <w:r w:rsidRPr="00327D36">
        <w:t xml:space="preserve">I tråd med komiteens uttalelse </w:t>
      </w:r>
      <w:r w:rsidR="00C32D03">
        <w:t xml:space="preserve">har </w:t>
      </w:r>
      <w:r w:rsidRPr="00327D36">
        <w:t xml:space="preserve">Justis- og politidepartementet </w:t>
      </w:r>
      <w:r w:rsidR="00C32D03">
        <w:t xml:space="preserve">uttrykt </w:t>
      </w:r>
      <w:r w:rsidRPr="00327D36">
        <w:t xml:space="preserve">følgende i rundskriv nr. G-86/76 av 24. mai 1976: </w:t>
      </w:r>
    </w:p>
    <w:p w:rsidR="00C32D03" w:rsidRPr="00E41C0F" w:rsidRDefault="00677ECB" w:rsidP="00E41C0F">
      <w:pPr>
        <w:pStyle w:val="blokksit"/>
        <w:rPr>
          <w:rStyle w:val="kursiv"/>
        </w:rPr>
      </w:pPr>
      <w:r w:rsidRPr="00E41C0F">
        <w:rPr>
          <w:rStyle w:val="kursiv"/>
        </w:rPr>
        <w:t>Når lovens § 19 fjerde ledd første punktum bestemmer at tilskuddene skal brukes til religiøse formål, er det kun for å knytte tilskuddene til utgifter som samfunnet har nettopp som trossamfunn</w:t>
      </w:r>
      <w:r w:rsidR="00C32D03" w:rsidRPr="00E41C0F">
        <w:rPr>
          <w:rStyle w:val="kursiv"/>
        </w:rPr>
        <w:t xml:space="preserve">. </w:t>
      </w:r>
      <w:r w:rsidRPr="00E41C0F">
        <w:rPr>
          <w:rStyle w:val="kursiv"/>
        </w:rPr>
        <w:t xml:space="preserve"> </w:t>
      </w:r>
    </w:p>
    <w:p w:rsidR="00677ECB" w:rsidRPr="00327D36" w:rsidRDefault="00677ECB" w:rsidP="00677ECB">
      <w:r w:rsidRPr="00327D36">
        <w:t xml:space="preserve">At </w:t>
      </w:r>
      <w:r w:rsidRPr="00327D36">
        <w:rPr>
          <w:color w:val="000000"/>
        </w:rPr>
        <w:t>livssynssamfunn skal bruke tilskuddene til formål som går inn under virksomheten som livssynssamf</w:t>
      </w:r>
      <w:r>
        <w:rPr>
          <w:color w:val="000000"/>
        </w:rPr>
        <w:t xml:space="preserve">unn, samsvarer godt med dette. </w:t>
      </w:r>
    </w:p>
    <w:p w:rsidR="00677ECB" w:rsidRPr="00677ECB" w:rsidRDefault="00677ECB" w:rsidP="00677ECB">
      <w:pPr>
        <w:pStyle w:val="Overskrift3"/>
      </w:pPr>
      <w:bookmarkStart w:id="2860" w:name="_Toc469564129"/>
      <w:bookmarkStart w:id="2861" w:name="_Toc470087741"/>
      <w:bookmarkStart w:id="2862" w:name="_Toc477277339"/>
      <w:bookmarkStart w:id="2863" w:name="_Toc477535843"/>
      <w:bookmarkStart w:id="2864" w:name="_Toc477630975"/>
      <w:bookmarkStart w:id="2865" w:name="_Toc477693939"/>
      <w:bookmarkStart w:id="2866" w:name="_Toc477704364"/>
      <w:bookmarkStart w:id="2867" w:name="_Toc477799602"/>
      <w:bookmarkStart w:id="2868" w:name="_Toc477806203"/>
      <w:bookmarkStart w:id="2869" w:name="_Toc477870962"/>
      <w:bookmarkStart w:id="2870" w:name="_Toc477871863"/>
      <w:bookmarkStart w:id="2871" w:name="_Toc477878465"/>
      <w:bookmarkStart w:id="2872" w:name="_Toc477881869"/>
      <w:bookmarkStart w:id="2873" w:name="_Toc477886331"/>
      <w:bookmarkStart w:id="2874" w:name="_Toc478131460"/>
      <w:bookmarkStart w:id="2875" w:name="_Toc478138830"/>
      <w:bookmarkStart w:id="2876" w:name="_Toc478232354"/>
      <w:bookmarkStart w:id="2877" w:name="_Toc478237339"/>
      <w:bookmarkStart w:id="2878" w:name="_Toc481761875"/>
      <w:bookmarkStart w:id="2879" w:name="_Toc492900527"/>
      <w:r w:rsidRPr="00677ECB">
        <w:rPr>
          <w:rStyle w:val="Overskrift3Tegn"/>
        </w:rPr>
        <w:t>Departementets vurderinger</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p>
    <w:p w:rsidR="00677ECB" w:rsidRDefault="00677ECB" w:rsidP="00677ECB">
      <w:r w:rsidRPr="00327D36">
        <w:t xml:space="preserve">Etter departementets oppfatning bør loven fortsatt </w:t>
      </w:r>
      <w:r w:rsidR="00BC0707">
        <w:t>inneholde en prinsippbestemmelse om</w:t>
      </w:r>
      <w:r w:rsidRPr="00327D36">
        <w:t xml:space="preserve"> hva </w:t>
      </w:r>
      <w:r w:rsidR="00BC0707">
        <w:t>stats</w:t>
      </w:r>
      <w:r w:rsidRPr="00327D36">
        <w:t>tilskudd</w:t>
      </w:r>
      <w:r w:rsidR="00BC0707">
        <w:t>et</w:t>
      </w:r>
      <w:r w:rsidRPr="00327D36">
        <w:t xml:space="preserve"> til tros- og livssynssamfunn kan anvendes til</w:t>
      </w:r>
      <w:r w:rsidR="002A1D86">
        <w:t>, men begrensningen bør ikke formuleres for strengt</w:t>
      </w:r>
      <w:r w:rsidRPr="00327D36">
        <w:t>. Departementet foreslår at de gjeldende reglene om dette i trossamfunnsloven og livssynssamfunn</w:t>
      </w:r>
      <w:r w:rsidR="00BC0707">
        <w:t>sloven</w:t>
      </w:r>
      <w:r w:rsidRPr="00327D36">
        <w:t xml:space="preserve"> omformuleres til én felles regel som fastslår at tilskudd kan brukes til </w:t>
      </w:r>
      <w:r w:rsidR="006644B9">
        <w:t xml:space="preserve">tros- eller livssynsformål, dvs. </w:t>
      </w:r>
      <w:r w:rsidRPr="00327D36">
        <w:t>å dekke drifts- og investeringsutgifter knyttet til samfunnets egen religiøse elle</w:t>
      </w:r>
      <w:r>
        <w:t xml:space="preserve">r livssynsmessige virksomhet. </w:t>
      </w:r>
      <w:r w:rsidR="006644B9">
        <w:t>Dette er i tråd med Stålsett-utvalgets forsl</w:t>
      </w:r>
      <w:r w:rsidR="002A1D86">
        <w:t>ag</w:t>
      </w:r>
      <w:r w:rsidR="006644B9">
        <w:t xml:space="preserve">, jf. </w:t>
      </w:r>
      <w:r w:rsidR="00BC0707">
        <w:t>utvalgets lovforslag</w:t>
      </w:r>
      <w:r w:rsidR="006644B9">
        <w:t xml:space="preserve"> § 3</w:t>
      </w:r>
      <w:r w:rsidR="00A13110">
        <w:t>-3</w:t>
      </w:r>
      <w:r w:rsidR="002A1D86">
        <w:t xml:space="preserve"> andre punktum</w:t>
      </w:r>
      <w:r w:rsidR="006644B9">
        <w:t xml:space="preserve">.  </w:t>
      </w:r>
    </w:p>
    <w:p w:rsidR="00677ECB" w:rsidRDefault="00677ECB" w:rsidP="00677ECB">
      <w:r w:rsidRPr="00327D36">
        <w:t xml:space="preserve">Regelen betyr, i likhet med det som følger av gjeldende lovgivning, at tros- og livssynssamfunnene </w:t>
      </w:r>
      <w:r w:rsidR="00464E0B">
        <w:t xml:space="preserve">vil kunne bruke tilskudd til å dekke et vidt spekter av utgifter. Samfunnene kan imidlertid </w:t>
      </w:r>
      <w:r w:rsidRPr="00327D36">
        <w:t xml:space="preserve">ikke overføre tilskuddene direkte til sine medlemmer. </w:t>
      </w:r>
      <w:r w:rsidRPr="00327D36">
        <w:rPr>
          <w:color w:val="000000"/>
        </w:rPr>
        <w:t>Tros- og livssynssamfunn som ikke bruker midlene til å finansiere egen virksomhet, men i stedet gir dem videre til andre organisasjoner, enten i Norge eller i utlandet, vil også opptre i strid med regelen.</w:t>
      </w:r>
    </w:p>
    <w:p w:rsidR="00677ECB" w:rsidRDefault="00677ECB" w:rsidP="00677ECB">
      <w:r w:rsidRPr="00327D36">
        <w:t xml:space="preserve">Den nye regelen vil ikke være til hinder for at tilskuddsmidler kan settes av til sparing, forutsatt at samfunnet senere skal bruke dem i tråd med lovens forutsetninger. Det vil imidlertid være i strid med regelen dersom tilskuddsmidler gjøres utilgjengelige for tros- eller livssynssamfunnets styrende organ, for eksempel ved utlån. </w:t>
      </w:r>
    </w:p>
    <w:p w:rsidR="005B0D10" w:rsidRPr="00327D36" w:rsidRDefault="005B0D10" w:rsidP="00677ECB">
      <w:r>
        <w:t>Brukes tilskudd i strid me</w:t>
      </w:r>
      <w:r w:rsidR="00115C73">
        <w:t>d lovens fo</w:t>
      </w:r>
      <w:r w:rsidR="00526916">
        <w:t xml:space="preserve">rutsetninger, </w:t>
      </w:r>
      <w:r w:rsidR="000B6B96">
        <w:t xml:space="preserve">vil det være grunn for </w:t>
      </w:r>
      <w:r w:rsidR="00526916">
        <w:t xml:space="preserve">staten </w:t>
      </w:r>
      <w:r w:rsidR="000B6B96">
        <w:t>til å</w:t>
      </w:r>
      <w:r w:rsidR="00526916">
        <w:t xml:space="preserve"> </w:t>
      </w:r>
      <w:r>
        <w:t>kreve de feilbrukte midlene tilbakebetalt.</w:t>
      </w:r>
    </w:p>
    <w:p w:rsidR="00677ECB" w:rsidRPr="00D03137" w:rsidRDefault="00677ECB" w:rsidP="00677ECB">
      <w:pPr>
        <w:pStyle w:val="Overskrift2"/>
      </w:pPr>
      <w:bookmarkStart w:id="2880" w:name="_Toc469564130"/>
      <w:bookmarkStart w:id="2881" w:name="_Toc470087742"/>
      <w:bookmarkStart w:id="2882" w:name="_Toc477277340"/>
      <w:bookmarkStart w:id="2883" w:name="_Toc477535844"/>
      <w:bookmarkStart w:id="2884" w:name="_Toc477630976"/>
      <w:bookmarkStart w:id="2885" w:name="_Toc477693940"/>
      <w:bookmarkStart w:id="2886" w:name="_Toc477704365"/>
      <w:bookmarkStart w:id="2887" w:name="_Toc477799603"/>
      <w:bookmarkStart w:id="2888" w:name="_Toc477806204"/>
      <w:bookmarkStart w:id="2889" w:name="_Toc477870963"/>
      <w:bookmarkStart w:id="2890" w:name="_Toc477871864"/>
      <w:bookmarkStart w:id="2891" w:name="_Toc477878466"/>
      <w:bookmarkStart w:id="2892" w:name="_Toc477881870"/>
      <w:bookmarkStart w:id="2893" w:name="_Toc477886332"/>
      <w:bookmarkStart w:id="2894" w:name="_Toc478131461"/>
      <w:bookmarkStart w:id="2895" w:name="_Toc478138831"/>
      <w:bookmarkStart w:id="2896" w:name="_Toc478232355"/>
      <w:bookmarkStart w:id="2897" w:name="_Toc478237340"/>
      <w:bookmarkStart w:id="2898" w:name="_Toc481761876"/>
      <w:bookmarkStart w:id="2899" w:name="_Toc492900528"/>
      <w:r w:rsidRPr="00D03137">
        <w:lastRenderedPageBreak/>
        <w:t>Rapporteringskrav</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rsidR="00677ECB" w:rsidRDefault="00464E0B" w:rsidP="00677ECB">
      <w:pPr>
        <w:pStyle w:val="Overskrift3"/>
      </w:pPr>
      <w:bookmarkStart w:id="2900" w:name="_Toc478131462"/>
      <w:bookmarkStart w:id="2901" w:name="_Toc478138832"/>
      <w:bookmarkStart w:id="2902" w:name="_Toc478232356"/>
      <w:bookmarkStart w:id="2903" w:name="_Toc478237341"/>
      <w:bookmarkStart w:id="2904" w:name="_Toc481761877"/>
      <w:bookmarkStart w:id="2905" w:name="_Toc492900529"/>
      <w:r>
        <w:t>Innledning</w:t>
      </w:r>
      <w:bookmarkEnd w:id="2900"/>
      <w:bookmarkEnd w:id="2901"/>
      <w:bookmarkEnd w:id="2902"/>
      <w:bookmarkEnd w:id="2903"/>
      <w:bookmarkEnd w:id="2904"/>
      <w:bookmarkEnd w:id="2905"/>
    </w:p>
    <w:p w:rsidR="00677ECB" w:rsidRDefault="00677ECB" w:rsidP="00677ECB">
      <w:r w:rsidRPr="00327D36">
        <w:t>Nåværende lovgivning fastslår at samtlige tros- og livssynssamfunn som får tilskudd, må sende inn årlige regnskap over bruk av tilskuddsmidler. Ifølge lovenes tilhørende forskrifter skal regnskapet være attestert av statsautorisert eller registrert revisor. Det er ikke krav om revisorattestasjon når det statlige tilskuddet er under 100 000 kr</w:t>
      </w:r>
      <w:r w:rsidR="00D47880">
        <w:t>oner</w:t>
      </w:r>
      <w:r w:rsidRPr="00327D36">
        <w:t xml:space="preserve">. I slike tilfeller skal trossamfunnet (alle livssynssamfunn </w:t>
      </w:r>
      <w:r w:rsidR="00464E0B">
        <w:t>får i dag</w:t>
      </w:r>
      <w:r w:rsidRPr="00327D36">
        <w:t xml:space="preserve"> mer enn 100 000 kr</w:t>
      </w:r>
      <w:r w:rsidR="00D47880">
        <w:t>oner</w:t>
      </w:r>
      <w:r w:rsidRPr="00327D36">
        <w:t xml:space="preserve"> i statstilskudd p</w:t>
      </w:r>
      <w:r w:rsidR="00D47880">
        <w:t xml:space="preserve">å grunn av </w:t>
      </w:r>
      <w:r w:rsidRPr="00327D36">
        <w:t xml:space="preserve">kravet om minst 500 medlemmer) sende inn en regnskapsoversikt som er bekreftet av trossamfunnets </w:t>
      </w:r>
      <w:r>
        <w:t>styre eller utvalg.</w:t>
      </w:r>
    </w:p>
    <w:p w:rsidR="00677ECB" w:rsidRDefault="00677ECB" w:rsidP="00677ECB">
      <w:r w:rsidRPr="00327D36">
        <w:t xml:space="preserve">Registrerte trossamfunn skal i tillegg til regnskapet sende inn en kortfattet årsmelding </w:t>
      </w:r>
      <w:r w:rsidRPr="001E491E">
        <w:t>"om verksemda og om brigde i ting som er registerførde"</w:t>
      </w:r>
      <w:r w:rsidR="00D209AF">
        <w:t>.</w:t>
      </w:r>
      <w:r w:rsidRPr="00327D36">
        <w:rPr>
          <w:i/>
        </w:rPr>
        <w:t xml:space="preserve"> </w:t>
      </w:r>
      <w:r w:rsidRPr="00327D36">
        <w:t>Livssynssamfunn og uregistrerte trossamfunn er ikke pålagt en tilsvarende plikt til å rapportere om virksomhe</w:t>
      </w:r>
      <w:r>
        <w:t xml:space="preserve">ten. </w:t>
      </w:r>
    </w:p>
    <w:p w:rsidR="00677ECB" w:rsidRDefault="00D209AF" w:rsidP="00677ECB">
      <w:r>
        <w:t>Stålsett-</w:t>
      </w:r>
      <w:r w:rsidR="00677ECB" w:rsidRPr="00327D36">
        <w:t xml:space="preserve">utvalget </w:t>
      </w:r>
      <w:r w:rsidR="00BC0707">
        <w:t xml:space="preserve">anbefalte </w:t>
      </w:r>
      <w:r w:rsidR="00677ECB" w:rsidRPr="00327D36">
        <w:t>at terskelen for revisorbekreftelse av regnskapet ble hevet til 400 000 kr</w:t>
      </w:r>
      <w:r w:rsidR="001921B6">
        <w:t>oner</w:t>
      </w:r>
      <w:r w:rsidR="00677ECB" w:rsidRPr="00327D36">
        <w:t xml:space="preserve"> (</w:t>
      </w:r>
      <w:r w:rsidR="00272FFE">
        <w:t xml:space="preserve">utredningen </w:t>
      </w:r>
      <w:r w:rsidR="00677ECB" w:rsidRPr="00327D36">
        <w:t>s. 356)</w:t>
      </w:r>
      <w:r>
        <w:t>, og begrunnelsen var følgende</w:t>
      </w:r>
      <w:r w:rsidR="00677ECB" w:rsidRPr="00327D36">
        <w:t>:</w:t>
      </w:r>
    </w:p>
    <w:p w:rsidR="00677ECB" w:rsidRPr="00E41C0F" w:rsidRDefault="00677ECB" w:rsidP="00E41C0F">
      <w:pPr>
        <w:pStyle w:val="blokksit"/>
        <w:rPr>
          <w:rStyle w:val="kursiv"/>
        </w:rPr>
      </w:pPr>
      <w:r w:rsidRPr="00E41C0F">
        <w:rPr>
          <w:rStyle w:val="kursiv"/>
        </w:rPr>
        <w:t>Kravet til revisorbekreftelse på alle tilskudd over 100 000 kroner kan synes strengt. Med utgifter til ekstern revisjon på i størrelsesorden minst 5000 kroner, vil en stor del av den offentlige støtten gå med til revisjon. Til sammenlikning er det som generell regel for tilskuddsordninger under Kulturdepartementet i 2012 et krav om revisjonsplikt for tilskudd ti</w:t>
      </w:r>
      <w:r w:rsidR="00801BDA" w:rsidRPr="00E41C0F">
        <w:rPr>
          <w:rStyle w:val="kursiv"/>
        </w:rPr>
        <w:t>l drift på over 400 000 kroner.</w:t>
      </w:r>
    </w:p>
    <w:p w:rsidR="00677ECB" w:rsidRPr="00327D36" w:rsidRDefault="00677ECB" w:rsidP="00677ECB">
      <w:pPr>
        <w:rPr>
          <w:rFonts w:cs="Times New Roman"/>
          <w:szCs w:val="24"/>
        </w:rPr>
      </w:pPr>
      <w:r w:rsidRPr="00327D36">
        <w:rPr>
          <w:rFonts w:cs="Times New Roman"/>
          <w:szCs w:val="24"/>
        </w:rPr>
        <w:t xml:space="preserve">Videre tok utvalget til orde for at både tros- og livssynssamfunn ble pålagt å sende inn en </w:t>
      </w:r>
      <w:r w:rsidRPr="00801BDA">
        <w:rPr>
          <w:rFonts w:cs="Times New Roman"/>
          <w:szCs w:val="24"/>
        </w:rPr>
        <w:t>"kortfattet årsrapport der en særlig får fram forhold som eventuelt har endret seg etter at første godkjenning ble gitt".</w:t>
      </w:r>
    </w:p>
    <w:p w:rsidR="00677ECB" w:rsidRPr="00D03137" w:rsidRDefault="00677ECB" w:rsidP="0084604C">
      <w:pPr>
        <w:pStyle w:val="Overskrift3"/>
      </w:pPr>
      <w:bookmarkStart w:id="2906" w:name="_Toc469564131"/>
      <w:bookmarkStart w:id="2907" w:name="_Toc470087743"/>
      <w:bookmarkStart w:id="2908" w:name="_Toc477277342"/>
      <w:bookmarkStart w:id="2909" w:name="_Toc477535846"/>
      <w:bookmarkStart w:id="2910" w:name="_Toc477630978"/>
      <w:bookmarkStart w:id="2911" w:name="_Toc477693942"/>
      <w:bookmarkStart w:id="2912" w:name="_Toc477704367"/>
      <w:bookmarkStart w:id="2913" w:name="_Toc477799605"/>
      <w:bookmarkStart w:id="2914" w:name="_Toc477806206"/>
      <w:bookmarkStart w:id="2915" w:name="_Toc477870965"/>
      <w:bookmarkStart w:id="2916" w:name="_Toc477871866"/>
      <w:bookmarkStart w:id="2917" w:name="_Toc477878468"/>
      <w:bookmarkStart w:id="2918" w:name="_Toc477881872"/>
      <w:bookmarkStart w:id="2919" w:name="_Toc477886334"/>
      <w:bookmarkStart w:id="2920" w:name="_Toc478131463"/>
      <w:bookmarkStart w:id="2921" w:name="_Toc478138833"/>
      <w:bookmarkStart w:id="2922" w:name="_Toc478232357"/>
      <w:bookmarkStart w:id="2923" w:name="_Toc478237342"/>
      <w:bookmarkStart w:id="2924" w:name="_Toc481761878"/>
      <w:bookmarkStart w:id="2925" w:name="_Toc492900530"/>
      <w:r w:rsidRPr="00D03137">
        <w:t>Departementets vurderinger</w:t>
      </w:r>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rsidR="004C496B" w:rsidRDefault="00710304" w:rsidP="00677ECB">
      <w:r>
        <w:t xml:space="preserve">Etter departementets forslag skal bare samfunn med mer enn 500 medlemmer </w:t>
      </w:r>
      <w:r w:rsidR="00D47880">
        <w:t xml:space="preserve">over 15 år </w:t>
      </w:r>
      <w:r w:rsidR="004C496B">
        <w:t>kunne kreve tilskudd. Samtidig foreslår departementet at staten overtar kommunenes finansieringsansvar. Det</w:t>
      </w:r>
      <w:r w:rsidR="000B0584">
        <w:t>te</w:t>
      </w:r>
      <w:r w:rsidR="004C496B">
        <w:t xml:space="preserve"> vil føre til at samtlige statstilskudd til tros- og livssynssamfunn vil overstige </w:t>
      </w:r>
      <w:r w:rsidR="005F3320">
        <w:t xml:space="preserve">kr </w:t>
      </w:r>
      <w:r w:rsidR="004C496B">
        <w:t>400 000</w:t>
      </w:r>
      <w:r w:rsidR="005F3320">
        <w:t>, om dagens tilskuddssats på rundt kr 1 000 legges til grunn.</w:t>
      </w:r>
      <w:r w:rsidR="004C496B">
        <w:t xml:space="preserve"> </w:t>
      </w:r>
    </w:p>
    <w:p w:rsidR="00677ECB" w:rsidRDefault="004C496B" w:rsidP="00677ECB">
      <w:r>
        <w:t>På denne bakgrunnen foreslår departementet at samtlige samfunn som mottar tilskudd</w:t>
      </w:r>
      <w:r w:rsidR="00761285">
        <w:t>,</w:t>
      </w:r>
      <w:r>
        <w:t xml:space="preserve"> skal pålegges å sende inn regnskap som er revidert a</w:t>
      </w:r>
      <w:r w:rsidR="000B0584">
        <w:t>v</w:t>
      </w:r>
      <w:r>
        <w:t xml:space="preserve"> statsautorisert eller registrert revisor. Samfunnene bør i tillegg pålegges å sende inn en </w:t>
      </w:r>
      <w:r w:rsidR="00677ECB" w:rsidRPr="00327D36">
        <w:t xml:space="preserve">rapport om virksomheten hvert år. Et slikt rapporteringskrav er vanlig i offentlige tilskuddsordninger, og </w:t>
      </w:r>
      <w:r w:rsidR="00D209AF">
        <w:t xml:space="preserve">det </w:t>
      </w:r>
      <w:r w:rsidR="000B6B96">
        <w:t xml:space="preserve">vil </w:t>
      </w:r>
      <w:r w:rsidR="00677ECB" w:rsidRPr="00327D36">
        <w:t xml:space="preserve">ikke være uforholdsmessig </w:t>
      </w:r>
      <w:r w:rsidR="00D209AF">
        <w:t>i lys av</w:t>
      </w:r>
      <w:r w:rsidR="00677ECB" w:rsidRPr="00327D36">
        <w:t xml:space="preserve"> tilskuddenes størrelse</w:t>
      </w:r>
      <w:r w:rsidR="008F14A8">
        <w:t xml:space="preserve"> og statens behov for kontroll med virksomheten i samfunnene, blant annet i lys av vilkårene for tilskudd</w:t>
      </w:r>
      <w:r w:rsidR="00677ECB" w:rsidRPr="00327D36">
        <w:t>.</w:t>
      </w:r>
      <w:r w:rsidR="00D209AF">
        <w:t xml:space="preserve"> </w:t>
      </w:r>
    </w:p>
    <w:p w:rsidR="004D5BD7" w:rsidRDefault="008F14A8" w:rsidP="008F14A8">
      <w:r>
        <w:t xml:space="preserve">Som nevnt ovenfor i </w:t>
      </w:r>
      <w:r w:rsidR="00991051">
        <w:t>kapittel</w:t>
      </w:r>
      <w:r>
        <w:t xml:space="preserve"> 15.3.3 vil departementet vurdere nærmere om </w:t>
      </w:r>
      <w:r w:rsidR="00D22078">
        <w:t>det bør stilles særskilte krav</w:t>
      </w:r>
      <w:r>
        <w:t xml:space="preserve"> til rapportering </w:t>
      </w:r>
      <w:r w:rsidR="00D22078">
        <w:t>på enkelte områder, for eksempel</w:t>
      </w:r>
      <w:r>
        <w:t xml:space="preserve"> når det gjelder kvinners </w:t>
      </w:r>
      <w:r w:rsidR="004D5BD7">
        <w:t xml:space="preserve">eller barns </w:t>
      </w:r>
      <w:r>
        <w:t>situasjon i trossamfunn</w:t>
      </w:r>
      <w:r w:rsidR="00D22ECB">
        <w:t xml:space="preserve">, blant annet i lys av statens plikter etter </w:t>
      </w:r>
      <w:r w:rsidR="004D5BD7">
        <w:t>KDK og BK</w:t>
      </w:r>
      <w:r>
        <w:t xml:space="preserve">. </w:t>
      </w:r>
      <w:r w:rsidR="00D22078">
        <w:t xml:space="preserve">Departementet mener likevel det er viktig at den generelle rapporteringsplikten </w:t>
      </w:r>
      <w:r w:rsidR="004D5BD7">
        <w:t xml:space="preserve">i tilskuddsordningen </w:t>
      </w:r>
      <w:r w:rsidR="00D22078">
        <w:t>ikke gjøres for omfattende. Tilskuddsforvalteren kan eventuelt også be om særskilt rapportering dersom en blir kjent med konkrete forhold som</w:t>
      </w:r>
      <w:r w:rsidR="004D5BD7">
        <w:t xml:space="preserve"> for eksempel</w:t>
      </w:r>
      <w:r w:rsidR="00D22078">
        <w:t xml:space="preserve"> kan føre til at tilskudd bør nektes. </w:t>
      </w:r>
    </w:p>
    <w:p w:rsidR="008916F0" w:rsidRDefault="00D22078" w:rsidP="008F14A8">
      <w:r>
        <w:t xml:space="preserve">Rapporteringskravene </w:t>
      </w:r>
      <w:r w:rsidR="008F14A8">
        <w:t xml:space="preserve">vil departementet kunne komme tilbake til i arbeidet med forskrifter til loven. Også nærmere bestemmelser om </w:t>
      </w:r>
      <w:r w:rsidR="0000163B">
        <w:t xml:space="preserve">regnskap og </w:t>
      </w:r>
      <w:r w:rsidR="008F14A8">
        <w:t xml:space="preserve">revisjon, herunder opplysningsplikten om </w:t>
      </w:r>
      <w:r w:rsidR="00D22ECB">
        <w:t>finansieringsbidrag fra utlandet</w:t>
      </w:r>
      <w:r w:rsidR="004D5BD7">
        <w:t xml:space="preserve">, vil kunne fastsettes </w:t>
      </w:r>
      <w:r w:rsidR="00D22ECB">
        <w:t xml:space="preserve">i forskrifter. </w:t>
      </w:r>
    </w:p>
    <w:p w:rsidR="005D747D" w:rsidRDefault="008916F0" w:rsidP="008F14A8">
      <w:bookmarkStart w:id="2926" w:name="_Toc469564132"/>
      <w:bookmarkStart w:id="2927" w:name="_Toc470087744"/>
      <w:bookmarkStart w:id="2928" w:name="_Toc477277343"/>
      <w:r>
        <w:lastRenderedPageBreak/>
        <w:t>Brudd på kravene til rapportering og regnskap, eller brudd på andre krav i loven, vil kunne føre til stans i utbetaling av tilskudd og eventuelt et krav om tilbakebetaling av tilskudd, jf. lovutkastet § 6 fjerde ledd</w:t>
      </w:r>
      <w:r w:rsidR="000B0584">
        <w:t>.</w:t>
      </w:r>
      <w:r>
        <w:t xml:space="preserve"> </w:t>
      </w:r>
      <w:r w:rsidR="005D747D">
        <w:br w:type="page"/>
      </w:r>
    </w:p>
    <w:p w:rsidR="005D747D" w:rsidRDefault="00E324A9" w:rsidP="001D146F">
      <w:pPr>
        <w:pStyle w:val="Overskrift1"/>
      </w:pPr>
      <w:bookmarkStart w:id="2929" w:name="_Toc492900531"/>
      <w:r>
        <w:lastRenderedPageBreak/>
        <w:t>Forvaltning</w:t>
      </w:r>
      <w:r w:rsidR="004B3D14">
        <w:t>sordning</w:t>
      </w:r>
      <w:bookmarkEnd w:id="2929"/>
    </w:p>
    <w:p w:rsidR="00FC29E1" w:rsidRDefault="00640F06" w:rsidP="001D146F">
      <w:pPr>
        <w:pStyle w:val="Overskrift2"/>
      </w:pPr>
      <w:bookmarkStart w:id="2930" w:name="_Toc477870967"/>
      <w:bookmarkStart w:id="2931" w:name="_Toc477871868"/>
      <w:bookmarkStart w:id="2932" w:name="_Toc477878470"/>
      <w:bookmarkStart w:id="2933" w:name="_Toc477881874"/>
      <w:bookmarkStart w:id="2934" w:name="_Toc477886336"/>
      <w:bookmarkStart w:id="2935" w:name="_Toc477799607"/>
      <w:bookmarkStart w:id="2936" w:name="_Toc477806208"/>
      <w:bookmarkStart w:id="2937" w:name="_Toc478131465"/>
      <w:bookmarkStart w:id="2938" w:name="_Toc478138835"/>
      <w:bookmarkStart w:id="2939" w:name="_Toc478232359"/>
      <w:bookmarkStart w:id="2940" w:name="_Toc478237344"/>
      <w:bookmarkStart w:id="2941" w:name="_Toc481761880"/>
      <w:bookmarkStart w:id="2942" w:name="_Toc492900532"/>
      <w:r>
        <w:t>Innledning</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p>
    <w:p w:rsidR="00C4080A" w:rsidRDefault="00FC29E1" w:rsidP="001E491E">
      <w:r>
        <w:t xml:space="preserve">Førsteinstansbehandlingen av enkeltsaker om registrering av trossamfunn og tilskudd til tros- og livssynssamfunn er </w:t>
      </w:r>
      <w:r w:rsidR="00640F06">
        <w:t xml:space="preserve">i dag </w:t>
      </w:r>
      <w:r>
        <w:t xml:space="preserve">spredt på de </w:t>
      </w:r>
      <w:r w:rsidR="00E06BC4" w:rsidRPr="001E491E">
        <w:t>17 fylkesmannsembetene</w:t>
      </w:r>
      <w:r>
        <w:t xml:space="preserve">. </w:t>
      </w:r>
      <w:r w:rsidR="00E06BC4">
        <w:t>Kulturdepartementet er klageinstans</w:t>
      </w:r>
      <w:r w:rsidR="00E06BC4" w:rsidRPr="001E491E">
        <w:t>.</w:t>
      </w:r>
    </w:p>
    <w:p w:rsidR="002503DF" w:rsidRDefault="002503DF" w:rsidP="001E491E">
      <w:r>
        <w:t xml:space="preserve">Arbeidsbyrden er ulikt fordelt fylkesmannsembetene imellom. Nesten ¼ av de 783 tilskuddsberettigede tros- og livssynssamfunnene er hjemmehørende i Oslo eller Akershus, og mer enn 70 </w:t>
      </w:r>
      <w:r w:rsidR="004B4097">
        <w:t>pst.</w:t>
      </w:r>
      <w:r>
        <w:t xml:space="preserve"> av de tilskuddstellende medlemmene tilhører disse 182 samfunnene. </w:t>
      </w:r>
    </w:p>
    <w:p w:rsidR="005B3821" w:rsidRPr="00E06BC4" w:rsidRDefault="00EC41EA" w:rsidP="001E491E">
      <w:r>
        <w:t xml:space="preserve">Enkeltsaker om registrering og tilskudd </w:t>
      </w:r>
      <w:r w:rsidR="002503DF">
        <w:t xml:space="preserve">kan by på krevende problemstillinger som fordrer både juridisk og religionsvitenskapelig kompetanse.   </w:t>
      </w:r>
    </w:p>
    <w:p w:rsidR="005B3821" w:rsidRPr="00EE77CF" w:rsidRDefault="00FC29E1" w:rsidP="001D146F">
      <w:pPr>
        <w:pStyle w:val="Overskrift2"/>
      </w:pPr>
      <w:bookmarkStart w:id="2943" w:name="_Toc477799608"/>
      <w:bookmarkStart w:id="2944" w:name="_Toc477806209"/>
      <w:bookmarkStart w:id="2945" w:name="_Toc477870968"/>
      <w:bookmarkStart w:id="2946" w:name="_Toc477871869"/>
      <w:bookmarkStart w:id="2947" w:name="_Toc477878471"/>
      <w:bookmarkStart w:id="2948" w:name="_Toc477881875"/>
      <w:bookmarkStart w:id="2949" w:name="_Toc477886337"/>
      <w:bookmarkStart w:id="2950" w:name="_Toc478131466"/>
      <w:bookmarkStart w:id="2951" w:name="_Toc478138836"/>
      <w:bookmarkStart w:id="2952" w:name="_Toc478232360"/>
      <w:bookmarkStart w:id="2953" w:name="_Toc478237345"/>
      <w:bookmarkStart w:id="2954" w:name="_Toc481761881"/>
      <w:bookmarkStart w:id="2955" w:name="_Toc492900533"/>
      <w:r>
        <w:t>NOU 2013: 1</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r w:rsidR="005B3821" w:rsidRPr="00EE77CF">
        <w:t xml:space="preserve"> </w:t>
      </w:r>
    </w:p>
    <w:p w:rsidR="005B3821" w:rsidRPr="007147D9" w:rsidRDefault="005B3821" w:rsidP="005B3821">
      <w:r w:rsidRPr="007147D9">
        <w:t xml:space="preserve">Stålsett-utvalget mente at det på saksfeltet var behov for en vesentlig styrking av </w:t>
      </w:r>
      <w:r w:rsidR="00183050">
        <w:t xml:space="preserve">forvaltningens </w:t>
      </w:r>
      <w:r w:rsidRPr="007147D9">
        <w:t>kompetanse og kapasitet</w:t>
      </w:r>
      <w:r w:rsidR="00183050">
        <w:t>, bla</w:t>
      </w:r>
      <w:r w:rsidR="000B0584">
        <w:t xml:space="preserve">nt annet </w:t>
      </w:r>
      <w:r w:rsidR="00183050">
        <w:t>for å sikre likebehandling</w:t>
      </w:r>
      <w:r w:rsidRPr="007147D9">
        <w:t xml:space="preserve">. Utvalget </w:t>
      </w:r>
      <w:r w:rsidR="00183050">
        <w:t>anbefalte</w:t>
      </w:r>
      <w:r w:rsidRPr="007147D9">
        <w:t xml:space="preserve"> </w:t>
      </w:r>
      <w:r w:rsidR="00183050">
        <w:t>derfor</w:t>
      </w:r>
      <w:r w:rsidRPr="007147D9">
        <w:t xml:space="preserve"> </w:t>
      </w:r>
      <w:r w:rsidR="002C2B00">
        <w:t xml:space="preserve">at </w:t>
      </w:r>
      <w:r w:rsidRPr="007147D9">
        <w:t xml:space="preserve">oppgavene </w:t>
      </w:r>
      <w:r w:rsidR="00183050">
        <w:t>og ressursene ble samlet</w:t>
      </w:r>
      <w:r w:rsidR="002C2B00">
        <w:t xml:space="preserve"> </w:t>
      </w:r>
      <w:r w:rsidR="00183050">
        <w:t>hos</w:t>
      </w:r>
      <w:r w:rsidRPr="007147D9">
        <w:t xml:space="preserve"> ett </w:t>
      </w:r>
      <w:r w:rsidR="001D0AD9">
        <w:t>fylkesmanns</w:t>
      </w:r>
      <w:r w:rsidRPr="007147D9">
        <w:t xml:space="preserve">embete, fortrinnsvis </w:t>
      </w:r>
      <w:r w:rsidR="002C2B00">
        <w:t>Fylkesmannen</w:t>
      </w:r>
      <w:r w:rsidRPr="007147D9">
        <w:t xml:space="preserve"> i Oslo og Akershus</w:t>
      </w:r>
      <w:r w:rsidR="00183050">
        <w:t>.</w:t>
      </w:r>
    </w:p>
    <w:p w:rsidR="005B3821" w:rsidRPr="007147D9" w:rsidRDefault="005B3821" w:rsidP="005B3821">
      <w:r w:rsidRPr="007147D9">
        <w:t xml:space="preserve">I Danmark er det etablert et sakkyndig utvalg som gir råd og veiledning til myndighetene i saker om trossamfunn utenfor folkekirken. Sverige har </w:t>
      </w:r>
      <w:r w:rsidR="00E9027F">
        <w:t xml:space="preserve">hatt </w:t>
      </w:r>
      <w:r w:rsidRPr="007147D9">
        <w:t xml:space="preserve">et eget utvalg, </w:t>
      </w:r>
      <w:r w:rsidRPr="007147D9">
        <w:rPr>
          <w:i/>
        </w:rPr>
        <w:t>N</w:t>
      </w:r>
      <w:r>
        <w:rPr>
          <w:i/>
        </w:rPr>
        <w:t>ä</w:t>
      </w:r>
      <w:r w:rsidRPr="007147D9">
        <w:rPr>
          <w:i/>
        </w:rPr>
        <w:t>mnden f</w:t>
      </w:r>
      <w:r>
        <w:rPr>
          <w:i/>
        </w:rPr>
        <w:t>ö</w:t>
      </w:r>
      <w:r w:rsidRPr="007147D9">
        <w:rPr>
          <w:i/>
        </w:rPr>
        <w:t>r statligt st</w:t>
      </w:r>
      <w:r>
        <w:rPr>
          <w:i/>
        </w:rPr>
        <w:t>ö</w:t>
      </w:r>
      <w:r w:rsidRPr="007147D9">
        <w:rPr>
          <w:i/>
        </w:rPr>
        <w:t>d til trossamfund</w:t>
      </w:r>
      <w:r w:rsidR="005878B1">
        <w:rPr>
          <w:i/>
        </w:rPr>
        <w:t xml:space="preserve"> (SST)</w:t>
      </w:r>
      <w:r w:rsidRPr="007147D9">
        <w:rPr>
          <w:i/>
        </w:rPr>
        <w:t>,</w:t>
      </w:r>
      <w:r w:rsidRPr="007147D9">
        <w:t xml:space="preserve"> som </w:t>
      </w:r>
      <w:r w:rsidR="00E9027F">
        <w:t>har fordelt</w:t>
      </w:r>
      <w:r w:rsidRPr="007147D9">
        <w:t xml:space="preserve"> den offentlige støtten til tros- og livssynssamfunn utenom Svenska kyrkan, og </w:t>
      </w:r>
      <w:r w:rsidR="00E9027F">
        <w:t>gitt</w:t>
      </w:r>
      <w:r w:rsidRPr="007147D9">
        <w:t xml:space="preserve"> råd til myndighetene i spørsmål som angår tros- og livssynssamfunnene</w:t>
      </w:r>
      <w:r w:rsidR="000B0584">
        <w:t>.</w:t>
      </w:r>
      <w:r w:rsidR="00E9027F">
        <w:t xml:space="preserve"> Disse oppgavene er i Sverige fra 1. juli 2017 til en nyopprettet instans</w:t>
      </w:r>
      <w:r w:rsidR="00B40BE8">
        <w:t>,</w:t>
      </w:r>
      <w:r w:rsidR="00E9027F">
        <w:t xml:space="preserve"> </w:t>
      </w:r>
      <w:r w:rsidR="00E9027F" w:rsidRPr="00B40BE8">
        <w:rPr>
          <w:i/>
        </w:rPr>
        <w:t>Myndigheten för stöd til trossamfun</w:t>
      </w:r>
      <w:r w:rsidR="00B40BE8" w:rsidRPr="00B40BE8">
        <w:rPr>
          <w:i/>
        </w:rPr>
        <w:t>d,</w:t>
      </w:r>
      <w:r w:rsidR="00B40BE8">
        <w:t xml:space="preserve"> som er en såkalt enrådighetsmyndighet.</w:t>
      </w:r>
      <w:r w:rsidR="000B0584">
        <w:t xml:space="preserve"> Også i Finland og på Island er det opprettet denne typen sakkyndige utvalg</w:t>
      </w:r>
      <w:r w:rsidR="001921B6">
        <w:t xml:space="preserve">, </w:t>
      </w:r>
      <w:r w:rsidR="000B0584" w:rsidRPr="007147D9">
        <w:t>jf. omtalen foran i kap</w:t>
      </w:r>
      <w:r w:rsidR="000B0584">
        <w:t>ittel</w:t>
      </w:r>
      <w:r w:rsidR="000B0584" w:rsidRPr="007147D9">
        <w:t xml:space="preserve"> </w:t>
      </w:r>
      <w:r w:rsidR="000B0584">
        <w:t>5</w:t>
      </w:r>
      <w:r w:rsidR="000B0584" w:rsidRPr="007147D9">
        <w:t>.</w:t>
      </w:r>
      <w:r w:rsidR="000B0584">
        <w:t xml:space="preserve"> </w:t>
      </w:r>
    </w:p>
    <w:p w:rsidR="005B3821" w:rsidRPr="007147D9" w:rsidRDefault="005B3821" w:rsidP="005B3821">
      <w:r w:rsidRPr="007147D9">
        <w:t xml:space="preserve">Stålsett-utvalget tok opp forslag om opprettelse av en uavhengig, sakkyndig nemnd også i Norge, med det rådgivende utvalget i Danmark som forbilde. Nemnda skulle gi råd til myndighetene om godkjenning av samfunn, om eventuell tilbaketrekking av godkjenning m.m. </w:t>
      </w:r>
    </w:p>
    <w:p w:rsidR="00EE6570" w:rsidRDefault="00F15B28" w:rsidP="005B3821">
      <w:r w:rsidRPr="00F15B28">
        <w:t xml:space="preserve">Samtlige instanser som </w:t>
      </w:r>
      <w:r>
        <w:t xml:space="preserve">i høringen uttalte seg om </w:t>
      </w:r>
      <w:r w:rsidR="00EE6570">
        <w:t>utvalgets anbefaling</w:t>
      </w:r>
      <w:r w:rsidRPr="00F15B28">
        <w:t xml:space="preserve"> om </w:t>
      </w:r>
      <w:r>
        <w:t xml:space="preserve">å samle </w:t>
      </w:r>
      <w:r w:rsidRPr="00F15B28">
        <w:t>forvaltningen</w:t>
      </w:r>
      <w:r>
        <w:t xml:space="preserve"> hos ett embete, </w:t>
      </w:r>
      <w:r w:rsidR="00EE6570">
        <w:t>støttet denne</w:t>
      </w:r>
      <w:r w:rsidRPr="00F15B28">
        <w:t>, bla</w:t>
      </w:r>
      <w:r w:rsidR="000B0584">
        <w:t>nt annet</w:t>
      </w:r>
      <w:r w:rsidRPr="00F15B28">
        <w:t xml:space="preserve"> Fornyings-, administrasjons- og kirkedepartementet, Kirkerådet og tre a</w:t>
      </w:r>
      <w:r>
        <w:t>v de fire fylkesmennene som avga</w:t>
      </w:r>
      <w:r w:rsidRPr="00F15B28">
        <w:t xml:space="preserve"> høringsuttalelse.</w:t>
      </w:r>
    </w:p>
    <w:p w:rsidR="00BE196F" w:rsidRDefault="00BE196F" w:rsidP="005B3821">
      <w:r>
        <w:t xml:space="preserve">Et flertall av instansene som uttalte seg om utvalgets forslag </w:t>
      </w:r>
      <w:r w:rsidR="00463579">
        <w:t>om etablering av</w:t>
      </w:r>
      <w:r>
        <w:t xml:space="preserve"> </w:t>
      </w:r>
      <w:r w:rsidR="00463579">
        <w:t xml:space="preserve">en </w:t>
      </w:r>
      <w:r>
        <w:t xml:space="preserve">rådgivende nemnd, var positive til dette. </w:t>
      </w:r>
    </w:p>
    <w:p w:rsidR="00F15B28" w:rsidRPr="007147D9" w:rsidRDefault="00463579" w:rsidP="001E491E">
      <w:pPr>
        <w:pStyle w:val="Overskrift2"/>
      </w:pPr>
      <w:bookmarkStart w:id="2956" w:name="_Toc477870969"/>
      <w:bookmarkStart w:id="2957" w:name="_Toc477871870"/>
      <w:bookmarkStart w:id="2958" w:name="_Toc477878472"/>
      <w:bookmarkStart w:id="2959" w:name="_Toc477881876"/>
      <w:bookmarkStart w:id="2960" w:name="_Toc477886338"/>
      <w:bookmarkStart w:id="2961" w:name="_Toc477799609"/>
      <w:bookmarkStart w:id="2962" w:name="_Toc477806210"/>
      <w:bookmarkStart w:id="2963" w:name="_Toc478131467"/>
      <w:bookmarkStart w:id="2964" w:name="_Toc478138837"/>
      <w:bookmarkStart w:id="2965" w:name="_Toc478232361"/>
      <w:bookmarkStart w:id="2966" w:name="_Toc478237346"/>
      <w:bookmarkStart w:id="2967" w:name="_Toc481761882"/>
      <w:bookmarkStart w:id="2968" w:name="_Toc492900534"/>
      <w:r>
        <w:t>Departementets vurderinger</w:t>
      </w:r>
      <w:bookmarkEnd w:id="2956"/>
      <w:bookmarkEnd w:id="2957"/>
      <w:bookmarkEnd w:id="2958"/>
      <w:bookmarkEnd w:id="2959"/>
      <w:bookmarkEnd w:id="2960"/>
      <w:bookmarkEnd w:id="2961"/>
      <w:bookmarkEnd w:id="2962"/>
      <w:bookmarkEnd w:id="2963"/>
      <w:bookmarkEnd w:id="2964"/>
      <w:bookmarkEnd w:id="2965"/>
      <w:bookmarkEnd w:id="2966"/>
      <w:bookmarkEnd w:id="2967"/>
      <w:bookmarkEnd w:id="2968"/>
    </w:p>
    <w:p w:rsidR="00E324A9" w:rsidRDefault="00E324A9" w:rsidP="00E324A9">
      <w:r>
        <w:t xml:space="preserve">Departementet er enig i Stålsett-utvalgets vurdering av behovet for å bygge opp kompetanse og kapasitet på saksfeltet. En konsentrasjon av oppgavene hos én instans vil bedre kunne sikre likebehandling og være en betydelig forenkling og forbedring sammenliknet med i dag, hvor oppgavene er fordelt på alle fylkesmannsembetene. </w:t>
      </w:r>
    </w:p>
    <w:p w:rsidR="00E324A9" w:rsidRDefault="00E324A9" w:rsidP="00E324A9">
      <w:r>
        <w:lastRenderedPageBreak/>
        <w:t xml:space="preserve">Departementet har vurdert om forvaltningsoppgavene burde legges til en uavhengig nemnd. Et slikt organ måtte eventuelt settes sammen enten av representanter for tros- og livssynssamfunnene, eller av personer med relevant fagbakgrunn. </w:t>
      </w:r>
    </w:p>
    <w:p w:rsidR="00E324A9" w:rsidRDefault="00E324A9" w:rsidP="00E324A9">
      <w:r>
        <w:t>Departementet har kommet til at et kollegialt organ neppe er den mest hensiktsmessige organisasjonsformen for å håndtere den typen saken som vil være aktuelle. Det dreier seg i hovedsak om tradisjonell forvaltningsvirksomhet som best kan ivaretas av et ordinært forvaltningsorgan.</w:t>
      </w:r>
    </w:p>
    <w:p w:rsidR="00E324A9" w:rsidRDefault="00E324A9" w:rsidP="00E324A9">
      <w:r>
        <w:t>Departementet vil derfor, i samsvar med Stålsett-utvalget, foreslå at forvaltningsoppgavene etter den nye loven samles hos ett fylkesmannsembete.</w:t>
      </w:r>
    </w:p>
    <w:p w:rsidR="00E324A9" w:rsidRDefault="00E324A9" w:rsidP="00E324A9">
      <w:r>
        <w:t xml:space="preserve">Den aktuelle fylkesmannen vil etter dette treffe avgjørelser i alle saker om registrering av og tilskudd til tros- og livssynssamfunn utenom Den norske kirke, og skal også føre registeret over tros- og livssynssamfunn. Fylkesmannen vil forestå utbetaling av tilskudd, gjennomgå samfunnenes rapporter og regnskap, følge opp samfunnene etter behov m.m. </w:t>
      </w:r>
    </w:p>
    <w:p w:rsidR="00E324A9" w:rsidRDefault="00E324A9" w:rsidP="00E324A9">
      <w:r>
        <w:t>Departementet mener at også andre oppgaver enn behandling av enkeltsaker etter loven bør kunne legges til dette fylkesmannsembetet, for eksempel forvaltning av tilskudd til dialogtiltak på feltet. Etter departementets syn bør fylkesmannsembetet som en sakkyndig instans på tros- og livssynsfeltet ha en veiledende og rådgivende funksjon overfor offentlige organ sentralt, regionalt og lokalt.</w:t>
      </w:r>
    </w:p>
    <w:p w:rsidR="00E324A9" w:rsidRDefault="00E324A9" w:rsidP="00E324A9">
      <w:r>
        <w:t xml:space="preserve">Med disse forutsetningene, og kravene til registrering og vilkårene for tilskudd til tros- og livssynssamfunn som det framlegges forslag om i kapitlene 7 og 15, vil det være ytterligere behov for å bygge opp kompetanse og kapasitet, blant annet for å føre kontroll med at krav og vilkår er oppfylt. </w:t>
      </w:r>
    </w:p>
    <w:p w:rsidR="00E324A9" w:rsidRDefault="0000163B" w:rsidP="00E324A9">
      <w:r>
        <w:t>Forslag</w:t>
      </w:r>
      <w:r w:rsidR="00476592">
        <w:t xml:space="preserve"> om en uavhengig instans som kunne tillegges ansvar for klagebehandling følges ikke opp. </w:t>
      </w:r>
      <w:r w:rsidR="00E324A9">
        <w:t xml:space="preserve">Kulturdepartementet vil etter forslaget </w:t>
      </w:r>
      <w:r w:rsidR="00476592">
        <w:t xml:space="preserve">selv </w:t>
      </w:r>
      <w:r w:rsidR="00E324A9">
        <w:t xml:space="preserve">være klageinstans for avgjørelser som treffes av fylkesmannen. Det foreslås at </w:t>
      </w:r>
      <w:r w:rsidR="00BE549E">
        <w:t xml:space="preserve">forvaltningssansvaret </w:t>
      </w:r>
      <w:r w:rsidR="00E324A9">
        <w:t xml:space="preserve">i loven legges til departementet, og at </w:t>
      </w:r>
      <w:r w:rsidR="00BE549E">
        <w:t>oppgavene</w:t>
      </w:r>
      <w:r w:rsidR="00E324A9">
        <w:t xml:space="preserve"> ved ordinær delegasjon overdras til det aktuelle fylkesmannsembetet.</w:t>
      </w:r>
    </w:p>
    <w:p w:rsidR="00E324A9" w:rsidRDefault="00E324A9" w:rsidP="00E324A9">
      <w:r>
        <w:t>Departementet foreslår etter dette følgende lovbestemmelse om forvaltning</w:t>
      </w:r>
      <w:r w:rsidR="002968A5">
        <w:t>en</w:t>
      </w:r>
      <w:r>
        <w:t xml:space="preserve"> i lovens § 7:</w:t>
      </w:r>
    </w:p>
    <w:p w:rsidR="00E324A9" w:rsidRPr="00E41C0F" w:rsidRDefault="00E324A9" w:rsidP="00E41C0F">
      <w:pPr>
        <w:pStyle w:val="blokksit"/>
        <w:rPr>
          <w:rStyle w:val="kursiv"/>
        </w:rPr>
      </w:pPr>
      <w:r w:rsidRPr="00E41C0F">
        <w:rPr>
          <w:rStyle w:val="kursiv"/>
        </w:rPr>
        <w:t xml:space="preserve">Departementet fatter vedtak i alle saker etter dette kapitlet. </w:t>
      </w:r>
    </w:p>
    <w:p w:rsidR="00E324A9" w:rsidRPr="00E41C0F" w:rsidRDefault="00E324A9" w:rsidP="00E41C0F">
      <w:pPr>
        <w:pStyle w:val="blokksit"/>
        <w:rPr>
          <w:rStyle w:val="kursiv"/>
        </w:rPr>
      </w:pPr>
      <w:r w:rsidRPr="00E41C0F">
        <w:rPr>
          <w:rStyle w:val="kursiv"/>
        </w:rPr>
        <w:t xml:space="preserve">Departementet fører kontroll med at tros- og livssynssamfunn oppfyller sine plikter etter denne loven og at krav og vilkår for registrering og tilskudd er oppfylt. </w:t>
      </w:r>
    </w:p>
    <w:p w:rsidR="00E57DBA" w:rsidRDefault="00E324A9" w:rsidP="00E41C0F">
      <w:pPr>
        <w:pStyle w:val="blokksit"/>
      </w:pPr>
      <w:r w:rsidRPr="00E41C0F">
        <w:rPr>
          <w:rStyle w:val="kursiv"/>
        </w:rPr>
        <w:t>Kongen kan gi forskrift om at oppgavene etter denne paragraf kan overføres til fylkesmannen og kan også bestemme at de kan samles ved ett fylkesmannsembete.</w:t>
      </w:r>
      <w:r w:rsidR="00E57DBA" w:rsidRPr="00E41C0F">
        <w:rPr>
          <w:rStyle w:val="kursiv"/>
        </w:rPr>
        <w:t xml:space="preserve"> </w:t>
      </w:r>
    </w:p>
    <w:p w:rsidR="005D747D" w:rsidRDefault="00E57DBA" w:rsidP="00E57DBA">
      <w:pPr>
        <w:pStyle w:val="Sitattbhj"/>
        <w:ind w:left="0"/>
      </w:pPr>
      <w:r>
        <w:t xml:space="preserve"> </w:t>
      </w:r>
      <w:r w:rsidR="005D747D">
        <w:br w:type="page"/>
      </w:r>
    </w:p>
    <w:p w:rsidR="00F70771" w:rsidRPr="00653599" w:rsidRDefault="00F70771" w:rsidP="00F70771">
      <w:pPr>
        <w:pStyle w:val="Overskrift1"/>
      </w:pPr>
      <w:bookmarkStart w:id="2969" w:name="_Toc472326861"/>
      <w:bookmarkStart w:id="2970" w:name="_Toc476320975"/>
      <w:bookmarkStart w:id="2971" w:name="_Toc477277346"/>
      <w:bookmarkStart w:id="2972" w:name="_Toc477535865"/>
      <w:bookmarkStart w:id="2973" w:name="_Toc477630997"/>
      <w:bookmarkStart w:id="2974" w:name="_Toc477693961"/>
      <w:bookmarkStart w:id="2975" w:name="_Toc477704387"/>
      <w:bookmarkStart w:id="2976" w:name="_Toc477799628"/>
      <w:bookmarkStart w:id="2977" w:name="_Toc477806229"/>
      <w:bookmarkStart w:id="2978" w:name="_Toc477870988"/>
      <w:bookmarkStart w:id="2979" w:name="_Toc477871889"/>
      <w:bookmarkStart w:id="2980" w:name="_Toc477878491"/>
      <w:bookmarkStart w:id="2981" w:name="_Toc477881895"/>
      <w:bookmarkStart w:id="2982" w:name="_Toc477886357"/>
      <w:bookmarkStart w:id="2983" w:name="_Toc478131469"/>
      <w:bookmarkStart w:id="2984" w:name="_Toc478138839"/>
      <w:bookmarkStart w:id="2985" w:name="_Toc478232363"/>
      <w:bookmarkStart w:id="2986" w:name="_Toc478237348"/>
      <w:bookmarkStart w:id="2987" w:name="_Toc481761883"/>
      <w:bookmarkStart w:id="2988" w:name="_Toc492900535"/>
      <w:bookmarkEnd w:id="2926"/>
      <w:bookmarkEnd w:id="2927"/>
      <w:bookmarkEnd w:id="2928"/>
      <w:r w:rsidRPr="00653599">
        <w:lastRenderedPageBreak/>
        <w:t>Medlemskap og tilhørighet</w:t>
      </w:r>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p>
    <w:p w:rsidR="00F70771" w:rsidRDefault="00F70771" w:rsidP="00F70771">
      <w:pPr>
        <w:pStyle w:val="Overskrift2"/>
      </w:pPr>
      <w:bookmarkStart w:id="2989" w:name="_Toc472326862"/>
      <w:bookmarkStart w:id="2990" w:name="_Toc476320976"/>
      <w:bookmarkStart w:id="2991" w:name="_Toc477277347"/>
      <w:bookmarkStart w:id="2992" w:name="_Toc477535866"/>
      <w:bookmarkStart w:id="2993" w:name="_Toc477630998"/>
      <w:bookmarkStart w:id="2994" w:name="_Toc477693962"/>
      <w:bookmarkStart w:id="2995" w:name="_Toc477704388"/>
      <w:bookmarkStart w:id="2996" w:name="_Toc477799629"/>
      <w:bookmarkStart w:id="2997" w:name="_Toc477806230"/>
      <w:bookmarkStart w:id="2998" w:name="_Toc477870989"/>
      <w:bookmarkStart w:id="2999" w:name="_Toc477871890"/>
      <w:bookmarkStart w:id="3000" w:name="_Toc477878492"/>
      <w:bookmarkStart w:id="3001" w:name="_Toc477881896"/>
      <w:bookmarkStart w:id="3002" w:name="_Toc477886358"/>
      <w:bookmarkStart w:id="3003" w:name="_Toc478131470"/>
      <w:bookmarkStart w:id="3004" w:name="_Toc478138840"/>
      <w:bookmarkStart w:id="3005" w:name="_Toc478232364"/>
      <w:bookmarkStart w:id="3006" w:name="_Toc478237349"/>
      <w:bookmarkStart w:id="3007" w:name="_Toc481761884"/>
      <w:bookmarkStart w:id="3008" w:name="_Toc492900536"/>
      <w:r w:rsidRPr="00653599">
        <w:t>Gjeldende rett</w:t>
      </w:r>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p>
    <w:p w:rsidR="008D732E" w:rsidRPr="001C63A4" w:rsidRDefault="008D732E" w:rsidP="008D732E">
      <w:r w:rsidRPr="001C63A4">
        <w:t>Trossamfunnslovens første kapittel gir regler om medlemskap og tilhørigh</w:t>
      </w:r>
      <w:r w:rsidR="001921B6">
        <w:t>et. Disse regulerer bl</w:t>
      </w:r>
      <w:r w:rsidRPr="001C63A4">
        <w:t>a</w:t>
      </w:r>
      <w:r w:rsidR="001921B6">
        <w:t>nt ann</w:t>
      </w:r>
      <w:r w:rsidR="005B51F9">
        <w:t>e</w:t>
      </w:r>
      <w:r w:rsidR="001921B6">
        <w:t>t</w:t>
      </w:r>
      <w:r w:rsidRPr="001C63A4">
        <w:t xml:space="preserve"> inn- og utmelding av trossamfunn (</w:t>
      </w:r>
      <w:r w:rsidR="001921B6">
        <w:t>§</w:t>
      </w:r>
      <w:r w:rsidRPr="001C63A4">
        <w:t xml:space="preserve">§ 3, 6 </w:t>
      </w:r>
      <w:r>
        <w:t xml:space="preserve">og 9), barns tilhørighet (§ 5) og forbud mot </w:t>
      </w:r>
      <w:r w:rsidRPr="001C63A4">
        <w:t>dobbeltmedlemskap (§ 8)</w:t>
      </w:r>
      <w:r>
        <w:t>. I lovens § 7 stilles det krav om norsk statsborgerskap eller bosted i riket</w:t>
      </w:r>
      <w:r w:rsidRPr="001C63A4">
        <w:t xml:space="preserve"> og </w:t>
      </w:r>
      <w:r w:rsidR="005B51F9">
        <w:t>at trossamfunnets egne medlems</w:t>
      </w:r>
      <w:r>
        <w:t>kapsvilkår må være oppfylt. Et sentralt formål med mange av bestemmelsene er å klarlegge grunnlaget for å beregne tilskudd. Noen av r</w:t>
      </w:r>
      <w:r w:rsidRPr="001C63A4">
        <w:t xml:space="preserve">eglene gjelder </w:t>
      </w:r>
      <w:r>
        <w:t xml:space="preserve">også for </w:t>
      </w:r>
      <w:r w:rsidRPr="001C63A4">
        <w:t>Den norske kirke</w:t>
      </w:r>
      <w:r>
        <w:t>. D</w:t>
      </w:r>
      <w:r w:rsidR="00FF3C47">
        <w:t>isse gjelder forhold</w:t>
      </w:r>
      <w:r>
        <w:t xml:space="preserve"> som ikke er regulert med</w:t>
      </w:r>
      <w:r w:rsidRPr="001C63A4">
        <w:t xml:space="preserve"> andre særlige bestemmelser i kirkeloven § 3, jf. trossamfunnsloven § 11. </w:t>
      </w:r>
    </w:p>
    <w:p w:rsidR="008D732E" w:rsidRPr="001C63A4" w:rsidRDefault="008D732E" w:rsidP="008D732E">
      <w:r>
        <w:t>I de særlige bestemmelsene</w:t>
      </w:r>
      <w:r w:rsidRPr="001C63A4">
        <w:t xml:space="preserve"> for Den norske kirke går det bla</w:t>
      </w:r>
      <w:r w:rsidR="00FF3C47">
        <w:t>nt annet</w:t>
      </w:r>
      <w:r w:rsidRPr="001C63A4">
        <w:t xml:space="preserve"> fram at barn anses å høre inn under Den norske kirke så fremt én av foreldrene er medlem (</w:t>
      </w:r>
      <w:r w:rsidR="00B209E1">
        <w:t xml:space="preserve">§ 3 </w:t>
      </w:r>
      <w:r w:rsidRPr="001C63A4">
        <w:t>nr. 2, den såkalte forrangsbestemmelsen), at barne</w:t>
      </w:r>
      <w:r>
        <w:t xml:space="preserve">t blir medlem når det er døpt, </w:t>
      </w:r>
      <w:r w:rsidRPr="001C63A4">
        <w:t>at medlemskap i kirken forutsetter dåp (</w:t>
      </w:r>
      <w:r w:rsidR="00B209E1" w:rsidRPr="00B209E1">
        <w:t xml:space="preserve">§ 3 </w:t>
      </w:r>
      <w:r w:rsidRPr="001C63A4">
        <w:t>nr. 5 og 7)</w:t>
      </w:r>
      <w:r w:rsidR="004214DB">
        <w:t>, at bare personer bosatt i riket og norske statsborgere som er bosatt i utlandet, kan være medlem (</w:t>
      </w:r>
      <w:r w:rsidR="00B209E1" w:rsidRPr="00B209E1">
        <w:t xml:space="preserve">§ 3 </w:t>
      </w:r>
      <w:r w:rsidR="004214DB">
        <w:t>nr. 1)</w:t>
      </w:r>
      <w:r w:rsidRPr="001C63A4">
        <w:t xml:space="preserve"> og at personer som er medlem eller anses å høre inn under Den norske kirke registreres i et sentralt medlemsregister (</w:t>
      </w:r>
      <w:r w:rsidR="00B209E1" w:rsidRPr="00B209E1">
        <w:t xml:space="preserve">§ 3 </w:t>
      </w:r>
      <w:r w:rsidRPr="001C63A4">
        <w:t>nr. 10). I tillegg gis det regler om inn- og utmelding (</w:t>
      </w:r>
      <w:r w:rsidR="00B209E1" w:rsidRPr="00B209E1">
        <w:t xml:space="preserve">§ 3 </w:t>
      </w:r>
      <w:r w:rsidRPr="001C63A4">
        <w:t xml:space="preserve">nr. 6 og 8). </w:t>
      </w:r>
    </w:p>
    <w:p w:rsidR="008D732E" w:rsidRPr="008D732E" w:rsidRDefault="008D732E" w:rsidP="008D732E">
      <w:r w:rsidRPr="001C63A4">
        <w:t>L</w:t>
      </w:r>
      <w:r>
        <w:t xml:space="preserve">ivssynssamfunnsloven </w:t>
      </w:r>
      <w:r w:rsidRPr="001C63A4">
        <w:t>har ikke bestemmelser som regulerer medlemskap og tilhørighet</w:t>
      </w:r>
      <w:r w:rsidR="00DE4646">
        <w:t xml:space="preserve">, men fastslår i </w:t>
      </w:r>
      <w:r w:rsidRPr="001C63A4">
        <w:t xml:space="preserve">§ 5 </w:t>
      </w:r>
      <w:r w:rsidR="00E62F17">
        <w:t xml:space="preserve">første ledd </w:t>
      </w:r>
      <w:r w:rsidR="00DE4646">
        <w:t xml:space="preserve">at tilskudd bare kan kreves for "medlemmer som er norske </w:t>
      </w:r>
      <w:r w:rsidR="00DE4646" w:rsidRPr="00DE4646">
        <w:t>riksborgarar eller som har bustad i riket, og som ikkje samstundes høyrer til Den norske kyrkja, eller eit anna samfunn som får tilskot etter lova her eller etter lov av 13. juni 1969 nr. 25 om trudomssamfunn og ymist anna</w:t>
      </w:r>
      <w:r w:rsidR="00DE4646">
        <w:t>"</w:t>
      </w:r>
      <w:r w:rsidR="00DE4646" w:rsidRPr="00DE4646">
        <w:t>.</w:t>
      </w:r>
      <w:r w:rsidR="00DE4646">
        <w:t xml:space="preserve"> </w:t>
      </w:r>
      <w:r w:rsidR="00E62F17">
        <w:t>Videre gir § 5</w:t>
      </w:r>
      <w:r w:rsidR="00DE4646">
        <w:t xml:space="preserve"> </w:t>
      </w:r>
      <w:r w:rsidR="00E62F17">
        <w:t xml:space="preserve">annet ledd </w:t>
      </w:r>
      <w:r w:rsidR="00DE4646">
        <w:t xml:space="preserve">Kulturdepartementet hjemmel til å gi regler om blant annet hvor mange medlemmer et </w:t>
      </w:r>
      <w:r w:rsidR="00E62F17">
        <w:t>livssyns</w:t>
      </w:r>
      <w:r w:rsidR="00DE4646">
        <w:t xml:space="preserve">samfunn må ha for å få tilskudd, og om føring </w:t>
      </w:r>
      <w:r w:rsidR="007121EC">
        <w:t xml:space="preserve">av </w:t>
      </w:r>
      <w:r w:rsidR="00DE4646">
        <w:t xml:space="preserve">medlemslister. </w:t>
      </w:r>
      <w:r w:rsidRPr="001C63A4">
        <w:t xml:space="preserve"> </w:t>
      </w:r>
    </w:p>
    <w:p w:rsidR="008D732E" w:rsidRPr="00653599" w:rsidRDefault="008D732E" w:rsidP="008D732E">
      <w:pPr>
        <w:pStyle w:val="Overskrift2"/>
      </w:pPr>
      <w:bookmarkStart w:id="3009" w:name="_Toc481761885"/>
      <w:bookmarkStart w:id="3010" w:name="_Toc492900537"/>
      <w:r w:rsidRPr="00653599">
        <w:t>Bakgrunn</w:t>
      </w:r>
      <w:bookmarkEnd w:id="3009"/>
      <w:bookmarkEnd w:id="3010"/>
    </w:p>
    <w:p w:rsidR="008D732E" w:rsidRPr="001C63A4" w:rsidRDefault="008D732E" w:rsidP="008D732E">
      <w:r w:rsidRPr="001C63A4">
        <w:t xml:space="preserve">Bestemmelsene om tilhørighet og medlemskap i trossamfunnsloven og dagens kirkelov har ikke </w:t>
      </w:r>
      <w:r>
        <w:t xml:space="preserve">vært vesentlig endret siden trossamfunnsloven </w:t>
      </w:r>
      <w:r w:rsidRPr="001C63A4">
        <w:t xml:space="preserve">kom i 1969. </w:t>
      </w:r>
    </w:p>
    <w:p w:rsidR="008D732E" w:rsidRPr="001C63A4" w:rsidRDefault="008D732E" w:rsidP="008D732E">
      <w:r>
        <w:t xml:space="preserve">Forut for trossamfunnsloven var det ikke bestemmelser i lovverket som regulerte medlemskap eller tilhørighet i Den norske kirke eller såkalte dissentermenigheter. Med unntak av de få som hadde fått dispensasjon til å danne egne samfunn, ble alle </w:t>
      </w:r>
      <w:r w:rsidRPr="001C63A4">
        <w:t>som bodde i landet og bekjente seg til den evangelisk-lutherske religion</w:t>
      </w:r>
      <w:r w:rsidR="00B209E1">
        <w:t>,</w:t>
      </w:r>
      <w:r>
        <w:t xml:space="preserve"> betraktet som kirkens </w:t>
      </w:r>
      <w:r w:rsidRPr="001C63A4">
        <w:t>"lemmer"</w:t>
      </w:r>
      <w:r w:rsidR="004214DB">
        <w:t>.</w:t>
      </w:r>
    </w:p>
    <w:p w:rsidR="008D732E" w:rsidRDefault="008D732E" w:rsidP="008D732E">
      <w:r w:rsidRPr="001C63A4">
        <w:t xml:space="preserve">Da </w:t>
      </w:r>
      <w:r w:rsidR="00077967">
        <w:t>Dissenterlovkomi</w:t>
      </w:r>
      <w:r w:rsidRPr="001C63A4">
        <w:t>teen leverte sin innstilli</w:t>
      </w:r>
      <w:r w:rsidR="00EB02ED">
        <w:t>ng til lov om trossamfunn i 1962</w:t>
      </w:r>
      <w:r>
        <w:t>,</w:t>
      </w:r>
      <w:r w:rsidRPr="001C63A4">
        <w:t xml:space="preserve"> ble det foreslått å ta inn særlige bestemmelser om medlemskap også i "statskirken", fordi dette var "naturlig". Det ble gjort forsøk på å samordne reglene om medlemskap i Den norske kirke med foreslåtte regler om medlemskap i andre trossamfunn.</w:t>
      </w:r>
    </w:p>
    <w:p w:rsidR="008D732E" w:rsidRPr="001C63A4" w:rsidRDefault="008D732E" w:rsidP="008D732E">
      <w:r w:rsidRPr="001C63A4">
        <w:t xml:space="preserve">I forslaget som hadde kommet fra </w:t>
      </w:r>
      <w:r w:rsidR="00077967">
        <w:t>Dissenterlovkomi</w:t>
      </w:r>
      <w:r w:rsidRPr="001C63A4">
        <w:t xml:space="preserve">teen, </w:t>
      </w:r>
      <w:r>
        <w:t>og s</w:t>
      </w:r>
      <w:r w:rsidRPr="001C63A4">
        <w:t>om lå til grunn for lovarbeidet i Ot.prp.</w:t>
      </w:r>
      <w:r w:rsidR="00DE5EE4">
        <w:t xml:space="preserve"> </w:t>
      </w:r>
      <w:r w:rsidRPr="001C63A4">
        <w:t>nr. 42 (</w:t>
      </w:r>
      <w:r w:rsidR="00DE5EE4">
        <w:t>1967–</w:t>
      </w:r>
      <w:r w:rsidRPr="001C63A4">
        <w:t xml:space="preserve">68) </w:t>
      </w:r>
      <w:r w:rsidRPr="001C63A4">
        <w:rPr>
          <w:i/>
        </w:rPr>
        <w:t xml:space="preserve">Om lov om endringer i Den norske kirkes ordning av 29. april 1953 m.v. </w:t>
      </w:r>
      <w:r w:rsidRPr="001C63A4">
        <w:t>og Ot.prp.</w:t>
      </w:r>
      <w:r w:rsidR="00AB603C">
        <w:t xml:space="preserve"> </w:t>
      </w:r>
      <w:r w:rsidRPr="001C63A4">
        <w:t>nr. 27 (1967</w:t>
      </w:r>
      <w:r w:rsidR="00AB603C">
        <w:t>–68</w:t>
      </w:r>
      <w:r w:rsidRPr="001C63A4">
        <w:t xml:space="preserve">) </w:t>
      </w:r>
      <w:r w:rsidRPr="001C63A4">
        <w:rPr>
          <w:i/>
        </w:rPr>
        <w:t>Om lov om trossamfunn m.m.</w:t>
      </w:r>
      <w:r w:rsidRPr="001C63A4">
        <w:t>, bidro forsøket på å samordne reglene til at det ble utydelig om man kunne stå som medlem av Den norske kirke uten å være døpt. I høringsrunden gikk de kirkelige instanse</w:t>
      </w:r>
      <w:r w:rsidR="00687567">
        <w:t>ne</w:t>
      </w:r>
      <w:r w:rsidRPr="001C63A4">
        <w:t xml:space="preserve"> mot at det skulle etableres lovregler som ga adgang til å bli eller være medlem av Den norske kirke, uten dåp. I Ot.prp. nr. 42 (1967</w:t>
      </w:r>
      <w:r w:rsidR="00DE5EE4">
        <w:t>–</w:t>
      </w:r>
      <w:r w:rsidRPr="001C63A4">
        <w:t xml:space="preserve">68) klargjør derfor departementet "gjeldende rettstilstand [der] så vel barn av </w:t>
      </w:r>
      <w:r w:rsidRPr="001C63A4">
        <w:lastRenderedPageBreak/>
        <w:t xml:space="preserve">statskirkeforeldre som barn i blandede ekteskap "anses henhørende" til statskirken fra fødselen av, mens medlemskap først inntrer ved dåp" (s. 2). </w:t>
      </w:r>
    </w:p>
    <w:p w:rsidR="008D732E" w:rsidRDefault="008D732E" w:rsidP="008D732E">
      <w:r w:rsidRPr="001C63A4">
        <w:t>Begrunnelsen for at man valgte å ta inn tilhørighetsbestemmelser også i trossamfunnsloven, var knyttet til behovet for å likebehandle</w:t>
      </w:r>
      <w:r w:rsidR="00C41922">
        <w:t xml:space="preserve"> i tilskuddssammenheng</w:t>
      </w:r>
      <w:r w:rsidRPr="001C63A4">
        <w:t>. I enkelte trossamfunn regnes barn som fullverdige medlemmer av samfunnet, mens det i andre, som for eksempel praktiserer voksendåp, ikke er slik.</w:t>
      </w:r>
      <w:r>
        <w:t xml:space="preserve"> I forarbeidene til trossamfunnsloven ble det derfor lagt vekt på at </w:t>
      </w:r>
      <w:r w:rsidRPr="001C63A4">
        <w:t xml:space="preserve">ulik praksis som var basert på religiøse oppfatninger, </w:t>
      </w:r>
      <w:r>
        <w:t xml:space="preserve">ikke </w:t>
      </w:r>
      <w:r w:rsidRPr="001C63A4">
        <w:t>burde</w:t>
      </w:r>
      <w:r>
        <w:t xml:space="preserve"> </w:t>
      </w:r>
      <w:r w:rsidRPr="001C63A4">
        <w:t>utløse forskjellsbehandling ved beregning av tilskudd fra det offentlige.</w:t>
      </w:r>
      <w:r>
        <w:t xml:space="preserve"> Lovreglene skulle kun regulere </w:t>
      </w:r>
      <w:r w:rsidRPr="001C63A4">
        <w:t>hvem trossamfunnene kunne kreve tilskudd for, jf. lovens § 19</w:t>
      </w:r>
      <w:r>
        <w:t>. Det var "</w:t>
      </w:r>
      <w:r w:rsidRPr="001C63A4">
        <w:t xml:space="preserve">ikke </w:t>
      </w:r>
      <w:r>
        <w:t>[...]</w:t>
      </w:r>
      <w:r w:rsidRPr="001C63A4">
        <w:t xml:space="preserve"> meningen å gi uttrykk for hvem som er medlemmer i kirkelig eller religiøs forstand", jf. Ot.prp. nr. 27 (1967–68) side 27</w:t>
      </w:r>
      <w:r>
        <w:t xml:space="preserve">. </w:t>
      </w:r>
    </w:p>
    <w:p w:rsidR="008D732E" w:rsidRDefault="008D732E" w:rsidP="008D732E">
      <w:pPr>
        <w:rPr>
          <w:rFonts w:cs="Times New Roman"/>
          <w:szCs w:val="24"/>
        </w:rPr>
      </w:pPr>
      <w:r>
        <w:rPr>
          <w:rFonts w:cs="Times New Roman"/>
          <w:szCs w:val="24"/>
        </w:rPr>
        <w:t xml:space="preserve">Det er flere ulike utfordringer som nå aktualiserer behovet for endringer i reguleringen av medlemskap og tilhørighet. </w:t>
      </w:r>
    </w:p>
    <w:p w:rsidR="008D732E" w:rsidRDefault="008D732E" w:rsidP="008D732E">
      <w:pPr>
        <w:rPr>
          <w:rFonts w:cs="Times New Roman"/>
          <w:szCs w:val="24"/>
        </w:rPr>
      </w:pPr>
      <w:r>
        <w:rPr>
          <w:rFonts w:cs="Times New Roman"/>
          <w:szCs w:val="24"/>
        </w:rPr>
        <w:t>Dagens regulering i flere lover innebærer for det første at Den norske kirke og de andre tros- og livssynssamfunnene behandles ulikt. Etter departementets syn vil det ikke lenger være naturlig å ha ulik regulering av medlemskap i en felles lov. Særlig bør den omtalte forrangsbestemmelsen, som innebærer at et barn regnes å høre inn</w:t>
      </w:r>
      <w:r w:rsidR="00B209E1">
        <w:rPr>
          <w:rFonts w:cs="Times New Roman"/>
          <w:szCs w:val="24"/>
        </w:rPr>
        <w:t xml:space="preserve"> under Den norske kirke dersom é</w:t>
      </w:r>
      <w:r>
        <w:rPr>
          <w:rFonts w:cs="Times New Roman"/>
          <w:szCs w:val="24"/>
        </w:rPr>
        <w:t xml:space="preserve">n av foreldrene er medlem av kirken, endres. Denne regelen har både tros- og livssynssamfunnene og Den norske </w:t>
      </w:r>
      <w:r w:rsidR="00467022">
        <w:rPr>
          <w:rFonts w:cs="Times New Roman"/>
          <w:szCs w:val="24"/>
        </w:rPr>
        <w:t>kirke selv ment at bør oppheves.</w:t>
      </w:r>
      <w:r>
        <w:rPr>
          <w:rFonts w:cs="Times New Roman"/>
          <w:szCs w:val="24"/>
        </w:rPr>
        <w:t xml:space="preserve"> Forskjellsbehandlingen gir seg også utslag i at mens tros- og livssynssamfunnene selv kan fastsette regler om innmelding, vilkår for medlemskap, krav til medlemmer etc., så er noen slike regler for Den norske kirke fastsatt i lovs form.</w:t>
      </w:r>
    </w:p>
    <w:p w:rsidR="008D732E" w:rsidRDefault="008D732E" w:rsidP="008D732E">
      <w:pPr>
        <w:rPr>
          <w:rFonts w:cs="Times New Roman"/>
          <w:szCs w:val="24"/>
        </w:rPr>
      </w:pPr>
      <w:r>
        <w:rPr>
          <w:rFonts w:cs="Times New Roman"/>
          <w:szCs w:val="24"/>
        </w:rPr>
        <w:t xml:space="preserve">Det er dessuten slik at </w:t>
      </w:r>
      <w:r w:rsidR="00B209E1">
        <w:rPr>
          <w:rFonts w:cs="Times New Roman"/>
          <w:szCs w:val="24"/>
        </w:rPr>
        <w:t>bestemmelsene</w:t>
      </w:r>
      <w:r>
        <w:rPr>
          <w:rFonts w:cs="Times New Roman"/>
          <w:szCs w:val="24"/>
        </w:rPr>
        <w:t xml:space="preserve"> om tilhørighet i praksis så godt som utelukkende er en regulering av "tilskuddsutløsende" tilhørighet. Den har som formål å fastlegge grunnlaget for å kunne beregne størrelsen på tilskuddet tros- eller livssyn</w:t>
      </w:r>
      <w:r w:rsidR="00687567">
        <w:rPr>
          <w:rFonts w:cs="Times New Roman"/>
          <w:szCs w:val="24"/>
        </w:rPr>
        <w:t>s</w:t>
      </w:r>
      <w:r>
        <w:rPr>
          <w:rFonts w:cs="Times New Roman"/>
          <w:szCs w:val="24"/>
        </w:rPr>
        <w:t>samfunnene har rett til etter loven. En endring av ordningen og kriteriene for fastsetting av tilskudd vil ha innvirkning på behovet for å lovregulere tilhørigheten.</w:t>
      </w:r>
    </w:p>
    <w:p w:rsidR="008D732E" w:rsidRPr="002C0041" w:rsidRDefault="008D732E" w:rsidP="008D732E">
      <w:pPr>
        <w:rPr>
          <w:rFonts w:cs="Times New Roman"/>
          <w:szCs w:val="24"/>
        </w:rPr>
      </w:pPr>
      <w:r>
        <w:rPr>
          <w:rFonts w:cs="Times New Roman"/>
          <w:szCs w:val="24"/>
        </w:rPr>
        <w:t>Blant de mest omdiskuterte lovbestemmelsene er de som regulerer barns religiøse tilhørighet. Behovet for å gi slike regler er knyttet til forutsetningen om at antallet barn skal inngå i tilskuddsgrunnlaget.</w:t>
      </w:r>
      <w:r w:rsidRPr="00442FAA">
        <w:rPr>
          <w:rFonts w:cs="Times New Roman"/>
          <w:szCs w:val="24"/>
        </w:rPr>
        <w:t xml:space="preserve"> </w:t>
      </w:r>
      <w:r>
        <w:rPr>
          <w:rFonts w:cs="Times New Roman"/>
          <w:szCs w:val="24"/>
        </w:rPr>
        <w:t>Også her vil endring av ordningen og kriteriene for fastsetting av tilskudd endre behovet for lovregulering. I tillegg er det behov for å harmonisere trossamfunnslovgivningen med barneloven og barnekonvensjonens bestemmelser om barnets rett til å bli hørt i saker som gjelder deres religiøse tilhørighet. Her er ikke reglene i trossamfunnsloven endret siden 1969 og avviker følgelig fra gjelden</w:t>
      </w:r>
      <w:r w:rsidR="002C0041">
        <w:rPr>
          <w:rFonts w:cs="Times New Roman"/>
          <w:szCs w:val="24"/>
        </w:rPr>
        <w:t xml:space="preserve">de rett på barnelovens område. </w:t>
      </w:r>
    </w:p>
    <w:p w:rsidR="00CD3CCD" w:rsidRDefault="00EA350D" w:rsidP="00EA350D">
      <w:pPr>
        <w:pStyle w:val="Overskrift2"/>
      </w:pPr>
      <w:bookmarkStart w:id="3011" w:name="_Toc481761886"/>
      <w:bookmarkStart w:id="3012" w:name="_Toc492900538"/>
      <w:bookmarkStart w:id="3013" w:name="_Toc472326864"/>
      <w:r>
        <w:t>NOU 2013:</w:t>
      </w:r>
      <w:r w:rsidR="008D732E">
        <w:t xml:space="preserve"> </w:t>
      </w:r>
      <w:r>
        <w:t>1 og høringen</w:t>
      </w:r>
      <w:bookmarkEnd w:id="3011"/>
      <w:bookmarkEnd w:id="3012"/>
    </w:p>
    <w:p w:rsidR="00EA4E4F" w:rsidRDefault="008D732E" w:rsidP="002C0041">
      <w:pPr>
        <w:rPr>
          <w:rFonts w:cs="Times New Roman"/>
          <w:szCs w:val="24"/>
        </w:rPr>
      </w:pPr>
      <w:r>
        <w:t>I Stålsett</w:t>
      </w:r>
      <w:r w:rsidR="00200FF6">
        <w:t>-</w:t>
      </w:r>
      <w:r>
        <w:t>utvalgets utredning blir både medlemskap og barns rettigheter tematisert. Utvalget foreslo blant annet å oppheve den såkalte forrangsbestemmelsen, avvikle ordningen</w:t>
      </w:r>
      <w:r w:rsidR="00F11320">
        <w:t>e</w:t>
      </w:r>
      <w:r>
        <w:t xml:space="preserve"> med automatisk tilhørighet</w:t>
      </w:r>
      <w:r w:rsidR="00F11320">
        <w:t xml:space="preserve"> </w:t>
      </w:r>
      <w:r w:rsidR="00465716">
        <w:t xml:space="preserve">for barn </w:t>
      </w:r>
      <w:r w:rsidR="00F11320">
        <w:t xml:space="preserve">og </w:t>
      </w:r>
      <w:r w:rsidR="00306ADD">
        <w:t xml:space="preserve">fødselsmeldinger (det </w:t>
      </w:r>
      <w:r w:rsidR="00F11320">
        <w:t>at jordmor eller lege på fødselsmeldingen til folkeregisteret skal gi melding om</w:t>
      </w:r>
      <w:r w:rsidR="0058244B">
        <w:t xml:space="preserve"> foreldrenes, eventuelt</w:t>
      </w:r>
      <w:r w:rsidR="00F11320">
        <w:t xml:space="preserve"> mor</w:t>
      </w:r>
      <w:r w:rsidR="0058244B">
        <w:t xml:space="preserve"> </w:t>
      </w:r>
      <w:r w:rsidR="00F11320">
        <w:t>eller fars</w:t>
      </w:r>
      <w:r w:rsidR="0058244B">
        <w:t>,</w:t>
      </w:r>
      <w:r w:rsidR="00F11320">
        <w:t xml:space="preserve"> trossamfunnstilhørighet</w:t>
      </w:r>
      <w:r w:rsidR="00306ADD">
        <w:t>, og at denne meldingen så sendes videre til vedkommende trossamfunn)</w:t>
      </w:r>
      <w:r>
        <w:t xml:space="preserve">, </w:t>
      </w:r>
      <w:r w:rsidR="004548E2">
        <w:t xml:space="preserve">og </w:t>
      </w:r>
      <w:r>
        <w:t>innføre et krav om skriftlig samtykke fra fylte 12 år for inn</w:t>
      </w:r>
      <w:r w:rsidR="00200FF6">
        <w:t>-</w:t>
      </w:r>
      <w:r>
        <w:t xml:space="preserve"> og utmelding </w:t>
      </w:r>
      <w:r w:rsidR="00200FF6">
        <w:t>i</w:t>
      </w:r>
      <w:r>
        <w:t xml:space="preserve"> tros- og livssynssamfunn</w:t>
      </w:r>
      <w:r w:rsidR="004548E2">
        <w:t>. Videre inneholdt utvalgets lovforslag en bestemmelse om</w:t>
      </w:r>
      <w:r>
        <w:t xml:space="preserve"> </w:t>
      </w:r>
      <w:r w:rsidR="006C44BA">
        <w:t>at</w:t>
      </w:r>
      <w:r>
        <w:t xml:space="preserve"> </w:t>
      </w:r>
      <w:r w:rsidR="00D0668B">
        <w:t>dobbeltmedlemmer, dvs. personer som</w:t>
      </w:r>
      <w:r>
        <w:t xml:space="preserve"> </w:t>
      </w:r>
      <w:r w:rsidR="006C44BA">
        <w:t>står</w:t>
      </w:r>
      <w:r>
        <w:t xml:space="preserve"> oppført i flere </w:t>
      </w:r>
      <w:r w:rsidR="006C44BA">
        <w:t>tros- eller livssynssamfunn</w:t>
      </w:r>
      <w:r w:rsidR="00D0668B">
        <w:t xml:space="preserve">, skal </w:t>
      </w:r>
      <w:r w:rsidR="00D0668B">
        <w:lastRenderedPageBreak/>
        <w:t xml:space="preserve">tilskrives </w:t>
      </w:r>
      <w:r w:rsidR="00EA4E4F">
        <w:t xml:space="preserve">av staten </w:t>
      </w:r>
      <w:r w:rsidR="00D0668B">
        <w:t>og gis mulighet til å avklare hvilket samfunn som skal få tilskudd</w:t>
      </w:r>
      <w:r>
        <w:t xml:space="preserve">. </w:t>
      </w:r>
      <w:r w:rsidR="004548E2">
        <w:rPr>
          <w:rFonts w:cs="Times New Roman"/>
          <w:szCs w:val="24"/>
        </w:rPr>
        <w:t xml:space="preserve">Ved fortsatt dobbeltmedlemskap etter en slik avklaringsrunde, </w:t>
      </w:r>
      <w:r w:rsidR="00EA4E4F">
        <w:rPr>
          <w:rFonts w:cs="Times New Roman"/>
          <w:szCs w:val="24"/>
        </w:rPr>
        <w:t>skal</w:t>
      </w:r>
      <w:r w:rsidR="004548E2">
        <w:rPr>
          <w:rFonts w:cs="Times New Roman"/>
          <w:szCs w:val="24"/>
        </w:rPr>
        <w:t xml:space="preserve"> ingen av samfunnene motta tilskudd for vedkommende. </w:t>
      </w:r>
    </w:p>
    <w:p w:rsidR="004214DB" w:rsidRDefault="004214DB" w:rsidP="004214DB">
      <w:pPr>
        <w:rPr>
          <w:rFonts w:cs="Times New Roman"/>
          <w:szCs w:val="24"/>
        </w:rPr>
      </w:pPr>
      <w:r>
        <w:rPr>
          <w:rFonts w:cs="Times New Roman"/>
          <w:szCs w:val="24"/>
        </w:rPr>
        <w:t xml:space="preserve">Utvalget foreslo at kun personer som er bosatt i riket, skal telle med i beregningen av tilskudd til tros- og livssynssamfunn utenom Den norske kirke. Etter gjeldende lovgivning kan samfunnene få tilskudd for norske borgere bosatt i utlandet, mens utenlandske borgere må være bosatt i riket. I begrunnelsen for forslaget vektla utvalget at datagrunnlaget og kontrollmulighetene kan være utfordrende når det gjelder norske statsborgere bosatt i utlandet, og at den religiøse og livssynsmessige betjeningen som samfunnene yter, i første rekke omfatter personer som bor i Norge. Forslaget ble i liten grad berørt i høringen av utvalgets innstilling. Norges Kristne Råd (NKR) ga tilslutning til forslaget. </w:t>
      </w:r>
    </w:p>
    <w:p w:rsidR="008D732E" w:rsidRDefault="008D732E" w:rsidP="002C0041">
      <w:pPr>
        <w:rPr>
          <w:rFonts w:cs="Times New Roman"/>
          <w:szCs w:val="24"/>
        </w:rPr>
      </w:pPr>
      <w:r>
        <w:t xml:space="preserve">Utvalget vurderte også å innføre en </w:t>
      </w:r>
      <w:r w:rsidR="00F67989">
        <w:t xml:space="preserve">aldergrense på </w:t>
      </w:r>
      <w:r>
        <w:t>15</w:t>
      </w:r>
      <w:r w:rsidR="00F67989">
        <w:t xml:space="preserve"> eller 18 år</w:t>
      </w:r>
      <w:r>
        <w:t xml:space="preserve"> for tilskuddstellende medlemskap, men fant å ikke anbefale dette av hensyn </w:t>
      </w:r>
      <w:r>
        <w:rPr>
          <w:rFonts w:cs="Times New Roman"/>
          <w:szCs w:val="24"/>
        </w:rPr>
        <w:t xml:space="preserve">til anerkjennelsen av barns tilhørighet til tros- og livssynssamfunn og de omfordelingsvirkningene utvalget mente ville inntreffe (trossamfunn med mange barn ville tape på omleggingen, mens trossamfunn med få barn ville tjene på omleggingen). </w:t>
      </w:r>
    </w:p>
    <w:p w:rsidR="008D732E" w:rsidRDefault="008D732E" w:rsidP="008D732E">
      <w:pPr>
        <w:rPr>
          <w:rFonts w:cs="Times New Roman"/>
          <w:szCs w:val="24"/>
        </w:rPr>
      </w:pPr>
      <w:r w:rsidRPr="001C63A4">
        <w:rPr>
          <w:rFonts w:cs="Times New Roman"/>
          <w:szCs w:val="24"/>
        </w:rPr>
        <w:t>I høring</w:t>
      </w:r>
      <w:r w:rsidR="004214DB">
        <w:rPr>
          <w:rFonts w:cs="Times New Roman"/>
          <w:szCs w:val="24"/>
        </w:rPr>
        <w:t xml:space="preserve">en </w:t>
      </w:r>
      <w:r w:rsidRPr="001C63A4">
        <w:rPr>
          <w:rFonts w:cs="Times New Roman"/>
          <w:szCs w:val="24"/>
        </w:rPr>
        <w:t>ga Kirkerådet</w:t>
      </w:r>
      <w:r>
        <w:rPr>
          <w:rFonts w:cs="Times New Roman"/>
          <w:szCs w:val="24"/>
        </w:rPr>
        <w:t xml:space="preserve">, </w:t>
      </w:r>
      <w:r w:rsidR="004214DB">
        <w:rPr>
          <w:rFonts w:cs="Times New Roman"/>
          <w:szCs w:val="24"/>
        </w:rPr>
        <w:t>NKR</w:t>
      </w:r>
      <w:r w:rsidRPr="001C63A4">
        <w:rPr>
          <w:rFonts w:cs="Times New Roman"/>
          <w:szCs w:val="24"/>
        </w:rPr>
        <w:t xml:space="preserve"> og STL </w:t>
      </w:r>
      <w:r w:rsidR="00764DDE">
        <w:rPr>
          <w:rFonts w:cs="Times New Roman"/>
          <w:szCs w:val="24"/>
        </w:rPr>
        <w:t xml:space="preserve">alle </w:t>
      </w:r>
      <w:r w:rsidRPr="001C63A4">
        <w:rPr>
          <w:rFonts w:cs="Times New Roman"/>
          <w:szCs w:val="24"/>
        </w:rPr>
        <w:t>uttrykk for at det ikke var ønskelig med ulike regler for medlemskap og tilhørighet i Den norske kirke og andre tros- og livssynssamfunn.</w:t>
      </w:r>
      <w:r>
        <w:rPr>
          <w:rFonts w:cs="Times New Roman"/>
          <w:szCs w:val="24"/>
        </w:rPr>
        <w:t xml:space="preserve"> Det var full tilslutning til at forrangsbestemmelsen burde oppheves. De fleste av tros- og livssynssamfunnene </w:t>
      </w:r>
      <w:r w:rsidR="004548E2">
        <w:rPr>
          <w:rFonts w:cs="Times New Roman"/>
          <w:szCs w:val="24"/>
        </w:rPr>
        <w:t>i STL</w:t>
      </w:r>
      <w:r>
        <w:rPr>
          <w:rFonts w:cs="Times New Roman"/>
          <w:szCs w:val="24"/>
        </w:rPr>
        <w:t xml:space="preserve"> mente også </w:t>
      </w:r>
      <w:r w:rsidR="00C41922">
        <w:rPr>
          <w:rFonts w:cs="Times New Roman"/>
          <w:szCs w:val="24"/>
        </w:rPr>
        <w:t xml:space="preserve">at </w:t>
      </w:r>
      <w:r>
        <w:rPr>
          <w:rFonts w:cs="Times New Roman"/>
          <w:szCs w:val="24"/>
        </w:rPr>
        <w:t xml:space="preserve">ordningen med automatisk tilhørighet </w:t>
      </w:r>
      <w:r w:rsidR="004548E2">
        <w:rPr>
          <w:rFonts w:cs="Times New Roman"/>
          <w:szCs w:val="24"/>
        </w:rPr>
        <w:t xml:space="preserve">fra fødselen av </w:t>
      </w:r>
      <w:r>
        <w:rPr>
          <w:rFonts w:cs="Times New Roman"/>
          <w:szCs w:val="24"/>
        </w:rPr>
        <w:t>burde oppheves, mens NKR og Den norske kirke primært ønsket den videreført – men da under forutsetning av at alle fikk lik tilgang til fødselsmeld</w:t>
      </w:r>
      <w:r w:rsidR="00F4170E">
        <w:rPr>
          <w:rFonts w:cs="Times New Roman"/>
          <w:szCs w:val="24"/>
        </w:rPr>
        <w:t>inger</w:t>
      </w:r>
      <w:r w:rsidR="00F11320">
        <w:rPr>
          <w:rFonts w:cs="Times New Roman"/>
          <w:szCs w:val="24"/>
        </w:rPr>
        <w:t xml:space="preserve"> fra folkeregisteret. I dag fungerer </w:t>
      </w:r>
      <w:r w:rsidR="00234A87">
        <w:rPr>
          <w:rFonts w:cs="Times New Roman"/>
          <w:szCs w:val="24"/>
        </w:rPr>
        <w:t>tilgangen på</w:t>
      </w:r>
      <w:r>
        <w:rPr>
          <w:rFonts w:cs="Times New Roman"/>
          <w:szCs w:val="24"/>
        </w:rPr>
        <w:t xml:space="preserve"> fødselsmeldinger i praksis kun i Den norske kirke, jf. NOU 2013: 1 s. 378. </w:t>
      </w:r>
    </w:p>
    <w:p w:rsidR="008D732E" w:rsidRPr="008D732E" w:rsidRDefault="008D732E" w:rsidP="008D732E">
      <w:r>
        <w:rPr>
          <w:rFonts w:cs="Times New Roman"/>
          <w:szCs w:val="24"/>
        </w:rPr>
        <w:t xml:space="preserve">Spørsmålet om skriftlig samtykke fra fylte 12 år var det få som uttalte seg om. </w:t>
      </w:r>
      <w:r w:rsidR="004548E2">
        <w:rPr>
          <w:rFonts w:cs="Times New Roman"/>
          <w:szCs w:val="24"/>
        </w:rPr>
        <w:t>Blant instansene som kommenterte</w:t>
      </w:r>
      <w:r>
        <w:rPr>
          <w:rFonts w:cs="Times New Roman"/>
          <w:szCs w:val="24"/>
        </w:rPr>
        <w:t xml:space="preserve"> </w:t>
      </w:r>
      <w:r w:rsidR="003D50CC">
        <w:rPr>
          <w:rFonts w:cs="Times New Roman"/>
          <w:szCs w:val="24"/>
        </w:rPr>
        <w:t>dette</w:t>
      </w:r>
      <w:r>
        <w:rPr>
          <w:rFonts w:cs="Times New Roman"/>
          <w:szCs w:val="24"/>
        </w:rPr>
        <w:t xml:space="preserve">, var det </w:t>
      </w:r>
      <w:r w:rsidR="004548E2">
        <w:rPr>
          <w:rFonts w:cs="Times New Roman"/>
          <w:szCs w:val="24"/>
        </w:rPr>
        <w:t xml:space="preserve">et </w:t>
      </w:r>
      <w:r>
        <w:rPr>
          <w:rFonts w:cs="Times New Roman"/>
          <w:szCs w:val="24"/>
        </w:rPr>
        <w:t xml:space="preserve">flertall for å innføre et slikt krav. Det samme var tilfelle for utvalgets forslag om å </w:t>
      </w:r>
      <w:r w:rsidR="003D50CC">
        <w:rPr>
          <w:rFonts w:cs="Times New Roman"/>
          <w:szCs w:val="24"/>
        </w:rPr>
        <w:t xml:space="preserve">tilskrive dobbeltmedlemmene for </w:t>
      </w:r>
      <w:r w:rsidR="00EA4E4F">
        <w:rPr>
          <w:rFonts w:cs="Times New Roman"/>
          <w:szCs w:val="24"/>
        </w:rPr>
        <w:t>avklaring av</w:t>
      </w:r>
      <w:r w:rsidR="003D50CC">
        <w:rPr>
          <w:rFonts w:cs="Times New Roman"/>
          <w:szCs w:val="24"/>
        </w:rPr>
        <w:t xml:space="preserve"> tilskudd ved</w:t>
      </w:r>
      <w:r w:rsidR="00EA4E4F">
        <w:rPr>
          <w:rFonts w:cs="Times New Roman"/>
          <w:szCs w:val="24"/>
        </w:rPr>
        <w:t xml:space="preserve"> dobbeltmedlemskap. </w:t>
      </w:r>
      <w:r>
        <w:rPr>
          <w:rFonts w:cs="Times New Roman"/>
          <w:szCs w:val="24"/>
        </w:rPr>
        <w:t xml:space="preserve"> </w:t>
      </w:r>
    </w:p>
    <w:p w:rsidR="00F70771" w:rsidRDefault="00F70771" w:rsidP="00F70771">
      <w:pPr>
        <w:pStyle w:val="Overskrift2"/>
      </w:pPr>
      <w:bookmarkStart w:id="3014" w:name="_Toc476320978"/>
      <w:bookmarkStart w:id="3015" w:name="_Toc477277349"/>
      <w:bookmarkStart w:id="3016" w:name="_Toc477535868"/>
      <w:bookmarkStart w:id="3017" w:name="_Toc477631000"/>
      <w:bookmarkStart w:id="3018" w:name="_Toc477693964"/>
      <w:bookmarkStart w:id="3019" w:name="_Toc477704390"/>
      <w:bookmarkStart w:id="3020" w:name="_Toc477799631"/>
      <w:bookmarkStart w:id="3021" w:name="_Toc477806232"/>
      <w:bookmarkStart w:id="3022" w:name="_Toc477870991"/>
      <w:bookmarkStart w:id="3023" w:name="_Toc477871892"/>
      <w:bookmarkStart w:id="3024" w:name="_Toc477878494"/>
      <w:bookmarkStart w:id="3025" w:name="_Toc477881898"/>
      <w:bookmarkStart w:id="3026" w:name="_Toc477886360"/>
      <w:bookmarkStart w:id="3027" w:name="_Toc478131472"/>
      <w:bookmarkStart w:id="3028" w:name="_Toc478138842"/>
      <w:bookmarkStart w:id="3029" w:name="_Toc478232366"/>
      <w:bookmarkStart w:id="3030" w:name="_Toc478237351"/>
      <w:bookmarkStart w:id="3031" w:name="_Toc481761887"/>
      <w:bookmarkStart w:id="3032" w:name="_Toc492900539"/>
      <w:r>
        <w:t>D</w:t>
      </w:r>
      <w:r w:rsidRPr="00653599">
        <w:t>epartementets vurderinger</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p>
    <w:p w:rsidR="008D732E" w:rsidRDefault="008D732E" w:rsidP="002048D0">
      <w:pPr>
        <w:pStyle w:val="Overskrift3"/>
      </w:pPr>
      <w:bookmarkStart w:id="3033" w:name="_Toc481761888"/>
      <w:bookmarkStart w:id="3034" w:name="_Toc492900540"/>
      <w:r>
        <w:t>Innledende betraktninger</w:t>
      </w:r>
      <w:bookmarkEnd w:id="3033"/>
      <w:bookmarkEnd w:id="3034"/>
    </w:p>
    <w:p w:rsidR="002048D0" w:rsidRDefault="002048D0" w:rsidP="002048D0">
      <w:r w:rsidRPr="001C63A4">
        <w:t>Departementet mener det er behov</w:t>
      </w:r>
      <w:r>
        <w:t xml:space="preserve"> og mulighet</w:t>
      </w:r>
      <w:r w:rsidRPr="001C63A4">
        <w:t xml:space="preserve"> for å forenkle og samordne reglene om tilhørighet og medlemskap</w:t>
      </w:r>
      <w:r>
        <w:t xml:space="preserve"> i tros- og livssynssamfunn</w:t>
      </w:r>
      <w:r w:rsidRPr="001C63A4">
        <w:t>.</w:t>
      </w:r>
      <w:r>
        <w:t xml:space="preserve"> B</w:t>
      </w:r>
      <w:r w:rsidRPr="001C63A4">
        <w:t>estemmelsene som regulerer området</w:t>
      </w:r>
      <w:r w:rsidR="00B209E1">
        <w:t>,</w:t>
      </w:r>
      <w:r w:rsidRPr="001C63A4">
        <w:t xml:space="preserve"> bør være felles og bare unntaksvis inngå i </w:t>
      </w:r>
      <w:r w:rsidR="00687567">
        <w:t xml:space="preserve">den nye lovens </w:t>
      </w:r>
      <w:r w:rsidRPr="001C63A4">
        <w:t>kapit</w:t>
      </w:r>
      <w:r w:rsidR="00687567">
        <w:t>tel</w:t>
      </w:r>
      <w:r w:rsidRPr="001C63A4">
        <w:t xml:space="preserve"> om Den norske kirke.</w:t>
      </w:r>
      <w:r>
        <w:t xml:space="preserve"> </w:t>
      </w:r>
    </w:p>
    <w:p w:rsidR="002048D0" w:rsidRDefault="002048D0" w:rsidP="002048D0">
      <w:pPr>
        <w:rPr>
          <w:rFonts w:cs="Times New Roman"/>
          <w:szCs w:val="24"/>
        </w:rPr>
      </w:pPr>
      <w:r>
        <w:rPr>
          <w:rFonts w:cs="Times New Roman"/>
          <w:szCs w:val="24"/>
        </w:rPr>
        <w:t xml:space="preserve">Som </w:t>
      </w:r>
      <w:r w:rsidR="00687567">
        <w:rPr>
          <w:rFonts w:cs="Times New Roman"/>
          <w:szCs w:val="24"/>
        </w:rPr>
        <w:t>nevnt</w:t>
      </w:r>
      <w:r>
        <w:rPr>
          <w:rFonts w:cs="Times New Roman"/>
          <w:szCs w:val="24"/>
        </w:rPr>
        <w:t xml:space="preserve"> i kapittel 9 </w:t>
      </w:r>
      <w:r w:rsidR="001921B6">
        <w:rPr>
          <w:rFonts w:cs="Times New Roman"/>
          <w:szCs w:val="24"/>
        </w:rPr>
        <w:t xml:space="preserve">tar ikke </w:t>
      </w:r>
      <w:r>
        <w:rPr>
          <w:rFonts w:cs="Times New Roman"/>
          <w:szCs w:val="24"/>
        </w:rPr>
        <w:t xml:space="preserve">departementet </w:t>
      </w:r>
      <w:r w:rsidR="001921B6">
        <w:rPr>
          <w:rFonts w:cs="Times New Roman"/>
          <w:szCs w:val="24"/>
        </w:rPr>
        <w:t xml:space="preserve">opp forslag om </w:t>
      </w:r>
      <w:r>
        <w:rPr>
          <w:rFonts w:cs="Times New Roman"/>
          <w:szCs w:val="24"/>
        </w:rPr>
        <w:t xml:space="preserve">at tilskuddet til Den norske kirke </w:t>
      </w:r>
      <w:r w:rsidR="00687567">
        <w:rPr>
          <w:rFonts w:cs="Times New Roman"/>
          <w:szCs w:val="24"/>
        </w:rPr>
        <w:t xml:space="preserve">skal utmåles etter </w:t>
      </w:r>
      <w:r>
        <w:rPr>
          <w:rFonts w:cs="Times New Roman"/>
          <w:szCs w:val="24"/>
        </w:rPr>
        <w:t>antallet medlemmer i kirken. For tilskuddet til tros- og livssynssamfunn utenom Den norske kirke</w:t>
      </w:r>
      <w:r w:rsidR="00D760AF">
        <w:rPr>
          <w:rFonts w:cs="Times New Roman"/>
          <w:szCs w:val="24"/>
        </w:rPr>
        <w:t xml:space="preserve">, mener </w:t>
      </w:r>
      <w:r>
        <w:rPr>
          <w:rFonts w:cs="Times New Roman"/>
          <w:szCs w:val="24"/>
        </w:rPr>
        <w:t>departementet at dette fortsatt bør gis som en støtte p</w:t>
      </w:r>
      <w:r w:rsidR="00687567">
        <w:rPr>
          <w:rFonts w:cs="Times New Roman"/>
          <w:szCs w:val="24"/>
        </w:rPr>
        <w:t>er</w:t>
      </w:r>
      <w:r>
        <w:rPr>
          <w:rFonts w:cs="Times New Roman"/>
          <w:szCs w:val="24"/>
        </w:rPr>
        <w:t xml:space="preserve"> medlem</w:t>
      </w:r>
      <w:r w:rsidR="00687567">
        <w:rPr>
          <w:rFonts w:cs="Times New Roman"/>
          <w:szCs w:val="24"/>
        </w:rPr>
        <w:t>,</w:t>
      </w:r>
      <w:r>
        <w:rPr>
          <w:rFonts w:cs="Times New Roman"/>
          <w:szCs w:val="24"/>
        </w:rPr>
        <w:t xml:space="preserve"> basert på </w:t>
      </w:r>
      <w:r w:rsidR="00687567">
        <w:rPr>
          <w:rFonts w:cs="Times New Roman"/>
          <w:szCs w:val="24"/>
        </w:rPr>
        <w:t>medlems</w:t>
      </w:r>
      <w:r>
        <w:rPr>
          <w:rFonts w:cs="Times New Roman"/>
          <w:szCs w:val="24"/>
        </w:rPr>
        <w:t>lister med fødselsnummer</w:t>
      </w:r>
      <w:r w:rsidR="00D760AF">
        <w:rPr>
          <w:rFonts w:cs="Times New Roman"/>
          <w:szCs w:val="24"/>
        </w:rPr>
        <w:t>, jf. kapittel 14.</w:t>
      </w:r>
      <w:r>
        <w:rPr>
          <w:rFonts w:cs="Times New Roman"/>
          <w:szCs w:val="24"/>
        </w:rPr>
        <w:t xml:space="preserve"> Det</w:t>
      </w:r>
      <w:r w:rsidR="00687567">
        <w:rPr>
          <w:rFonts w:cs="Times New Roman"/>
          <w:szCs w:val="24"/>
        </w:rPr>
        <w:t>te</w:t>
      </w:r>
      <w:r>
        <w:rPr>
          <w:rFonts w:cs="Times New Roman"/>
          <w:szCs w:val="24"/>
        </w:rPr>
        <w:t xml:space="preserve"> innebærer bla</w:t>
      </w:r>
      <w:r w:rsidR="00687567">
        <w:rPr>
          <w:rFonts w:cs="Times New Roman"/>
          <w:szCs w:val="24"/>
        </w:rPr>
        <w:t xml:space="preserve">nt annet </w:t>
      </w:r>
      <w:r>
        <w:rPr>
          <w:rFonts w:cs="Times New Roman"/>
          <w:szCs w:val="24"/>
        </w:rPr>
        <w:t xml:space="preserve">at det å tilhøre eller være medlem av et tilskuddsberettiget tros- eller livssynssamfunn vil utløse en rett til tilskudd etter loven. I en slik ordning vil det etter departementets syn fortsatt være behov for å lovregulere hvem samfunnene kan kreve tilskudd for. Det vil fremdeles også være behov for nærmere regler om registerføring og kontroll med hvem det kan kreves tilskudd for, samt regler for inn- og utmelding. </w:t>
      </w:r>
    </w:p>
    <w:p w:rsidR="002048D0" w:rsidRDefault="002048D0" w:rsidP="002048D0">
      <w:pPr>
        <w:pStyle w:val="Overskrift3"/>
      </w:pPr>
      <w:bookmarkStart w:id="3035" w:name="_Toc481761889"/>
      <w:bookmarkStart w:id="3036" w:name="_Toc492900541"/>
      <w:r>
        <w:lastRenderedPageBreak/>
        <w:t>Regler om inn- og utmelding</w:t>
      </w:r>
      <w:bookmarkEnd w:id="3035"/>
      <w:bookmarkEnd w:id="3036"/>
    </w:p>
    <w:p w:rsidR="00764DDE" w:rsidRDefault="002048D0" w:rsidP="0000108B">
      <w:pPr>
        <w:rPr>
          <w:rFonts w:cs="Times New Roman"/>
          <w:szCs w:val="24"/>
        </w:rPr>
      </w:pPr>
      <w:r>
        <w:rPr>
          <w:rFonts w:cs="Times New Roman"/>
          <w:szCs w:val="24"/>
        </w:rPr>
        <w:t>Departementet mener at reglene for inn- og utmelding av tros- og livssynssamfunn bør gjelde uavhengig av om samfunnet er registrert eller mottar tilskudd etter loven.</w:t>
      </w:r>
    </w:p>
    <w:p w:rsidR="00764DDE" w:rsidRDefault="00764DDE" w:rsidP="0000108B">
      <w:pPr>
        <w:rPr>
          <w:rFonts w:cs="Times New Roman"/>
          <w:szCs w:val="24"/>
        </w:rPr>
      </w:pPr>
      <w:r w:rsidRPr="00764DDE">
        <w:rPr>
          <w:rFonts w:cs="Times New Roman"/>
          <w:szCs w:val="24"/>
        </w:rPr>
        <w:t>Hvem samfunnene selv regner som medlemmer ut fra sine interne regler og hvem som etter loven regnes som tilskuddstellende medlemmer</w:t>
      </w:r>
      <w:r>
        <w:rPr>
          <w:rFonts w:cs="Times New Roman"/>
          <w:szCs w:val="24"/>
        </w:rPr>
        <w:t>,</w:t>
      </w:r>
      <w:r w:rsidRPr="00764DDE">
        <w:rPr>
          <w:rFonts w:cs="Times New Roman"/>
          <w:szCs w:val="24"/>
        </w:rPr>
        <w:t xml:space="preserve"> vil ikke være fullt ut sammenfallende. Etter lovforslaget vil bare personer som har fylt 15 år, som selv har meldt seg inn, eller som har blitt innmeldt av foreldre eller verge, som er bosatt i riket og ikke er medlem i Den norske kirke eller et annet registrert tros- eller livssynssamfunn, regnes s</w:t>
      </w:r>
      <w:r w:rsidR="00BE1100">
        <w:rPr>
          <w:rFonts w:cs="Times New Roman"/>
          <w:szCs w:val="24"/>
        </w:rPr>
        <w:t xml:space="preserve">om tilskuddstellende medlemmer, jf. lovutkastet § 3 og omtale i kapittel 7 og pkt. 18.4.4 nedenfor. </w:t>
      </w:r>
      <w:r w:rsidRPr="00764DDE">
        <w:rPr>
          <w:rFonts w:cs="Times New Roman"/>
          <w:szCs w:val="24"/>
        </w:rPr>
        <w:t>D</w:t>
      </w:r>
      <w:r>
        <w:rPr>
          <w:rFonts w:cs="Times New Roman"/>
          <w:szCs w:val="24"/>
        </w:rPr>
        <w:t>isse lovregulerte forholdene</w:t>
      </w:r>
      <w:r w:rsidRPr="00764DDE">
        <w:rPr>
          <w:rFonts w:cs="Times New Roman"/>
          <w:szCs w:val="24"/>
        </w:rPr>
        <w:t xml:space="preserve"> er ikke til hinder for at ett samfunn i sine interne regler kan regne døpte barn som medlemmer, mens et annet samfunn kan reservere fulle medlemsrettigheter for nattverdsøkende personer over 18 år, og et annet samfunn igjen regne medlemmers barn som automatisk tilhør</w:t>
      </w:r>
      <w:r>
        <w:rPr>
          <w:rFonts w:cs="Times New Roman"/>
          <w:szCs w:val="24"/>
        </w:rPr>
        <w:t xml:space="preserve">ende </w:t>
      </w:r>
      <w:r w:rsidR="00B209E1">
        <w:rPr>
          <w:rFonts w:cs="Times New Roman"/>
          <w:szCs w:val="24"/>
        </w:rPr>
        <w:t>samfunnet</w:t>
      </w:r>
      <w:r>
        <w:rPr>
          <w:rFonts w:cs="Times New Roman"/>
          <w:szCs w:val="24"/>
        </w:rPr>
        <w:t xml:space="preserve"> fra fødselen av.</w:t>
      </w:r>
    </w:p>
    <w:p w:rsidR="0031500D" w:rsidRDefault="000E618B" w:rsidP="0000108B">
      <w:pPr>
        <w:rPr>
          <w:rFonts w:cs="Times New Roman"/>
          <w:szCs w:val="24"/>
        </w:rPr>
      </w:pPr>
      <w:r>
        <w:rPr>
          <w:rFonts w:cs="Times New Roman"/>
          <w:szCs w:val="24"/>
        </w:rPr>
        <w:t>For Den norske kirke vil det ikke være nødvendig å sette begrens</w:t>
      </w:r>
      <w:r w:rsidR="001921B6">
        <w:rPr>
          <w:rFonts w:cs="Times New Roman"/>
          <w:szCs w:val="24"/>
        </w:rPr>
        <w:t>n</w:t>
      </w:r>
      <w:r>
        <w:rPr>
          <w:rFonts w:cs="Times New Roman"/>
          <w:szCs w:val="24"/>
        </w:rPr>
        <w:t xml:space="preserve">inger knyttet til hvem </w:t>
      </w:r>
      <w:r w:rsidR="00D827FF">
        <w:rPr>
          <w:rFonts w:cs="Times New Roman"/>
          <w:szCs w:val="24"/>
        </w:rPr>
        <w:t xml:space="preserve">som kan inngå i antallskravet og hvem </w:t>
      </w:r>
      <w:r>
        <w:rPr>
          <w:rFonts w:cs="Times New Roman"/>
          <w:szCs w:val="24"/>
        </w:rPr>
        <w:t xml:space="preserve">det kan kreves tilskudd for, </w:t>
      </w:r>
      <w:r w:rsidR="0000108B">
        <w:rPr>
          <w:rFonts w:cs="Times New Roman"/>
          <w:szCs w:val="24"/>
        </w:rPr>
        <w:t xml:space="preserve">da tilskudd til </w:t>
      </w:r>
      <w:r w:rsidR="00D760AF">
        <w:rPr>
          <w:rFonts w:cs="Times New Roman"/>
          <w:szCs w:val="24"/>
        </w:rPr>
        <w:t xml:space="preserve">Den norske kirke </w:t>
      </w:r>
      <w:r w:rsidR="0000108B">
        <w:rPr>
          <w:rFonts w:cs="Times New Roman"/>
          <w:szCs w:val="24"/>
        </w:rPr>
        <w:t xml:space="preserve">ikke </w:t>
      </w:r>
      <w:r w:rsidR="00D760AF">
        <w:rPr>
          <w:rFonts w:cs="Times New Roman"/>
          <w:szCs w:val="24"/>
        </w:rPr>
        <w:t xml:space="preserve">vil være regulert av medlemstallet i kirken, </w:t>
      </w:r>
      <w:r w:rsidR="0000108B">
        <w:rPr>
          <w:rFonts w:cs="Times New Roman"/>
          <w:szCs w:val="24"/>
        </w:rPr>
        <w:t xml:space="preserve">jf. </w:t>
      </w:r>
      <w:r w:rsidR="00D760AF">
        <w:rPr>
          <w:rFonts w:cs="Times New Roman"/>
          <w:szCs w:val="24"/>
        </w:rPr>
        <w:t xml:space="preserve">omtalen i </w:t>
      </w:r>
      <w:r w:rsidR="0000108B">
        <w:rPr>
          <w:rFonts w:cs="Times New Roman"/>
          <w:szCs w:val="24"/>
        </w:rPr>
        <w:t>kapittel 9.</w:t>
      </w:r>
      <w:r w:rsidR="00D760AF">
        <w:rPr>
          <w:rFonts w:cs="Times New Roman"/>
          <w:szCs w:val="24"/>
        </w:rPr>
        <w:t>8.</w:t>
      </w:r>
    </w:p>
    <w:p w:rsidR="002048D0" w:rsidRDefault="00A44126" w:rsidP="002048D0">
      <w:pPr>
        <w:rPr>
          <w:rFonts w:cs="Times New Roman"/>
          <w:szCs w:val="24"/>
        </w:rPr>
      </w:pPr>
      <w:r>
        <w:rPr>
          <w:rFonts w:cs="Times New Roman"/>
          <w:szCs w:val="24"/>
        </w:rPr>
        <w:t>Tros- og livssynssamfunnene, inkludert Den norske kirke,</w:t>
      </w:r>
      <w:r w:rsidR="009A2050">
        <w:rPr>
          <w:rFonts w:cs="Times New Roman"/>
          <w:szCs w:val="24"/>
        </w:rPr>
        <w:t xml:space="preserve"> </w:t>
      </w:r>
      <w:r w:rsidR="0031500D">
        <w:rPr>
          <w:rFonts w:cs="Times New Roman"/>
          <w:szCs w:val="24"/>
        </w:rPr>
        <w:t>vil etter departementets forslag selv sette</w:t>
      </w:r>
      <w:r w:rsidR="00216530">
        <w:rPr>
          <w:rFonts w:cs="Times New Roman"/>
          <w:szCs w:val="24"/>
        </w:rPr>
        <w:t xml:space="preserve"> vilkår for medlems</w:t>
      </w:r>
      <w:r w:rsidR="00B209E1">
        <w:rPr>
          <w:rFonts w:cs="Times New Roman"/>
          <w:szCs w:val="24"/>
        </w:rPr>
        <w:t>kap</w:t>
      </w:r>
      <w:r w:rsidR="009A2050">
        <w:rPr>
          <w:rFonts w:cs="Times New Roman"/>
          <w:szCs w:val="24"/>
        </w:rPr>
        <w:t xml:space="preserve"> og fremgangsmåte for innmelding</w:t>
      </w:r>
      <w:r w:rsidR="0031500D">
        <w:rPr>
          <w:rFonts w:cs="Times New Roman"/>
          <w:szCs w:val="24"/>
        </w:rPr>
        <w:t>. Når det gjelder utmelding</w:t>
      </w:r>
      <w:r w:rsidR="00B209E1">
        <w:rPr>
          <w:rFonts w:cs="Times New Roman"/>
          <w:szCs w:val="24"/>
        </w:rPr>
        <w:t>,</w:t>
      </w:r>
      <w:r w:rsidR="0031500D">
        <w:rPr>
          <w:rFonts w:cs="Times New Roman"/>
          <w:szCs w:val="24"/>
        </w:rPr>
        <w:t xml:space="preserve"> mener imidlertid departementet</w:t>
      </w:r>
      <w:r w:rsidR="00FE70CD">
        <w:rPr>
          <w:rFonts w:cs="Times New Roman"/>
          <w:szCs w:val="24"/>
        </w:rPr>
        <w:t xml:space="preserve"> at det bø</w:t>
      </w:r>
      <w:r w:rsidR="002048D0">
        <w:rPr>
          <w:rFonts w:cs="Times New Roman"/>
          <w:szCs w:val="24"/>
        </w:rPr>
        <w:t>r tas inn en egen</w:t>
      </w:r>
      <w:r w:rsidR="00FE70CD">
        <w:rPr>
          <w:rFonts w:cs="Times New Roman"/>
          <w:szCs w:val="24"/>
        </w:rPr>
        <w:t xml:space="preserve"> bestemmelse om at dette</w:t>
      </w:r>
      <w:r w:rsidR="002048D0">
        <w:rPr>
          <w:rFonts w:cs="Times New Roman"/>
          <w:szCs w:val="24"/>
        </w:rPr>
        <w:t xml:space="preserve"> alltid kan skje skriftlig</w:t>
      </w:r>
      <w:r w:rsidR="00FE70CD">
        <w:rPr>
          <w:rFonts w:cs="Times New Roman"/>
          <w:szCs w:val="24"/>
        </w:rPr>
        <w:t>. Dette</w:t>
      </w:r>
      <w:r w:rsidR="002048D0">
        <w:rPr>
          <w:rFonts w:cs="Times New Roman"/>
          <w:szCs w:val="24"/>
        </w:rPr>
        <w:t xml:space="preserve"> for å </w:t>
      </w:r>
      <w:r w:rsidR="004773A5">
        <w:rPr>
          <w:rFonts w:cs="Times New Roman"/>
          <w:szCs w:val="24"/>
        </w:rPr>
        <w:t xml:space="preserve">sikre at det ikke </w:t>
      </w:r>
      <w:r w:rsidR="00B209E1">
        <w:rPr>
          <w:rFonts w:cs="Times New Roman"/>
          <w:szCs w:val="24"/>
        </w:rPr>
        <w:t xml:space="preserve">skal være praktisk vanskelig </w:t>
      </w:r>
      <w:r w:rsidR="004773A5">
        <w:rPr>
          <w:rFonts w:cs="Times New Roman"/>
          <w:szCs w:val="24"/>
        </w:rPr>
        <w:t xml:space="preserve">å melde seg ut av et tros- eller livssynssamfunn. </w:t>
      </w:r>
    </w:p>
    <w:p w:rsidR="002048D0" w:rsidRDefault="004A1A6C" w:rsidP="00E559E1">
      <w:pPr>
        <w:pStyle w:val="Overskrift3"/>
      </w:pPr>
      <w:bookmarkStart w:id="3037" w:name="_Toc481761890"/>
      <w:bookmarkStart w:id="3038" w:name="_Toc492900542"/>
      <w:r>
        <w:t>Regler om inn</w:t>
      </w:r>
      <w:r w:rsidR="003F0139">
        <w:t>sending</w:t>
      </w:r>
      <w:r w:rsidR="00E559E1">
        <w:t xml:space="preserve"> og kontroll av medlems</w:t>
      </w:r>
      <w:bookmarkEnd w:id="3037"/>
      <w:r w:rsidR="00BE1100">
        <w:t>lister</w:t>
      </w:r>
      <w:bookmarkEnd w:id="3038"/>
    </w:p>
    <w:p w:rsidR="00A7093C" w:rsidRDefault="00E559E1" w:rsidP="00E559E1">
      <w:pPr>
        <w:rPr>
          <w:rFonts w:cs="Times New Roman"/>
          <w:szCs w:val="24"/>
        </w:rPr>
      </w:pPr>
      <w:r>
        <w:rPr>
          <w:rFonts w:cs="Times New Roman"/>
          <w:szCs w:val="24"/>
        </w:rPr>
        <w:t xml:space="preserve">Når det </w:t>
      </w:r>
      <w:r w:rsidR="004A1A6C">
        <w:rPr>
          <w:rFonts w:cs="Times New Roman"/>
          <w:szCs w:val="24"/>
        </w:rPr>
        <w:t xml:space="preserve">gjelder </w:t>
      </w:r>
      <w:r>
        <w:rPr>
          <w:rFonts w:cs="Times New Roman"/>
          <w:szCs w:val="24"/>
        </w:rPr>
        <w:t>kontroll med hvem det kan kreves tilskudd for, mener departementet at det</w:t>
      </w:r>
      <w:r w:rsidR="004A1A6C">
        <w:rPr>
          <w:rFonts w:cs="Times New Roman"/>
          <w:szCs w:val="24"/>
        </w:rPr>
        <w:t>te</w:t>
      </w:r>
      <w:r>
        <w:rPr>
          <w:rFonts w:cs="Times New Roman"/>
          <w:szCs w:val="24"/>
        </w:rPr>
        <w:t xml:space="preserve"> bør sikres </w:t>
      </w:r>
      <w:r w:rsidR="004A1A6C">
        <w:rPr>
          <w:rFonts w:cs="Times New Roman"/>
          <w:szCs w:val="24"/>
        </w:rPr>
        <w:t xml:space="preserve">på </w:t>
      </w:r>
      <w:r>
        <w:rPr>
          <w:rFonts w:cs="Times New Roman"/>
          <w:szCs w:val="24"/>
        </w:rPr>
        <w:t xml:space="preserve">en enklere </w:t>
      </w:r>
      <w:r w:rsidR="00467022">
        <w:rPr>
          <w:rFonts w:cs="Times New Roman"/>
          <w:szCs w:val="24"/>
        </w:rPr>
        <w:t xml:space="preserve">og </w:t>
      </w:r>
      <w:r w:rsidR="004A1A6C">
        <w:rPr>
          <w:rFonts w:cs="Times New Roman"/>
          <w:szCs w:val="24"/>
        </w:rPr>
        <w:t xml:space="preserve">bedre måte enn i dag. </w:t>
      </w:r>
      <w:r w:rsidR="00210552">
        <w:rPr>
          <w:rFonts w:cs="Times New Roman"/>
          <w:szCs w:val="24"/>
        </w:rPr>
        <w:t xml:space="preserve">I dag må tros- og livssynssamfunnene </w:t>
      </w:r>
      <w:r w:rsidR="004A1A6C">
        <w:rPr>
          <w:rFonts w:cs="Times New Roman"/>
          <w:szCs w:val="24"/>
        </w:rPr>
        <w:t xml:space="preserve">innen 1. </w:t>
      </w:r>
      <w:r w:rsidR="00F7468B">
        <w:rPr>
          <w:rFonts w:cs="Times New Roman"/>
          <w:szCs w:val="24"/>
        </w:rPr>
        <w:t>mars</w:t>
      </w:r>
      <w:r w:rsidR="004A1A6C">
        <w:rPr>
          <w:rFonts w:cs="Times New Roman"/>
          <w:szCs w:val="24"/>
        </w:rPr>
        <w:t xml:space="preserve"> </w:t>
      </w:r>
      <w:r w:rsidR="00210552">
        <w:rPr>
          <w:rFonts w:cs="Times New Roman"/>
          <w:szCs w:val="24"/>
        </w:rPr>
        <w:t>sende i</w:t>
      </w:r>
      <w:r w:rsidR="00BE1100">
        <w:rPr>
          <w:rFonts w:cs="Times New Roman"/>
          <w:szCs w:val="24"/>
        </w:rPr>
        <w:t>nn lister med fødselsnumrene til medlemmene</w:t>
      </w:r>
      <w:r w:rsidR="00210552">
        <w:rPr>
          <w:rFonts w:cs="Times New Roman"/>
          <w:szCs w:val="24"/>
        </w:rPr>
        <w:t xml:space="preserve"> de krever tilskudd for</w:t>
      </w:r>
      <w:r w:rsidR="003F0139">
        <w:rPr>
          <w:rFonts w:cs="Times New Roman"/>
          <w:szCs w:val="24"/>
        </w:rPr>
        <w:t>,</w:t>
      </w:r>
      <w:r w:rsidR="00210552">
        <w:rPr>
          <w:rFonts w:cs="Times New Roman"/>
          <w:szCs w:val="24"/>
        </w:rPr>
        <w:t xml:space="preserve"> på CD eller minnepinne til </w:t>
      </w:r>
      <w:r w:rsidR="00BE1100">
        <w:rPr>
          <w:rFonts w:cs="Times New Roman"/>
          <w:szCs w:val="24"/>
        </w:rPr>
        <w:t>F</w:t>
      </w:r>
      <w:r w:rsidR="00210552">
        <w:rPr>
          <w:rFonts w:cs="Times New Roman"/>
          <w:szCs w:val="24"/>
        </w:rPr>
        <w:t xml:space="preserve">ylkesmannen. Fylkesmannen sender så </w:t>
      </w:r>
      <w:r w:rsidR="004A1A6C">
        <w:rPr>
          <w:rFonts w:cs="Times New Roman"/>
          <w:szCs w:val="24"/>
        </w:rPr>
        <w:t xml:space="preserve">listene </w:t>
      </w:r>
      <w:r w:rsidR="00210552">
        <w:rPr>
          <w:rFonts w:cs="Times New Roman"/>
          <w:szCs w:val="24"/>
        </w:rPr>
        <w:t xml:space="preserve">videre til Brønnøysundregistrene, som sjekker </w:t>
      </w:r>
      <w:r w:rsidR="004A1A6C">
        <w:rPr>
          <w:rFonts w:cs="Times New Roman"/>
          <w:szCs w:val="24"/>
        </w:rPr>
        <w:t>dem mot folkeregisteret</w:t>
      </w:r>
      <w:r w:rsidR="003F0139">
        <w:rPr>
          <w:rFonts w:cs="Times New Roman"/>
          <w:szCs w:val="24"/>
        </w:rPr>
        <w:t>, Den norske kirkes medlemsreg</w:t>
      </w:r>
      <w:r w:rsidR="00984339">
        <w:rPr>
          <w:rFonts w:cs="Times New Roman"/>
          <w:szCs w:val="24"/>
        </w:rPr>
        <w:t>i</w:t>
      </w:r>
      <w:r w:rsidR="003F0139">
        <w:rPr>
          <w:rFonts w:cs="Times New Roman"/>
          <w:szCs w:val="24"/>
        </w:rPr>
        <w:t>s</w:t>
      </w:r>
      <w:r w:rsidR="00984339">
        <w:rPr>
          <w:rFonts w:cs="Times New Roman"/>
          <w:szCs w:val="24"/>
        </w:rPr>
        <w:t>ter</w:t>
      </w:r>
      <w:r w:rsidR="004A1A6C">
        <w:rPr>
          <w:rFonts w:cs="Times New Roman"/>
          <w:szCs w:val="24"/>
        </w:rPr>
        <w:t xml:space="preserve"> og deretter mot</w:t>
      </w:r>
      <w:r w:rsidR="003F0139">
        <w:rPr>
          <w:rFonts w:cs="Times New Roman"/>
          <w:szCs w:val="24"/>
        </w:rPr>
        <w:t xml:space="preserve"> </w:t>
      </w:r>
      <w:r w:rsidR="00984339">
        <w:rPr>
          <w:rFonts w:cs="Times New Roman"/>
          <w:szCs w:val="24"/>
        </w:rPr>
        <w:t xml:space="preserve">listene som de øvrige samfunnene har sendt inn. </w:t>
      </w:r>
      <w:r w:rsidR="00210552">
        <w:rPr>
          <w:rFonts w:cs="Times New Roman"/>
          <w:szCs w:val="24"/>
        </w:rPr>
        <w:t xml:space="preserve">Etter denne gjennomgangen sitter Brønnøysundregistrene igjen med lister der dobbeltmedlemmer, ugyldige fødselsnummer etc. er skilt ut. </w:t>
      </w:r>
      <w:r w:rsidR="00F74368">
        <w:rPr>
          <w:rFonts w:cs="Times New Roman"/>
          <w:szCs w:val="24"/>
        </w:rPr>
        <w:t>Tallene og listene sendes tilbake til fylkemen</w:t>
      </w:r>
      <w:r w:rsidR="004A1A6C">
        <w:rPr>
          <w:rFonts w:cs="Times New Roman"/>
          <w:szCs w:val="24"/>
        </w:rPr>
        <w:t>nene, som på grunnlag av disse</w:t>
      </w:r>
      <w:r w:rsidR="00F74368">
        <w:rPr>
          <w:rFonts w:cs="Times New Roman"/>
          <w:szCs w:val="24"/>
        </w:rPr>
        <w:t xml:space="preserve"> utbetaler statstilskudd til samfunnene, se nærmere omtale i kap. 14 og i NOU 2013: 1 s. 381ff. Personer som vil vite hvilket tros- eller livssynssamfunn de står oppført i, kan ringe Brønnøysundregistrene</w:t>
      </w:r>
      <w:r w:rsidR="00984339">
        <w:rPr>
          <w:rFonts w:cs="Times New Roman"/>
          <w:szCs w:val="24"/>
        </w:rPr>
        <w:t xml:space="preserve"> – som i 2015 og 2016 mottok henholdsvis 3 619 og 2 652 slike bestillinger.</w:t>
      </w:r>
      <w:r w:rsidR="00F74368">
        <w:rPr>
          <w:rFonts w:cs="Times New Roman"/>
          <w:szCs w:val="24"/>
        </w:rPr>
        <w:t xml:space="preserve"> </w:t>
      </w:r>
    </w:p>
    <w:p w:rsidR="00E559E1" w:rsidRDefault="00A7093C" w:rsidP="00E559E1">
      <w:pPr>
        <w:rPr>
          <w:rFonts w:cs="Times New Roman"/>
          <w:szCs w:val="24"/>
        </w:rPr>
      </w:pPr>
      <w:r>
        <w:rPr>
          <w:rFonts w:cs="Times New Roman"/>
          <w:szCs w:val="24"/>
        </w:rPr>
        <w:t>D</w:t>
      </w:r>
      <w:r w:rsidR="00E559E1">
        <w:rPr>
          <w:rFonts w:cs="Times New Roman"/>
          <w:szCs w:val="24"/>
        </w:rPr>
        <w:t xml:space="preserve">epartementet </w:t>
      </w:r>
      <w:r>
        <w:rPr>
          <w:rFonts w:cs="Times New Roman"/>
          <w:szCs w:val="24"/>
        </w:rPr>
        <w:t xml:space="preserve">legger </w:t>
      </w:r>
      <w:r w:rsidR="00E559E1">
        <w:rPr>
          <w:rFonts w:cs="Times New Roman"/>
          <w:szCs w:val="24"/>
        </w:rPr>
        <w:t>til grunn at det kan være hensiktsmessig å tilrettelegge for at dagens manuelle inn</w:t>
      </w:r>
      <w:r w:rsidR="003F0139">
        <w:rPr>
          <w:rFonts w:cs="Times New Roman"/>
          <w:szCs w:val="24"/>
        </w:rPr>
        <w:t>innsending</w:t>
      </w:r>
      <w:r w:rsidR="00E559E1">
        <w:rPr>
          <w:rFonts w:cs="Times New Roman"/>
          <w:szCs w:val="24"/>
        </w:rPr>
        <w:t xml:space="preserve"> av medlemsoppl</w:t>
      </w:r>
      <w:r w:rsidR="00A526FD">
        <w:rPr>
          <w:rFonts w:cs="Times New Roman"/>
          <w:szCs w:val="24"/>
        </w:rPr>
        <w:t>ysninger via fylkesmennene til B</w:t>
      </w:r>
      <w:r w:rsidR="00E559E1">
        <w:rPr>
          <w:rFonts w:cs="Times New Roman"/>
          <w:szCs w:val="24"/>
        </w:rPr>
        <w:t xml:space="preserve">rønnøysundregistrene for kontroll, gjøres elektronisk i en Altinn-løsning eller tilsvarende. Departementet mener at en slik elektronisk innberetning vil sikre en bedre behandling avsensitive </w:t>
      </w:r>
      <w:r w:rsidR="003F0139">
        <w:rPr>
          <w:rFonts w:cs="Times New Roman"/>
          <w:szCs w:val="24"/>
        </w:rPr>
        <w:t>person</w:t>
      </w:r>
      <w:r w:rsidR="00E559E1">
        <w:rPr>
          <w:rFonts w:cs="Times New Roman"/>
          <w:szCs w:val="24"/>
        </w:rPr>
        <w:t xml:space="preserve">opplysninger. </w:t>
      </w:r>
      <w:r>
        <w:rPr>
          <w:rFonts w:cs="Times New Roman"/>
          <w:szCs w:val="24"/>
        </w:rPr>
        <w:t xml:space="preserve">Det er også i tråd med regjeringens mål om </w:t>
      </w:r>
      <w:r w:rsidR="00BF5509">
        <w:rPr>
          <w:rFonts w:cs="Times New Roman"/>
          <w:szCs w:val="24"/>
        </w:rPr>
        <w:t>å ta i bruk mulighetene som ligger i moderne informasjons- og kommunikasjonsteknologi til å</w:t>
      </w:r>
      <w:r>
        <w:rPr>
          <w:rFonts w:cs="Times New Roman"/>
          <w:szCs w:val="24"/>
        </w:rPr>
        <w:t xml:space="preserve"> skape et enklere møte med </w:t>
      </w:r>
      <w:r w:rsidR="00BF5509">
        <w:rPr>
          <w:rFonts w:cs="Times New Roman"/>
          <w:szCs w:val="24"/>
        </w:rPr>
        <w:t>offentlig sektor og høyere kvalitet på tjenestene.</w:t>
      </w:r>
    </w:p>
    <w:p w:rsidR="004A1A6C" w:rsidRDefault="00E559E1" w:rsidP="00E559E1">
      <w:pPr>
        <w:rPr>
          <w:rFonts w:cs="Times New Roman"/>
          <w:szCs w:val="24"/>
        </w:rPr>
      </w:pPr>
      <w:r>
        <w:rPr>
          <w:rFonts w:cs="Times New Roman"/>
          <w:szCs w:val="24"/>
        </w:rPr>
        <w:t>En elektronisk inn</w:t>
      </w:r>
      <w:r w:rsidR="003F0139">
        <w:rPr>
          <w:rFonts w:cs="Times New Roman"/>
          <w:szCs w:val="24"/>
        </w:rPr>
        <w:t>sending</w:t>
      </w:r>
      <w:r>
        <w:rPr>
          <w:rFonts w:cs="Times New Roman"/>
          <w:szCs w:val="24"/>
        </w:rPr>
        <w:t xml:space="preserve"> via Altinn eller tilsvarende, muliggjør også en teknisk tilrettelegging for kontroll av egne medlemsopplysninger slik at en i praksis kan erstatte dagens mulighet for å ringe Brønnøysundregistrene. </w:t>
      </w:r>
      <w:r w:rsidR="00A54A18">
        <w:rPr>
          <w:rFonts w:cs="Times New Roman"/>
          <w:szCs w:val="24"/>
        </w:rPr>
        <w:t>Dette vil være en betydelig administrativ forenkling.</w:t>
      </w:r>
    </w:p>
    <w:p w:rsidR="00E559E1" w:rsidRDefault="00E559E1" w:rsidP="00E559E1">
      <w:pPr>
        <w:rPr>
          <w:rFonts w:cs="Times New Roman"/>
          <w:szCs w:val="24"/>
        </w:rPr>
      </w:pPr>
      <w:r>
        <w:rPr>
          <w:rFonts w:cs="Times New Roman"/>
          <w:szCs w:val="24"/>
        </w:rPr>
        <w:lastRenderedPageBreak/>
        <w:t>En rettighetsbasert tilskuddsordn</w:t>
      </w:r>
      <w:r w:rsidR="00A54A18">
        <w:rPr>
          <w:rFonts w:cs="Times New Roman"/>
          <w:szCs w:val="24"/>
        </w:rPr>
        <w:t>ing som utmåles som tilskudd per</w:t>
      </w:r>
      <w:r>
        <w:rPr>
          <w:rFonts w:cs="Times New Roman"/>
          <w:szCs w:val="24"/>
        </w:rPr>
        <w:t xml:space="preserve"> medlem, vil også kreve at loven fortsatt regulerer et forbud mot tilskuddsmessig dobbeltmedlemskap. Departementet viser i denne sammenhengen til at en eventuell Altinn-løsning eller tilsvarende som åpner for kontroll av eget medlemskap, vil kunne redusere omfanget av dobbelmedlemskap. Det samme gjelder innføring av en 15-årsgrense for tilskuddstellende medlemskap, jf. beregninger i Stålsett-utvalgets utredning s. 393. Sistnevnte mener departementet vil være det mest hensiktsmessige i en rettighetsbasert tilskuddsordning der </w:t>
      </w:r>
      <w:r w:rsidR="00F06864">
        <w:rPr>
          <w:rFonts w:cs="Times New Roman"/>
          <w:szCs w:val="24"/>
        </w:rPr>
        <w:t>medlem</w:t>
      </w:r>
      <w:r>
        <w:rPr>
          <w:rFonts w:cs="Times New Roman"/>
          <w:szCs w:val="24"/>
        </w:rPr>
        <w:t xml:space="preserve">skap inngår som </w:t>
      </w:r>
      <w:r w:rsidR="00DA4E3E">
        <w:rPr>
          <w:rFonts w:cs="Times New Roman"/>
          <w:szCs w:val="24"/>
        </w:rPr>
        <w:t>en</w:t>
      </w:r>
      <w:r>
        <w:rPr>
          <w:rFonts w:cs="Times New Roman"/>
          <w:szCs w:val="24"/>
        </w:rPr>
        <w:t xml:space="preserve"> </w:t>
      </w:r>
      <w:r w:rsidR="00DA4E3E">
        <w:rPr>
          <w:rFonts w:cs="Times New Roman"/>
          <w:szCs w:val="24"/>
        </w:rPr>
        <w:t>utslagsgivende</w:t>
      </w:r>
      <w:r>
        <w:rPr>
          <w:rFonts w:cs="Times New Roman"/>
          <w:szCs w:val="24"/>
        </w:rPr>
        <w:t xml:space="preserve"> beregningsfaktor, jf. også omtale nedenfor og i </w:t>
      </w:r>
      <w:r w:rsidRPr="002C0041">
        <w:rPr>
          <w:rFonts w:cs="Times New Roman"/>
          <w:szCs w:val="24"/>
        </w:rPr>
        <w:t xml:space="preserve">kap. </w:t>
      </w:r>
      <w:r w:rsidR="00537072">
        <w:rPr>
          <w:rFonts w:cs="Times New Roman"/>
          <w:szCs w:val="24"/>
        </w:rPr>
        <w:t xml:space="preserve">7 og </w:t>
      </w:r>
      <w:r w:rsidRPr="002C0041">
        <w:rPr>
          <w:rFonts w:cs="Times New Roman"/>
          <w:szCs w:val="24"/>
        </w:rPr>
        <w:t>14</w:t>
      </w:r>
      <w:r>
        <w:rPr>
          <w:rFonts w:cs="Times New Roman"/>
          <w:szCs w:val="24"/>
        </w:rPr>
        <w:t xml:space="preserve">. </w:t>
      </w:r>
    </w:p>
    <w:p w:rsidR="00D35048" w:rsidRDefault="00E559E1" w:rsidP="00E559E1">
      <w:pPr>
        <w:rPr>
          <w:rFonts w:cs="Times New Roman"/>
          <w:szCs w:val="24"/>
        </w:rPr>
      </w:pPr>
      <w:r>
        <w:rPr>
          <w:rFonts w:cs="Times New Roman"/>
          <w:szCs w:val="24"/>
        </w:rPr>
        <w:t>Selv om omfanget av dobbeltmedlemskap gjennom dette vesentlig kan reduseres, vil det fortsatt være behov for å klargjøre hvem som skal få utbetalt tilskudd for de medlemmene som fortsatt stå</w:t>
      </w:r>
      <w:r w:rsidR="009D2363">
        <w:rPr>
          <w:rFonts w:cs="Times New Roman"/>
          <w:szCs w:val="24"/>
        </w:rPr>
        <w:t>r oppført i to eller flere registrerte</w:t>
      </w:r>
      <w:r>
        <w:rPr>
          <w:rFonts w:cs="Times New Roman"/>
          <w:szCs w:val="24"/>
        </w:rPr>
        <w:t xml:space="preserve"> samfunn. </w:t>
      </w:r>
      <w:r w:rsidR="00A54A18">
        <w:rPr>
          <w:rFonts w:cs="Times New Roman"/>
          <w:szCs w:val="24"/>
        </w:rPr>
        <w:t>I dag avklares dobbeltmedlemskap gjennom en omfattende prosess der samfunnene kan korrigere tilsendte lister med uavklarte fødselsnummer innen 1. september</w:t>
      </w:r>
      <w:r w:rsidR="009C55ED">
        <w:rPr>
          <w:rFonts w:cs="Times New Roman"/>
          <w:szCs w:val="24"/>
        </w:rPr>
        <w:t xml:space="preserve">, se nærmere omtalt i NOU 2013: 1 s. 382. Er </w:t>
      </w:r>
      <w:r w:rsidR="00C46D49">
        <w:rPr>
          <w:rFonts w:cs="Times New Roman"/>
          <w:szCs w:val="24"/>
        </w:rPr>
        <w:t xml:space="preserve">dobbeltmedlemskapet mot Den norske kirke, eller dersom </w:t>
      </w:r>
      <w:r w:rsidR="009C55ED">
        <w:rPr>
          <w:rFonts w:cs="Times New Roman"/>
          <w:szCs w:val="24"/>
        </w:rPr>
        <w:t xml:space="preserve">det </w:t>
      </w:r>
      <w:r w:rsidR="00222577">
        <w:rPr>
          <w:rFonts w:cs="Times New Roman"/>
          <w:szCs w:val="24"/>
        </w:rPr>
        <w:t xml:space="preserve">er </w:t>
      </w:r>
      <w:r w:rsidR="009C55ED">
        <w:rPr>
          <w:rFonts w:cs="Times New Roman"/>
          <w:szCs w:val="24"/>
        </w:rPr>
        <w:t xml:space="preserve">to eller ingen samfunn som fastholder medlemskap på samme </w:t>
      </w:r>
      <w:r w:rsidR="003F0139">
        <w:rPr>
          <w:rFonts w:cs="Times New Roman"/>
          <w:szCs w:val="24"/>
        </w:rPr>
        <w:t>fødsels</w:t>
      </w:r>
      <w:r w:rsidR="009C55ED">
        <w:rPr>
          <w:rFonts w:cs="Times New Roman"/>
          <w:szCs w:val="24"/>
        </w:rPr>
        <w:t>nummer</w:t>
      </w:r>
      <w:r w:rsidR="00C46D49">
        <w:rPr>
          <w:rFonts w:cs="Times New Roman"/>
          <w:szCs w:val="24"/>
        </w:rPr>
        <w:t xml:space="preserve"> etter avklaringsrunden</w:t>
      </w:r>
      <w:r w:rsidR="009C55ED">
        <w:rPr>
          <w:rFonts w:cs="Times New Roman"/>
          <w:szCs w:val="24"/>
        </w:rPr>
        <w:t xml:space="preserve">, får ingen </w:t>
      </w:r>
      <w:r w:rsidR="003F0139">
        <w:rPr>
          <w:rFonts w:cs="Times New Roman"/>
          <w:szCs w:val="24"/>
        </w:rPr>
        <w:t>tilskudd</w:t>
      </w:r>
      <w:r w:rsidR="009C55ED">
        <w:rPr>
          <w:rFonts w:cs="Times New Roman"/>
          <w:szCs w:val="24"/>
        </w:rPr>
        <w:t xml:space="preserve"> for medlemmet. Fylkesmannens vedtak kan påklages til departementet.  </w:t>
      </w:r>
    </w:p>
    <w:p w:rsidR="00E559E1" w:rsidRDefault="00E559E1" w:rsidP="00E559E1">
      <w:pPr>
        <w:rPr>
          <w:rFonts w:cs="Times New Roman"/>
          <w:szCs w:val="24"/>
        </w:rPr>
      </w:pPr>
      <w:r>
        <w:rPr>
          <w:rFonts w:cs="Times New Roman"/>
          <w:szCs w:val="24"/>
        </w:rPr>
        <w:t xml:space="preserve">Departementet mener </w:t>
      </w:r>
      <w:r w:rsidR="00D35048">
        <w:rPr>
          <w:rFonts w:cs="Times New Roman"/>
          <w:szCs w:val="24"/>
        </w:rPr>
        <w:t xml:space="preserve">at </w:t>
      </w:r>
      <w:r w:rsidR="003B67C4">
        <w:rPr>
          <w:rFonts w:cs="Times New Roman"/>
          <w:szCs w:val="24"/>
        </w:rPr>
        <w:t xml:space="preserve">ordningen med å avklare dobbeltmedlemskap er </w:t>
      </w:r>
      <w:r w:rsidR="00B67BE3">
        <w:rPr>
          <w:rFonts w:cs="Times New Roman"/>
          <w:szCs w:val="24"/>
        </w:rPr>
        <w:t xml:space="preserve">unødig </w:t>
      </w:r>
      <w:r w:rsidR="003B67C4">
        <w:rPr>
          <w:rFonts w:cs="Times New Roman"/>
          <w:szCs w:val="24"/>
        </w:rPr>
        <w:t>byråk</w:t>
      </w:r>
      <w:r w:rsidR="00B67BE3">
        <w:rPr>
          <w:rFonts w:cs="Times New Roman"/>
          <w:szCs w:val="24"/>
        </w:rPr>
        <w:t>r</w:t>
      </w:r>
      <w:r w:rsidR="003B67C4">
        <w:rPr>
          <w:rFonts w:cs="Times New Roman"/>
          <w:szCs w:val="24"/>
        </w:rPr>
        <w:t>atis</w:t>
      </w:r>
      <w:r w:rsidR="00B67BE3">
        <w:rPr>
          <w:rFonts w:cs="Times New Roman"/>
          <w:szCs w:val="24"/>
        </w:rPr>
        <w:t xml:space="preserve">k </w:t>
      </w:r>
      <w:r w:rsidR="003B67C4">
        <w:rPr>
          <w:rFonts w:cs="Times New Roman"/>
          <w:szCs w:val="24"/>
        </w:rPr>
        <w:t xml:space="preserve">og ressurskrevende. Departementet vil derfor foreslå at </w:t>
      </w:r>
      <w:r w:rsidR="000B0EE0">
        <w:rPr>
          <w:rFonts w:cs="Times New Roman"/>
          <w:szCs w:val="24"/>
        </w:rPr>
        <w:t>ordninge</w:t>
      </w:r>
      <w:r w:rsidR="00222577">
        <w:rPr>
          <w:rFonts w:cs="Times New Roman"/>
          <w:szCs w:val="24"/>
        </w:rPr>
        <w:t>n</w:t>
      </w:r>
      <w:r w:rsidR="000B0EE0">
        <w:rPr>
          <w:rFonts w:cs="Times New Roman"/>
          <w:szCs w:val="24"/>
        </w:rPr>
        <w:t xml:space="preserve"> betydelig forenkles ved at </w:t>
      </w:r>
      <w:r w:rsidR="00D35048">
        <w:rPr>
          <w:rFonts w:cs="Times New Roman"/>
          <w:szCs w:val="24"/>
        </w:rPr>
        <w:t xml:space="preserve">det </w:t>
      </w:r>
      <w:r w:rsidR="003B67C4">
        <w:rPr>
          <w:rFonts w:cs="Times New Roman"/>
          <w:szCs w:val="24"/>
        </w:rPr>
        <w:t xml:space="preserve">for gjeldende år ikke utbetales tilskudd for medlemmer som står oppført </w:t>
      </w:r>
      <w:r w:rsidR="00707188">
        <w:rPr>
          <w:rFonts w:cs="Times New Roman"/>
          <w:szCs w:val="24"/>
        </w:rPr>
        <w:t xml:space="preserve">som medlem </w:t>
      </w:r>
      <w:r w:rsidR="003B67C4">
        <w:rPr>
          <w:rFonts w:cs="Times New Roman"/>
          <w:szCs w:val="24"/>
        </w:rPr>
        <w:t xml:space="preserve">i to eller flere samfunn. I de tilfeller der det avdekkes dobbeltmedlemskap, bør det imidlertid </w:t>
      </w:r>
      <w:r w:rsidR="00D35048">
        <w:rPr>
          <w:rFonts w:cs="Times New Roman"/>
          <w:szCs w:val="24"/>
        </w:rPr>
        <w:t xml:space="preserve">legges til rette for </w:t>
      </w:r>
      <w:r w:rsidR="003B67C4">
        <w:rPr>
          <w:rFonts w:cs="Times New Roman"/>
          <w:szCs w:val="24"/>
        </w:rPr>
        <w:t xml:space="preserve">at det går </w:t>
      </w:r>
      <w:r w:rsidR="00D35048">
        <w:rPr>
          <w:rFonts w:cs="Times New Roman"/>
          <w:szCs w:val="24"/>
        </w:rPr>
        <w:t xml:space="preserve">en elektronisk melding til </w:t>
      </w:r>
      <w:r w:rsidR="006B02E5">
        <w:rPr>
          <w:rFonts w:cs="Times New Roman"/>
          <w:szCs w:val="24"/>
        </w:rPr>
        <w:t>gjeldende personer med beskjed om dobbeltregistrering</w:t>
      </w:r>
      <w:r w:rsidR="00655E57">
        <w:rPr>
          <w:rFonts w:cs="Times New Roman"/>
          <w:szCs w:val="24"/>
        </w:rPr>
        <w:t xml:space="preserve"> og </w:t>
      </w:r>
      <w:r w:rsidR="00D35048">
        <w:rPr>
          <w:rFonts w:cs="Times New Roman"/>
          <w:szCs w:val="24"/>
        </w:rPr>
        <w:t>oppfordring om å melde seg ut av det ene samfunnet</w:t>
      </w:r>
      <w:r w:rsidR="00E057A9">
        <w:rPr>
          <w:rFonts w:cs="Times New Roman"/>
          <w:szCs w:val="24"/>
        </w:rPr>
        <w:t xml:space="preserve"> dersom en ønsker at det andre samfunnet skal kunne kreve tilskudd for vedkommende</w:t>
      </w:r>
      <w:r w:rsidR="000B0EE0">
        <w:rPr>
          <w:rFonts w:cs="Times New Roman"/>
          <w:szCs w:val="24"/>
        </w:rPr>
        <w:t xml:space="preserve"> neste år</w:t>
      </w:r>
      <w:r w:rsidR="00E057A9">
        <w:rPr>
          <w:rFonts w:cs="Times New Roman"/>
          <w:szCs w:val="24"/>
        </w:rPr>
        <w:t>.</w:t>
      </w:r>
      <w:r w:rsidR="000B0EE0">
        <w:rPr>
          <w:rFonts w:cs="Times New Roman"/>
          <w:szCs w:val="24"/>
        </w:rPr>
        <w:t xml:space="preserve"> Dette vil generelt bedre kontrollen med hvem samfunnene krever tilskudd for. </w:t>
      </w:r>
      <w:r w:rsidR="003A656E">
        <w:rPr>
          <w:rFonts w:cs="Times New Roman"/>
          <w:szCs w:val="24"/>
        </w:rPr>
        <w:t xml:space="preserve">Kongen vil </w:t>
      </w:r>
      <w:r w:rsidR="00467022">
        <w:rPr>
          <w:rFonts w:cs="Times New Roman"/>
          <w:szCs w:val="24"/>
        </w:rPr>
        <w:t xml:space="preserve">kunne </w:t>
      </w:r>
      <w:r w:rsidR="003A656E">
        <w:rPr>
          <w:rFonts w:cs="Times New Roman"/>
          <w:szCs w:val="24"/>
        </w:rPr>
        <w:t xml:space="preserve">fastsette slike regler i forskrift, jf. lovforslaget § 4. </w:t>
      </w:r>
    </w:p>
    <w:p w:rsidR="00E559E1" w:rsidRDefault="00E559E1" w:rsidP="00E559E1">
      <w:pPr>
        <w:pStyle w:val="Overskrift3"/>
      </w:pPr>
      <w:bookmarkStart w:id="3039" w:name="_Toc481761891"/>
      <w:bookmarkStart w:id="3040" w:name="_Toc492900543"/>
      <w:r>
        <w:t>Regler om hvem samfunnet kan kreve tilskudd for – tilskuddstellende medlemskap</w:t>
      </w:r>
      <w:bookmarkEnd w:id="3039"/>
      <w:bookmarkEnd w:id="3040"/>
    </w:p>
    <w:p w:rsidR="00E559E1" w:rsidRDefault="00E559E1" w:rsidP="00E559E1">
      <w:pPr>
        <w:rPr>
          <w:rFonts w:cs="Times New Roman"/>
          <w:szCs w:val="24"/>
        </w:rPr>
      </w:pPr>
      <w:r>
        <w:rPr>
          <w:rFonts w:cs="Times New Roman"/>
          <w:szCs w:val="24"/>
        </w:rPr>
        <w:t>Å innføre en aldersgrense for å utløse en rett til tilskudd etter loven</w:t>
      </w:r>
      <w:r w:rsidR="00D760AF">
        <w:rPr>
          <w:rFonts w:cs="Times New Roman"/>
          <w:szCs w:val="24"/>
        </w:rPr>
        <w:t>,</w:t>
      </w:r>
      <w:r>
        <w:rPr>
          <w:rFonts w:cs="Times New Roman"/>
          <w:szCs w:val="24"/>
        </w:rPr>
        <w:t xml:space="preserve"> er et forslag Dissenterlovkomiteen kom med allerede i 1962 for å forenkle tilskuddsberegningen og være sikrere på at barna selv hadde "tatt standpunkt til hvor de religiøst vil høre til", særlig i de tilfeller hvor barna tilhørte "konfesjonelt blandede ekteskap" (</w:t>
      </w:r>
      <w:r w:rsidRPr="00832F15">
        <w:rPr>
          <w:rFonts w:cs="Times New Roman"/>
          <w:i/>
          <w:szCs w:val="24"/>
        </w:rPr>
        <w:t>Innstilling</w:t>
      </w:r>
      <w:r>
        <w:rPr>
          <w:rFonts w:cs="Times New Roman"/>
          <w:i/>
          <w:szCs w:val="24"/>
        </w:rPr>
        <w:t xml:space="preserve"> om</w:t>
      </w:r>
      <w:r w:rsidRPr="00832F15">
        <w:rPr>
          <w:rFonts w:cs="Times New Roman"/>
          <w:i/>
          <w:szCs w:val="24"/>
        </w:rPr>
        <w:t xml:space="preserve"> lov om trossamfunn</w:t>
      </w:r>
      <w:r>
        <w:rPr>
          <w:rFonts w:cs="Times New Roman"/>
          <w:szCs w:val="24"/>
        </w:rPr>
        <w:t xml:space="preserve">, s. 88). Aldersgrensen som ble foreslått var 18 år, som tilsvarte den religiøse myndighetsalder som komiteen foreslo. Forslaget ble imidlertid av praktiske grunner tatt ut i den videre lovbehandlingen fordi det ville bli vanskelig å finne ut hvor mange som var 18 år eller </w:t>
      </w:r>
      <w:r w:rsidR="00D760AF">
        <w:rPr>
          <w:rFonts w:cs="Times New Roman"/>
          <w:szCs w:val="24"/>
        </w:rPr>
        <w:t>eldre</w:t>
      </w:r>
      <w:r>
        <w:rPr>
          <w:rFonts w:cs="Times New Roman"/>
          <w:szCs w:val="24"/>
        </w:rPr>
        <w:t xml:space="preserve">, se </w:t>
      </w:r>
      <w:r w:rsidRPr="00832F15">
        <w:rPr>
          <w:rFonts w:cs="Times New Roman"/>
          <w:szCs w:val="24"/>
        </w:rPr>
        <w:t>Ot.prp. nr. 27 (1967</w:t>
      </w:r>
      <w:r w:rsidR="00D958DD">
        <w:rPr>
          <w:rFonts w:cs="Times New Roman"/>
          <w:szCs w:val="24"/>
        </w:rPr>
        <w:t>–</w:t>
      </w:r>
      <w:r w:rsidRPr="00832F15">
        <w:rPr>
          <w:rFonts w:cs="Times New Roman"/>
          <w:szCs w:val="24"/>
        </w:rPr>
        <w:t>68) s. 57</w:t>
      </w:r>
      <w:r>
        <w:rPr>
          <w:rFonts w:cs="Times New Roman"/>
          <w:szCs w:val="24"/>
        </w:rPr>
        <w:t xml:space="preserve">, jf. også </w:t>
      </w:r>
      <w:r w:rsidRPr="00832F15">
        <w:rPr>
          <w:rFonts w:cs="Times New Roman"/>
          <w:szCs w:val="24"/>
        </w:rPr>
        <w:t>Innst. O. XVI</w:t>
      </w:r>
      <w:r w:rsidR="00D958DD">
        <w:rPr>
          <w:rFonts w:cs="Times New Roman"/>
          <w:szCs w:val="24"/>
        </w:rPr>
        <w:t xml:space="preserve"> (</w:t>
      </w:r>
      <w:r w:rsidRPr="00832F15">
        <w:rPr>
          <w:rFonts w:cs="Times New Roman"/>
          <w:szCs w:val="24"/>
        </w:rPr>
        <w:t>1968</w:t>
      </w:r>
      <w:r w:rsidR="00D958DD">
        <w:rPr>
          <w:rFonts w:cs="Times New Roman"/>
          <w:szCs w:val="24"/>
        </w:rPr>
        <w:t>–</w:t>
      </w:r>
      <w:r w:rsidRPr="00832F15">
        <w:rPr>
          <w:rFonts w:cs="Times New Roman"/>
          <w:szCs w:val="24"/>
        </w:rPr>
        <w:t>69</w:t>
      </w:r>
      <w:r w:rsidR="00D958DD">
        <w:rPr>
          <w:rFonts w:cs="Times New Roman"/>
          <w:szCs w:val="24"/>
        </w:rPr>
        <w:t>)</w:t>
      </w:r>
      <w:r w:rsidRPr="00832F15">
        <w:rPr>
          <w:rFonts w:cs="Times New Roman"/>
          <w:szCs w:val="24"/>
        </w:rPr>
        <w:t xml:space="preserve"> s. 3</w:t>
      </w:r>
      <w:r>
        <w:rPr>
          <w:rFonts w:cs="Times New Roman"/>
          <w:szCs w:val="24"/>
        </w:rPr>
        <w:t xml:space="preserve">. </w:t>
      </w:r>
    </w:p>
    <w:p w:rsidR="00E559E1" w:rsidRDefault="00E559E1" w:rsidP="00E559E1">
      <w:pPr>
        <w:rPr>
          <w:rFonts w:cs="Times New Roman"/>
          <w:szCs w:val="24"/>
        </w:rPr>
      </w:pPr>
      <w:r>
        <w:rPr>
          <w:rFonts w:cs="Times New Roman"/>
          <w:szCs w:val="24"/>
        </w:rPr>
        <w:t xml:space="preserve">I dag er det ingen praktiske problemer knyttet til å finne ut hvor mange av samfunnets medlemmer som er over en </w:t>
      </w:r>
      <w:r w:rsidR="00B67BE3">
        <w:rPr>
          <w:rFonts w:cs="Times New Roman"/>
          <w:szCs w:val="24"/>
        </w:rPr>
        <w:t xml:space="preserve">bestemt </w:t>
      </w:r>
      <w:r>
        <w:rPr>
          <w:rFonts w:cs="Times New Roman"/>
          <w:szCs w:val="24"/>
        </w:rPr>
        <w:t xml:space="preserve">alder. </w:t>
      </w:r>
      <w:r w:rsidR="006600A6">
        <w:rPr>
          <w:rFonts w:cs="Times New Roman"/>
          <w:szCs w:val="24"/>
        </w:rPr>
        <w:t>I tillegg er reglene om barns tilhørighet i de tre lovene dels forskjellige og ikke lette å samordne.</w:t>
      </w:r>
      <w:r>
        <w:rPr>
          <w:rFonts w:cs="Times New Roman"/>
          <w:szCs w:val="24"/>
        </w:rPr>
        <w:t xml:space="preserve"> En 15-årsgrense (dagens religiøse myndighetsalder) for tilskuddstellende medlemskap bør derfor etter departementets syn nå innføres av hensyn til forenkling, likebehandling og ensartede regler i en felles lov. </w:t>
      </w:r>
      <w:r w:rsidR="007173E6">
        <w:rPr>
          <w:rFonts w:cs="Times New Roman"/>
          <w:szCs w:val="24"/>
        </w:rPr>
        <w:t>E</w:t>
      </w:r>
      <w:r>
        <w:rPr>
          <w:rFonts w:cs="Times New Roman"/>
          <w:szCs w:val="24"/>
        </w:rPr>
        <w:t xml:space="preserve">n 15-årsgrense </w:t>
      </w:r>
      <w:r w:rsidR="007173E6">
        <w:rPr>
          <w:rFonts w:cs="Times New Roman"/>
          <w:szCs w:val="24"/>
        </w:rPr>
        <w:t xml:space="preserve">vil også </w:t>
      </w:r>
      <w:r w:rsidR="006600A6">
        <w:rPr>
          <w:rFonts w:cs="Times New Roman"/>
          <w:szCs w:val="24"/>
        </w:rPr>
        <w:t>være mer i tråd med</w:t>
      </w:r>
      <w:r w:rsidR="00247943">
        <w:rPr>
          <w:rFonts w:cs="Times New Roman"/>
          <w:szCs w:val="24"/>
        </w:rPr>
        <w:t xml:space="preserve"> hvordan en tenker om tilskuddstellende medlemskap i tros- og livssynssamfunn i de øvrige nordiske landene, med unntak av Sverige, se nærmere omtale i kap</w:t>
      </w:r>
      <w:r w:rsidR="005A2CC5">
        <w:rPr>
          <w:rFonts w:cs="Times New Roman"/>
          <w:szCs w:val="24"/>
        </w:rPr>
        <w:t>ittel</w:t>
      </w:r>
      <w:r w:rsidR="00247943">
        <w:rPr>
          <w:rFonts w:cs="Times New Roman"/>
          <w:szCs w:val="24"/>
        </w:rPr>
        <w:t xml:space="preserve"> 5, og den</w:t>
      </w:r>
      <w:r>
        <w:rPr>
          <w:rFonts w:cs="Times New Roman"/>
          <w:szCs w:val="24"/>
        </w:rPr>
        <w:t xml:space="preserve"> vil vesentlig redusere tallet på dobbeltmedlemmer.</w:t>
      </w:r>
      <w:r w:rsidR="00247943">
        <w:rPr>
          <w:rFonts w:cs="Times New Roman"/>
          <w:szCs w:val="24"/>
        </w:rPr>
        <w:t xml:space="preserve"> </w:t>
      </w:r>
    </w:p>
    <w:p w:rsidR="00E559E1" w:rsidRDefault="00E559E1" w:rsidP="00E559E1">
      <w:pPr>
        <w:rPr>
          <w:rFonts w:cs="Times New Roman"/>
          <w:szCs w:val="24"/>
        </w:rPr>
      </w:pPr>
      <w:r>
        <w:rPr>
          <w:rFonts w:cs="Times New Roman"/>
          <w:szCs w:val="24"/>
        </w:rPr>
        <w:t>Departem</w:t>
      </w:r>
      <w:r w:rsidR="00B67BE3">
        <w:rPr>
          <w:rFonts w:cs="Times New Roman"/>
          <w:szCs w:val="24"/>
        </w:rPr>
        <w:t>entet deler derfor Dissenterlov</w:t>
      </w:r>
      <w:r>
        <w:rPr>
          <w:rFonts w:cs="Times New Roman"/>
          <w:szCs w:val="24"/>
        </w:rPr>
        <w:t xml:space="preserve">komiteens forståelse av </w:t>
      </w:r>
      <w:r w:rsidR="009909F5">
        <w:rPr>
          <w:rFonts w:cs="Times New Roman"/>
          <w:szCs w:val="24"/>
        </w:rPr>
        <w:t xml:space="preserve">at </w:t>
      </w:r>
      <w:r>
        <w:rPr>
          <w:rFonts w:cs="Times New Roman"/>
          <w:szCs w:val="24"/>
        </w:rPr>
        <w:t>det ikke er noen grunn til å "</w:t>
      </w:r>
      <w:r w:rsidRPr="00832F15">
        <w:rPr>
          <w:rFonts w:cs="Times New Roman"/>
          <w:szCs w:val="24"/>
        </w:rPr>
        <w:t xml:space="preserve">komplisere beregningen av tilskudd ved å trekke inn barnas religiøse tilhørighet" </w:t>
      </w:r>
      <w:r w:rsidRPr="00832F15">
        <w:rPr>
          <w:rFonts w:cs="Times New Roman"/>
          <w:szCs w:val="24"/>
        </w:rPr>
        <w:lastRenderedPageBreak/>
        <w:t>(</w:t>
      </w:r>
      <w:r>
        <w:rPr>
          <w:rFonts w:cs="Times New Roman"/>
          <w:i/>
          <w:szCs w:val="24"/>
        </w:rPr>
        <w:t>Innstilling om</w:t>
      </w:r>
      <w:r w:rsidRPr="00832F15">
        <w:rPr>
          <w:rFonts w:cs="Times New Roman"/>
          <w:i/>
          <w:szCs w:val="24"/>
        </w:rPr>
        <w:t xml:space="preserve"> lov om trossamfunn</w:t>
      </w:r>
      <w:r w:rsidRPr="00832F15">
        <w:rPr>
          <w:rFonts w:cs="Times New Roman"/>
          <w:szCs w:val="24"/>
        </w:rPr>
        <w:t xml:space="preserve">, s. 88). </w:t>
      </w:r>
      <w:r>
        <w:rPr>
          <w:rFonts w:cs="Times New Roman"/>
          <w:szCs w:val="24"/>
        </w:rPr>
        <w:t xml:space="preserve">Departementet understreker at det i forslaget om å innføre en 15-årsgrense for tilskuddstellende medlemskap ikke ligger en svekkelse av statens anerkjennelse av barns reelle tilknytning til tros- eller livssynssamfunn, og at samfunnene står fritt til også å bruke midlene på </w:t>
      </w:r>
      <w:r w:rsidR="003F0139">
        <w:rPr>
          <w:rFonts w:cs="Times New Roman"/>
          <w:szCs w:val="24"/>
        </w:rPr>
        <w:t>tros- og livsyns</w:t>
      </w:r>
      <w:r>
        <w:rPr>
          <w:rFonts w:cs="Times New Roman"/>
          <w:szCs w:val="24"/>
        </w:rPr>
        <w:t xml:space="preserve">betjening </w:t>
      </w:r>
      <w:r w:rsidR="003F0139">
        <w:rPr>
          <w:rFonts w:cs="Times New Roman"/>
          <w:szCs w:val="24"/>
        </w:rPr>
        <w:t>og aktiviteter for</w:t>
      </w:r>
      <w:r>
        <w:rPr>
          <w:rFonts w:cs="Times New Roman"/>
          <w:szCs w:val="24"/>
        </w:rPr>
        <w:t xml:space="preserve"> barn (trosopplæring etc.). </w:t>
      </w:r>
    </w:p>
    <w:p w:rsidR="00E559E1" w:rsidRDefault="00E559E1" w:rsidP="00E559E1">
      <w:pPr>
        <w:rPr>
          <w:rFonts w:cs="Times New Roman"/>
          <w:szCs w:val="24"/>
        </w:rPr>
      </w:pPr>
      <w:r>
        <w:rPr>
          <w:rFonts w:cs="Times New Roman"/>
          <w:szCs w:val="24"/>
        </w:rPr>
        <w:t>Reglene i dagens lovgivning som retter seg mot barns tilhørighet (trossamfunnsloven § 5 og 6 og kirkeloven § 3 nr. 1–5) kan etter dette oppheves. Det innebærer at de problemstillingene som knytter seg til gjeldende forrangsbestemmelse, ikke lenger vil være aktuelle. Det samme gjelder Stålsett-utvalgets forslag om å oppheve ordningen med automatisk tilhørige. Lovgivningen vil etter dette ikke måtte ta stilling til hvilket samfunn et barn hører til dersom foreldrene har ulik tilhørighet eller ingen tilhørighet til et tros- eller livssynssamfunn.</w:t>
      </w:r>
      <w:r w:rsidR="00602497">
        <w:rPr>
          <w:rFonts w:cs="Times New Roman"/>
          <w:szCs w:val="24"/>
        </w:rPr>
        <w:t xml:space="preserve"> Når det gjelder de økonomiske konsekvensene og omfordelingsvirkningene samfunnene imellom av kravet om at medlemmer det gis tilskudd for, skal være over 15 år, vises til kapittel 23. </w:t>
      </w:r>
    </w:p>
    <w:p w:rsidR="009D2363" w:rsidRDefault="009D2363" w:rsidP="00E559E1">
      <w:pPr>
        <w:rPr>
          <w:rFonts w:cs="Times New Roman"/>
          <w:szCs w:val="24"/>
        </w:rPr>
      </w:pPr>
      <w:r>
        <w:rPr>
          <w:rFonts w:cs="Times New Roman"/>
          <w:szCs w:val="24"/>
        </w:rPr>
        <w:t xml:space="preserve">Når det gjelder andre vilkår for hvem samfunnet kan kreve tilskudd for, </w:t>
      </w:r>
      <w:r w:rsidR="000D1FAE">
        <w:rPr>
          <w:rFonts w:cs="Times New Roman"/>
          <w:szCs w:val="24"/>
        </w:rPr>
        <w:t xml:space="preserve">foreslår </w:t>
      </w:r>
      <w:r>
        <w:rPr>
          <w:rFonts w:cs="Times New Roman"/>
          <w:szCs w:val="24"/>
        </w:rPr>
        <w:t xml:space="preserve">departementet </w:t>
      </w:r>
      <w:r w:rsidR="000D1FAE">
        <w:rPr>
          <w:rFonts w:cs="Times New Roman"/>
          <w:szCs w:val="24"/>
        </w:rPr>
        <w:t xml:space="preserve">videreført </w:t>
      </w:r>
      <w:r>
        <w:rPr>
          <w:rFonts w:cs="Times New Roman"/>
          <w:szCs w:val="24"/>
        </w:rPr>
        <w:t xml:space="preserve">gjeldende </w:t>
      </w:r>
      <w:r w:rsidR="006C571D">
        <w:rPr>
          <w:rFonts w:cs="Times New Roman"/>
          <w:szCs w:val="24"/>
        </w:rPr>
        <w:t>rett</w:t>
      </w:r>
      <w:r>
        <w:rPr>
          <w:rFonts w:cs="Times New Roman"/>
          <w:szCs w:val="24"/>
        </w:rPr>
        <w:t xml:space="preserve"> om aktiv tilslutning til samfunnet, jf. også omtale over i pkt. 18.4.2.</w:t>
      </w:r>
      <w:r w:rsidR="000D3261">
        <w:rPr>
          <w:rFonts w:cs="Times New Roman"/>
          <w:szCs w:val="24"/>
        </w:rPr>
        <w:t xml:space="preserve"> </w:t>
      </w:r>
      <w:r w:rsidR="00D91BAB">
        <w:rPr>
          <w:rFonts w:cs="Times New Roman"/>
          <w:szCs w:val="24"/>
        </w:rPr>
        <w:t>Dette foreslås presisert i en bestemmelse om at vedkommende selv må ha meldt seg inn, eller blitt innmeldt av foreldre</w:t>
      </w:r>
      <w:r w:rsidR="009D3192">
        <w:rPr>
          <w:rFonts w:cs="Times New Roman"/>
          <w:szCs w:val="24"/>
        </w:rPr>
        <w:t xml:space="preserve"> eller</w:t>
      </w:r>
      <w:r w:rsidR="00D91BAB">
        <w:rPr>
          <w:rFonts w:cs="Times New Roman"/>
          <w:szCs w:val="24"/>
        </w:rPr>
        <w:t xml:space="preserve"> verge.</w:t>
      </w:r>
    </w:p>
    <w:p w:rsidR="007C21AA" w:rsidRDefault="00D91BAB" w:rsidP="00E559E1">
      <w:pPr>
        <w:rPr>
          <w:rFonts w:cs="Times New Roman"/>
          <w:szCs w:val="24"/>
        </w:rPr>
      </w:pPr>
      <w:r>
        <w:rPr>
          <w:rFonts w:cs="Times New Roman"/>
          <w:szCs w:val="24"/>
        </w:rPr>
        <w:t>Departemen</w:t>
      </w:r>
      <w:r w:rsidR="0068055C">
        <w:rPr>
          <w:rFonts w:cs="Times New Roman"/>
          <w:szCs w:val="24"/>
        </w:rPr>
        <w:t>tet foreslår også</w:t>
      </w:r>
      <w:r w:rsidR="004D2B29">
        <w:rPr>
          <w:rFonts w:cs="Times New Roman"/>
          <w:szCs w:val="24"/>
        </w:rPr>
        <w:t>, i likhet med Stålsett-utvalget,</w:t>
      </w:r>
      <w:r w:rsidR="00707188">
        <w:rPr>
          <w:rFonts w:cs="Times New Roman"/>
          <w:szCs w:val="24"/>
        </w:rPr>
        <w:t xml:space="preserve"> at medlemmene må være bosatt i riket for at de skal telle med i beregningen av tilskuddet. </w:t>
      </w:r>
      <w:r>
        <w:rPr>
          <w:rFonts w:cs="Times New Roman"/>
          <w:szCs w:val="24"/>
        </w:rPr>
        <w:t xml:space="preserve">Det innebærer at samfunnene ikke vil få støtte for eventuelle norske statsborgere som er bosatt i utlandet. </w:t>
      </w:r>
      <w:r w:rsidR="00D75C8D">
        <w:rPr>
          <w:rFonts w:cs="Times New Roman"/>
          <w:szCs w:val="24"/>
        </w:rPr>
        <w:t>Nærmere regler om hvem som skal regnes som bosatt i riket er gitt i forskrift om folkeregistrering kapittel 4. Her er hovedregelen at personer som oppholder seg i landet i minst seks måneder regnes som bosatt. For enhver som er bosatt i Norge, fasts</w:t>
      </w:r>
      <w:r w:rsidR="00B17F19">
        <w:rPr>
          <w:rFonts w:cs="Times New Roman"/>
          <w:szCs w:val="24"/>
        </w:rPr>
        <w:t>ettes det fødselsnummer, jf. f</w:t>
      </w:r>
      <w:r w:rsidR="00D75C8D">
        <w:rPr>
          <w:rFonts w:cs="Times New Roman"/>
          <w:szCs w:val="24"/>
        </w:rPr>
        <w:t xml:space="preserve">olkeregisterloven § 4. </w:t>
      </w:r>
      <w:r w:rsidR="00A81C48">
        <w:rPr>
          <w:rFonts w:cs="Times New Roman"/>
          <w:szCs w:val="24"/>
        </w:rPr>
        <w:t xml:space="preserve">Det vil etter departementets forslag fortsatt være krav om innsending av medlemslister </w:t>
      </w:r>
      <w:r w:rsidR="004D2B29">
        <w:rPr>
          <w:rFonts w:cs="Times New Roman"/>
          <w:szCs w:val="24"/>
        </w:rPr>
        <w:t>med</w:t>
      </w:r>
      <w:r w:rsidR="00A81C48">
        <w:rPr>
          <w:rFonts w:cs="Times New Roman"/>
          <w:szCs w:val="24"/>
        </w:rPr>
        <w:t xml:space="preserve"> fødselsnummer, jf. også omtale i kap. 7</w:t>
      </w:r>
      <w:r w:rsidR="00E806EE">
        <w:rPr>
          <w:rFonts w:cs="Times New Roman"/>
          <w:szCs w:val="24"/>
        </w:rPr>
        <w:t xml:space="preserve"> og kap. 14</w:t>
      </w:r>
      <w:r w:rsidR="00A81C48">
        <w:rPr>
          <w:rFonts w:cs="Times New Roman"/>
          <w:szCs w:val="24"/>
        </w:rPr>
        <w:t xml:space="preserve">. </w:t>
      </w:r>
    </w:p>
    <w:p w:rsidR="00E559E1" w:rsidRDefault="00E559E1" w:rsidP="00E559E1">
      <w:pPr>
        <w:pStyle w:val="Overskrift3"/>
      </w:pPr>
      <w:bookmarkStart w:id="3041" w:name="_Toc481761892"/>
      <w:bookmarkStart w:id="3042" w:name="_Toc492900544"/>
      <w:r>
        <w:t>Særlig om Den norske kirke</w:t>
      </w:r>
      <w:bookmarkEnd w:id="3041"/>
      <w:bookmarkEnd w:id="3042"/>
    </w:p>
    <w:p w:rsidR="004341DC" w:rsidRDefault="004341DC" w:rsidP="004341DC">
      <w:pPr>
        <w:rPr>
          <w:rFonts w:cs="Times New Roman"/>
          <w:szCs w:val="24"/>
        </w:rPr>
      </w:pPr>
      <w:r>
        <w:rPr>
          <w:rFonts w:cs="Times New Roman"/>
          <w:szCs w:val="24"/>
        </w:rPr>
        <w:t xml:space="preserve">Selv om innføringen av en 15-årsgrense og de øvrige vilkårene knyttet til tilskuddstellende medlemskap ikke har betydning for Den norske kirke i </w:t>
      </w:r>
      <w:r w:rsidR="00E806EE">
        <w:rPr>
          <w:rFonts w:cs="Times New Roman"/>
          <w:szCs w:val="24"/>
        </w:rPr>
        <w:t>ti</w:t>
      </w:r>
      <w:r>
        <w:rPr>
          <w:rFonts w:cs="Times New Roman"/>
          <w:szCs w:val="24"/>
        </w:rPr>
        <w:t>lskuddssammenheng, har det indirekte betydning ved at loven ikke lenger vil regulere barns tilhørighet til tros- og livssynssamfunn. Den norske kirke vil dermed selv, på linje med andre tros- og livssynssamfunn og uten hjemmel i lov, kunne fastset</w:t>
      </w:r>
      <w:r w:rsidR="00AE09BC">
        <w:rPr>
          <w:rFonts w:cs="Times New Roman"/>
          <w:szCs w:val="24"/>
        </w:rPr>
        <w:t>te egne regler for medlemskap</w:t>
      </w:r>
      <w:r>
        <w:rPr>
          <w:rFonts w:cs="Times New Roman"/>
          <w:szCs w:val="24"/>
        </w:rPr>
        <w:t xml:space="preserve"> </w:t>
      </w:r>
      <w:r w:rsidR="00FE3256">
        <w:rPr>
          <w:rFonts w:cs="Times New Roman"/>
          <w:szCs w:val="24"/>
        </w:rPr>
        <w:t xml:space="preserve">og barns </w:t>
      </w:r>
      <w:r>
        <w:rPr>
          <w:rFonts w:cs="Times New Roman"/>
          <w:szCs w:val="24"/>
        </w:rPr>
        <w:t xml:space="preserve">tilhørighet til kirken. </w:t>
      </w:r>
      <w:r w:rsidR="007B5FB1">
        <w:rPr>
          <w:rFonts w:cs="Times New Roman"/>
          <w:szCs w:val="24"/>
        </w:rPr>
        <w:t>Det vil dermed kun være bestemmelser knyttet til føring av medlemsregisteret som vil bli gitt i lovs form, jf. lov</w:t>
      </w:r>
      <w:r w:rsidR="00687567">
        <w:rPr>
          <w:rFonts w:cs="Times New Roman"/>
          <w:szCs w:val="24"/>
        </w:rPr>
        <w:t xml:space="preserve">utkastet </w:t>
      </w:r>
      <w:r w:rsidR="007B5FB1">
        <w:rPr>
          <w:rFonts w:cs="Times New Roman"/>
          <w:szCs w:val="24"/>
        </w:rPr>
        <w:t xml:space="preserve">§ 16. </w:t>
      </w:r>
    </w:p>
    <w:p w:rsidR="00E559E1" w:rsidRDefault="00CA5BAA" w:rsidP="00CA5BAA">
      <w:pPr>
        <w:pStyle w:val="Overskrift3"/>
      </w:pPr>
      <w:bookmarkStart w:id="3043" w:name="_Toc481761893"/>
      <w:bookmarkStart w:id="3044" w:name="_Toc492900545"/>
      <w:r>
        <w:t>Særlig om barn</w:t>
      </w:r>
      <w:bookmarkEnd w:id="3043"/>
      <w:bookmarkEnd w:id="3044"/>
    </w:p>
    <w:p w:rsidR="00CA5BAA" w:rsidRDefault="00E02A39" w:rsidP="00CA5BAA">
      <w:pPr>
        <w:rPr>
          <w:rFonts w:cs="Times New Roman"/>
          <w:szCs w:val="24"/>
        </w:rPr>
      </w:pPr>
      <w:r>
        <w:rPr>
          <w:rFonts w:cs="Times New Roman"/>
          <w:szCs w:val="24"/>
        </w:rPr>
        <w:t>Når tros- og livssynssamfunnene i all hovedsak selv skal gi regler om</w:t>
      </w:r>
      <w:r w:rsidR="00CA5BAA">
        <w:rPr>
          <w:rFonts w:cs="Times New Roman"/>
          <w:szCs w:val="24"/>
        </w:rPr>
        <w:t xml:space="preserve"> barns religiøse tilhørighet</w:t>
      </w:r>
      <w:r w:rsidR="006C571D">
        <w:rPr>
          <w:rFonts w:cs="Times New Roman"/>
          <w:szCs w:val="24"/>
        </w:rPr>
        <w:t>,</w:t>
      </w:r>
      <w:r w:rsidR="00CA5BAA">
        <w:rPr>
          <w:rFonts w:cs="Times New Roman"/>
          <w:szCs w:val="24"/>
        </w:rPr>
        <w:t xml:space="preserve"> er </w:t>
      </w:r>
      <w:r>
        <w:rPr>
          <w:rFonts w:cs="Times New Roman"/>
          <w:szCs w:val="24"/>
        </w:rPr>
        <w:t xml:space="preserve">det etter departementets oppfatning </w:t>
      </w:r>
      <w:r w:rsidR="00CA5BAA">
        <w:rPr>
          <w:rFonts w:cs="Times New Roman"/>
          <w:szCs w:val="24"/>
        </w:rPr>
        <w:t>særlig viktig at loven tydeliggjør at barnelovens alminnelige bestemmelser gjelder. Det er derfor foreslått tatt inn en egen lovhjemmel om dette, selv om den i prinsippet er overflødig.</w:t>
      </w:r>
    </w:p>
    <w:p w:rsidR="007F7BA3" w:rsidRDefault="00CA5BAA" w:rsidP="008D732E">
      <w:pPr>
        <w:rPr>
          <w:rFonts w:cs="Times New Roman"/>
          <w:szCs w:val="24"/>
        </w:rPr>
      </w:pPr>
      <w:r>
        <w:rPr>
          <w:rFonts w:cs="Times New Roman"/>
          <w:szCs w:val="24"/>
        </w:rPr>
        <w:t>Departementet er mer i tvil om en også skal innføre et krav om samtykke fra barn som er fylt 12 år</w:t>
      </w:r>
      <w:r w:rsidR="006C571D">
        <w:rPr>
          <w:rFonts w:cs="Times New Roman"/>
          <w:szCs w:val="24"/>
        </w:rPr>
        <w:t>,</w:t>
      </w:r>
      <w:r>
        <w:rPr>
          <w:rFonts w:cs="Times New Roman"/>
          <w:szCs w:val="24"/>
        </w:rPr>
        <w:t xml:space="preserve"> i saker som gjelder inn- og utmelding av tros- og livssynssamfunn, slik Stålsett-utvalget foreslo. I høringen </w:t>
      </w:r>
      <w:r w:rsidR="001F1A29">
        <w:rPr>
          <w:rFonts w:cs="Times New Roman"/>
          <w:szCs w:val="24"/>
        </w:rPr>
        <w:t>til</w:t>
      </w:r>
      <w:r>
        <w:rPr>
          <w:rFonts w:cs="Times New Roman"/>
          <w:szCs w:val="24"/>
        </w:rPr>
        <w:t xml:space="preserve"> NOU 2013: 1 mente bla</w:t>
      </w:r>
      <w:r w:rsidR="00B67BE3">
        <w:rPr>
          <w:rFonts w:cs="Times New Roman"/>
          <w:szCs w:val="24"/>
        </w:rPr>
        <w:t>nt ann</w:t>
      </w:r>
      <w:r w:rsidR="000D1FAE">
        <w:rPr>
          <w:rFonts w:cs="Times New Roman"/>
          <w:szCs w:val="24"/>
        </w:rPr>
        <w:t>e</w:t>
      </w:r>
      <w:r w:rsidR="00B67BE3">
        <w:rPr>
          <w:rFonts w:cs="Times New Roman"/>
          <w:szCs w:val="24"/>
        </w:rPr>
        <w:t xml:space="preserve">t </w:t>
      </w:r>
      <w:r>
        <w:rPr>
          <w:rFonts w:cs="Times New Roman"/>
          <w:szCs w:val="24"/>
        </w:rPr>
        <w:t>Barne- og likestillingsdepartementet at aldersgrensene burde ses i sammenheng med utviklingen i øvrige aldersgrenser på barnelovens område.</w:t>
      </w:r>
      <w:r w:rsidR="004D2B29">
        <w:rPr>
          <w:rFonts w:cs="Times New Roman"/>
          <w:szCs w:val="24"/>
        </w:rPr>
        <w:t xml:space="preserve"> </w:t>
      </w:r>
      <w:r w:rsidR="007F7BA3">
        <w:rPr>
          <w:rFonts w:cs="Times New Roman"/>
          <w:szCs w:val="24"/>
        </w:rPr>
        <w:t xml:space="preserve">Så vidt departementet er kjent med, går denne </w:t>
      </w:r>
      <w:r w:rsidR="007F7BA3">
        <w:rPr>
          <w:rFonts w:cs="Times New Roman"/>
          <w:szCs w:val="24"/>
        </w:rPr>
        <w:lastRenderedPageBreak/>
        <w:t xml:space="preserve">i retning av at barnets mening tillegges stadig større vekt. I barneloven § 41 er det innført krav om at barn som er fylt 12 år må samtykke i en avgjørelse om å dra på utenlandsopphold uten en forelder med foreldreansvar. Departementet ber om høringsinstansenes innspill på om det bør innføres en bestemmelse i </w:t>
      </w:r>
      <w:r w:rsidR="00D71F44">
        <w:rPr>
          <w:rFonts w:cs="Times New Roman"/>
          <w:szCs w:val="24"/>
        </w:rPr>
        <w:t>den nye trossamfunns</w:t>
      </w:r>
      <w:r w:rsidR="007F7BA3">
        <w:rPr>
          <w:rFonts w:cs="Times New Roman"/>
          <w:szCs w:val="24"/>
        </w:rPr>
        <w:t>loven om samtykke fra barn som er fylt 12 år for inn- og utmelding i tros- og livssynssamfunn.</w:t>
      </w:r>
    </w:p>
    <w:p w:rsidR="00446D88" w:rsidRDefault="00446D88" w:rsidP="00DA6DF9">
      <w:pPr>
        <w:pStyle w:val="Overskrift2"/>
        <w:rPr>
          <w:rStyle w:val="Overskrift3Tegn"/>
        </w:rPr>
      </w:pPr>
      <w:bookmarkStart w:id="3045" w:name="_Toc477878495"/>
      <w:bookmarkStart w:id="3046" w:name="_Toc477881899"/>
      <w:bookmarkStart w:id="3047" w:name="_Toc477886361"/>
      <w:bookmarkStart w:id="3048" w:name="_Toc478131473"/>
      <w:bookmarkStart w:id="3049" w:name="_Toc478138843"/>
      <w:bookmarkStart w:id="3050" w:name="_Toc478232367"/>
      <w:bookmarkStart w:id="3051" w:name="_Toc478237352"/>
      <w:bookmarkStart w:id="3052" w:name="_Toc481761894"/>
      <w:bookmarkStart w:id="3053" w:name="_Toc492900546"/>
      <w:bookmarkStart w:id="3054" w:name="_Toc477277350"/>
      <w:bookmarkStart w:id="3055" w:name="_Toc477535869"/>
      <w:r>
        <w:rPr>
          <w:rStyle w:val="Overskrift3Tegn"/>
        </w:rPr>
        <w:t xml:space="preserve">Oppheving av </w:t>
      </w:r>
      <w:r w:rsidR="002B41A4">
        <w:rPr>
          <w:rStyle w:val="Overskrift3Tegn"/>
        </w:rPr>
        <w:t xml:space="preserve">enkelte andre </w:t>
      </w:r>
      <w:r>
        <w:rPr>
          <w:rStyle w:val="Overskrift3Tegn"/>
        </w:rPr>
        <w:t>bestemme</w:t>
      </w:r>
      <w:r w:rsidR="00903F86">
        <w:rPr>
          <w:rStyle w:val="Overskrift3Tegn"/>
        </w:rPr>
        <w:t>ls</w:t>
      </w:r>
      <w:r>
        <w:rPr>
          <w:rStyle w:val="Overskrift3Tegn"/>
        </w:rPr>
        <w:t xml:space="preserve">er </w:t>
      </w:r>
      <w:r w:rsidR="002B41A4">
        <w:rPr>
          <w:rStyle w:val="Overskrift3Tegn"/>
        </w:rPr>
        <w:t>i trossamfunnsloven</w:t>
      </w:r>
      <w:bookmarkEnd w:id="3045"/>
      <w:bookmarkEnd w:id="3046"/>
      <w:bookmarkEnd w:id="3047"/>
      <w:bookmarkEnd w:id="3048"/>
      <w:bookmarkEnd w:id="3049"/>
      <w:bookmarkEnd w:id="3050"/>
      <w:bookmarkEnd w:id="3051"/>
      <w:bookmarkEnd w:id="3052"/>
      <w:bookmarkEnd w:id="3053"/>
    </w:p>
    <w:p w:rsidR="00761A55" w:rsidRDefault="00761A55" w:rsidP="00761A55">
      <w:r>
        <w:t xml:space="preserve">Trossamfunnsloven inneholder i dag enkelte andre bestemmelser knyttet til trosfrihet og det å tilhøre et tros- eller livssynssamfunn som etter departementets syn kan oppheves. </w:t>
      </w:r>
    </w:p>
    <w:p w:rsidR="00761A55" w:rsidRDefault="00761A55" w:rsidP="00761A55">
      <w:r>
        <w:t>§ 2 i trossamfunnsloven lyder i dag:</w:t>
      </w:r>
    </w:p>
    <w:p w:rsidR="00761A55" w:rsidRPr="007D0B6C" w:rsidRDefault="00761A55" w:rsidP="007D0B6C">
      <w:pPr>
        <w:pStyle w:val="blokksit"/>
        <w:rPr>
          <w:rStyle w:val="kursiv"/>
        </w:rPr>
      </w:pPr>
      <w:r w:rsidRPr="007D0B6C">
        <w:rPr>
          <w:rStyle w:val="kursiv"/>
        </w:rPr>
        <w:t>Ingen kan binda seg rettsleg til å høyra eller ikkje høyra til eit trudomssamfunn, ein religiøs samskipnad eller orden. Heller ikkje kan nokon binda ein annan til slikt.</w:t>
      </w:r>
    </w:p>
    <w:p w:rsidR="00761A55" w:rsidRDefault="00785D2F" w:rsidP="00761A55">
      <w:r>
        <w:t>Stålsett-utvalget</w:t>
      </w:r>
      <w:r w:rsidR="00761A55">
        <w:t xml:space="preserve"> </w:t>
      </w:r>
      <w:r w:rsidR="00604FA2">
        <w:t>foreslo</w:t>
      </w:r>
      <w:r w:rsidR="00761A55">
        <w:t xml:space="preserve"> at bestemmelsen ble opphevet og begrunnet dette i at </w:t>
      </w:r>
      <w:r w:rsidR="0023513A">
        <w:t>"</w:t>
      </w:r>
      <w:r w:rsidR="00761A55">
        <w:t>[r]</w:t>
      </w:r>
      <w:r w:rsidR="00D73DBE">
        <w:t>et</w:t>
      </w:r>
      <w:r w:rsidR="00761A55">
        <w:t>ten til å tre ut av trossamfunn er sikret som en del av religionsfriheten i menneskerettsloven, og det er ikke nødvendig med ytterligere lovfesting" (utredningen, s.</w:t>
      </w:r>
      <w:r w:rsidR="0049780B">
        <w:t xml:space="preserve"> 414</w:t>
      </w:r>
      <w:r w:rsidR="00761A55">
        <w:t xml:space="preserve">). Dissenterlovkomiteen, som foreslo bestemmelsen, ga også uttrykk for at en slik regel ville gjelde uten uttrykkelig lovhjemmel, men foreslo likevel bestemmelsen begrunnet i at religiøse sammenslutninger etter sin natur ofte forutsetter livsvarig medlemskap med siktepunkt ut over dette liv. Departementet er enig i at bestemmelsen er dekket inn gjennom annet lovverk og foreslår derfor at den ikke videreføres i den nye loven. </w:t>
      </w:r>
    </w:p>
    <w:p w:rsidR="00761A55" w:rsidRDefault="00761A55" w:rsidP="00761A55">
      <w:r>
        <w:t>§ 4 i trossamfunnsloven lyder i dag:</w:t>
      </w:r>
    </w:p>
    <w:p w:rsidR="00761A55" w:rsidRPr="007D0B6C" w:rsidRDefault="00761A55" w:rsidP="007D0B6C">
      <w:pPr>
        <w:pStyle w:val="blokksit"/>
        <w:rPr>
          <w:rStyle w:val="kursiv"/>
        </w:rPr>
      </w:pPr>
      <w:r w:rsidRPr="007D0B6C">
        <w:rPr>
          <w:rStyle w:val="kursiv"/>
        </w:rPr>
        <w:t>Ein som er under 20 år, kan ikkje gjeva livsvarig lovnad om å høyra til ein religiøs orden, eit kloster eller ein liknande samskipnad. Det er ulovleg å taka imot ein slik lovnad.</w:t>
      </w:r>
    </w:p>
    <w:p w:rsidR="00DA6DF9" w:rsidRPr="00DA6DF9" w:rsidRDefault="00761A55" w:rsidP="00761A55">
      <w:r>
        <w:t xml:space="preserve">Stålsett-utvalget foreslo at bestemmelsen ble opphevet og begrunnet dette i at et "klosterløfte" uansett ikke er rettslig bindende i den forstand at det hindrer vedkommende å tre ut av klosteret. Retten til å tre ut gjelder generelt for medlemskap i alle foreninger og følger også av religionsfriheten. Utvalget ønsket heller ikke å legge begrensninger på mulighetene til å avlegge moralske løfter knyttet til religiøse ordener for personer som har nådd religiøs myndighetsalder (utredningen, s. 414). Departementet er enig med utvalget og </w:t>
      </w:r>
      <w:r w:rsidR="00D73DBE">
        <w:t>s</w:t>
      </w:r>
      <w:r>
        <w:t>er ikke grunn til å videreføre bestemmelsen i den nye loven.</w:t>
      </w:r>
    </w:p>
    <w:p w:rsidR="0035002F" w:rsidRDefault="0035002F" w:rsidP="001D146F">
      <w:pPr>
        <w:pStyle w:val="Overskrift2"/>
      </w:pPr>
      <w:bookmarkStart w:id="3056" w:name="_Toc477277352"/>
      <w:bookmarkStart w:id="3057" w:name="_Toc477535871"/>
      <w:bookmarkStart w:id="3058" w:name="_Toc477631001"/>
      <w:bookmarkStart w:id="3059" w:name="_Toc477693965"/>
      <w:bookmarkStart w:id="3060" w:name="_Toc477704391"/>
      <w:bookmarkStart w:id="3061" w:name="_Toc477799632"/>
      <w:bookmarkStart w:id="3062" w:name="_Toc477806233"/>
      <w:bookmarkStart w:id="3063" w:name="_Toc477870992"/>
      <w:bookmarkStart w:id="3064" w:name="_Toc477871893"/>
      <w:bookmarkStart w:id="3065" w:name="_Toc477878501"/>
      <w:bookmarkStart w:id="3066" w:name="_Toc477881905"/>
      <w:bookmarkStart w:id="3067" w:name="_Toc477886367"/>
      <w:bookmarkStart w:id="3068" w:name="_Toc478131474"/>
      <w:bookmarkStart w:id="3069" w:name="_Toc478138844"/>
      <w:bookmarkStart w:id="3070" w:name="_Toc478232368"/>
      <w:bookmarkStart w:id="3071" w:name="_Toc478237353"/>
      <w:bookmarkStart w:id="3072" w:name="_Toc481761895"/>
      <w:bookmarkStart w:id="3073" w:name="_Toc492900547"/>
      <w:bookmarkEnd w:id="3054"/>
      <w:bookmarkEnd w:id="3055"/>
      <w:r>
        <w:t>Oppsummering og lovforslag</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p>
    <w:p w:rsidR="00EE2884" w:rsidRDefault="00732C3A" w:rsidP="00E27B30">
      <w:pPr>
        <w:rPr>
          <w:rFonts w:cs="Times New Roman"/>
          <w:szCs w:val="24"/>
        </w:rPr>
      </w:pPr>
      <w:r>
        <w:rPr>
          <w:rFonts w:cs="Times New Roman"/>
          <w:szCs w:val="24"/>
        </w:rPr>
        <w:t xml:space="preserve">Departementet foreslår </w:t>
      </w:r>
      <w:r w:rsidR="00EE2884">
        <w:rPr>
          <w:rFonts w:cs="Times New Roman"/>
          <w:szCs w:val="24"/>
        </w:rPr>
        <w:t xml:space="preserve">at loven </w:t>
      </w:r>
      <w:r w:rsidR="003C1E08">
        <w:rPr>
          <w:rFonts w:cs="Times New Roman"/>
          <w:szCs w:val="24"/>
        </w:rPr>
        <w:t xml:space="preserve">fortsatt </w:t>
      </w:r>
      <w:r w:rsidR="00EE2884">
        <w:rPr>
          <w:rFonts w:cs="Times New Roman"/>
          <w:szCs w:val="24"/>
        </w:rPr>
        <w:t xml:space="preserve">skiller mellom </w:t>
      </w:r>
      <w:r w:rsidR="00E47E99">
        <w:rPr>
          <w:rFonts w:cs="Times New Roman"/>
          <w:szCs w:val="24"/>
        </w:rPr>
        <w:t xml:space="preserve">krav knyttet til </w:t>
      </w:r>
      <w:r w:rsidR="00EE2884">
        <w:rPr>
          <w:rFonts w:cs="Times New Roman"/>
          <w:szCs w:val="24"/>
        </w:rPr>
        <w:t xml:space="preserve">medlemskap </w:t>
      </w:r>
      <w:r w:rsidR="00E47E99">
        <w:rPr>
          <w:rFonts w:cs="Times New Roman"/>
          <w:szCs w:val="24"/>
        </w:rPr>
        <w:t>etter samfunnets interne regler</w:t>
      </w:r>
      <w:r w:rsidR="00EE2884">
        <w:rPr>
          <w:rFonts w:cs="Times New Roman"/>
          <w:szCs w:val="24"/>
        </w:rPr>
        <w:t xml:space="preserve"> og </w:t>
      </w:r>
      <w:r w:rsidR="00E47E99">
        <w:rPr>
          <w:rFonts w:cs="Times New Roman"/>
          <w:szCs w:val="24"/>
        </w:rPr>
        <w:t xml:space="preserve">lovgitte krav til </w:t>
      </w:r>
      <w:r w:rsidR="00EE2884">
        <w:rPr>
          <w:rFonts w:cs="Times New Roman"/>
          <w:szCs w:val="24"/>
        </w:rPr>
        <w:t>medlemskap som utløser en rett til tilskudd etter loven. Sistnevnte vil ikke være relevant for Den norske kirke, da tilskudd</w:t>
      </w:r>
      <w:r w:rsidR="00B67BE3">
        <w:rPr>
          <w:rFonts w:cs="Times New Roman"/>
          <w:szCs w:val="24"/>
        </w:rPr>
        <w:t xml:space="preserve"> til Den norske kirke ikke vil være regulert av kirkens medlemstall, </w:t>
      </w:r>
      <w:r w:rsidR="00EE2884">
        <w:rPr>
          <w:rFonts w:cs="Times New Roman"/>
          <w:szCs w:val="24"/>
        </w:rPr>
        <w:t>jf. omtale</w:t>
      </w:r>
      <w:r w:rsidR="00B67BE3">
        <w:rPr>
          <w:rFonts w:cs="Times New Roman"/>
          <w:szCs w:val="24"/>
        </w:rPr>
        <w:t>n</w:t>
      </w:r>
      <w:r w:rsidR="00EE2884">
        <w:rPr>
          <w:rFonts w:cs="Times New Roman"/>
          <w:szCs w:val="24"/>
        </w:rPr>
        <w:t xml:space="preserve"> i kapittel 9.</w:t>
      </w:r>
      <w:r w:rsidR="00B67BE3">
        <w:rPr>
          <w:rFonts w:cs="Times New Roman"/>
          <w:szCs w:val="24"/>
        </w:rPr>
        <w:t>8.</w:t>
      </w:r>
      <w:r w:rsidR="00EE2884">
        <w:rPr>
          <w:rFonts w:cs="Times New Roman"/>
          <w:szCs w:val="24"/>
        </w:rPr>
        <w:t xml:space="preserve"> </w:t>
      </w:r>
    </w:p>
    <w:p w:rsidR="00E27B30" w:rsidRDefault="00EE2884" w:rsidP="00023F19">
      <w:pPr>
        <w:rPr>
          <w:rFonts w:cs="Times New Roman"/>
          <w:szCs w:val="24"/>
        </w:rPr>
      </w:pPr>
      <w:r>
        <w:rPr>
          <w:rFonts w:cs="Times New Roman"/>
          <w:szCs w:val="24"/>
        </w:rPr>
        <w:t xml:space="preserve">Selv om innføringen av en 15-årsgrense for tilskuddstellende medlemskap ikke har betydning for </w:t>
      </w:r>
      <w:r w:rsidR="00E47E99">
        <w:rPr>
          <w:rFonts w:cs="Times New Roman"/>
          <w:szCs w:val="24"/>
        </w:rPr>
        <w:t xml:space="preserve">tilskuddet til </w:t>
      </w:r>
      <w:r>
        <w:rPr>
          <w:rFonts w:cs="Times New Roman"/>
          <w:szCs w:val="24"/>
        </w:rPr>
        <w:t xml:space="preserve">Den norske kirke, har </w:t>
      </w:r>
      <w:r w:rsidR="00B67BE3">
        <w:rPr>
          <w:rFonts w:cs="Times New Roman"/>
          <w:szCs w:val="24"/>
        </w:rPr>
        <w:t xml:space="preserve">dette alderskravet </w:t>
      </w:r>
      <w:r>
        <w:rPr>
          <w:rFonts w:cs="Times New Roman"/>
          <w:szCs w:val="24"/>
        </w:rPr>
        <w:t xml:space="preserve">indirekte betydning </w:t>
      </w:r>
      <w:r w:rsidR="00B67BE3">
        <w:rPr>
          <w:rFonts w:cs="Times New Roman"/>
          <w:szCs w:val="24"/>
        </w:rPr>
        <w:t xml:space="preserve">for kirken </w:t>
      </w:r>
      <w:r>
        <w:rPr>
          <w:rFonts w:cs="Times New Roman"/>
          <w:szCs w:val="24"/>
        </w:rPr>
        <w:t>ved at loven ikke lenger vil regulere barns tilhørighet til tros- og livssynssamfunn. Den norske kirke vil dermed selv, på linje med andre tros- og</w:t>
      </w:r>
      <w:r w:rsidR="004A6CFB">
        <w:rPr>
          <w:rFonts w:cs="Times New Roman"/>
          <w:szCs w:val="24"/>
        </w:rPr>
        <w:t xml:space="preserve"> livssynssamfunn og uten hjemmel i lov,</w:t>
      </w:r>
      <w:r>
        <w:rPr>
          <w:rFonts w:cs="Times New Roman"/>
          <w:szCs w:val="24"/>
        </w:rPr>
        <w:t xml:space="preserve"> </w:t>
      </w:r>
      <w:r w:rsidR="004A6CFB">
        <w:rPr>
          <w:rFonts w:cs="Times New Roman"/>
          <w:szCs w:val="24"/>
        </w:rPr>
        <w:t xml:space="preserve">kunne fastsette egne regler for medlemskap og tilhørighet til kirken. </w:t>
      </w:r>
    </w:p>
    <w:p w:rsidR="00E27B30" w:rsidRDefault="00E27B30" w:rsidP="00E27B30">
      <w:pPr>
        <w:rPr>
          <w:rFonts w:cs="Times New Roman"/>
          <w:szCs w:val="24"/>
        </w:rPr>
      </w:pPr>
      <w:r>
        <w:rPr>
          <w:rFonts w:cs="Times New Roman"/>
          <w:szCs w:val="24"/>
        </w:rPr>
        <w:t xml:space="preserve">Departementet foreslår etter dette følgende innretning av ny § 2 om inn- og utmelding av tros- og livssynssamfunn: </w:t>
      </w:r>
    </w:p>
    <w:p w:rsidR="00E27B30" w:rsidRPr="007D0B6C" w:rsidRDefault="00E27B30" w:rsidP="007D0B6C">
      <w:pPr>
        <w:pStyle w:val="blokksit"/>
        <w:rPr>
          <w:rStyle w:val="kursiv"/>
        </w:rPr>
      </w:pPr>
      <w:r w:rsidRPr="007D0B6C">
        <w:rPr>
          <w:rStyle w:val="kursiv"/>
        </w:rPr>
        <w:lastRenderedPageBreak/>
        <w:t xml:space="preserve">Den som er over 15 år, kan melde seg inn i eller ut av tros- eller livssynssamfunn. Foreldre </w:t>
      </w:r>
      <w:r w:rsidR="00D71F44" w:rsidRPr="007D0B6C">
        <w:rPr>
          <w:rStyle w:val="kursiv"/>
        </w:rPr>
        <w:t xml:space="preserve">med foreldreansvar </w:t>
      </w:r>
      <w:r w:rsidRPr="007D0B6C">
        <w:rPr>
          <w:rStyle w:val="kursiv"/>
        </w:rPr>
        <w:t xml:space="preserve">kan melde barn under 15 år inn i eller ut av tros- eller livssynssamfunn. Barn som har fylt 12 år må gi samtykke til innmelding i og utmelding av tros- og livssynssamfunn. </w:t>
      </w:r>
    </w:p>
    <w:p w:rsidR="003C1E08" w:rsidRPr="007D0B6C" w:rsidRDefault="003C1E08" w:rsidP="007D0B6C">
      <w:pPr>
        <w:pStyle w:val="blokksit"/>
        <w:rPr>
          <w:rStyle w:val="kursiv"/>
        </w:rPr>
      </w:pPr>
      <w:r w:rsidRPr="007D0B6C">
        <w:rPr>
          <w:rStyle w:val="kursiv"/>
        </w:rPr>
        <w:t xml:space="preserve">Barn har rett til å bli hørt i tråd med barnelovens alminnelige bestemmelser i alle saker som gjelder deres utøvelse av tro eller livssyn. </w:t>
      </w:r>
    </w:p>
    <w:p w:rsidR="00E27B30" w:rsidRPr="007D0B6C" w:rsidRDefault="00E27B30" w:rsidP="007D0B6C">
      <w:pPr>
        <w:pStyle w:val="blokksit"/>
        <w:rPr>
          <w:rStyle w:val="kursiv"/>
        </w:rPr>
      </w:pPr>
      <w:r w:rsidRPr="007D0B6C">
        <w:rPr>
          <w:rStyle w:val="kursiv"/>
        </w:rPr>
        <w:t>Tros- og livssynssamfunnene fastsetter selv vilkår for medlemskap og framgangsmåte for innmelding i samfunnet. Utmelding kan alltid skje skriftlig.</w:t>
      </w:r>
    </w:p>
    <w:p w:rsidR="00CA55E3" w:rsidRPr="00537072" w:rsidRDefault="00CA55E3" w:rsidP="003C1E08">
      <w:pPr>
        <w:pStyle w:val="Sitattbhj"/>
        <w:ind w:left="0"/>
      </w:pPr>
      <w:bookmarkStart w:id="3074" w:name="_Toc477531849"/>
      <w:bookmarkStart w:id="3075" w:name="_Toc477532627"/>
      <w:bookmarkStart w:id="3076" w:name="_Toc477533418"/>
      <w:bookmarkStart w:id="3077" w:name="_Toc477535010"/>
      <w:bookmarkStart w:id="3078" w:name="_Toc477534302"/>
      <w:bookmarkStart w:id="3079" w:name="_Toc477535878"/>
      <w:bookmarkStart w:id="3080" w:name="_Toc477536662"/>
      <w:bookmarkStart w:id="3081" w:name="_Toc477628525"/>
      <w:bookmarkStart w:id="3082" w:name="_Toc477629319"/>
      <w:bookmarkStart w:id="3083" w:name="_Toc477631008"/>
      <w:bookmarkStart w:id="3084" w:name="_Toc477636702"/>
      <w:bookmarkStart w:id="3085" w:name="_Toc477691521"/>
      <w:bookmarkStart w:id="3086" w:name="_Toc477693173"/>
      <w:bookmarkStart w:id="3087" w:name="_Toc477693972"/>
      <w:bookmarkStart w:id="3088" w:name="_Toc477694771"/>
      <w:bookmarkStart w:id="3089" w:name="_Toc477695570"/>
      <w:bookmarkStart w:id="3090" w:name="_Toc477696381"/>
      <w:bookmarkStart w:id="3091" w:name="_Toc477702680"/>
      <w:bookmarkStart w:id="3092" w:name="_Toc477703539"/>
      <w:bookmarkStart w:id="3093" w:name="_Toc477704398"/>
      <w:bookmarkStart w:id="3094" w:name="_Toc477705258"/>
      <w:bookmarkStart w:id="3095" w:name="_Toc477790053"/>
      <w:bookmarkStart w:id="3096" w:name="_Toc477794460"/>
      <w:bookmarkStart w:id="3097" w:name="_Toc477796946"/>
      <w:bookmarkStart w:id="3098" w:name="_Toc477797843"/>
      <w:bookmarkStart w:id="3099" w:name="_Toc477798741"/>
      <w:bookmarkStart w:id="3100" w:name="_Toc477799639"/>
      <w:bookmarkStart w:id="3101" w:name="_Toc477800814"/>
      <w:bookmarkStart w:id="3102" w:name="_Toc477802670"/>
      <w:bookmarkStart w:id="3103" w:name="_Toc477803566"/>
      <w:bookmarkStart w:id="3104" w:name="_Toc477804462"/>
      <w:bookmarkStart w:id="3105" w:name="_Toc477805343"/>
      <w:bookmarkStart w:id="3106" w:name="_Toc477806240"/>
      <w:bookmarkStart w:id="3107" w:name="_Toc477809756"/>
      <w:bookmarkStart w:id="3108" w:name="_Toc477857398"/>
      <w:bookmarkStart w:id="3109" w:name="_Toc477859986"/>
      <w:bookmarkStart w:id="3110" w:name="_Toc477858305"/>
      <w:bookmarkStart w:id="3111" w:name="_Toc477861638"/>
      <w:bookmarkStart w:id="3112" w:name="_Toc477864365"/>
      <w:bookmarkStart w:id="3113" w:name="_Toc477865601"/>
      <w:bookmarkStart w:id="3114" w:name="_Toc477866500"/>
      <w:bookmarkStart w:id="3115" w:name="_Toc477867399"/>
      <w:bookmarkStart w:id="3116" w:name="_Toc477868298"/>
      <w:bookmarkStart w:id="3117" w:name="_Toc477869197"/>
      <w:bookmarkStart w:id="3118" w:name="_Toc477870098"/>
      <w:bookmarkStart w:id="3119" w:name="_Toc477870999"/>
      <w:bookmarkStart w:id="3120" w:name="_Toc477871900"/>
      <w:bookmarkStart w:id="3121" w:name="_Toc477872573"/>
      <w:bookmarkStart w:id="3122" w:name="_Toc477873476"/>
      <w:bookmarkStart w:id="3123" w:name="_Toc477874393"/>
      <w:bookmarkStart w:id="3124" w:name="_Toc477874872"/>
      <w:bookmarkStart w:id="3125" w:name="_Toc477875781"/>
      <w:bookmarkStart w:id="3126" w:name="_Toc477876690"/>
      <w:bookmarkStart w:id="3127" w:name="_Toc477877599"/>
      <w:bookmarkStart w:id="3128" w:name="_Toc477878508"/>
      <w:bookmarkStart w:id="3129" w:name="_Toc477879163"/>
      <w:bookmarkStart w:id="3130" w:name="_Toc477880074"/>
      <w:bookmarkStart w:id="3131" w:name="_Toc477880993"/>
      <w:bookmarkStart w:id="3132" w:name="_Toc477881912"/>
      <w:bookmarkStart w:id="3133" w:name="_Toc477886374"/>
      <w:bookmarkStart w:id="3134" w:name="_Toc477890707"/>
      <w:bookmarkStart w:id="3135" w:name="_Toc477937064"/>
      <w:bookmarkStart w:id="3136" w:name="_Toc477938238"/>
      <w:bookmarkStart w:id="3137" w:name="_Toc477531913"/>
      <w:bookmarkStart w:id="3138" w:name="_Toc477532691"/>
      <w:bookmarkStart w:id="3139" w:name="_Toc477533482"/>
      <w:bookmarkStart w:id="3140" w:name="_Toc477535074"/>
      <w:bookmarkStart w:id="3141" w:name="_Toc477534366"/>
      <w:bookmarkStart w:id="3142" w:name="_Toc477535942"/>
      <w:bookmarkStart w:id="3143" w:name="_Toc477536726"/>
      <w:bookmarkStart w:id="3144" w:name="_Toc477628589"/>
      <w:bookmarkStart w:id="3145" w:name="_Toc477629383"/>
      <w:bookmarkStart w:id="3146" w:name="_Toc477631072"/>
      <w:bookmarkStart w:id="3147" w:name="_Toc477636766"/>
      <w:bookmarkStart w:id="3148" w:name="_Toc477691585"/>
      <w:bookmarkStart w:id="3149" w:name="_Toc477693237"/>
      <w:bookmarkStart w:id="3150" w:name="_Toc477694036"/>
      <w:bookmarkStart w:id="3151" w:name="_Toc477694835"/>
      <w:bookmarkStart w:id="3152" w:name="_Toc477695634"/>
      <w:bookmarkStart w:id="3153" w:name="_Toc477696445"/>
      <w:bookmarkStart w:id="3154" w:name="_Toc477702744"/>
      <w:bookmarkStart w:id="3155" w:name="_Toc477703603"/>
      <w:bookmarkStart w:id="3156" w:name="_Toc477704462"/>
      <w:bookmarkStart w:id="3157" w:name="_Toc477705322"/>
      <w:bookmarkStart w:id="3158" w:name="_Toc477790117"/>
      <w:bookmarkStart w:id="3159" w:name="_Toc477794524"/>
      <w:bookmarkStart w:id="3160" w:name="_Toc477797010"/>
      <w:bookmarkStart w:id="3161" w:name="_Toc477797907"/>
      <w:bookmarkStart w:id="3162" w:name="_Toc477798805"/>
      <w:bookmarkStart w:id="3163" w:name="_Toc477799703"/>
      <w:bookmarkStart w:id="3164" w:name="_Toc477800878"/>
      <w:bookmarkStart w:id="3165" w:name="_Toc477802734"/>
      <w:bookmarkStart w:id="3166" w:name="_Toc477803630"/>
      <w:bookmarkStart w:id="3167" w:name="_Toc477804526"/>
      <w:bookmarkStart w:id="3168" w:name="_Toc477805407"/>
      <w:bookmarkStart w:id="3169" w:name="_Toc477806304"/>
      <w:bookmarkStart w:id="3170" w:name="_Toc477809820"/>
      <w:bookmarkStart w:id="3171" w:name="_Toc477857462"/>
      <w:bookmarkStart w:id="3172" w:name="_Toc477860050"/>
      <w:bookmarkStart w:id="3173" w:name="_Toc477858369"/>
      <w:bookmarkStart w:id="3174" w:name="_Toc477861702"/>
      <w:bookmarkStart w:id="3175" w:name="_Toc477864429"/>
      <w:bookmarkStart w:id="3176" w:name="_Toc477865665"/>
      <w:bookmarkStart w:id="3177" w:name="_Toc477866564"/>
      <w:bookmarkStart w:id="3178" w:name="_Toc477867463"/>
      <w:bookmarkStart w:id="3179" w:name="_Toc477868362"/>
      <w:bookmarkStart w:id="3180" w:name="_Toc477869261"/>
      <w:bookmarkStart w:id="3181" w:name="_Toc477870162"/>
      <w:bookmarkStart w:id="3182" w:name="_Toc477871063"/>
      <w:bookmarkStart w:id="3183" w:name="_Toc477871964"/>
      <w:bookmarkStart w:id="3184" w:name="_Toc477872637"/>
      <w:bookmarkStart w:id="3185" w:name="_Toc477873540"/>
      <w:bookmarkStart w:id="3186" w:name="_Toc477874457"/>
      <w:bookmarkStart w:id="3187" w:name="_Toc477874936"/>
      <w:bookmarkStart w:id="3188" w:name="_Toc477875845"/>
      <w:bookmarkStart w:id="3189" w:name="_Toc477876754"/>
      <w:bookmarkStart w:id="3190" w:name="_Toc477877663"/>
      <w:bookmarkStart w:id="3191" w:name="_Toc477878572"/>
      <w:bookmarkStart w:id="3192" w:name="_Toc477879227"/>
      <w:bookmarkStart w:id="3193" w:name="_Toc477880138"/>
      <w:bookmarkStart w:id="3194" w:name="_Toc477881057"/>
      <w:bookmarkStart w:id="3195" w:name="_Toc477881976"/>
      <w:bookmarkStart w:id="3196" w:name="_Toc477886438"/>
      <w:bookmarkStart w:id="3197" w:name="_Toc477890771"/>
      <w:bookmarkStart w:id="3198" w:name="_Toc477937128"/>
      <w:bookmarkStart w:id="3199" w:name="_Toc477938302"/>
      <w:bookmarkStart w:id="3200" w:name="_Toc477277359"/>
      <w:bookmarkStart w:id="3201" w:name="_Toc477536033"/>
      <w:bookmarkStart w:id="3202" w:name="_Toc477631163"/>
      <w:bookmarkStart w:id="3203" w:name="_Toc477694127"/>
      <w:bookmarkStart w:id="3204" w:name="_Toc477704553"/>
      <w:bookmarkStart w:id="3205" w:name="_Toc477799794"/>
      <w:bookmarkStart w:id="3206" w:name="_Toc477806395"/>
      <w:bookmarkStart w:id="3207" w:name="_Toc477871154"/>
      <w:bookmarkStart w:id="3208" w:name="_Toc477872055"/>
      <w:bookmarkStart w:id="3209" w:name="_Toc477878663"/>
      <w:bookmarkStart w:id="3210" w:name="_Toc477882067"/>
      <w:bookmarkStart w:id="3211" w:name="_Toc477886529"/>
      <w:bookmarkStart w:id="3212" w:name="_Toc478131475"/>
      <w:bookmarkStart w:id="3213" w:name="_Toc478138845"/>
      <w:bookmarkStart w:id="3214" w:name="_Toc478232369"/>
      <w:bookmarkStart w:id="3215" w:name="_Toc478237354"/>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r>
        <w:br w:type="page"/>
      </w:r>
    </w:p>
    <w:p w:rsidR="00944062" w:rsidRDefault="00210C6E" w:rsidP="00210C6E">
      <w:pPr>
        <w:pStyle w:val="Overskrift1"/>
      </w:pPr>
      <w:bookmarkStart w:id="3216" w:name="_Toc481761896"/>
      <w:bookmarkStart w:id="3217" w:name="_Toc492900548"/>
      <w:r>
        <w:lastRenderedPageBreak/>
        <w:t>Vigsel</w:t>
      </w:r>
      <w:r w:rsidR="00BC3796">
        <w:t>smyndighet</w:t>
      </w:r>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rsidR="00BC3796" w:rsidRPr="00546E74" w:rsidRDefault="00BC3796" w:rsidP="00BC3796">
      <w:pPr>
        <w:pStyle w:val="Overskrift2"/>
      </w:pPr>
      <w:bookmarkStart w:id="3218" w:name="_Toc470087764"/>
      <w:bookmarkStart w:id="3219" w:name="_Toc477277360"/>
      <w:bookmarkStart w:id="3220" w:name="_Toc477536034"/>
      <w:bookmarkStart w:id="3221" w:name="_Toc477631164"/>
      <w:bookmarkStart w:id="3222" w:name="_Toc477694128"/>
      <w:bookmarkStart w:id="3223" w:name="_Toc477704554"/>
      <w:bookmarkStart w:id="3224" w:name="_Toc477799795"/>
      <w:bookmarkStart w:id="3225" w:name="_Toc477806396"/>
      <w:bookmarkStart w:id="3226" w:name="_Toc477871155"/>
      <w:bookmarkStart w:id="3227" w:name="_Toc477872056"/>
      <w:bookmarkStart w:id="3228" w:name="_Toc477878664"/>
      <w:bookmarkStart w:id="3229" w:name="_Toc477882068"/>
      <w:bookmarkStart w:id="3230" w:name="_Toc477886530"/>
      <w:bookmarkStart w:id="3231" w:name="_Toc478131476"/>
      <w:bookmarkStart w:id="3232" w:name="_Toc478138846"/>
      <w:bookmarkStart w:id="3233" w:name="_Toc478232370"/>
      <w:bookmarkStart w:id="3234" w:name="_Toc478237355"/>
      <w:bookmarkStart w:id="3235" w:name="_Toc481761897"/>
      <w:bookmarkStart w:id="3236" w:name="_Toc492900549"/>
      <w:bookmarkStart w:id="3237" w:name="_Toc476320979"/>
      <w:r w:rsidRPr="00546E74">
        <w:t xml:space="preserve">Gjeldende </w:t>
      </w:r>
      <w:r>
        <w:t>vigsels</w:t>
      </w:r>
      <w:r w:rsidRPr="00546E74">
        <w:t>ordning</w:t>
      </w:r>
      <w:bookmarkEnd w:id="3218"/>
      <w:r>
        <w:t>er</w:t>
      </w:r>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r w:rsidR="003171C4">
        <w:t xml:space="preserve"> for tros- og livssynssamfunn</w:t>
      </w:r>
      <w:bookmarkEnd w:id="3235"/>
      <w:bookmarkEnd w:id="3236"/>
    </w:p>
    <w:p w:rsidR="00607491" w:rsidRDefault="00607491" w:rsidP="00607491">
      <w:r>
        <w:t>Reguleringen av vigselsordningene for Den norske kirke og de øvrige tros- og livssynssamfunnene er i dag fordelt på ekteskapsloven, kirkeloven, trossamfunnsloven og lov om tilskott til livssynssamfunn. Ansvaret for regelverket er dermed fordelt på Kulturdepartementet og Barne- og likestillingsdepartementet.</w:t>
      </w:r>
    </w:p>
    <w:p w:rsidR="00607491" w:rsidRDefault="00607491" w:rsidP="00607491">
      <w:r>
        <w:t>Etter ekteskapsloven § 6 er det folkeregistermyndigheten som har ansvar for å prøve om ekteskapsvilkårene etter loven er oppfylt. Vilkårene, og hvilke bevis som skal legges fram om at de er oppfylt, er nærmere beskrevet i lovens kapittel 2.</w:t>
      </w:r>
    </w:p>
    <w:p w:rsidR="00607491" w:rsidRDefault="00607491" w:rsidP="00607491">
      <w:r>
        <w:t>Det framgår av ekteskapsloven § 12 at</w:t>
      </w:r>
    </w:p>
    <w:p w:rsidR="00607491" w:rsidRPr="007D0B6C" w:rsidRDefault="00607491" w:rsidP="007D0B6C">
      <w:pPr>
        <w:pStyle w:val="blokksit"/>
        <w:rPr>
          <w:rStyle w:val="kursiv"/>
        </w:rPr>
      </w:pPr>
      <w:r w:rsidRPr="007D0B6C">
        <w:rPr>
          <w:rStyle w:val="kursiv"/>
        </w:rPr>
        <w:t>Vigslere er:</w:t>
      </w:r>
    </w:p>
    <w:p w:rsidR="00607491" w:rsidRPr="007D0B6C" w:rsidRDefault="00607491" w:rsidP="007D0B6C">
      <w:pPr>
        <w:pStyle w:val="Nummerertliste2"/>
        <w:numPr>
          <w:ilvl w:val="1"/>
          <w:numId w:val="46"/>
        </w:numPr>
        <w:rPr>
          <w:rStyle w:val="kursiv"/>
        </w:rPr>
      </w:pPr>
      <w:r w:rsidRPr="007D0B6C">
        <w:rPr>
          <w:rStyle w:val="kursiv"/>
        </w:rPr>
        <w:t>prest i Den norske kirke, og prest eller forstander i et registrert trossamfunn, eller seremonileder eller tilsvarende i livssynssamfunn som mottar tilskudd etter lov 12. juni 1981 nr. 64 om tilskott til livssynssamfunn når Kongen har godkjent formen for inngåelse av ekteskap.</w:t>
      </w:r>
    </w:p>
    <w:p w:rsidR="00607491" w:rsidRPr="007D0B6C" w:rsidRDefault="00607491" w:rsidP="007D0B6C">
      <w:pPr>
        <w:pStyle w:val="Nummerertliste2"/>
        <w:numPr>
          <w:ilvl w:val="1"/>
          <w:numId w:val="46"/>
        </w:numPr>
        <w:rPr>
          <w:rStyle w:val="kursiv"/>
        </w:rPr>
      </w:pPr>
      <w:r w:rsidRPr="007D0B6C">
        <w:rPr>
          <w:rStyle w:val="kursiv"/>
        </w:rPr>
        <w:t>notarius publicus – også utenfor det vanlige embetsdistriktet</w:t>
      </w:r>
    </w:p>
    <w:p w:rsidR="00607491" w:rsidRPr="007D0B6C" w:rsidRDefault="00607491" w:rsidP="007D0B6C">
      <w:pPr>
        <w:pStyle w:val="Nummerertliste2"/>
        <w:numPr>
          <w:ilvl w:val="1"/>
          <w:numId w:val="46"/>
        </w:numPr>
        <w:rPr>
          <w:rStyle w:val="kursiv"/>
        </w:rPr>
      </w:pPr>
      <w:r w:rsidRPr="007D0B6C">
        <w:rPr>
          <w:rStyle w:val="kursiv"/>
        </w:rPr>
        <w:t>norsk utenrikstjenestemann, jf. lov om utenrikstjenesten § 14.</w:t>
      </w:r>
    </w:p>
    <w:p w:rsidR="00607491" w:rsidRPr="007D0B6C" w:rsidRDefault="00607491" w:rsidP="007D0B6C">
      <w:pPr>
        <w:pStyle w:val="Nummerertliste2"/>
        <w:numPr>
          <w:ilvl w:val="1"/>
          <w:numId w:val="46"/>
        </w:numPr>
        <w:rPr>
          <w:rStyle w:val="kursiv"/>
        </w:rPr>
      </w:pPr>
      <w:r w:rsidRPr="007D0B6C">
        <w:rPr>
          <w:rStyle w:val="kursiv"/>
        </w:rPr>
        <w:t xml:space="preserve"> særskilt vigsler oppnevnt av departementet i tilfeller der det er behov for det på grunn av lange avstander eller av andre grunner. Oppnevningen gjelder for fire år av gangen.</w:t>
      </w:r>
    </w:p>
    <w:p w:rsidR="00607491" w:rsidRDefault="00607491" w:rsidP="00607491">
      <w:r>
        <w:t>Hvem som er «prest i Den norske kirke», følger av kirkeloven og bestemmelser gitt i medhold av denne. Hvilke samfunn som er «registrert trossamfunn» eller «livssynssamfunn som mottar tilskudd», og hvem som er «prest eller forstander» (heretter forstander) eller «seremonileder eller tilsvarende» i disse, avgjøres etter henholdsvis trossamfunnsloven, lov om tilskott til livssynssamfunn og ekteskapsloven.</w:t>
      </w:r>
    </w:p>
    <w:p w:rsidR="00607491" w:rsidRDefault="00607491" w:rsidP="00607491">
      <w:r>
        <w:t>Regler om forstandere er gitt i trossamfunnsloven, særlig i §§ 24–27. Det omfatter krav til alder (vedkommende kan ikke være yngre enn 23 år eller eldre enn 75 år), personlig skikkethet og avgivelse av løfte. Det gjelder dessuten plikt til å føre bøker og til å utstede attester for utførte handlinger. Det er videre fastsatt at vedkommende står under tilsyn av fylkesmannen og under «same ansvar som offentleg tenestemann når det gjeld gjeremål som han er pålagd i eller med heimel i lov». Ved forsømmelse av sine plikter kan vedkommende fratas retten til å gjøre tjeneste som forstander etter loven.</w:t>
      </w:r>
    </w:p>
    <w:p w:rsidR="00607491" w:rsidRDefault="00607491" w:rsidP="00607491">
      <w:r>
        <w:t>Med hjemmel i ekteskapsloven § 12 annet ledd har Barne- og likestillingsdepartementet gitt tilsvarende regler i forskrift om tildeling og tilbaketrekking av vigselsrett for seremonileder eller tilsvarende i livssynssamfunn.</w:t>
      </w:r>
    </w:p>
    <w:p w:rsidR="00D35CC0" w:rsidRDefault="00607491" w:rsidP="00607491">
      <w:r>
        <w:t>Ekteskapsloven § 12 første ledd bokstav a innebærer at livssynssamfunn må ha minst 500 tilskuddstellende medlemmer for å kunne få vigselsrett. Det</w:t>
      </w:r>
      <w:r w:rsidR="000D1FAE">
        <w:t>te</w:t>
      </w:r>
      <w:r>
        <w:t xml:space="preserve"> følger av forskrift om tilskot til livssynssamfunn § 1 første ledd første setning, som lyder: «Livssynssamfunn med meir enn 500 medlemmer med rett til tilskot, jf. § 5 i lova, kan krevje årleg tilskot frå statskassa.» For registrerte trossamfunn stilles det ikke et eksplisitt antallskrav i trossamfunnsloven eller dens tilhørende forskrift.</w:t>
      </w:r>
    </w:p>
    <w:p w:rsidR="00607491" w:rsidRDefault="00607491" w:rsidP="00607491">
      <w:r>
        <w:t xml:space="preserve">Etter trossamfunnsloven § 14 må trossamfunn som vil bli registrert, oppgi «namn og arbeidskrins» til hver forstander. Vigselsretten har på dette grunnlaget vært begrenset til å gjelde innenfor forstanderens tjenestedistrikt. Det er ikke gitt særskilt hjemmel i </w:t>
      </w:r>
      <w:r>
        <w:lastRenderedPageBreak/>
        <w:t>ekteskapsloven for at forstandere skal kunne få vie utenfor eget tjenestedistrikt. En tilsvarende stedlig avgrensning gjelder ikke for vigselsretten i livssynssamfunn.</w:t>
      </w:r>
    </w:p>
    <w:p w:rsidR="00607491" w:rsidRDefault="00607491" w:rsidP="00607491">
      <w:r>
        <w:t>I Barne- og likestillingsdepartementets rundskriv Q-20/2016 om ekteskapsloven står det blant annet følgende om forstanderens tjenestedistrikt og vigselsrett:</w:t>
      </w:r>
    </w:p>
    <w:p w:rsidR="00607491" w:rsidRPr="007D0B6C" w:rsidRDefault="00607491" w:rsidP="007D0B6C">
      <w:pPr>
        <w:pStyle w:val="blokksit"/>
        <w:rPr>
          <w:rStyle w:val="kursiv"/>
        </w:rPr>
      </w:pPr>
      <w:r w:rsidRPr="007D0B6C">
        <w:rPr>
          <w:rStyle w:val="kursiv"/>
        </w:rPr>
        <w:t>Hva som menes med tjenestedistrikt kan ofte være uklart, da et tjenestedistrikt ofte ikke omfatter et klart avgrenset geografisk område. Utgangspunktet for den stedlige vigselskompetanse er det som er oppgitt i registermeldingen til trossamfunnet. Et slikt utgangspunkt kan imidlertid være svært komplisert og uoversiktlig ettersom trossamfunn er av ulik størrelse, organisering og utbredelse. [...] Registreringen og hva som skal oppgis i registreringen har i enkelte tilfeller skapt uklarheter. Et trossamfunn kan f.eks. bestå av kun en menighet, eller det kan bestå av flere menigheter, enten i et fylke eller i en større region. Et trossamfunn kan også være landsdekkende, da denne organisasjonsformen kan være mest hensiktsmessig på grunn av lavt medlemstall. En prest/forstander i et registrert trossamfunn kan vie utenfor sitt distrikt så lenge trossamfunnets godkjente vigselsrituale benyttes. Vi forutsetter imidlertid at dersom det er behov for å bruke en annen menighets lokaler, avtales dette med den lokale menighet, slik det også gjøres innenfor Den norske kirke.</w:t>
      </w:r>
    </w:p>
    <w:p w:rsidR="00607491" w:rsidRDefault="00607491" w:rsidP="00607491">
      <w:r>
        <w:t xml:space="preserve">Etter ekteskapsloven § 12 er det et vilkår for </w:t>
      </w:r>
      <w:r w:rsidR="00B67BE3">
        <w:t xml:space="preserve">vigselsrett </w:t>
      </w:r>
      <w:r>
        <w:t>at «Kongen har godkjent formen for inngåelse av ekteskap». Kongens myndighet er delegert til Barne-, ungdoms- og familiedirektoratet (Bufdir). Den norske kirkes vigselsritual har vært fastsatt av Kongen, i senere år og fram til 2012 av Kirkemøtet etter delegasjon fra Kongen. Etter ekteskapsloven § 16 tredje punktum er «ekteskap ikke inngått» dersom «prest i Den norske kirke ikke har fulgt gjeldende liturgi».</w:t>
      </w:r>
    </w:p>
    <w:p w:rsidR="00607491" w:rsidRDefault="00607491" w:rsidP="00607491">
      <w:r>
        <w:t>I dag er det fylkesmennene som er førsteinstans i saker om registrering av trossamfunn, som godtar mottatt løfte fra forstander i registrerte trossamfunn, og som kan treffe vedtak om å frata vedkommende retten til å være forstander etter loven. Kulturdepartementet er klageinstans. Fylkesmennene er også førsteinstans i tilsvarende saker om seremonileder i livssynssamfunn, men i de sakene er det Barne- og likestillingsdepartementet som er klageinstans. Saker om godkjenning av vigselsritual i både tros- og livssynssamfunn, behandles av Bufdir.</w:t>
      </w:r>
    </w:p>
    <w:p w:rsidR="00607491" w:rsidRDefault="00607491" w:rsidP="00607491">
      <w:r>
        <w:t>Vigslere i tros- og livssynssamfunn har i utgangspunktet en plikt til å vie når brudefolkene oppfyller ekteskapsvilkårene</w:t>
      </w:r>
      <w:r w:rsidR="002A5D9C">
        <w:t xml:space="preserve"> i ekteskapsloven kapittel</w:t>
      </w:r>
      <w:r>
        <w:t xml:space="preserve"> 1. Vigsleren kan i slike tilfeller kun nekte vigsel hvis én av nektingsgrunnene i ekteskapsloven § 13 foreligger. Lovens § 13 lyder:</w:t>
      </w:r>
    </w:p>
    <w:p w:rsidR="00607491" w:rsidRPr="007D0B6C" w:rsidRDefault="00607491" w:rsidP="007D0B6C">
      <w:pPr>
        <w:pStyle w:val="blokksit"/>
        <w:rPr>
          <w:rStyle w:val="kursiv"/>
        </w:rPr>
      </w:pPr>
      <w:r w:rsidRPr="007D0B6C">
        <w:rPr>
          <w:rStyle w:val="kursiv"/>
        </w:rPr>
        <w:t>En vigsler som nevnt i § 12 bokstav a, kan nekte å foreta vigsel dersom en av brudefolkene ikke er medlem av trossamfunnet eller livssynssamfunnet, eller ingen av dem tilhører menigheten.</w:t>
      </w:r>
    </w:p>
    <w:p w:rsidR="00607491" w:rsidRPr="007D0B6C" w:rsidRDefault="00607491" w:rsidP="007D0B6C">
      <w:pPr>
        <w:pStyle w:val="blokksit"/>
        <w:rPr>
          <w:rStyle w:val="kursiv"/>
        </w:rPr>
      </w:pPr>
      <w:r w:rsidRPr="007D0B6C">
        <w:rPr>
          <w:rStyle w:val="kursiv"/>
        </w:rPr>
        <w:t xml:space="preserve">En kirkelig vigsler kan også nekte å foreta vigsel dersom en av brudefolkene er skilt og den tidligere ektefellen lever, eller dersom </w:t>
      </w:r>
      <w:r w:rsidR="00D35CC0" w:rsidRPr="007D0B6C">
        <w:rPr>
          <w:rStyle w:val="kursiv"/>
        </w:rPr>
        <w:t>brudefolkene er av samme kjønn.</w:t>
      </w:r>
    </w:p>
    <w:p w:rsidR="00607491" w:rsidRPr="00D35CC0" w:rsidRDefault="00607491" w:rsidP="00D35CC0">
      <w:pPr>
        <w:pStyle w:val="Overskrift2"/>
      </w:pPr>
      <w:bookmarkStart w:id="3238" w:name="_Toc492900550"/>
      <w:r w:rsidRPr="00D35CC0">
        <w:t xml:space="preserve">Forslag i NOU 2013: 1 </w:t>
      </w:r>
      <w:r w:rsidRPr="002A5D9C">
        <w:rPr>
          <w:i/>
        </w:rPr>
        <w:t>Det livssynsåpne samfunn</w:t>
      </w:r>
      <w:bookmarkEnd w:id="3238"/>
    </w:p>
    <w:p w:rsidR="00607491" w:rsidRDefault="00607491" w:rsidP="00607491">
      <w:r>
        <w:t>Et flertall i Stålsett-utvalget (10 av 15 medlemmer) foreslo prinsipalt at Den norske kirke og andre tros- og livssynssamfunn ble fratatt vigselsretten, og at det ble innført sivil ekteskapsinngåelse som generell ordning. Flertallet mente at det både er prinsipielt og praktisk uheldig at det rettslige og det tros- el</w:t>
      </w:r>
      <w:r w:rsidR="00D35CC0">
        <w:t xml:space="preserve">ler livssynsbaserte elementet i </w:t>
      </w:r>
      <w:r>
        <w:t xml:space="preserve">ekteskapsinngåelsen inngår i én og samme handling. Juridisk sett er ekteskap en verdslig handling, påpekte flertallet. Sammenblandingen av de livssynsmessige og de verdslige sidene av ekteskapet som finner sted ved at vigselsretten er delegert til tros- og livssynssamfunnene, er ifølge flertallet egnet til å skape uklarhet om ekteskapets rettslige </w:t>
      </w:r>
      <w:r>
        <w:lastRenderedPageBreak/>
        <w:t>karakter og om ektefellenes rettigheter og plikter. Flertallet fremholdt også at dagens ordning kan reise tvil om staten legitimerer diskriminering av homofile og kvinner. Sivil ekteskapsinngåelse som generell ordning vil etter flertallet</w:t>
      </w:r>
      <w:r w:rsidR="000D1FAE">
        <w:t>s</w:t>
      </w:r>
      <w:r>
        <w:t xml:space="preserve"> syn «tydeliggjøre at ekteskapet er en nasjonal rettslig ordning som er felles for alle, uavhengig av tro, livssyn eller etnisk bakgrunn, og som dermed ivaretar likebehandling av alle norske borgere».</w:t>
      </w:r>
    </w:p>
    <w:p w:rsidR="00607491" w:rsidRDefault="00607491" w:rsidP="00607491">
      <w:r>
        <w:t>Mindretallet, som ønsket en videreføring av dagens ordning, var enig i at det kan være enkelte prinsipielle utfordringer ved dagens ordning, men mente at «de ikke er tungtveiende nok til å endre en ordning med dype røtter i det norske samfunnet som fungerer godt». Mindretallet anførte at tros- og livssynssamfunnenes vigselsritualer beholder en mer betydningsfull posisjon dersom de har en offentligrettslig virkning, og at det for mange vil være lettere å markere høytideligheten, gleden og alvoret ved ekteskapsinngåelsen ved å vie seg i et tros- eller livssynssamfunn enn ved en sivil ekteskapsinngåelse. Ifølge mindretallet taler også praktiske og økonomiske argumenter, blant annet behovet for å investere i egnede lokaler over hele landet, for å beholde dagens ordning.</w:t>
      </w:r>
    </w:p>
    <w:p w:rsidR="00607491" w:rsidRDefault="00607491" w:rsidP="00607491">
      <w:r>
        <w:t>Når det gjelder utfordringene ved gjeldende ordning som flertallet viste til, framholdt mindretallet at enhver vigsel med offentligrettslig virkning i tros- og livssynssamfunnene forplikter dem til å anerkjenne norsk ekteskapslovgivning. Mindretallet så det som mest hensiktsmessig å arbeide med utfordringene uten å gå bort fra dagens vigselsordning, for eksempel gjennom informasjons- og tilsynstiltak.</w:t>
      </w:r>
    </w:p>
    <w:p w:rsidR="00607491" w:rsidRDefault="00607491" w:rsidP="00607491">
      <w:r>
        <w:t>Utvalget vurderte også hvilke krav som burde stilles ved en eventuell videreføring av delegert vigselsrett til tros- og livssynssamfunn.</w:t>
      </w:r>
    </w:p>
    <w:p w:rsidR="00607491" w:rsidRDefault="00607491" w:rsidP="00607491">
      <w:r>
        <w:t>Et flertall i utvalget vektla hensynet til en forsvarlig håndtering av vigselsoppgavene og foreslo at tros- og livssynssamfunn må ha minst 500 medlemmer for å få vigselsrett. Mindretallet, som foreslo en minstegrense på 10 medlemmer, viste derimot til at offentlige myndigheter hadde overtatt ansvaret for prøving av ekteskapsvilkårene, og at det derfor ikke var noen grunn til å la medlemstall være avgjørende.</w:t>
      </w:r>
    </w:p>
    <w:p w:rsidR="00607491" w:rsidRDefault="00607491" w:rsidP="00607491">
      <w:r>
        <w:t>Utvalget fant ikke grunn til å stille ytterligere og mer spesifikke krav til den som skal være vigsler i tros- og livssynssamfunn, og foreslo at gjeldende regler om alder og personlig skikkethet ble videreført.</w:t>
      </w:r>
    </w:p>
    <w:p w:rsidR="00607491" w:rsidRDefault="00607491" w:rsidP="00607491">
      <w:r>
        <w:t>Et flertall i utvalget anbefalte at nektingsgrunnene i ekteskapsloven § 13 ble videreført, men at det stilles krav om likebehandling av menn og kvinner når grunnene praktiseres. Utvalget fant det rimelig å stille krav om likebehandling, ettersom samfunnene i slike tilfeller utfører en offentligrettslig handling. Utvalget tok samtidig til orde for å endre betegnelsen «kirkelig vigsler» i ekteskapsloven § 13 til en mer nøytral betegnelse.</w:t>
      </w:r>
    </w:p>
    <w:p w:rsidR="00607491" w:rsidRDefault="00607491" w:rsidP="00607491">
      <w:r>
        <w:t>I høringen av NOU 2013: 1 møtte forslaget om sivil ekteskapsinngåelse som generell ordning stor motstand, i hovedsak fra instanser innen Den norske kirke. De øvrige instansene som uttalte seg om forslaget, var delte i sitt syn på dette. Mer enn 80 pst. av instansene som tok stilling til forslaget, var negative. Blant høringsinstansene som støttet utvalgets prinsipale forslag, var Integrerings- og mangfoldsdirektoratet (IMDi), Bufdir, Likestillings- og diskrimineringsombudet (LDO) og Human-Etisk Forbund.</w:t>
      </w:r>
    </w:p>
    <w:p w:rsidR="00607491" w:rsidRDefault="00607491" w:rsidP="00D35CC0">
      <w:pPr>
        <w:pStyle w:val="Overskrift2"/>
      </w:pPr>
      <w:bookmarkStart w:id="3239" w:name="_Toc492900551"/>
      <w:r>
        <w:lastRenderedPageBreak/>
        <w:t>Departementets vurderinger</w:t>
      </w:r>
      <w:bookmarkEnd w:id="3239"/>
    </w:p>
    <w:p w:rsidR="00607491" w:rsidRDefault="00607491" w:rsidP="000D72B4">
      <w:pPr>
        <w:pStyle w:val="Overskrift3"/>
      </w:pPr>
      <w:bookmarkStart w:id="3240" w:name="_Toc492900552"/>
      <w:r>
        <w:t>Videreføring av vigselsrett for tros- og livssynssamfunn</w:t>
      </w:r>
      <w:bookmarkEnd w:id="3240"/>
    </w:p>
    <w:p w:rsidR="00607491" w:rsidRDefault="00607491" w:rsidP="00607491">
      <w:r>
        <w:t>Etter departementets syn er det ikke tilstrekkelig tungtveiende grunner for en slik omlegging som flertallet i Stålsett-utvalget anbefalte. Departementet er i hovedsak enig i mindretallets begrunnelse og viser til denne.</w:t>
      </w:r>
    </w:p>
    <w:p w:rsidR="00607491" w:rsidRDefault="00607491" w:rsidP="00607491">
      <w:r>
        <w:t>Den forholdsvis store motstanden som flertallsforslaget fikk i høringen, underbygger også at ordningen med vigselsrett for Den norske kirke og andre tros- og livssynssamfunn bør opprettholdes.</w:t>
      </w:r>
    </w:p>
    <w:p w:rsidR="00607491" w:rsidRDefault="00607491" w:rsidP="00607491">
      <w:r>
        <w:t xml:space="preserve">Vigselsordningene er en del av statens aktivt støttende tros- og livssynspolitikk. De bekrefter tros- og livssynssamfunnene som verdiformidlere og tradisjonsbærere, og som arenaer for markering av sentrale overganger i livet. </w:t>
      </w:r>
    </w:p>
    <w:p w:rsidR="00607491" w:rsidRDefault="00607491" w:rsidP="00607491">
      <w:r>
        <w:t>Dagens ordninger er veletablerte og gir valgfrihet for borgerne. Ifølge SSB ble det i 2015 inngått 22 738 ekteskap. Nesten halvparten av vigslene ble foretatt i Den norske kirke (8 565) eller et annet tros- eller livssynssamfunn (1 849). De ca. 1 000 vigslene som årlig blir foretatt av sjømannsprestene, kommer i tillegg.</w:t>
      </w:r>
    </w:p>
    <w:p w:rsidR="00607491" w:rsidRDefault="00607491" w:rsidP="00607491">
      <w:r>
        <w:t xml:space="preserve">Ved en omlegging til sivil ekteskapsinngåelse som generell ordning vil ovennevnte vigsler i tros- og livssynssamfunn måtte foretas av det offentlige. Og brudefolk som ønsker en religiøs eller livssynsmessig ramme om ekteskapsinngåelsen, vil måtte gjennomgå to seremonier istedenfor én (ofte på to ulike dager). Politiske mål om en mer effektiv bruk av offentlige midler, avbyråkratisering og forenkling taler </w:t>
      </w:r>
      <w:r w:rsidR="000D1FAE">
        <w:t xml:space="preserve">også </w:t>
      </w:r>
      <w:r>
        <w:t>for å videreføre dagens ordninger.</w:t>
      </w:r>
    </w:p>
    <w:p w:rsidR="00607491" w:rsidRDefault="00607491" w:rsidP="000D72B4">
      <w:pPr>
        <w:pStyle w:val="Overskrift3"/>
      </w:pPr>
      <w:bookmarkStart w:id="3241" w:name="_Toc492900553"/>
      <w:r>
        <w:t>Registrering og medlemstall som vilkår for vigselsrett</w:t>
      </w:r>
      <w:bookmarkEnd w:id="3241"/>
    </w:p>
    <w:p w:rsidR="00607491" w:rsidRDefault="00607491" w:rsidP="00607491">
      <w:r>
        <w:t>I kapittel 7 foreslår departementet at tros- og livssynssamfunn må være registrert for å kunne få vigselsrett. For å bli registrert må tros- eller livssynssamfunnet etter forslaget være fast organisert og ha minst 500 tilskuddstellende medlemmer over 15 år, jf. også kapittel 18 om medlemskap og tilhørighet.</w:t>
      </w:r>
    </w:p>
    <w:p w:rsidR="00710C19" w:rsidRDefault="00710C19" w:rsidP="00607491">
      <w:r>
        <w:t>Det vil bli vurdert om det er behov for overgangsbestemmelser for en periode av hensyn til samfunn som allerede har vigselsmyndighet etter gjeldende regler, men som ikke vil fylle vilkårene etter det foreslåtte nye regelverket.</w:t>
      </w:r>
    </w:p>
    <w:p w:rsidR="00607491" w:rsidRDefault="00607491" w:rsidP="000D72B4">
      <w:pPr>
        <w:pStyle w:val="Overskrift3"/>
      </w:pPr>
      <w:bookmarkStart w:id="3242" w:name="_Toc492900554"/>
      <w:r>
        <w:t>Samordning av regelverk</w:t>
      </w:r>
      <w:bookmarkEnd w:id="3242"/>
    </w:p>
    <w:p w:rsidR="00607491" w:rsidRDefault="00607491" w:rsidP="00607491">
      <w:r>
        <w:t>Departementet mener det er behov for å harmonisere, forenkle og samordne regelverket om vigsler i tros- og livssynssamfunn, enten under ekteskapsloven eller under den nye felles loven om tros- og livssynssamfunn. Det bør i forskrift etableres et felles regelverk om tildeling og tilbaketrekking av vigselsrett for vigslere i tros- og livssynssamfunn utenom Den norske kirke. Det materielle innholdet i gjeldende ordning foreslås i all hovedsak videreført.</w:t>
      </w:r>
    </w:p>
    <w:p w:rsidR="00607491" w:rsidRDefault="00607491" w:rsidP="00607491">
      <w:r>
        <w:t>Bestemmelser utover ekteskapslovens nåværende regler om prester i Den norske kirke bør fortsatt gis i eller i medhold av særskilt lov om Den norske kirke. I praksis innebærer dette at det fortsatt vil være regulert i Tjenesteordning for menighetsprester.</w:t>
      </w:r>
    </w:p>
    <w:p w:rsidR="00607491" w:rsidRDefault="00607491" w:rsidP="00607491">
      <w:r>
        <w:t xml:space="preserve">Med en samordning kan de ulike vigselssakene få samme førsteinstans og samme klageinstans. Dermed kan formodentlig både likebehandlings-, forenklings- og </w:t>
      </w:r>
      <w:r>
        <w:lastRenderedPageBreak/>
        <w:t>effektiviseringsgevinster oppnås. At regelverket vil bli mer oversiktlig, vil i seg selv være en forenkling både for samfunnene og forvaltningen.</w:t>
      </w:r>
    </w:p>
    <w:p w:rsidR="00607491" w:rsidRDefault="00607491" w:rsidP="00607491">
      <w:r>
        <w:t>At det dreier seg om vigselsrett, som uansett må hjemles i ekteskapsloven, taler i utgangspunktet for at reguleringen også samordnes under ekteskapsloven.</w:t>
      </w:r>
    </w:p>
    <w:p w:rsidR="00607491" w:rsidRDefault="00607491" w:rsidP="00607491">
      <w:r>
        <w:t>Samtidig er det neppe hensiktsmessig å samle all regulering i ekteskapsloven – løsrevet fra den nye loven om tros- og livssynssamfunn. Det vil for eksempel være uheldig dersom et samfunn som er blitt nektet registrering og tilskudd etter den nye loven fordi den ikke anses å være et tros- eller livssynssamfunn, senere kan få vigselsrett som et tros- eller livssynssamfunn.</w:t>
      </w:r>
    </w:p>
    <w:p w:rsidR="00607491" w:rsidRDefault="00607491" w:rsidP="000D72B4">
      <w:pPr>
        <w:pStyle w:val="Overskrift3"/>
      </w:pPr>
      <w:bookmarkStart w:id="3243" w:name="_Toc492900555"/>
      <w:r>
        <w:t>Stedlig avgrenset vigselsrett</w:t>
      </w:r>
      <w:bookmarkEnd w:id="3243"/>
    </w:p>
    <w:p w:rsidR="00607491" w:rsidRDefault="00607491" w:rsidP="00607491">
      <w:r>
        <w:t xml:space="preserve">Dagens ordning med forstanders tjenestedistrikt som stedlig avgrensning av vigselsretten, er både tungvint og uklar. I tillegg innebærer den en forskjellsbehandling av </w:t>
      </w:r>
      <w:r w:rsidR="000D72B4">
        <w:t>trossamfunn og livssynssamfunn.</w:t>
      </w:r>
    </w:p>
    <w:p w:rsidR="00607491" w:rsidRDefault="00607491" w:rsidP="00607491">
      <w:r>
        <w:t>Departementet mener at både likebehandlings- og forenklingshensyn tilsier at den som blir godkjent som vigsler i tros- eller livssynssamfunn utenom Den norske kirke, etter loven bør kunne foreta vigsel i hele landet. Det enkelte tros- eller livssynssamfunn vil imidlertid kunne avgrense den enkelte vigslers stedlige kompetanse.</w:t>
      </w:r>
    </w:p>
    <w:p w:rsidR="00622433" w:rsidRDefault="00622433" w:rsidP="00607491">
      <w:r w:rsidRPr="00622433">
        <w:t>Forslaget samsvarer med det som gjelder for borgerlige vigslere, der det ikke er stedlig avgrenset vigselsrett. Notarius publicus (tingrettsdommere mv.) har etter loven vigselsmyndighet også utenfor sitt eget embetsdistrikt. Det er nylig vedtatt lovendringer som innebærer at borgerlige vigsler skal overføres fra domstolene til kommunene, jf. lov 16. juni 2017 nr. 66 om endringer i ekteskapsloven og bustøttelova m.m. (op</w:t>
      </w:r>
      <w:r w:rsidR="004B5557">
        <w:t xml:space="preserve">pgaveoverføring til kommunene). </w:t>
      </w:r>
      <w:r w:rsidRPr="00622433">
        <w:t>Det følger av lovforarbeidene at også kommunale vigsle</w:t>
      </w:r>
      <w:r w:rsidR="004B5557">
        <w:t>re vil ha</w:t>
      </w:r>
      <w:r w:rsidRPr="00622433">
        <w:t xml:space="preserve"> vigselsmyndighet i hele landet.</w:t>
      </w:r>
    </w:p>
    <w:p w:rsidR="00607491" w:rsidRDefault="00607491" w:rsidP="00607491">
      <w:r>
        <w:t>At vigsler</w:t>
      </w:r>
      <w:r w:rsidR="002A5D9C">
        <w:t>en</w:t>
      </w:r>
      <w:r>
        <w:t xml:space="preserve"> har overskredet sin stedlige kompetanse</w:t>
      </w:r>
      <w:r w:rsidR="002A5D9C">
        <w:t>,</w:t>
      </w:r>
      <w:r>
        <w:t xml:space="preserve"> er ikke en omstendighet som medfører at ekteskapsinngåelsen blir ugyldig</w:t>
      </w:r>
      <w:r w:rsidR="002A5D9C">
        <w:t xml:space="preserve">. Det </w:t>
      </w:r>
      <w:r>
        <w:t>innebærer at en begrensning i den stedlige myndigheten i realiteten bare har betydning for eventuelle reaksjoner overfor vigsler</w:t>
      </w:r>
      <w:r w:rsidR="002A5D9C">
        <w:t>en</w:t>
      </w:r>
      <w:r>
        <w:t>.</w:t>
      </w:r>
    </w:p>
    <w:p w:rsidR="00607491" w:rsidRDefault="00607491" w:rsidP="00607491">
      <w:r>
        <w:t>Vigselsmyndighet etter ekteskapsloven vil også gjelde på Svalbard.</w:t>
      </w:r>
    </w:p>
    <w:p w:rsidR="00607491" w:rsidRDefault="00607491" w:rsidP="000D72B4">
      <w:pPr>
        <w:pStyle w:val="Overskrift3"/>
      </w:pPr>
      <w:bookmarkStart w:id="3244" w:name="_Toc492900556"/>
      <w:r>
        <w:t>Krav til vigsler og vigselsritual</w:t>
      </w:r>
      <w:bookmarkEnd w:id="3244"/>
    </w:p>
    <w:p w:rsidR="00607491" w:rsidRDefault="00607491" w:rsidP="00607491">
      <w:r>
        <w:t>Når det gjelder saker om registrering av og tilskudd til tros- og livssynssamfunn, mener departementet at det må være tros- eller livssynssamfunnet selv som er ansvarlig for å gi korrekte opplysninger. Hvilke stillinger eller ombud som opptrer på tros- eller livssynssamfunnets vegne i slike saker, vil variere fra samfunn til samfunn og bør ikke lovfestes.</w:t>
      </w:r>
    </w:p>
    <w:p w:rsidR="00607491" w:rsidRDefault="00607491" w:rsidP="00607491">
      <w:r>
        <w:t xml:space="preserve">Departementet mener at gjeldende regler om godkjenning av vigsler i tros- og livssynssamfunn i all hovedsak bør videreføres, men at de bør samordnes i felles forskriftsbestemmelser for tros- og livssynssamfunn. Departementet foreslår at bestemmelser om tildeling og tilbaketrekking av vigselsrett, gis som forskrift. Forskriften kan gis enten i medhold av ny hjemmel i ekteskapsloven eller i </w:t>
      </w:r>
      <w:r w:rsidR="002A5D9C">
        <w:t xml:space="preserve">den nye </w:t>
      </w:r>
      <w:r>
        <w:t>lov</w:t>
      </w:r>
      <w:r w:rsidR="002A5D9C">
        <w:t>en</w:t>
      </w:r>
      <w:r>
        <w:t xml:space="preserve"> om tros- og livssynssamfunn.</w:t>
      </w:r>
    </w:p>
    <w:p w:rsidR="000D72B4" w:rsidRPr="0035266D" w:rsidRDefault="00607491" w:rsidP="0035266D">
      <w:r>
        <w:t>Kvalifikasjonskrav til vigslere, i hovedsak i form av krav om norskkunnskap, er i dag regulert i forskrift til trossamfunnsloven. Det foreslås at disse bestemmelsene videreføres, og at det ikke gis nye lovkrav til vigsleres kompetanse.</w:t>
      </w:r>
      <w:r w:rsidR="0035266D" w:rsidRPr="0035266D">
        <w:t xml:space="preserve"> Dette innebærer blant annet at vedkommende </w:t>
      </w:r>
      <w:r w:rsidR="0035266D">
        <w:lastRenderedPageBreak/>
        <w:t xml:space="preserve">fortsatt </w:t>
      </w:r>
      <w:r w:rsidR="0035266D" w:rsidRPr="0035266D">
        <w:t>må ha tilstrekkelig kjennskap til det norske samfunn</w:t>
      </w:r>
      <w:r w:rsidR="002A5D9C">
        <w:t>et</w:t>
      </w:r>
      <w:r w:rsidR="0035266D" w:rsidRPr="0035266D">
        <w:t xml:space="preserve"> og tilstrekkelige kunnskaper i norsk språk til å kunne utføre sine plikter etter ekteskapsloven.</w:t>
      </w:r>
    </w:p>
    <w:p w:rsidR="00607491" w:rsidRDefault="00607491" w:rsidP="00607491">
      <w:r>
        <w:t>Departementet ser ikke behov for at ordningen for statlig godkjenning av vigslere også skal omfatte prestene i Den norske kirke, selv om prestene og biskopene som fører tilsyn med dem, ikke lenger er statlig tilsatte. Kvalifikasjonskravene som stilles til den som skal ansettes som prest i Den norske kirke, vil uansett være mye strengere enn kravene det er aktuelt å stille til vigslere i andre tros- og livssynssamfunn. I utgangspunktet må den som skal ansettes som prest i Den norske kirke</w:t>
      </w:r>
      <w:r w:rsidR="002A5D9C">
        <w:t>,</w:t>
      </w:r>
      <w:r>
        <w:t xml:space="preserve"> ha fullført profesjonsstudiet i teologi.</w:t>
      </w:r>
    </w:p>
    <w:p w:rsidR="00607491" w:rsidRDefault="00607491" w:rsidP="00607491">
      <w:r>
        <w:t>Departementet foreslår at gjeldende praksis for godkjenning av vigselsritual videreføres. Bufdir vurderer i dag om et vigselsritual kan godkjennes på bakgrunn av de vilkår for ekteskapsinngåelse som fremkommer av ekteskapsloven. Departementet foreslår at godkjenning etter loven legges til departementet, som vurderer videre delegering til Bufdir som i dag.</w:t>
      </w:r>
    </w:p>
    <w:p w:rsidR="00607491" w:rsidRDefault="00607491" w:rsidP="00607491">
      <w:r>
        <w:t>Likebehandlingshensyn tilsier at staten også godkjenner Den norske kirkes vigselsritual(er), slik ordningen er for ritualet/-ene til andre tros- og livssynssamfunn.</w:t>
      </w:r>
    </w:p>
    <w:p w:rsidR="00607491" w:rsidRDefault="00607491" w:rsidP="00607491">
      <w:r>
        <w:t>Ekteskapsloven § 16 første ledd tredje setning fastslår at «[e]t ekteskap er ugyldig dersom prest i Den norske kirke ikke har fulgt liturgi fastsatt av Kirkemøtet». Denne bestemmelsen har sin bakgrunn i at man ønsket å unngå å komme i den situasjonen at en prest foretok en vigsel av et brudepar av samme kjønn etter det borgerlige vigselsritualet. Nå som Den norske kirke har åpnet for slike ekteskapsinngåelse</w:t>
      </w:r>
      <w:r w:rsidR="004B5557">
        <w:t>r</w:t>
      </w:r>
      <w:r>
        <w:t>, og har fastsatt sin egen liturgi for dette, er det ikke lenger behov for denne særlige ugyldighetsbestemmelsen. Departementet foreslår derfor at ekteskapsloven § 16 første ledd tredje setning oppheves.</w:t>
      </w:r>
    </w:p>
    <w:p w:rsidR="00607491" w:rsidRDefault="00607491" w:rsidP="000D72B4">
      <w:pPr>
        <w:pStyle w:val="Overskrift3"/>
      </w:pPr>
      <w:bookmarkStart w:id="3245" w:name="_Toc492900557"/>
      <w:r>
        <w:t>Nektingsgrunnene</w:t>
      </w:r>
      <w:bookmarkEnd w:id="3245"/>
    </w:p>
    <w:p w:rsidR="00607491" w:rsidRDefault="00607491" w:rsidP="00607491">
      <w:r>
        <w:t xml:space="preserve">Nektingsgrunnene i ekteskapsloven § 13 foreslås videreført. Stålsett-utvalgets anbefaling om at nektingsgrunnene ikke kan praktiseres ulikt overfor menn og kvinner, følges imidlertid opp med forslag om en ny regel om forbud mot forskjellsbehandling på grunn av kjønn. Samfunnene utfører en offentligrettslig handling når de utfører vigsler, og det er derfor rimelig å stille krav om likebehandling av kjønnene. Regelen foreslås innplassert som </w:t>
      </w:r>
      <w:r w:rsidR="002A5D9C">
        <w:t>et</w:t>
      </w:r>
      <w:r>
        <w:t xml:space="preserve"> nytt tredje ledd til ekteskapsloven § 13.</w:t>
      </w:r>
    </w:p>
    <w:p w:rsidR="000D72B4" w:rsidRDefault="00607491" w:rsidP="000D72B4">
      <w:r>
        <w:t>Departementet foreslår også at ordlyden i ekteskapsloven gjøres livssyns- eller religionsnøytral ved at «menighet» og «kirkelig vigsler», som benyttes i lovens § 13, erstattes av mer nøytrale ord og uttrykk: «samfunnet» og «den som er prest i Den norske kirke eller v</w:t>
      </w:r>
      <w:r w:rsidR="000D72B4">
        <w:t>igsler i et annet trossamfunn».</w:t>
      </w:r>
    </w:p>
    <w:p w:rsidR="00607491" w:rsidRDefault="00607491" w:rsidP="000D72B4">
      <w:pPr>
        <w:pStyle w:val="Overskrift2"/>
      </w:pPr>
      <w:bookmarkStart w:id="3246" w:name="_Toc492900558"/>
      <w:r>
        <w:t>Lovforslag</w:t>
      </w:r>
      <w:bookmarkEnd w:id="3246"/>
    </w:p>
    <w:p w:rsidR="00607491" w:rsidRDefault="00607491" w:rsidP="00607491">
      <w:r>
        <w:t>Forslagene som er omtalt ovenfor, kan ivaretas ved følgende lovendringer:</w:t>
      </w:r>
    </w:p>
    <w:p w:rsidR="00607491" w:rsidRDefault="00607491" w:rsidP="00607491">
      <w:r>
        <w:t>Bestemmelsene i trossamfunnsloven §§ 24–27 erstattes av forskriftsbestemmelser med tilsvarende innhold gitt i medhold av ekteskapsloven § 12 nytt annet ledd (se nedenfor).</w:t>
      </w:r>
    </w:p>
    <w:p w:rsidR="00607491" w:rsidRDefault="00607491" w:rsidP="00607491">
      <w:r>
        <w:t>Ekteskapsloven § 12 første ledd bokstav a skal lyde:</w:t>
      </w:r>
    </w:p>
    <w:p w:rsidR="00607491" w:rsidRPr="007D0B6C" w:rsidRDefault="00607491" w:rsidP="007D0B6C">
      <w:pPr>
        <w:pStyle w:val="blokksit"/>
        <w:rPr>
          <w:rStyle w:val="kursiv"/>
        </w:rPr>
      </w:pPr>
      <w:r w:rsidRPr="007D0B6C">
        <w:rPr>
          <w:rStyle w:val="kursiv"/>
        </w:rPr>
        <w:t>Vigsler er:</w:t>
      </w:r>
    </w:p>
    <w:p w:rsidR="00607491" w:rsidRPr="007D0B6C" w:rsidRDefault="00607491" w:rsidP="007D0B6C">
      <w:pPr>
        <w:pStyle w:val="blokksit"/>
        <w:rPr>
          <w:rStyle w:val="kursiv"/>
        </w:rPr>
      </w:pPr>
      <w:r w:rsidRPr="007D0B6C">
        <w:rPr>
          <w:rStyle w:val="kursiv"/>
        </w:rPr>
        <w:t>a. prest i Den norske kirke og person som er tildelt vigselsmyndighet i et tros- eller livssynssamfunn som er registrert etter lov om tros- og livssynssamfunn.</w:t>
      </w:r>
    </w:p>
    <w:p w:rsidR="00607491" w:rsidRDefault="00607491" w:rsidP="00607491">
      <w:r>
        <w:lastRenderedPageBreak/>
        <w:t>§ 12 annet ledd skal lyde:</w:t>
      </w:r>
    </w:p>
    <w:p w:rsidR="00607491" w:rsidRPr="007D0B6C" w:rsidRDefault="00607491" w:rsidP="007D0B6C">
      <w:pPr>
        <w:pStyle w:val="blokksit"/>
        <w:rPr>
          <w:rStyle w:val="kursiv"/>
        </w:rPr>
      </w:pPr>
      <w:r w:rsidRPr="007D0B6C">
        <w:rPr>
          <w:rStyle w:val="kursiv"/>
        </w:rPr>
        <w:t>Departementet kan gi forskrift om tildeling og tilbaketrekking av vigselsrett for vigslere i registrerte tros- og livssynssamfunn.</w:t>
      </w:r>
    </w:p>
    <w:p w:rsidR="00607491" w:rsidRDefault="00607491" w:rsidP="00607491">
      <w:r>
        <w:t>§ 12 nytt tredje ledd skal lyde:</w:t>
      </w:r>
    </w:p>
    <w:p w:rsidR="00607491" w:rsidRPr="007D0B6C" w:rsidRDefault="00607491" w:rsidP="007D0B6C">
      <w:pPr>
        <w:pStyle w:val="blokksit"/>
        <w:rPr>
          <w:rStyle w:val="kursiv"/>
        </w:rPr>
      </w:pPr>
      <w:r w:rsidRPr="007D0B6C">
        <w:rPr>
          <w:rStyle w:val="kursiv"/>
        </w:rPr>
        <w:t>Ritual for vigsel etter denne paragrafs første ledd bokstav a skal godkjennes av departementet.</w:t>
      </w:r>
    </w:p>
    <w:p w:rsidR="00607491" w:rsidRDefault="00607491" w:rsidP="00607491">
      <w:r>
        <w:t>Ekteskapsloven § 13 første og annet ledd skal lyde:</w:t>
      </w:r>
    </w:p>
    <w:p w:rsidR="00607491" w:rsidRPr="007D0B6C" w:rsidRDefault="00607491" w:rsidP="007D0B6C">
      <w:pPr>
        <w:pStyle w:val="blokksit"/>
        <w:rPr>
          <w:rStyle w:val="kursiv"/>
        </w:rPr>
      </w:pPr>
      <w:r w:rsidRPr="007D0B6C">
        <w:rPr>
          <w:rStyle w:val="kursiv"/>
        </w:rPr>
        <w:t>En vigsler som nevnt i § 12 bokstav a, kan nekte å foreta vigsel dersom en av brudefolkene ikke er medlem av tros- eller livssynssamfunnet, eller ingen av dem tilhører samfunnet.</w:t>
      </w:r>
    </w:p>
    <w:p w:rsidR="00607491" w:rsidRPr="007D0B6C" w:rsidRDefault="00607491" w:rsidP="007D0B6C">
      <w:pPr>
        <w:pStyle w:val="blokksit"/>
        <w:rPr>
          <w:rStyle w:val="kursiv"/>
        </w:rPr>
      </w:pPr>
      <w:r w:rsidRPr="007D0B6C">
        <w:rPr>
          <w:rStyle w:val="kursiv"/>
        </w:rPr>
        <w:t>Den som er prest i Den norske kirke eller vigsler i et annet trossamfunn kan nekte å foreta vigsel dersom en av brudefolkene er skilt og den tidligere ektefellen lever, eller dersom brudefolkene er av samme kjønn.</w:t>
      </w:r>
    </w:p>
    <w:p w:rsidR="00607491" w:rsidRDefault="00607491" w:rsidP="00607491">
      <w:r>
        <w:t>Ekteskapsloven §</w:t>
      </w:r>
      <w:r w:rsidR="00AB55A4">
        <w:t xml:space="preserve"> 13 nytt tredje ledd skal lyde:</w:t>
      </w:r>
    </w:p>
    <w:p w:rsidR="00607491" w:rsidRPr="007D0B6C" w:rsidRDefault="00607491" w:rsidP="007D0B6C">
      <w:pPr>
        <w:pStyle w:val="blokksit"/>
        <w:rPr>
          <w:rStyle w:val="kursiv"/>
        </w:rPr>
      </w:pPr>
      <w:r w:rsidRPr="007D0B6C">
        <w:rPr>
          <w:rStyle w:val="kursiv"/>
        </w:rPr>
        <w:t>Nekting etter grunnene i første og annet ledd skal praktiseres likt for kvinner og menn.</w:t>
      </w:r>
    </w:p>
    <w:p w:rsidR="00607491" w:rsidRDefault="00607491" w:rsidP="00607491">
      <w:r>
        <w:t>Ekteskapsloven § 16 første ledd tredje punktum oppheves.</w:t>
      </w:r>
    </w:p>
    <w:p w:rsidR="00AB55A4" w:rsidRDefault="00AB55A4" w:rsidP="00801BDA"/>
    <w:p w:rsidR="00AB55A4" w:rsidRDefault="00AB55A4" w:rsidP="00801BDA"/>
    <w:p w:rsidR="00907247" w:rsidRDefault="00907247">
      <w:pPr>
        <w:spacing w:after="0" w:line="240" w:lineRule="auto"/>
        <w:rPr>
          <w:rFonts w:eastAsiaTheme="minorEastAsia" w:cs="Times New Roman"/>
          <w:szCs w:val="24"/>
        </w:rPr>
      </w:pPr>
      <w:r>
        <w:rPr>
          <w:rFonts w:eastAsiaTheme="minorEastAsia" w:cs="Times New Roman"/>
          <w:szCs w:val="24"/>
        </w:rPr>
        <w:br w:type="page"/>
      </w:r>
    </w:p>
    <w:p w:rsidR="00907247" w:rsidRDefault="00907247" w:rsidP="001D146F">
      <w:pPr>
        <w:pStyle w:val="Overskrift1"/>
        <w:rPr>
          <w:rFonts w:asciiTheme="minorHAnsi" w:eastAsiaTheme="minorEastAsia" w:hAnsiTheme="minorHAnsi"/>
          <w:sz w:val="20"/>
        </w:rPr>
      </w:pPr>
      <w:bookmarkStart w:id="3247" w:name="_Toc470087771"/>
      <w:bookmarkStart w:id="3248" w:name="_Toc477277371"/>
      <w:bookmarkStart w:id="3249" w:name="_Toc477536045"/>
      <w:bookmarkStart w:id="3250" w:name="_Toc477631175"/>
      <w:bookmarkStart w:id="3251" w:name="_Toc477694139"/>
      <w:bookmarkStart w:id="3252" w:name="_Toc477704565"/>
      <w:bookmarkStart w:id="3253" w:name="_Toc477799806"/>
      <w:bookmarkStart w:id="3254" w:name="_Toc477806407"/>
      <w:bookmarkStart w:id="3255" w:name="_Toc477871166"/>
      <w:bookmarkStart w:id="3256" w:name="_Toc477872067"/>
      <w:bookmarkStart w:id="3257" w:name="_Toc477878675"/>
      <w:bookmarkStart w:id="3258" w:name="_Toc477882079"/>
      <w:bookmarkStart w:id="3259" w:name="_Toc477886541"/>
      <w:bookmarkStart w:id="3260" w:name="_Toc478131487"/>
      <w:bookmarkStart w:id="3261" w:name="_Toc478138857"/>
      <w:bookmarkStart w:id="3262" w:name="_Toc478232381"/>
      <w:bookmarkStart w:id="3263" w:name="_Toc478237366"/>
      <w:bookmarkStart w:id="3264" w:name="_Toc481761907"/>
      <w:bookmarkStart w:id="3265" w:name="_Toc492900559"/>
      <w:r>
        <w:rPr>
          <w:rFonts w:eastAsiaTheme="minorEastAsia"/>
        </w:rPr>
        <w:lastRenderedPageBreak/>
        <w:t xml:space="preserve">Andre </w:t>
      </w:r>
      <w:r w:rsidR="00B40BE8">
        <w:rPr>
          <w:rFonts w:eastAsiaTheme="minorEastAsia"/>
        </w:rPr>
        <w:t>lov</w:t>
      </w:r>
      <w:r>
        <w:rPr>
          <w:rFonts w:eastAsiaTheme="minorEastAsia"/>
        </w:rPr>
        <w:t>spørsmål</w:t>
      </w:r>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p>
    <w:p w:rsidR="00907247" w:rsidRPr="00530C63" w:rsidRDefault="00907247" w:rsidP="00530C63">
      <w:pPr>
        <w:pStyle w:val="Overskrift2"/>
        <w:rPr>
          <w:rFonts w:eastAsiaTheme="minorEastAsia"/>
        </w:rPr>
      </w:pPr>
      <w:bookmarkStart w:id="3266" w:name="_Toc470087772"/>
      <w:bookmarkStart w:id="3267" w:name="_Toc477277372"/>
      <w:bookmarkStart w:id="3268" w:name="_Toc477536046"/>
      <w:bookmarkStart w:id="3269" w:name="_Toc477631176"/>
      <w:bookmarkStart w:id="3270" w:name="_Toc477694140"/>
      <w:bookmarkStart w:id="3271" w:name="_Toc477704566"/>
      <w:bookmarkStart w:id="3272" w:name="_Toc477799807"/>
      <w:bookmarkStart w:id="3273" w:name="_Toc477806408"/>
      <w:bookmarkStart w:id="3274" w:name="_Toc477871167"/>
      <w:bookmarkStart w:id="3275" w:name="_Toc477872068"/>
      <w:bookmarkStart w:id="3276" w:name="_Toc477878676"/>
      <w:bookmarkStart w:id="3277" w:name="_Toc477882080"/>
      <w:bookmarkStart w:id="3278" w:name="_Toc477886542"/>
      <w:bookmarkStart w:id="3279" w:name="_Toc478131488"/>
      <w:bookmarkStart w:id="3280" w:name="_Toc478138858"/>
      <w:bookmarkStart w:id="3281" w:name="_Toc478232382"/>
      <w:bookmarkStart w:id="3282" w:name="_Toc478237367"/>
      <w:bookmarkStart w:id="3283" w:name="_Toc481761908"/>
      <w:bookmarkStart w:id="3284" w:name="_Toc492900560"/>
      <w:r w:rsidRPr="00530C63">
        <w:rPr>
          <w:rFonts w:eastAsiaTheme="minorEastAsia"/>
        </w:rPr>
        <w:t>Navnebruk og enerett til navn</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p>
    <w:p w:rsidR="00907247" w:rsidRDefault="00907247" w:rsidP="00907247">
      <w:r w:rsidRPr="003D2F9E">
        <w:t>I trossamfunnsloven § 12 er det gitt særskilte regler om trossamfunns navn, blant annet om enerett til navn og navnendringer. Bestemmelsen lyder:</w:t>
      </w:r>
    </w:p>
    <w:p w:rsidR="00907247" w:rsidRPr="007D0B6C" w:rsidRDefault="00907247" w:rsidP="007D0B6C">
      <w:pPr>
        <w:pStyle w:val="blokksit"/>
        <w:rPr>
          <w:rStyle w:val="kursiv"/>
          <w:rFonts w:eastAsiaTheme="minorHAnsi"/>
        </w:rPr>
      </w:pPr>
      <w:r w:rsidRPr="007D0B6C">
        <w:rPr>
          <w:rStyle w:val="kursiv"/>
          <w:rFonts w:eastAsiaTheme="minorHAnsi"/>
        </w:rPr>
        <w:t>Eit trudomssamfunn må ikkje nytta namn som kan valda forbyting med andre trudomssamfunn.</w:t>
      </w:r>
      <w:r w:rsidRPr="007D0B6C">
        <w:rPr>
          <w:rStyle w:val="kursiv"/>
          <w:rFonts w:eastAsiaTheme="minorHAnsi"/>
        </w:rPr>
        <w:br/>
        <w:t xml:space="preserve">Når eit trudomssamfunn melder namnet sitt til det departement Kongen fastset, kan samfunnet få einerett til namnet. Departementet ser til at namnet ikkje alt er i bruk, at det ikkje krenkjer nokon, og at det ikkje er skikka til å valda forbyting. Er slikt ikkje til hinder for godkjenning, skal departementet gjeva vitnemål om at namnet er meldt og godkjent. </w:t>
      </w:r>
    </w:p>
    <w:p w:rsidR="00907247" w:rsidRPr="007D0B6C" w:rsidRDefault="00907247" w:rsidP="007D0B6C">
      <w:pPr>
        <w:pStyle w:val="blokksit"/>
        <w:rPr>
          <w:rStyle w:val="kursiv"/>
          <w:rFonts w:eastAsiaTheme="minorHAnsi"/>
        </w:rPr>
      </w:pPr>
      <w:r w:rsidRPr="007D0B6C">
        <w:rPr>
          <w:rStyle w:val="kursiv"/>
          <w:rFonts w:eastAsiaTheme="minorHAnsi"/>
        </w:rPr>
        <w:t>Gjer trudomssamfunnet brigde i namnet sitt eller vert samfunnet oppløyst, skal styret senda departementet melding om det utan drygjing.</w:t>
      </w:r>
    </w:p>
    <w:p w:rsidR="00907247" w:rsidRDefault="00907247">
      <w:r>
        <w:t xml:space="preserve">Reglene i § 12 gjelder for både registrerte og uregistrerte trossamfunn. Det er ikke gitt tilsvarende regler for livssynssamfunn.  </w:t>
      </w:r>
    </w:p>
    <w:p w:rsidR="00907247" w:rsidRDefault="00907247">
      <w:r>
        <w:t>For offentlig forvaltning er det i dag først og fremst organisasjonsnumrene som skiller det ene trossamfunnet fra det andre. Hjemmelen til å fastsette rett til bruk av navn er av lite</w:t>
      </w:r>
      <w:r w:rsidR="002A5D9C">
        <w:t>n praktisk betydning og sjelden</w:t>
      </w:r>
      <w:r>
        <w:t xml:space="preserve"> i bruk. I NOU 2013:1 ble bestemmelsen i § 12 om enerett til navn foreslått opphevet (s. 414). </w:t>
      </w:r>
    </w:p>
    <w:p w:rsidR="00907247" w:rsidRPr="00B21F40" w:rsidRDefault="00907247">
      <w:r>
        <w:t>Departementet mener at det ikke er et samfunnsmessig behov for en særskilt, lovregulert ordning om trossamfunns navn. Trossamfunnsloven § 12 foreslås ikke videreført i ny lov.</w:t>
      </w:r>
    </w:p>
    <w:p w:rsidR="00907247" w:rsidRPr="00530C63" w:rsidRDefault="00907247" w:rsidP="00530C63">
      <w:pPr>
        <w:pStyle w:val="Overskrift2"/>
        <w:rPr>
          <w:rFonts w:eastAsiaTheme="minorEastAsia"/>
        </w:rPr>
      </w:pPr>
      <w:bookmarkStart w:id="3285" w:name="_Toc470087774"/>
      <w:bookmarkStart w:id="3286" w:name="_Toc477277374"/>
      <w:bookmarkStart w:id="3287" w:name="_Toc477536048"/>
      <w:bookmarkStart w:id="3288" w:name="_Toc477631178"/>
      <w:bookmarkStart w:id="3289" w:name="_Toc477694142"/>
      <w:bookmarkStart w:id="3290" w:name="_Toc477704568"/>
      <w:bookmarkStart w:id="3291" w:name="_Toc477799809"/>
      <w:bookmarkStart w:id="3292" w:name="_Toc477806410"/>
      <w:bookmarkStart w:id="3293" w:name="_Toc477871169"/>
      <w:bookmarkStart w:id="3294" w:name="_Toc477872070"/>
      <w:bookmarkStart w:id="3295" w:name="_Toc477878678"/>
      <w:bookmarkStart w:id="3296" w:name="_Toc477882082"/>
      <w:bookmarkStart w:id="3297" w:name="_Toc477886544"/>
      <w:bookmarkStart w:id="3298" w:name="_Toc478131489"/>
      <w:bookmarkStart w:id="3299" w:name="_Toc478138859"/>
      <w:bookmarkStart w:id="3300" w:name="_Toc478232383"/>
      <w:bookmarkStart w:id="3301" w:name="_Toc478237368"/>
      <w:bookmarkStart w:id="3302" w:name="_Toc481761909"/>
      <w:bookmarkStart w:id="3303" w:name="_Toc492900561"/>
      <w:r w:rsidRPr="00530C63">
        <w:t>Tilskudd til religionsopplæring</w:t>
      </w:r>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p>
    <w:p w:rsidR="00907247" w:rsidRDefault="00907247">
      <w:pPr>
        <w:rPr>
          <w:rFonts w:eastAsiaTheme="minorEastAsia"/>
        </w:rPr>
      </w:pPr>
      <w:r>
        <w:t xml:space="preserve">Etter trossamfunnsloven § 20 kan registrerte trossamfunn kreve kommunale tilskudd til religionsopplæring for barn som tilhører samfunnet og som er fritatt fra </w:t>
      </w:r>
      <w:r>
        <w:rPr>
          <w:i/>
        </w:rPr>
        <w:t xml:space="preserve">kristendomsopplæringa </w:t>
      </w:r>
      <w:r>
        <w:t xml:space="preserve">i grunnskolen. </w:t>
      </w:r>
    </w:p>
    <w:p w:rsidR="00907247" w:rsidRDefault="00907247">
      <w:r>
        <w:t>Det tidligere faget Kristendomskunnskap er erstattet av faget Kristendom, religion, livssyn og etikk (KRLE). Faget skal ifølge opplæringsloven § 2–4 være et ordinært skolefag som normalt samler alle elever, og det skal ikke være forkynnende. Grunnlaget for tilskudd etter trossamfunnsloven § 20 er etter dette falt bort. Bestemmelsen kan oppheves.</w:t>
      </w:r>
    </w:p>
    <w:p w:rsidR="00907247" w:rsidRPr="001D146F" w:rsidRDefault="00907247">
      <w:pPr>
        <w:rPr>
          <w:rFonts w:eastAsiaTheme="minorEastAsia"/>
        </w:rPr>
      </w:pPr>
      <w:r>
        <w:t>Trossamfunnsloven § 20 foreslås ikke videreført i ny lov. Dette er i samsvar med forslaget i NOU 2013:</w:t>
      </w:r>
      <w:r w:rsidR="005D1855">
        <w:t xml:space="preserve"> </w:t>
      </w:r>
      <w:r>
        <w:t>1 (s. 414).</w:t>
      </w:r>
    </w:p>
    <w:p w:rsidR="00907247" w:rsidRPr="00530C63" w:rsidRDefault="00907247" w:rsidP="00530C63">
      <w:pPr>
        <w:pStyle w:val="Overskrift2"/>
        <w:rPr>
          <w:rFonts w:eastAsiaTheme="minorEastAsia"/>
        </w:rPr>
      </w:pPr>
      <w:bookmarkStart w:id="3304" w:name="_Toc478131490"/>
      <w:bookmarkStart w:id="3305" w:name="_Toc478138860"/>
      <w:bookmarkStart w:id="3306" w:name="_Toc478232384"/>
      <w:bookmarkStart w:id="3307" w:name="_Toc478237369"/>
      <w:bookmarkStart w:id="3308" w:name="_Toc481761910"/>
      <w:bookmarkStart w:id="3309" w:name="_Toc492900562"/>
      <w:bookmarkStart w:id="3310" w:name="_Toc477277375"/>
      <w:bookmarkStart w:id="3311" w:name="_Toc477536049"/>
      <w:bookmarkStart w:id="3312" w:name="_Toc477631179"/>
      <w:bookmarkStart w:id="3313" w:name="_Toc477694143"/>
      <w:bookmarkStart w:id="3314" w:name="_Toc477704569"/>
      <w:bookmarkStart w:id="3315" w:name="_Toc477799810"/>
      <w:bookmarkStart w:id="3316" w:name="_Toc477806411"/>
      <w:bookmarkStart w:id="3317" w:name="_Toc477871170"/>
      <w:bookmarkStart w:id="3318" w:name="_Toc477872071"/>
      <w:bookmarkStart w:id="3319" w:name="_Toc477878679"/>
      <w:bookmarkStart w:id="3320" w:name="_Toc477882083"/>
      <w:bookmarkStart w:id="3321" w:name="_Toc477886545"/>
      <w:r w:rsidRPr="00530C63">
        <w:rPr>
          <w:rFonts w:eastAsiaTheme="minorEastAsia"/>
        </w:rPr>
        <w:t>Arkivering og avlevering</w:t>
      </w:r>
      <w:bookmarkEnd w:id="3304"/>
      <w:bookmarkEnd w:id="3305"/>
      <w:bookmarkEnd w:id="3306"/>
      <w:bookmarkEnd w:id="3307"/>
      <w:bookmarkEnd w:id="3308"/>
      <w:bookmarkEnd w:id="3309"/>
      <w:r w:rsidRPr="00530C63">
        <w:rPr>
          <w:rFonts w:eastAsiaTheme="minorEastAsia"/>
        </w:rPr>
        <w:t xml:space="preserve"> </w:t>
      </w:r>
      <w:bookmarkEnd w:id="3310"/>
      <w:bookmarkEnd w:id="3311"/>
      <w:bookmarkEnd w:id="3312"/>
      <w:bookmarkEnd w:id="3313"/>
      <w:bookmarkEnd w:id="3314"/>
      <w:bookmarkEnd w:id="3315"/>
      <w:bookmarkEnd w:id="3316"/>
      <w:bookmarkEnd w:id="3317"/>
      <w:bookmarkEnd w:id="3318"/>
      <w:bookmarkEnd w:id="3319"/>
      <w:bookmarkEnd w:id="3320"/>
      <w:bookmarkEnd w:id="3321"/>
    </w:p>
    <w:p w:rsidR="00907247" w:rsidRDefault="00907247" w:rsidP="001D146F">
      <w:pPr>
        <w:pStyle w:val="Overskrift3"/>
      </w:pPr>
      <w:bookmarkStart w:id="3322" w:name="_Toc477277376"/>
      <w:bookmarkStart w:id="3323" w:name="_Toc477536050"/>
      <w:bookmarkStart w:id="3324" w:name="_Toc477631180"/>
      <w:bookmarkStart w:id="3325" w:name="_Toc477694144"/>
      <w:bookmarkStart w:id="3326" w:name="_Toc477704570"/>
      <w:bookmarkStart w:id="3327" w:name="_Toc477799811"/>
      <w:bookmarkStart w:id="3328" w:name="_Toc477806412"/>
      <w:bookmarkStart w:id="3329" w:name="_Toc477871171"/>
      <w:bookmarkStart w:id="3330" w:name="_Toc477872072"/>
      <w:bookmarkStart w:id="3331" w:name="_Toc477878680"/>
      <w:bookmarkStart w:id="3332" w:name="_Toc477882084"/>
      <w:bookmarkStart w:id="3333" w:name="_Toc477886546"/>
      <w:bookmarkStart w:id="3334" w:name="_Toc478131491"/>
      <w:bookmarkStart w:id="3335" w:name="_Toc478138861"/>
      <w:bookmarkStart w:id="3336" w:name="_Toc478232385"/>
      <w:bookmarkStart w:id="3337" w:name="_Toc478237370"/>
      <w:bookmarkStart w:id="3338" w:name="_Toc481761911"/>
      <w:bookmarkStart w:id="3339" w:name="_Toc492900563"/>
      <w:r>
        <w:t>Innledning</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rsidR="00907247" w:rsidRDefault="00907247">
      <w:r>
        <w:t xml:space="preserve">Etter kirkeloven § 38 gjelder arkivlovens regler om offentlige organer for den virksomhet som drives av lovbestemte kirkelige organer. Tilsvarende er ikke tilfelle for andre tros- og livssynssamfunn. Som nevnt fastslår imidlertid trossamfunnsloven § 25 at forstander i registrert trossamfunn skal føre de «bøker» som Kulturdepartementet bestemmer. I henhold til § 11 i lovens tilhørende forskrift skal forstander føre et medlemsregister med nærmere angitte opplysninger. Etter lovens § 22 skal trossamfunnets «offentlege bøker» straks overføres til Fylkesmannen når et registrert trossamfunn oppløses eller av andre grunner </w:t>
      </w:r>
      <w:r>
        <w:lastRenderedPageBreak/>
        <w:t xml:space="preserve">mister sin status som registrert. Bøkene skal etter lovens § 23 avleveres til de offentlige arkiver i samsvar med reglene som gjelder for embetsbøkene i Den norske kirke, det vil si når siste innføring er 80 år gammel. </w:t>
      </w:r>
    </w:p>
    <w:p w:rsidR="00907247" w:rsidRDefault="00907247" w:rsidP="001D146F">
      <w:pPr>
        <w:rPr>
          <w:rFonts w:eastAsiaTheme="minorEastAsia"/>
        </w:rPr>
      </w:pPr>
      <w:r>
        <w:t xml:space="preserve">Med unntak for vigselsbok i tråd med § 1 </w:t>
      </w:r>
      <w:r w:rsidR="0010099C">
        <w:t xml:space="preserve">i </w:t>
      </w:r>
      <w:r>
        <w:t>forskrift om registrering og melding av vigsel, fører ikke tros- og livssynssamfunnene lenger «offentlege bøker».</w:t>
      </w:r>
    </w:p>
    <w:p w:rsidR="00907247" w:rsidRPr="001D146F" w:rsidRDefault="00785D2F" w:rsidP="001D146F">
      <w:pPr>
        <w:rPr>
          <w:rFonts w:eastAsiaTheme="minorEastAsia"/>
        </w:rPr>
      </w:pPr>
      <w:r>
        <w:t>Stålsett-utvalget</w:t>
      </w:r>
      <w:r w:rsidR="00907247">
        <w:t xml:space="preserve"> mente det ikke var grunn til å ha særlige regler for arkiv i tros- og livssynssamfunn. Ovennevnte bestemmelser ble derfor ikke foreslått videreført i utvalgets forslag til tilskuddslov for tros- og livssynssamfunn. Utvalget framholdt arkivlovas særlige regler om verneverdige privatarkiv som et alternativt grunnlag for å sikre bevaring av arkivmateriale i tros- og livssynssamfunnene. </w:t>
      </w:r>
    </w:p>
    <w:p w:rsidR="00907247" w:rsidRDefault="00907247" w:rsidP="001D146F">
      <w:pPr>
        <w:pStyle w:val="Overskrift3"/>
        <w:rPr>
          <w:rFonts w:asciiTheme="minorHAnsi" w:eastAsiaTheme="minorEastAsia" w:hAnsiTheme="minorHAnsi"/>
          <w:sz w:val="20"/>
        </w:rPr>
      </w:pPr>
      <w:bookmarkStart w:id="3340" w:name="_Toc477277377"/>
      <w:bookmarkStart w:id="3341" w:name="_Toc477536051"/>
      <w:bookmarkStart w:id="3342" w:name="_Toc477631181"/>
      <w:bookmarkStart w:id="3343" w:name="_Toc477694145"/>
      <w:bookmarkStart w:id="3344" w:name="_Toc477704571"/>
      <w:bookmarkStart w:id="3345" w:name="_Toc477799812"/>
      <w:bookmarkStart w:id="3346" w:name="_Toc477806413"/>
      <w:bookmarkStart w:id="3347" w:name="_Toc477871172"/>
      <w:bookmarkStart w:id="3348" w:name="_Toc477872073"/>
      <w:bookmarkStart w:id="3349" w:name="_Toc477878681"/>
      <w:bookmarkStart w:id="3350" w:name="_Toc477882085"/>
      <w:bookmarkStart w:id="3351" w:name="_Toc477886547"/>
      <w:bookmarkStart w:id="3352" w:name="_Toc478131492"/>
      <w:bookmarkStart w:id="3353" w:name="_Toc478138862"/>
      <w:bookmarkStart w:id="3354" w:name="_Toc478232386"/>
      <w:bookmarkStart w:id="3355" w:name="_Toc478237371"/>
      <w:bookmarkStart w:id="3356" w:name="_Toc481761912"/>
      <w:bookmarkStart w:id="3357" w:name="_Toc492900564"/>
      <w:r>
        <w:rPr>
          <w:rFonts w:eastAsiaTheme="minorEastAsia"/>
        </w:rPr>
        <w:t>Departementets vurderinger</w:t>
      </w:r>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p>
    <w:p w:rsidR="002C0941" w:rsidRDefault="00907247">
      <w:pPr>
        <w:rPr>
          <w:i/>
        </w:rPr>
      </w:pPr>
      <w:r>
        <w:t xml:space="preserve">Bestemmelsene i arkivlova om verneverdig privat arkiv forutsetter en konkret vurdering av Riksarkivaren i hvert enkelt tilfelle. Hjemmelen er sjelden benyttet og kan bare være aktuell i spesielle tilfeller. Departementet mener at dette ikke er en tilstrekkelig forutsigbar og hensiktsmessig ordning for å sikre verneverdig arkivmateriale i tros- og livssynssamfunn. </w:t>
      </w:r>
    </w:p>
    <w:p w:rsidR="002C0941" w:rsidRPr="00BB60AF" w:rsidRDefault="00907247">
      <w:pPr>
        <w:rPr>
          <w:rFonts w:eastAsiaTheme="minorEastAsia"/>
          <w:i/>
        </w:rPr>
      </w:pPr>
      <w:r>
        <w:t xml:space="preserve">Departementet mener at det som er av offentlig interesse, og som må sikres at avleveres og arkiveres, er materiale som er knyttet til medlemskap og </w:t>
      </w:r>
      <w:r w:rsidR="0010099C">
        <w:t xml:space="preserve">i noen grad </w:t>
      </w:r>
      <w:r>
        <w:t>religiøse handlinger. Avlevering etter dagens regler foretas først 80 år etter siste innføring. Flere av bøkene kan derm</w:t>
      </w:r>
      <w:r w:rsidRPr="00BB60AF">
        <w:t>ed inneholde opplysninger fra den gang de hadde funksjon som primærregister.</w:t>
      </w:r>
    </w:p>
    <w:p w:rsidR="002C0941" w:rsidRPr="0006267A" w:rsidRDefault="00907247">
      <w:pPr>
        <w:rPr>
          <w:i/>
        </w:rPr>
      </w:pPr>
      <w:r w:rsidRPr="00BB60AF">
        <w:t xml:space="preserve">Departementet foreslår som omtalt i </w:t>
      </w:r>
      <w:r w:rsidR="00F17D35" w:rsidRPr="00BB60AF">
        <w:t xml:space="preserve">kapittel </w:t>
      </w:r>
      <w:r w:rsidR="0010099C" w:rsidRPr="00BB60AF">
        <w:t>8.3.8</w:t>
      </w:r>
      <w:r w:rsidRPr="00BB60AF">
        <w:t xml:space="preserve"> at </w:t>
      </w:r>
      <w:r w:rsidR="00B52BBC" w:rsidRPr="00BB60AF">
        <w:t xml:space="preserve">det overlates til Kirkemøtet å beslutte om </w:t>
      </w:r>
      <w:r w:rsidR="00D573CA" w:rsidRPr="00BB60AF">
        <w:t>arkivloven</w:t>
      </w:r>
      <w:r w:rsidRPr="00BB60AF">
        <w:t>s regler om offentlige organer fortsatt skal gjelde for Den norske kirkes organer. Plikten til å registrere medlemskap og utførte kirkelige handlinger foreslås regul</w:t>
      </w:r>
      <w:r w:rsidRPr="0006267A">
        <w:t xml:space="preserve">ert i særskilte bestemmelser for Den norske kirke, se </w:t>
      </w:r>
      <w:r w:rsidR="007D105D" w:rsidRPr="0006267A">
        <w:t>§ 15</w:t>
      </w:r>
      <w:r w:rsidR="00D573CA" w:rsidRPr="0006267A">
        <w:t>.</w:t>
      </w:r>
    </w:p>
    <w:p w:rsidR="00BB60AF" w:rsidRDefault="00B52BBC" w:rsidP="00B52BBC">
      <w:r>
        <w:t xml:space="preserve">For om nødvendig å kunne sikre registrering blant annet av utførte vigsler, og </w:t>
      </w:r>
      <w:r w:rsidR="00BB60AF">
        <w:t xml:space="preserve">å kunne </w:t>
      </w:r>
      <w:r>
        <w:t xml:space="preserve">videreføre plikten til å avlevere offentlige bøker, </w:t>
      </w:r>
      <w:r w:rsidR="00BB60AF">
        <w:t xml:space="preserve">både for Den norske kirke og de øvrige samfunnene, </w:t>
      </w:r>
      <w:r>
        <w:t xml:space="preserve">foreslås en forskriftshjemmel i § 18 som gir Kongen </w:t>
      </w:r>
      <w:r w:rsidR="00BB60AF">
        <w:t>myndighet til å gi regler om dette.</w:t>
      </w:r>
    </w:p>
    <w:p w:rsidR="00907247" w:rsidRDefault="005D1855" w:rsidP="001D146F">
      <w:pPr>
        <w:pStyle w:val="Overskrift2"/>
      </w:pPr>
      <w:bookmarkStart w:id="3358" w:name="_Toc477277378"/>
      <w:bookmarkStart w:id="3359" w:name="_Toc477536052"/>
      <w:bookmarkStart w:id="3360" w:name="_Toc477631182"/>
      <w:bookmarkStart w:id="3361" w:name="_Toc477694146"/>
      <w:bookmarkStart w:id="3362" w:name="_Toc477704572"/>
      <w:bookmarkStart w:id="3363" w:name="_Toc477799813"/>
      <w:bookmarkStart w:id="3364" w:name="_Toc477806414"/>
      <w:bookmarkStart w:id="3365" w:name="_Toc477871173"/>
      <w:bookmarkStart w:id="3366" w:name="_Toc477872074"/>
      <w:bookmarkStart w:id="3367" w:name="_Toc477878682"/>
      <w:bookmarkStart w:id="3368" w:name="_Toc477882086"/>
      <w:bookmarkStart w:id="3369" w:name="_Toc477886548"/>
      <w:bookmarkStart w:id="3370" w:name="_Toc478131493"/>
      <w:bookmarkStart w:id="3371" w:name="_Toc478138863"/>
      <w:bookmarkStart w:id="3372" w:name="_Toc478232387"/>
      <w:bookmarkStart w:id="3373" w:name="_Toc478237372"/>
      <w:bookmarkStart w:id="3374" w:name="_Toc481761913"/>
      <w:bookmarkStart w:id="3375" w:name="_Toc492900565"/>
      <w:r>
        <w:t xml:space="preserve">Rett til fri </w:t>
      </w:r>
      <w:r w:rsidR="002E5FFD">
        <w:t xml:space="preserve">(permisjon) </w:t>
      </w:r>
      <w:r>
        <w:t>ved religiøse høytider</w:t>
      </w:r>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t xml:space="preserve"> </w:t>
      </w:r>
    </w:p>
    <w:p w:rsidR="0066641B" w:rsidRDefault="0066641B" w:rsidP="001D146F">
      <w:pPr>
        <w:pStyle w:val="Overskrift3"/>
      </w:pPr>
      <w:bookmarkStart w:id="3376" w:name="_Toc477536053"/>
      <w:bookmarkStart w:id="3377" w:name="_Toc477631183"/>
      <w:bookmarkStart w:id="3378" w:name="_Toc477694147"/>
      <w:bookmarkStart w:id="3379" w:name="_Toc477704573"/>
      <w:bookmarkStart w:id="3380" w:name="_Toc477799814"/>
      <w:bookmarkStart w:id="3381" w:name="_Toc477806415"/>
      <w:bookmarkStart w:id="3382" w:name="_Toc477871174"/>
      <w:bookmarkStart w:id="3383" w:name="_Toc477872075"/>
      <w:bookmarkStart w:id="3384" w:name="_Toc477878683"/>
      <w:bookmarkStart w:id="3385" w:name="_Toc477882087"/>
      <w:bookmarkStart w:id="3386" w:name="_Toc477886549"/>
      <w:bookmarkStart w:id="3387" w:name="_Toc478131494"/>
      <w:bookmarkStart w:id="3388" w:name="_Toc478138864"/>
      <w:bookmarkStart w:id="3389" w:name="_Toc478232388"/>
      <w:bookmarkStart w:id="3390" w:name="_Toc478237373"/>
      <w:bookmarkStart w:id="3391" w:name="_Toc481761914"/>
      <w:bookmarkStart w:id="3392" w:name="_Toc492900566"/>
      <w:r>
        <w:t>Gjeldende rett</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p>
    <w:p w:rsidR="0066641B" w:rsidRDefault="0066641B">
      <w:r>
        <w:t>Trossamfunnsloven § 27 a lyder:</w:t>
      </w:r>
    </w:p>
    <w:p w:rsidR="0066641B" w:rsidRPr="007D0B6C" w:rsidRDefault="0066641B" w:rsidP="007D0B6C">
      <w:pPr>
        <w:pStyle w:val="blokksit"/>
        <w:rPr>
          <w:rStyle w:val="kursiv"/>
        </w:rPr>
      </w:pPr>
      <w:r w:rsidRPr="007D0B6C">
        <w:rPr>
          <w:rStyle w:val="kursiv"/>
        </w:rPr>
        <w:t>Den som ikkje høyrer til Den norske kyrkja har rett til fri frå arbeid, skulegang, tenesteplikt og liknande i opp til to dagar kvart år i samband med religiøse høgtider etter vedkomande sin religion.</w:t>
      </w:r>
    </w:p>
    <w:p w:rsidR="0066641B" w:rsidRPr="007D0B6C" w:rsidRDefault="0066641B" w:rsidP="007D0B6C">
      <w:pPr>
        <w:pStyle w:val="blokksit"/>
        <w:rPr>
          <w:rStyle w:val="kursiv"/>
        </w:rPr>
      </w:pPr>
      <w:r w:rsidRPr="007D0B6C">
        <w:rPr>
          <w:rStyle w:val="kursiv"/>
        </w:rPr>
        <w:t>Arbeidsgjevar har rett til å krevja at desse fridagane vert arbeidd inn att av arbeidstakar. Etter førehandstingingar med arbeidstakaren fastset arbeidsgjevaren når innarbeidinga skal skje.</w:t>
      </w:r>
    </w:p>
    <w:p w:rsidR="0066641B" w:rsidRPr="007D0B6C" w:rsidRDefault="0066641B" w:rsidP="007D0B6C">
      <w:pPr>
        <w:pStyle w:val="blokksit"/>
        <w:rPr>
          <w:rStyle w:val="kursiv"/>
        </w:rPr>
      </w:pPr>
      <w:r w:rsidRPr="007D0B6C">
        <w:rPr>
          <w:rStyle w:val="kursiv"/>
        </w:rPr>
        <w:t>Arbeidstakar som ynskjer å nytte denne retten til fridagar, skal gje arbeidsgjevaren varsel seinast 14 dagar på førehand.</w:t>
      </w:r>
    </w:p>
    <w:p w:rsidR="0066641B" w:rsidRPr="007D0B6C" w:rsidRDefault="0066641B" w:rsidP="007D0B6C">
      <w:pPr>
        <w:pStyle w:val="blokksit"/>
        <w:rPr>
          <w:rStyle w:val="kursiv"/>
        </w:rPr>
      </w:pPr>
      <w:r w:rsidRPr="007D0B6C">
        <w:rPr>
          <w:rStyle w:val="kursiv"/>
        </w:rPr>
        <w:t>Dersom vedkomande religion høgtidar meir enn to religiøse høgtidsdagar kvart år, og desse fell utanom dei fridagane som elles gjeld her i riket, kan vedkomande sjølv velje dei to fridagane han har rett til, som religiøse høgtidsdagar.</w:t>
      </w:r>
    </w:p>
    <w:p w:rsidR="003A02B0" w:rsidRPr="007D0B6C" w:rsidRDefault="0066641B" w:rsidP="007D0B6C">
      <w:pPr>
        <w:pStyle w:val="blokksit"/>
        <w:rPr>
          <w:rStyle w:val="kursiv"/>
        </w:rPr>
      </w:pPr>
      <w:r w:rsidRPr="007D0B6C">
        <w:rPr>
          <w:rStyle w:val="kursiv"/>
        </w:rPr>
        <w:lastRenderedPageBreak/>
        <w:t>Innarbeiding av fri som er gitt i medhald av paragrafen her, vert ikkje rekna som overtid jamvel om arbeidstida overstig dei timetal som er fastsett i arbeidsmiljøloven §§ 10-4 og 10-5.</w:t>
      </w:r>
    </w:p>
    <w:p w:rsidR="00292306" w:rsidRDefault="003A02B0">
      <w:r>
        <w:t>Bestemmelsen ble føyd til loven i forbindelse med endringer i arbeidsmiljøloven</w:t>
      </w:r>
      <w:r w:rsidR="00292306">
        <w:t xml:space="preserve"> i 1980, og har som formål </w:t>
      </w:r>
      <w:r w:rsidR="00374EF1" w:rsidRPr="00374EF1">
        <w:t xml:space="preserve">å sikre </w:t>
      </w:r>
      <w:r w:rsidR="009909F5">
        <w:t>dem</w:t>
      </w:r>
      <w:r w:rsidR="00374EF1" w:rsidRPr="00374EF1">
        <w:t xml:space="preserve"> som ikke tilhører Den norske kirke, </w:t>
      </w:r>
      <w:r w:rsidR="009909F5">
        <w:t>og som har andre helligdager, en</w:t>
      </w:r>
      <w:r w:rsidR="00374EF1" w:rsidRPr="00374EF1">
        <w:t xml:space="preserve"> minsterett til fri i forbindelse med </w:t>
      </w:r>
      <w:r w:rsidR="009909F5">
        <w:t xml:space="preserve">sine </w:t>
      </w:r>
      <w:r w:rsidR="00374EF1" w:rsidRPr="00374EF1">
        <w:t xml:space="preserve">religiøse høytider. </w:t>
      </w:r>
    </w:p>
    <w:p w:rsidR="006D5194" w:rsidRDefault="00B553EF">
      <w:r>
        <w:t xml:space="preserve">Arbeidstakere </w:t>
      </w:r>
      <w:r w:rsidR="006D5194">
        <w:t>skal ikke trekkes i lønn for fridagene</w:t>
      </w:r>
      <w:r>
        <w:t>, men a</w:t>
      </w:r>
      <w:r w:rsidR="006D5194">
        <w:t xml:space="preserve">rbeidsgiver kan kreve at arbeidstakeren innarbeider fraværet. Ettersom arbeidsgiver kan kreve at arbeidstakeren innarbeider fridagene, gir ikke </w:t>
      </w:r>
      <w:r>
        <w:t xml:space="preserve">bestemmelsen </w:t>
      </w:r>
      <w:r w:rsidR="006D5194">
        <w:t xml:space="preserve">en ubetinget rett til </w:t>
      </w:r>
      <w:r w:rsidR="00550C1A">
        <w:t xml:space="preserve">lønnet </w:t>
      </w:r>
      <w:r w:rsidR="006D5194">
        <w:t>arbeidsfri. Hvis fraværet må innarbeides, vil det i realiteten ikke være lønnet.</w:t>
      </w:r>
      <w:r w:rsidR="002416E7">
        <w:t xml:space="preserve"> </w:t>
      </w:r>
      <w:r w:rsidR="00E678DF">
        <w:t>Ytterligere r</w:t>
      </w:r>
      <w:r w:rsidR="002416E7" w:rsidRPr="00374EF1">
        <w:t xml:space="preserve">ettigheter </w:t>
      </w:r>
      <w:r w:rsidR="00E678DF">
        <w:t>kan</w:t>
      </w:r>
      <w:r w:rsidR="002416E7">
        <w:t xml:space="preserve"> </w:t>
      </w:r>
      <w:r w:rsidR="002416E7" w:rsidRPr="00374EF1">
        <w:t>nedfelles i tariffavtaler eller gis ensidig av arbeidsgiver.</w:t>
      </w:r>
    </w:p>
    <w:p w:rsidR="004A7BB7" w:rsidRPr="001D146F" w:rsidRDefault="00F4386B">
      <w:pPr>
        <w:rPr>
          <w:u w:val="single"/>
        </w:rPr>
      </w:pPr>
      <w:r>
        <w:t>Opplæringsloven</w:t>
      </w:r>
      <w:r w:rsidR="004A7BB7">
        <w:t xml:space="preserve"> § 2</w:t>
      </w:r>
      <w:r w:rsidR="0063660B">
        <w:t>-1</w:t>
      </w:r>
      <w:r w:rsidR="004A7BB7">
        <w:t xml:space="preserve">1 annet ledd gir grunnskoleelever </w:t>
      </w:r>
      <w:r w:rsidR="00391002">
        <w:t xml:space="preserve">som tilhører andre trossamfunn enn Den norske kirke, </w:t>
      </w:r>
      <w:r w:rsidR="004A7BB7">
        <w:t xml:space="preserve">rett til permisjon på </w:t>
      </w:r>
      <w:r w:rsidR="004A7BB7" w:rsidRPr="001D146F">
        <w:rPr>
          <w:i/>
        </w:rPr>
        <w:t>samtlige</w:t>
      </w:r>
      <w:r w:rsidR="004A7BB7">
        <w:t xml:space="preserve"> helligdager innen elevens religion (det må søkes om permisjon, og foreldrene skal sørge for nødvendig undervisning i permisjonstiden). </w:t>
      </w:r>
      <w:r w:rsidR="00973661">
        <w:t>E</w:t>
      </w:r>
      <w:r w:rsidR="004A7BB7">
        <w:t xml:space="preserve">lever i videregående skole </w:t>
      </w:r>
      <w:r w:rsidR="00973661">
        <w:t>har</w:t>
      </w:r>
      <w:r w:rsidR="004A7BB7">
        <w:t xml:space="preserve"> derimot kun rett til to dager fri</w:t>
      </w:r>
      <w:r w:rsidR="00973661">
        <w:t xml:space="preserve"> etter</w:t>
      </w:r>
      <w:r w:rsidR="004A7BB7">
        <w:t xml:space="preserve"> </w:t>
      </w:r>
      <w:r w:rsidR="00973661">
        <w:t>§ 27 a</w:t>
      </w:r>
      <w:r w:rsidR="006304F2">
        <w:t xml:space="preserve"> i trossamfunnsloven</w:t>
      </w:r>
      <w:r w:rsidR="00973661">
        <w:t>.</w:t>
      </w:r>
    </w:p>
    <w:p w:rsidR="003365C2" w:rsidRDefault="003365C2" w:rsidP="001D146F">
      <w:r>
        <w:t xml:space="preserve">Etter bestemmelsens ordlyd er det ikke klart at den gjelder for universitets- og høyskolestudenter. </w:t>
      </w:r>
      <w:r w:rsidR="0000750A">
        <w:t>F</w:t>
      </w:r>
      <w:r>
        <w:t xml:space="preserve">orarbeidene </w:t>
      </w:r>
      <w:r w:rsidR="00ED604A">
        <w:t>kan</w:t>
      </w:r>
      <w:r w:rsidR="0000750A">
        <w:t xml:space="preserve"> imidlertid </w:t>
      </w:r>
      <w:r w:rsidR="00ED604A">
        <w:t>tyde</w:t>
      </w:r>
      <w:r w:rsidR="0000750A">
        <w:t xml:space="preserve"> på at også </w:t>
      </w:r>
      <w:r>
        <w:t>studenter</w:t>
      </w:r>
      <w:r w:rsidR="00E57C71">
        <w:t xml:space="preserve"> </w:t>
      </w:r>
      <w:r w:rsidR="0000750A">
        <w:t xml:space="preserve">skal </w:t>
      </w:r>
      <w:r w:rsidR="00E57C71">
        <w:t>anses omfattet</w:t>
      </w:r>
      <w:r w:rsidR="00AB10E3">
        <w:t>, noe også formålet med bestemmelsen tilsier.</w:t>
      </w:r>
      <w:r>
        <w:t xml:space="preserve"> I Ot.pr</w:t>
      </w:r>
      <w:r w:rsidR="00E57C71">
        <w:t>p. nr. 41 (1979–1980) fr</w:t>
      </w:r>
      <w:r w:rsidR="00F17D35">
        <w:t>a</w:t>
      </w:r>
      <w:r w:rsidR="00E57C71">
        <w:t>mkom følgende om hvilke grupper som gis rett til fri</w:t>
      </w:r>
      <w:r>
        <w:t xml:space="preserve"> (s. 26): </w:t>
      </w:r>
    </w:p>
    <w:p w:rsidR="003365C2" w:rsidRPr="007D0B6C" w:rsidRDefault="003365C2" w:rsidP="007D0B6C">
      <w:pPr>
        <w:pStyle w:val="blokksit"/>
        <w:rPr>
          <w:rStyle w:val="kursiv"/>
        </w:rPr>
      </w:pPr>
      <w:r w:rsidRPr="007D0B6C">
        <w:rPr>
          <w:rStyle w:val="kursiv"/>
        </w:rPr>
        <w:t>Når det gjelder grunnskolen, er rett til fri ved religiøse høytider hjemlet i grunnskolelovens § 13, nr. 8, mens tilsvarende lovhjemmel ikke eksisterer for elever i videregående skoler og studenter.</w:t>
      </w:r>
    </w:p>
    <w:p w:rsidR="003365C2" w:rsidRPr="007D0B6C" w:rsidRDefault="003365C2" w:rsidP="007D0B6C">
      <w:pPr>
        <w:pStyle w:val="blokksit"/>
        <w:rPr>
          <w:rStyle w:val="kursiv"/>
        </w:rPr>
      </w:pPr>
      <w:r w:rsidRPr="007D0B6C">
        <w:rPr>
          <w:rStyle w:val="kursiv"/>
        </w:rPr>
        <w:t>Det vil ikke bli fremmet noe forslag om å oppheve nevnte bestemmelse i grunnskoleloven eller andre tilsvarende bestemmelser idet hensikten med det nye lovforslaget er å sikre alle en minsterett til fri, uten å frata grupper den rett de alt måtte ha utover denne minsterett.</w:t>
      </w:r>
    </w:p>
    <w:p w:rsidR="00AB10E3" w:rsidRDefault="002C2633" w:rsidP="00AB10E3">
      <w:r>
        <w:t xml:space="preserve">I proposisjonen bemerket dessuten </w:t>
      </w:r>
      <w:r w:rsidR="00AB10E3">
        <w:t xml:space="preserve">Kommunal- og arbeidsdepartementet </w:t>
      </w:r>
      <w:r>
        <w:t>at</w:t>
      </w:r>
      <w:r w:rsidR="00196E23">
        <w:t xml:space="preserve"> ordlyden </w:t>
      </w:r>
      <w:r w:rsidR="000D00B0">
        <w:t>«</w:t>
      </w:r>
      <w:r w:rsidR="00AB10E3" w:rsidRPr="00AB10E3">
        <w:t>i tillegg til arbeidstakere også omfatter skoleelever og andre som ikke selv er herre over sin arbeids- og fritid.</w:t>
      </w:r>
      <w:r w:rsidR="000D00B0">
        <w:t xml:space="preserve">» </w:t>
      </w:r>
      <w:r w:rsidR="00A70565">
        <w:t>S</w:t>
      </w:r>
      <w:r w:rsidR="00CC42F3">
        <w:t xml:space="preserve">tudenter </w:t>
      </w:r>
      <w:r w:rsidR="00A70565">
        <w:t xml:space="preserve">kan </w:t>
      </w:r>
      <w:r w:rsidR="00CC42F3">
        <w:t xml:space="preserve">generelt </w:t>
      </w:r>
      <w:r w:rsidR="00A70565">
        <w:t xml:space="preserve">ikke </w:t>
      </w:r>
      <w:r w:rsidR="00CC42F3">
        <w:t xml:space="preserve">sies å være </w:t>
      </w:r>
      <w:r w:rsidR="00CC42F3" w:rsidRPr="001D146F">
        <w:rPr>
          <w:i/>
        </w:rPr>
        <w:t>herre over sin arbeids- og fritid</w:t>
      </w:r>
      <w:r w:rsidR="00A70565">
        <w:t>.</w:t>
      </w:r>
    </w:p>
    <w:p w:rsidR="00F629FF" w:rsidRDefault="008C6DB3">
      <w:r>
        <w:t xml:space="preserve">Med </w:t>
      </w:r>
      <w:r w:rsidR="00520E73">
        <w:t xml:space="preserve">«tenesteplikt og liknande» </w:t>
      </w:r>
      <w:r>
        <w:t xml:space="preserve">omfattes ifølge forarbeidene </w:t>
      </w:r>
      <w:r w:rsidR="00520E73">
        <w:t>vernepliktige samt «</w:t>
      </w:r>
      <w:r w:rsidR="00520E73" w:rsidRPr="00520E73">
        <w:t>sivile tjenestepliktige, praktikanter og pasienter som gjennomgår et behandlingsopplegg</w:t>
      </w:r>
      <w:r w:rsidR="00520E73">
        <w:t>»</w:t>
      </w:r>
      <w:r w:rsidR="004D1697">
        <w:t>. S</w:t>
      </w:r>
      <w:r w:rsidR="00520E73">
        <w:t>traffedømte faller utenfor</w:t>
      </w:r>
      <w:r w:rsidR="004D1697">
        <w:t xml:space="preserve"> bestemmelsen</w:t>
      </w:r>
      <w:r w:rsidR="00520E73">
        <w:t>.</w:t>
      </w:r>
    </w:p>
    <w:p w:rsidR="00292306" w:rsidRDefault="008C6DB3">
      <w:r>
        <w:t>F</w:t>
      </w:r>
      <w:r w:rsidR="00292306">
        <w:t xml:space="preserve">orarbeidene drøftet hvilken lov hjemmelen burde innpasses i (Ot.prp. nr. 41 (1979–1980) s. 25 flg.) </w:t>
      </w:r>
      <w:r w:rsidR="0025049A">
        <w:t>T</w:t>
      </w:r>
      <w:r w:rsidR="00292306">
        <w:t xml:space="preserve">rossamfunnsloven </w:t>
      </w:r>
      <w:r w:rsidR="0025049A">
        <w:t xml:space="preserve">ble funnet å være </w:t>
      </w:r>
      <w:r w:rsidR="00292306">
        <w:t>det best egnede alternativet fordi «den naturlig vil dekke alle berørte grupper, dvs. arbeidstakere, skoleelever, vernepliktige osv.».</w:t>
      </w:r>
    </w:p>
    <w:p w:rsidR="00F629FF" w:rsidRDefault="00F629FF" w:rsidP="001D146F">
      <w:pPr>
        <w:pStyle w:val="Overskrift3"/>
      </w:pPr>
      <w:bookmarkStart w:id="3393" w:name="_Toc477536054"/>
      <w:bookmarkStart w:id="3394" w:name="_Toc477631184"/>
      <w:bookmarkStart w:id="3395" w:name="_Toc477694148"/>
      <w:bookmarkStart w:id="3396" w:name="_Toc477704574"/>
      <w:bookmarkStart w:id="3397" w:name="_Toc477799815"/>
      <w:bookmarkStart w:id="3398" w:name="_Toc477806416"/>
      <w:bookmarkStart w:id="3399" w:name="_Toc477872076"/>
      <w:bookmarkStart w:id="3400" w:name="_Toc477878684"/>
      <w:bookmarkStart w:id="3401" w:name="_Toc477882088"/>
      <w:bookmarkStart w:id="3402" w:name="_Toc477886550"/>
      <w:bookmarkStart w:id="3403" w:name="_Toc478131495"/>
      <w:bookmarkStart w:id="3404" w:name="_Toc478138865"/>
      <w:bookmarkStart w:id="3405" w:name="_Toc478232389"/>
      <w:bookmarkStart w:id="3406" w:name="_Toc478237374"/>
      <w:bookmarkStart w:id="3407" w:name="_Toc481761915"/>
      <w:bookmarkStart w:id="3408" w:name="_Toc492900567"/>
      <w:r>
        <w:t>NOU 2013: 1</w:t>
      </w:r>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rsidR="001742B6" w:rsidRDefault="006C0BCA" w:rsidP="001742B6">
      <w:r>
        <w:t xml:space="preserve">Stålsett-utvalget </w:t>
      </w:r>
      <w:r w:rsidR="00ED604A">
        <w:t xml:space="preserve">vurderte </w:t>
      </w:r>
      <w:r w:rsidR="00EB2D80">
        <w:t xml:space="preserve">hvorvidt </w:t>
      </w:r>
      <w:r w:rsidR="00ED604A">
        <w:t>retten</w:t>
      </w:r>
      <w:r w:rsidR="001742B6">
        <w:t xml:space="preserve"> til fri burde utvides til mer enn to</w:t>
      </w:r>
      <w:r w:rsidR="00ED604A">
        <w:t xml:space="preserve"> dager</w:t>
      </w:r>
      <w:r w:rsidR="001742B6">
        <w:t xml:space="preserve"> per år</w:t>
      </w:r>
      <w:r w:rsidR="00EB2D80">
        <w:t xml:space="preserve">, men kom til </w:t>
      </w:r>
      <w:r w:rsidR="001742B6">
        <w:t>at rett</w:t>
      </w:r>
      <w:r w:rsidR="0042271A">
        <w:t>en</w:t>
      </w:r>
      <w:r w:rsidR="00EB2D80">
        <w:t xml:space="preserve"> til to dager selvva</w:t>
      </w:r>
      <w:r w:rsidR="000C628C">
        <w:t>l</w:t>
      </w:r>
      <w:r w:rsidR="00EB2D80">
        <w:t>gt fri er</w:t>
      </w:r>
      <w:r w:rsidR="001742B6">
        <w:t xml:space="preserve"> «en rimelig balanse mellom hensynet til den enkeltes behov for fri til egne helligdager og hensynet til arbeidslivets og utdanningsinstitusjonenes krav» (NOU 2013: 1 s. 190–192).</w:t>
      </w:r>
      <w:r w:rsidR="00EB2D80">
        <w:t xml:space="preserve"> </w:t>
      </w:r>
    </w:p>
    <w:p w:rsidR="001E40AC" w:rsidRDefault="001742B6" w:rsidP="001742B6">
      <w:r>
        <w:t xml:space="preserve">Utvalget </w:t>
      </w:r>
      <w:r w:rsidR="00F4386B">
        <w:t>foreslo at reguleringen b</w:t>
      </w:r>
      <w:r w:rsidR="0042271A">
        <w:t>le</w:t>
      </w:r>
      <w:r w:rsidR="00F4386B">
        <w:t xml:space="preserve"> flyttet til lovene for hvert saksfelt, som arbeidsmiljøloven og opplæringsloven. Forslaget</w:t>
      </w:r>
      <w:r w:rsidR="007472F8">
        <w:t xml:space="preserve"> om flytting hang</w:t>
      </w:r>
      <w:r w:rsidR="00F4386B">
        <w:t xml:space="preserve"> sammen med utvalgets f</w:t>
      </w:r>
      <w:r w:rsidR="00F17D35">
        <w:t xml:space="preserve">orslag </w:t>
      </w:r>
      <w:r w:rsidR="00F4386B">
        <w:t xml:space="preserve">om å erstatte trossamfunnsloven og livssynssamfunnsloven med en ren tilskuddslov. </w:t>
      </w:r>
    </w:p>
    <w:p w:rsidR="007472F8" w:rsidRDefault="008F5FD3" w:rsidP="001742B6">
      <w:r>
        <w:lastRenderedPageBreak/>
        <w:t>U</w:t>
      </w:r>
      <w:r w:rsidR="007472F8">
        <w:t xml:space="preserve">tvalget anbefalte at det ble uttrykt eksplisitt i universitets- og høyskoleloven at retten til to dager fri per kalenderår også gjelder for studenter. </w:t>
      </w:r>
      <w:r w:rsidR="00787673">
        <w:t xml:space="preserve">Om </w:t>
      </w:r>
      <w:r w:rsidR="00110D07">
        <w:t xml:space="preserve">den praktiske </w:t>
      </w:r>
      <w:r w:rsidR="00787673">
        <w:t xml:space="preserve">gjennomføringen </w:t>
      </w:r>
      <w:r w:rsidR="00110D07">
        <w:t xml:space="preserve">ved universitetene og høyskolene bemerket utvalget følgende: </w:t>
      </w:r>
    </w:p>
    <w:p w:rsidR="006C0BCA" w:rsidRPr="007D0B6C" w:rsidRDefault="007472F8" w:rsidP="007D0B6C">
      <w:pPr>
        <w:pStyle w:val="blokksit"/>
        <w:rPr>
          <w:rStyle w:val="kursiv"/>
        </w:rPr>
      </w:pPr>
      <w:r w:rsidRPr="007D0B6C">
        <w:rPr>
          <w:rStyle w:val="kursiv"/>
        </w:rPr>
        <w:t>Slik som for arbeidstakere må det gjelde en viss varslingsplikt. Av hensyn til planlegging av eksamen og obligatorisk undervisning og for å motvirke misbruk av ordningen vil utvalget foreslå en varslingsfrist på 45 dager for helligdager som kolliderer med eksamen. For obligatorisk undervisning vil det være rimelig med en varslingsfrist på 14 dager, men utvalget vil foreslå at det enkelte lærested regulerer fristene for dette selv. Hensikten med en slik ordning er å legge til rette for at også studenter skal kunne ha mulighet til å ivareta sine religiøse plikter på bestemte dager. Denne retten skal ikke gå på bekostning av hvilke studiekrav som stilles. Lærestedet må utarbeide retningslinjer for hvordan obligatorisk undervisning eller eksamen kan gjennomføres også ved en slik tilrettelegging.</w:t>
      </w:r>
      <w:r w:rsidR="00F4386B" w:rsidRPr="007D0B6C">
        <w:rPr>
          <w:rStyle w:val="kursiv"/>
        </w:rPr>
        <w:t xml:space="preserve"> </w:t>
      </w:r>
      <w:r w:rsidR="00ED604A" w:rsidRPr="007D0B6C">
        <w:rPr>
          <w:rStyle w:val="kursiv"/>
        </w:rPr>
        <w:t xml:space="preserve"> </w:t>
      </w:r>
    </w:p>
    <w:p w:rsidR="00973661" w:rsidRDefault="00973661">
      <w:r>
        <w:t xml:space="preserve">Når det gjelder elever i videregående skole, </w:t>
      </w:r>
      <w:r w:rsidR="007947A6">
        <w:t>mente utvalget at det måtte presiseres i forskrifter om vurdering i videregående opplæring at fridagene ikke skal føres som fravær på vitnemålet eller for øvrig få noen konsekvenser for retten til vurdering</w:t>
      </w:r>
      <w:r w:rsidR="00897952">
        <w:t>.</w:t>
      </w:r>
      <w:r w:rsidR="007947A6">
        <w:t xml:space="preserve"> </w:t>
      </w:r>
    </w:p>
    <w:p w:rsidR="008C6DB3" w:rsidRDefault="00496A18">
      <w:r>
        <w:t>Utvalget</w:t>
      </w:r>
      <w:r w:rsidR="00642CB3">
        <w:t xml:space="preserve"> foreslo </w:t>
      </w:r>
      <w:r w:rsidR="0042271A">
        <w:t>dessuten at retten</w:t>
      </w:r>
      <w:r w:rsidR="00642CB3">
        <w:t xml:space="preserve"> ikke lenger </w:t>
      </w:r>
      <w:r>
        <w:t xml:space="preserve">skulle være </w:t>
      </w:r>
      <w:r w:rsidR="00642CB3">
        <w:t xml:space="preserve">koblet til ikke å tilhøre Den norske kirke, men til å ha andre </w:t>
      </w:r>
      <w:r w:rsidR="005C0CDD">
        <w:t>høytids</w:t>
      </w:r>
      <w:r w:rsidR="00642CB3">
        <w:t>dager enn de offisielt fastsatte</w:t>
      </w:r>
      <w:r w:rsidR="005C0CDD">
        <w:t xml:space="preserve"> helligdagene</w:t>
      </w:r>
      <w:r w:rsidR="00642CB3">
        <w:t>.</w:t>
      </w:r>
    </w:p>
    <w:p w:rsidR="00A12761" w:rsidRDefault="0042271A">
      <w:r>
        <w:t>Blant de få hørin</w:t>
      </w:r>
      <w:r w:rsidR="00CD68EF">
        <w:t xml:space="preserve">gsinstansene som uttalte seg om ovennevnte anbefalinger og forslag, var det et flertall som støttet at retten til fri ikke burde utvides til flere dager per år. </w:t>
      </w:r>
      <w:r w:rsidR="00B14A87">
        <w:t>L</w:t>
      </w:r>
      <w:r w:rsidR="00F3720B">
        <w:t>ikestillings- og disk</w:t>
      </w:r>
      <w:r w:rsidR="00446996">
        <w:t>r</w:t>
      </w:r>
      <w:r w:rsidR="00F3720B">
        <w:t>im</w:t>
      </w:r>
      <w:r w:rsidR="00446996">
        <w:t>inerings</w:t>
      </w:r>
      <w:r w:rsidR="00F3720B">
        <w:t xml:space="preserve">ombudet, </w:t>
      </w:r>
      <w:r w:rsidR="00B14A87">
        <w:t xml:space="preserve">Kirkerådet og </w:t>
      </w:r>
      <w:r w:rsidR="00CD68EF">
        <w:t xml:space="preserve">Det Mosaiske Trossamfund </w:t>
      </w:r>
      <w:r w:rsidR="00B14A87">
        <w:t xml:space="preserve">var blant dem som </w:t>
      </w:r>
      <w:r w:rsidR="00F17D35">
        <w:t xml:space="preserve">tok </w:t>
      </w:r>
      <w:r w:rsidR="00CD68EF">
        <w:t>til orde for å utvide retten.</w:t>
      </w:r>
      <w:r w:rsidR="004511E8">
        <w:t xml:space="preserve"> </w:t>
      </w:r>
      <w:r w:rsidR="00E665ED">
        <w:t xml:space="preserve"> </w:t>
      </w:r>
    </w:p>
    <w:p w:rsidR="001F3B48" w:rsidRDefault="001F3B48" w:rsidP="001F3B48">
      <w:r>
        <w:t xml:space="preserve">Et klart flertall av </w:t>
      </w:r>
      <w:r w:rsidR="00E665ED">
        <w:t xml:space="preserve">instansene som uttalte seg om forslaget om lovfesting av rett til fri for studenter, støttet dette, deriblant UNIO og Utdanningsforbundet. </w:t>
      </w:r>
      <w:r>
        <w:t>Syvendedags Adventistsamfunnet uttalte følgende om dette:</w:t>
      </w:r>
    </w:p>
    <w:p w:rsidR="001F3B48" w:rsidRPr="007D0B6C" w:rsidRDefault="001F3B48" w:rsidP="007D0B6C">
      <w:pPr>
        <w:pStyle w:val="blokksit"/>
        <w:rPr>
          <w:rStyle w:val="kursiv"/>
        </w:rPr>
      </w:pPr>
      <w:r w:rsidRPr="007D0B6C">
        <w:rPr>
          <w:rStyle w:val="kursiv"/>
        </w:rPr>
        <w:t>Det vesentlige punktet for Adventistsamfunnets medlemmer, som helligholder sabbaten hver lørdag, er at det enkelte studiested må ha en forpliktelse til å tilrettelegge eksamenskalenderen slik at studentene får tatt sine eksamener ved semesterslutt og at deres eksamener ikke blir lagt til en lørdag.</w:t>
      </w:r>
    </w:p>
    <w:p w:rsidR="001F3B48" w:rsidRPr="007D0B6C" w:rsidRDefault="001F3B48" w:rsidP="007D0B6C">
      <w:pPr>
        <w:pStyle w:val="blokksit"/>
        <w:rPr>
          <w:rStyle w:val="kursiv"/>
        </w:rPr>
      </w:pPr>
      <w:r w:rsidRPr="007D0B6C">
        <w:rPr>
          <w:rStyle w:val="kursiv"/>
        </w:rPr>
        <w:t>Adventister som studerer ved NTNU, har tatt opp det de mente var diskriminering fra NTNUs side, i en sak med Likestillings- og diskrimineringsombudet (ref.: 12/144) og deretter Likestillings- og diskrimineringsnemnda (ref.: 36/2012). Konklusjonen i begge instanser var at NTNU ikke bryter diskrimineringsloven fordi studentene får gyldig forfall til eksamen som legges til sabbaten (lørdag) og gis anledning til å ta utsatt prøve (kont). Studentene må nå innrette seg etter dette, men det er en svært ugunstig ordning. Vi ber derfor om at dette hensynet blir tatt med ved utarbeiding av ny § 4-5a i universitets-og høyskoleloven.</w:t>
      </w:r>
    </w:p>
    <w:p w:rsidR="002571D5" w:rsidRDefault="00E665ED">
      <w:r>
        <w:t>Høgskolen i Oslo og Akershus</w:t>
      </w:r>
      <w:r w:rsidR="002571D5">
        <w:t xml:space="preserve"> uttrykte forståelse for forslaget, men bemerket at </w:t>
      </w:r>
    </w:p>
    <w:p w:rsidR="00E665ED" w:rsidRPr="007D0B6C" w:rsidRDefault="002571D5" w:rsidP="007D0B6C">
      <w:pPr>
        <w:pStyle w:val="blokksit"/>
        <w:rPr>
          <w:rStyle w:val="kursiv"/>
        </w:rPr>
      </w:pPr>
      <w:proofErr w:type="gramStart"/>
      <w:r w:rsidRPr="007D0B6C">
        <w:rPr>
          <w:rStyle w:val="kursiv"/>
        </w:rPr>
        <w:t>…retten</w:t>
      </w:r>
      <w:proofErr w:type="gramEnd"/>
      <w:r w:rsidRPr="007D0B6C">
        <w:rPr>
          <w:rStyle w:val="kursiv"/>
        </w:rPr>
        <w:t xml:space="preserve"> til egne</w:t>
      </w:r>
      <w:r w:rsidR="006E4140" w:rsidRPr="007D0B6C">
        <w:rPr>
          <w:rStyle w:val="kursiv"/>
        </w:rPr>
        <w:t xml:space="preserve"> fridager </w:t>
      </w:r>
      <w:r w:rsidRPr="007D0B6C">
        <w:rPr>
          <w:rStyle w:val="kursiv"/>
        </w:rPr>
        <w:t xml:space="preserve">ikke </w:t>
      </w:r>
      <w:r w:rsidR="006E4140" w:rsidRPr="007D0B6C">
        <w:rPr>
          <w:rStyle w:val="kursiv"/>
        </w:rPr>
        <w:t xml:space="preserve">må </w:t>
      </w:r>
      <w:r w:rsidRPr="007D0B6C">
        <w:rPr>
          <w:rStyle w:val="kursiv"/>
        </w:rPr>
        <w:t xml:space="preserve">innføres på bekostning av studiekrav og eksamensavvikling. Det må være opp til institusjonen selv å innvilge eller avslå søknader om individuelle fridager ut fra retningslinjer institusjonen praktiserer. Den enkelte student må vurdere </w:t>
      </w:r>
      <w:r w:rsidR="002C2633" w:rsidRPr="007D0B6C">
        <w:rPr>
          <w:rStyle w:val="kursiv"/>
        </w:rPr>
        <w:t xml:space="preserve">om </w:t>
      </w:r>
      <w:r w:rsidRPr="007D0B6C">
        <w:rPr>
          <w:rStyle w:val="kursiv"/>
        </w:rPr>
        <w:t xml:space="preserve">studiekrav og religiøse plikter kolliderer. </w:t>
      </w:r>
    </w:p>
    <w:p w:rsidR="00503AA2" w:rsidRDefault="00503AA2" w:rsidP="001D146F">
      <w:pPr>
        <w:pStyle w:val="Overskrift3"/>
      </w:pPr>
      <w:bookmarkStart w:id="3409" w:name="_Toc477799816"/>
      <w:bookmarkStart w:id="3410" w:name="_Toc477806417"/>
      <w:bookmarkStart w:id="3411" w:name="_Toc477872077"/>
      <w:bookmarkStart w:id="3412" w:name="_Toc477878685"/>
      <w:bookmarkStart w:id="3413" w:name="_Toc477882089"/>
      <w:bookmarkStart w:id="3414" w:name="_Toc477886551"/>
      <w:bookmarkStart w:id="3415" w:name="_Toc478131496"/>
      <w:bookmarkStart w:id="3416" w:name="_Toc478138866"/>
      <w:bookmarkStart w:id="3417" w:name="_Toc478232390"/>
      <w:bookmarkStart w:id="3418" w:name="_Toc478237375"/>
      <w:bookmarkStart w:id="3419" w:name="_Toc481761916"/>
      <w:bookmarkStart w:id="3420" w:name="_Toc492900568"/>
      <w:r>
        <w:t>Departementets vurderinger</w:t>
      </w:r>
      <w:bookmarkEnd w:id="3409"/>
      <w:bookmarkEnd w:id="3410"/>
      <w:bookmarkEnd w:id="3411"/>
      <w:bookmarkEnd w:id="3412"/>
      <w:bookmarkEnd w:id="3413"/>
      <w:bookmarkEnd w:id="3414"/>
      <w:bookmarkEnd w:id="3415"/>
      <w:bookmarkEnd w:id="3416"/>
      <w:bookmarkEnd w:id="3417"/>
      <w:bookmarkEnd w:id="3418"/>
      <w:bookmarkEnd w:id="3419"/>
      <w:bookmarkEnd w:id="3420"/>
    </w:p>
    <w:p w:rsidR="00503AA2" w:rsidRDefault="00C0788E">
      <w:r>
        <w:t>Departementet er i det vesentlige enig med utvalget, men finner at reglene bør plasseres i loven om tros- og livssynssamfunn.</w:t>
      </w:r>
    </w:p>
    <w:p w:rsidR="007947A6" w:rsidRDefault="0070768F">
      <w:r>
        <w:t xml:space="preserve">Departementet foreslår at ordlyden endres for å gjøre det klart at </w:t>
      </w:r>
      <w:r w:rsidR="007947A6">
        <w:t xml:space="preserve">også </w:t>
      </w:r>
      <w:r>
        <w:t xml:space="preserve">studenter </w:t>
      </w:r>
      <w:r w:rsidR="000C628C">
        <w:t xml:space="preserve">har </w:t>
      </w:r>
      <w:r>
        <w:t>rett til fri</w:t>
      </w:r>
      <w:r w:rsidR="008771E5">
        <w:t xml:space="preserve">, men bare </w:t>
      </w:r>
      <w:r w:rsidR="007947A6">
        <w:t>fra o</w:t>
      </w:r>
      <w:r>
        <w:t>bligatorisk undervisning</w:t>
      </w:r>
      <w:r w:rsidR="007947A6">
        <w:t xml:space="preserve"> – </w:t>
      </w:r>
      <w:r>
        <w:t>ikke fra eksamen.</w:t>
      </w:r>
      <w:r w:rsidR="00D345EB">
        <w:t xml:space="preserve"> </w:t>
      </w:r>
      <w:r w:rsidR="00040838">
        <w:t>Det er opp til l</w:t>
      </w:r>
      <w:r w:rsidR="00D345EB">
        <w:t xml:space="preserve">ærestedene </w:t>
      </w:r>
      <w:r w:rsidR="00040838">
        <w:t>å</w:t>
      </w:r>
      <w:r w:rsidR="00D345EB">
        <w:t xml:space="preserve"> </w:t>
      </w:r>
      <w:r w:rsidR="00D345EB">
        <w:lastRenderedPageBreak/>
        <w:t xml:space="preserve">utarbeide retningslinjer </w:t>
      </w:r>
      <w:r w:rsidR="00040838">
        <w:t xml:space="preserve">for </w:t>
      </w:r>
      <w:r w:rsidR="00D345EB">
        <w:t>gjennomføring av obliatorisk undervisning</w:t>
      </w:r>
      <w:r w:rsidR="00040838">
        <w:t xml:space="preserve"> ved studenters bruk av retten til fri.</w:t>
      </w:r>
      <w:r w:rsidR="00D345EB">
        <w:t xml:space="preserve"> </w:t>
      </w:r>
    </w:p>
    <w:p w:rsidR="00D0772E" w:rsidRDefault="007947A6">
      <w:r>
        <w:t>Etter</w:t>
      </w:r>
      <w:r w:rsidR="00040838">
        <w:t xml:space="preserve"> departementet</w:t>
      </w:r>
      <w:r w:rsidR="000C628C">
        <w:t>s</w:t>
      </w:r>
      <w:r w:rsidR="00040838">
        <w:t xml:space="preserve"> syn er det </w:t>
      </w:r>
      <w:r>
        <w:t xml:space="preserve">praktisk vanskelig å etterkomme Adventistsamfunnets ønske om at eksamener på universiteter og høyskoler ikke </w:t>
      </w:r>
      <w:r w:rsidR="00040838">
        <w:t xml:space="preserve">skal kunne </w:t>
      </w:r>
      <w:r>
        <w:t>legges til lørdager.</w:t>
      </w:r>
    </w:p>
    <w:p w:rsidR="00D0772E" w:rsidRDefault="00D0772E">
      <w:r>
        <w:t>Departementet foreslår følgende bestemmelse i loven om tros- og livssynssamfunn:</w:t>
      </w:r>
    </w:p>
    <w:p w:rsidR="00D0772E" w:rsidRPr="007D0B6C" w:rsidRDefault="00381FF4" w:rsidP="007D0B6C">
      <w:pPr>
        <w:pStyle w:val="blokksit"/>
        <w:rPr>
          <w:rStyle w:val="kursiv"/>
        </w:rPr>
      </w:pPr>
      <w:r w:rsidRPr="007D0B6C">
        <w:rPr>
          <w:rStyle w:val="kursiv"/>
        </w:rPr>
        <w:t xml:space="preserve">Den som har andre </w:t>
      </w:r>
      <w:r w:rsidR="00842A2E" w:rsidRPr="007D0B6C">
        <w:rPr>
          <w:rStyle w:val="kursiv"/>
        </w:rPr>
        <w:t xml:space="preserve">religiøse </w:t>
      </w:r>
      <w:r w:rsidRPr="007D0B6C">
        <w:rPr>
          <w:rStyle w:val="kursiv"/>
        </w:rPr>
        <w:t xml:space="preserve">høytidsdager </w:t>
      </w:r>
      <w:r w:rsidR="00842A2E" w:rsidRPr="007D0B6C">
        <w:rPr>
          <w:rStyle w:val="kursiv"/>
        </w:rPr>
        <w:t xml:space="preserve">enn de </w:t>
      </w:r>
      <w:r w:rsidRPr="007D0B6C">
        <w:rPr>
          <w:rStyle w:val="kursiv"/>
        </w:rPr>
        <w:t>offentlige helligdagene</w:t>
      </w:r>
      <w:r w:rsidR="00D0772E" w:rsidRPr="007D0B6C">
        <w:rPr>
          <w:rStyle w:val="kursiv"/>
        </w:rPr>
        <w:t xml:space="preserve">, har rett til fri fra arbeid, skolegang, obligatorisk undervisning </w:t>
      </w:r>
      <w:r w:rsidR="008771E5" w:rsidRPr="007D0B6C">
        <w:rPr>
          <w:rStyle w:val="kursiv"/>
        </w:rPr>
        <w:t>ved universitet og høyskole</w:t>
      </w:r>
      <w:r w:rsidR="00C72BF7" w:rsidRPr="007D0B6C">
        <w:rPr>
          <w:rStyle w:val="kursiv"/>
        </w:rPr>
        <w:t xml:space="preserve">, tjenesteplikt og lignende i opp til to </w:t>
      </w:r>
      <w:r w:rsidR="00DF60EA" w:rsidRPr="007D0B6C">
        <w:rPr>
          <w:rStyle w:val="kursiv"/>
        </w:rPr>
        <w:t xml:space="preserve">selvvalgte </w:t>
      </w:r>
      <w:r w:rsidR="00C72BF7" w:rsidRPr="007D0B6C">
        <w:rPr>
          <w:rStyle w:val="kursiv"/>
        </w:rPr>
        <w:t>dager hvert</w:t>
      </w:r>
      <w:r w:rsidR="00842A2E" w:rsidRPr="007D0B6C">
        <w:rPr>
          <w:rStyle w:val="kursiv"/>
        </w:rPr>
        <w:t xml:space="preserve"> år i forbindelse med </w:t>
      </w:r>
      <w:r w:rsidR="00C72BF7" w:rsidRPr="007D0B6C">
        <w:rPr>
          <w:rStyle w:val="kursiv"/>
        </w:rPr>
        <w:t>høytider etter vedkommendes religion.</w:t>
      </w:r>
    </w:p>
    <w:p w:rsidR="00DF60EA" w:rsidRPr="007D0B6C" w:rsidRDefault="00DF60EA" w:rsidP="007D0B6C">
      <w:pPr>
        <w:pStyle w:val="blokksit"/>
        <w:rPr>
          <w:rStyle w:val="kursiv"/>
        </w:rPr>
      </w:pPr>
      <w:r w:rsidRPr="007D0B6C">
        <w:rPr>
          <w:rStyle w:val="kursiv"/>
        </w:rPr>
        <w:t xml:space="preserve">Arbeidstaker som ønsker å benytte retten til fri, skal varsle arbeidsgiver senest 14 dager på forhånd. </w:t>
      </w:r>
    </w:p>
    <w:p w:rsidR="00842A2E" w:rsidRPr="007D0B6C" w:rsidRDefault="00842A2E" w:rsidP="007D0B6C">
      <w:pPr>
        <w:pStyle w:val="blokksit"/>
        <w:rPr>
          <w:rStyle w:val="kursiv"/>
        </w:rPr>
      </w:pPr>
      <w:r w:rsidRPr="007D0B6C">
        <w:rPr>
          <w:rStyle w:val="kursiv"/>
        </w:rPr>
        <w:t>Arbeidsgiver kan kreve at arbeidstaker innarbeider fridagene. Etter drøfting med arbeidstaker fastsetter arbeidsgiver når innarbeidingen skal skje. Innarbeidingen regnes ikke som overtid selv om arbeidstiden overstiger alminnelig arbeidstid i henhold til arbeidsmiljøloven.</w:t>
      </w:r>
    </w:p>
    <w:p w:rsidR="00897952" w:rsidRPr="007D0B6C" w:rsidRDefault="008771E5" w:rsidP="007D0B6C">
      <w:pPr>
        <w:pStyle w:val="blokksit"/>
        <w:rPr>
          <w:rStyle w:val="kursiv"/>
        </w:rPr>
      </w:pPr>
      <w:r w:rsidRPr="007D0B6C">
        <w:rPr>
          <w:rStyle w:val="kursiv"/>
        </w:rPr>
        <w:t>Student</w:t>
      </w:r>
      <w:r w:rsidR="00897952" w:rsidRPr="007D0B6C">
        <w:rPr>
          <w:rStyle w:val="kursiv"/>
        </w:rPr>
        <w:t xml:space="preserve"> som ønsker å benytte retten til fri fra obligatorisk undervisning, skal varsle lærestedet sen</w:t>
      </w:r>
      <w:r w:rsidR="00C77B32" w:rsidRPr="007D0B6C">
        <w:rPr>
          <w:rStyle w:val="kursiv"/>
        </w:rPr>
        <w:t xml:space="preserve">est </w:t>
      </w:r>
      <w:r w:rsidR="00897952" w:rsidRPr="007D0B6C">
        <w:rPr>
          <w:rStyle w:val="kursiv"/>
        </w:rPr>
        <w:t xml:space="preserve">4 </w:t>
      </w:r>
      <w:r w:rsidR="00C77B32" w:rsidRPr="007D0B6C">
        <w:rPr>
          <w:rStyle w:val="kursiv"/>
        </w:rPr>
        <w:t>uker</w:t>
      </w:r>
      <w:r w:rsidR="00897952" w:rsidRPr="007D0B6C">
        <w:rPr>
          <w:rStyle w:val="kursiv"/>
        </w:rPr>
        <w:t xml:space="preserve"> på forhånd.</w:t>
      </w:r>
    </w:p>
    <w:p w:rsidR="00C77B32" w:rsidRPr="000C628C" w:rsidRDefault="00C77B32" w:rsidP="00C77B32">
      <w:pPr>
        <w:pStyle w:val="Sitattbhj"/>
        <w:ind w:left="0"/>
        <w:rPr>
          <w:i w:val="0"/>
          <w:sz w:val="24"/>
          <w:szCs w:val="24"/>
        </w:rPr>
      </w:pPr>
      <w:r w:rsidRPr="000C628C">
        <w:rPr>
          <w:i w:val="0"/>
          <w:sz w:val="24"/>
          <w:szCs w:val="24"/>
        </w:rPr>
        <w:t xml:space="preserve">De </w:t>
      </w:r>
      <w:r w:rsidR="00EF52A1" w:rsidRPr="000C628C">
        <w:rPr>
          <w:i w:val="0"/>
          <w:sz w:val="24"/>
          <w:szCs w:val="24"/>
        </w:rPr>
        <w:t xml:space="preserve">i hovedsak </w:t>
      </w:r>
      <w:r w:rsidRPr="000C628C">
        <w:rPr>
          <w:i w:val="0"/>
          <w:sz w:val="24"/>
          <w:szCs w:val="24"/>
        </w:rPr>
        <w:t>lovtekniske spørsmålene som reises ved dobbelregulering i henholdsvis trossamfunnsloven og opplæringsloven vil departementet komme tilbake til i arbeidet med lovproposisjon.</w:t>
      </w:r>
    </w:p>
    <w:p w:rsidR="003A02B0" w:rsidRDefault="00C86359" w:rsidP="001D146F">
      <w:pPr>
        <w:pStyle w:val="Overskrift2"/>
      </w:pPr>
      <w:bookmarkStart w:id="3421" w:name="_Toc477694149"/>
      <w:bookmarkStart w:id="3422" w:name="_Toc477704575"/>
      <w:bookmarkStart w:id="3423" w:name="_Toc477799818"/>
      <w:bookmarkStart w:id="3424" w:name="_Toc477806419"/>
      <w:bookmarkStart w:id="3425" w:name="_Toc477871178"/>
      <w:bookmarkStart w:id="3426" w:name="_Toc477872079"/>
      <w:bookmarkStart w:id="3427" w:name="_Toc477878687"/>
      <w:bookmarkStart w:id="3428" w:name="_Toc477882091"/>
      <w:bookmarkStart w:id="3429" w:name="_Toc477886553"/>
      <w:bookmarkStart w:id="3430" w:name="_Toc478131497"/>
      <w:bookmarkStart w:id="3431" w:name="_Toc478138867"/>
      <w:bookmarkStart w:id="3432" w:name="_Toc478232391"/>
      <w:bookmarkStart w:id="3433" w:name="_Toc478237376"/>
      <w:bookmarkStart w:id="3434" w:name="_Toc481761917"/>
      <w:bookmarkStart w:id="3435" w:name="_Toc492900569"/>
      <w:r>
        <w:t>Politiattest</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rsidR="00026A4D" w:rsidRPr="00026A4D" w:rsidRDefault="00026A4D" w:rsidP="00026A4D">
      <w:r w:rsidRPr="00026A4D">
        <w:t>Ved Prop. 81 L (2010</w:t>
      </w:r>
      <w:r w:rsidR="002159FC">
        <w:t>–2</w:t>
      </w:r>
      <w:r w:rsidRPr="00026A4D">
        <w:t>011), jf.  Innst. 393 L (2010</w:t>
      </w:r>
      <w:r w:rsidR="002159FC">
        <w:t>–2</w:t>
      </w:r>
      <w:r w:rsidRPr="00026A4D">
        <w:t>011), ble det tatt inn en bestemmelse i kirkeloven som ga lovbestemte organer i Den norske kirke adgang til å kreve framlagt barneomsorgsattest av personer som skal utføre oppgaver som innebærer omsorg for mindreårige.</w:t>
      </w:r>
    </w:p>
    <w:p w:rsidR="00026A4D" w:rsidRPr="00026A4D" w:rsidRDefault="00026A4D" w:rsidP="00026A4D">
      <w:r w:rsidRPr="00026A4D">
        <w:t xml:space="preserve">For frivillige organisasjoner er slik hjemmel gitt i forskrift til politiregisterloven. Denne hjemmelen omfatter tros- og livssynssamfunn, men, i det minste tidligere, ikke Den norske kirke. </w:t>
      </w:r>
    </w:p>
    <w:p w:rsidR="0099370B" w:rsidRPr="00026A4D" w:rsidRDefault="00026A4D">
      <w:r w:rsidRPr="00026A4D">
        <w:t xml:space="preserve">Departementet mener det for klarhetens og enkelthetens skyld bør inntas en bestemmelse i den nye loven som omfatter både Den norske kirke og de andre tros- og livssynssamfunnene. Forslag til bestemmelse er tatt inn i </w:t>
      </w:r>
      <w:r w:rsidR="00446996">
        <w:t xml:space="preserve">lovutkastet </w:t>
      </w:r>
      <w:r w:rsidR="00656226">
        <w:t>§ 19</w:t>
      </w:r>
      <w:r w:rsidRPr="00026A4D">
        <w:t>.</w:t>
      </w:r>
    </w:p>
    <w:p w:rsidR="0099370B" w:rsidRDefault="0099370B" w:rsidP="001D146F">
      <w:pPr>
        <w:pStyle w:val="Overskrift2"/>
      </w:pPr>
      <w:bookmarkStart w:id="3436" w:name="_Toc478131498"/>
      <w:bookmarkStart w:id="3437" w:name="_Toc478138868"/>
      <w:bookmarkStart w:id="3438" w:name="_Toc478232392"/>
      <w:bookmarkStart w:id="3439" w:name="_Toc478237377"/>
      <w:bookmarkStart w:id="3440" w:name="_Toc481761918"/>
      <w:bookmarkStart w:id="3441" w:name="_Toc492900570"/>
      <w:r>
        <w:t>Endring i annen lovgivning</w:t>
      </w:r>
      <w:bookmarkEnd w:id="3436"/>
      <w:bookmarkEnd w:id="3437"/>
      <w:bookmarkEnd w:id="3438"/>
      <w:bookmarkEnd w:id="3439"/>
      <w:bookmarkEnd w:id="3440"/>
      <w:bookmarkEnd w:id="3441"/>
    </w:p>
    <w:p w:rsidR="0099370B" w:rsidRDefault="00FC19A8">
      <w:r>
        <w:t xml:space="preserve">En rekke </w:t>
      </w:r>
      <w:r w:rsidR="00C924A6">
        <w:t xml:space="preserve">andre </w:t>
      </w:r>
      <w:r>
        <w:t xml:space="preserve">lover og forskrifter refererer til stillingskategorien </w:t>
      </w:r>
      <w:r w:rsidR="00117164">
        <w:t>prest eller forstander i registrert trossamfunn, som i trossamfunnsloven § 14 siste ledd er definert som «</w:t>
      </w:r>
      <w:r w:rsidR="00117164" w:rsidRPr="00117164">
        <w:t>den eller dei som har lovsette gjeremål i trudomssamfunnet</w:t>
      </w:r>
      <w:r w:rsidR="00C924A6">
        <w:t xml:space="preserve">». Videre finnes det annen lovgivning som refererer til prester i Den norske kirke som «prester i statskirken». </w:t>
      </w:r>
    </w:p>
    <w:p w:rsidR="00D13370" w:rsidRDefault="00026A4D" w:rsidP="000C18F4">
      <w:r>
        <w:t>D</w:t>
      </w:r>
      <w:r w:rsidR="000C18F4">
        <w:t xml:space="preserve">epartementet mener at det materielle innholdet i </w:t>
      </w:r>
      <w:r>
        <w:t>disse bestemmelsene</w:t>
      </w:r>
      <w:r w:rsidR="000C18F4">
        <w:t xml:space="preserve"> </w:t>
      </w:r>
      <w:r>
        <w:t>i all hovedsak</w:t>
      </w:r>
      <w:r w:rsidR="000C18F4">
        <w:t xml:space="preserve"> bør videreføres</w:t>
      </w:r>
      <w:r>
        <w:t>, og</w:t>
      </w:r>
      <w:r w:rsidR="003E6ABA">
        <w:t xml:space="preserve"> </w:t>
      </w:r>
      <w:r w:rsidR="00D13370">
        <w:t xml:space="preserve">vil komme tilbake </w:t>
      </w:r>
      <w:r w:rsidR="000C18F4">
        <w:t>til de nødvendige lov</w:t>
      </w:r>
      <w:r>
        <w:t>tekniske endringene</w:t>
      </w:r>
      <w:r w:rsidR="000C18F4">
        <w:t xml:space="preserve"> i</w:t>
      </w:r>
      <w:r w:rsidR="006E4FE2">
        <w:t xml:space="preserve"> lov</w:t>
      </w:r>
      <w:r w:rsidR="00D13370">
        <w:t xml:space="preserve">proposisjonen om </w:t>
      </w:r>
      <w:r w:rsidR="000C18F4">
        <w:t>ny lov</w:t>
      </w:r>
      <w:r w:rsidR="00D13370">
        <w:t xml:space="preserve"> om tros- og livssynssamfunn. </w:t>
      </w:r>
    </w:p>
    <w:p w:rsidR="00D13370" w:rsidRDefault="00D13370"/>
    <w:p w:rsidR="00C924A6" w:rsidRPr="001D146F" w:rsidRDefault="00C924A6"/>
    <w:p w:rsidR="0099370B" w:rsidRDefault="0099370B">
      <w:pPr>
        <w:rPr>
          <w:u w:val="single"/>
        </w:rPr>
      </w:pPr>
    </w:p>
    <w:p w:rsidR="0099370B" w:rsidRPr="001D146F" w:rsidRDefault="0099370B">
      <w:pPr>
        <w:rPr>
          <w:u w:val="single"/>
        </w:rPr>
      </w:pPr>
    </w:p>
    <w:p w:rsidR="005D1855" w:rsidRPr="005D1855" w:rsidRDefault="005D1855" w:rsidP="005D1855">
      <w:r w:rsidRPr="001D146F">
        <w:t xml:space="preserve"> </w:t>
      </w:r>
    </w:p>
    <w:p w:rsidR="002238DD" w:rsidRPr="00150737" w:rsidRDefault="00210C6E">
      <w:pPr>
        <w:spacing w:after="0" w:line="240" w:lineRule="auto"/>
        <w:rPr>
          <w:rStyle w:val="halvfet"/>
        </w:rPr>
      </w:pPr>
      <w:r>
        <w:br w:type="page"/>
      </w:r>
    </w:p>
    <w:p w:rsidR="002238DD" w:rsidRPr="00D203D9" w:rsidRDefault="002238DD" w:rsidP="002238DD">
      <w:pPr>
        <w:pStyle w:val="Overskrift1"/>
      </w:pPr>
      <w:bookmarkStart w:id="3442" w:name="_Toc477536055"/>
      <w:bookmarkStart w:id="3443" w:name="_Toc477631185"/>
      <w:bookmarkStart w:id="3444" w:name="_Toc477694150"/>
      <w:bookmarkStart w:id="3445" w:name="_Toc477704576"/>
      <w:bookmarkStart w:id="3446" w:name="_Toc477799819"/>
      <w:bookmarkStart w:id="3447" w:name="_Toc477806420"/>
      <w:bookmarkStart w:id="3448" w:name="_Toc477871179"/>
      <w:bookmarkStart w:id="3449" w:name="_Toc477872080"/>
      <w:bookmarkStart w:id="3450" w:name="_Toc477878688"/>
      <w:bookmarkStart w:id="3451" w:name="_Toc477882092"/>
      <w:bookmarkStart w:id="3452" w:name="_Toc477886554"/>
      <w:bookmarkStart w:id="3453" w:name="_Toc478131499"/>
      <w:bookmarkStart w:id="3454" w:name="_Toc478138869"/>
      <w:bookmarkStart w:id="3455" w:name="_Toc478232393"/>
      <w:bookmarkStart w:id="3456" w:name="_Toc478237378"/>
      <w:bookmarkStart w:id="3457" w:name="_Toc481761919"/>
      <w:bookmarkStart w:id="3458" w:name="_Toc492900571"/>
      <w:r w:rsidRPr="00D203D9">
        <w:lastRenderedPageBreak/>
        <w:t>Livssynsavgift</w:t>
      </w:r>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p>
    <w:p w:rsidR="002238DD" w:rsidRPr="00EE262F" w:rsidRDefault="002238DD" w:rsidP="002238DD">
      <w:pPr>
        <w:pStyle w:val="Overskrift2"/>
      </w:pPr>
      <w:bookmarkStart w:id="3459" w:name="_Toc477536056"/>
      <w:bookmarkStart w:id="3460" w:name="_Toc477631186"/>
      <w:bookmarkStart w:id="3461" w:name="_Toc477694151"/>
      <w:bookmarkStart w:id="3462" w:name="_Toc477704577"/>
      <w:bookmarkStart w:id="3463" w:name="_Toc477799820"/>
      <w:bookmarkStart w:id="3464" w:name="_Toc477806421"/>
      <w:bookmarkStart w:id="3465" w:name="_Toc477871180"/>
      <w:bookmarkStart w:id="3466" w:name="_Toc477872081"/>
      <w:bookmarkStart w:id="3467" w:name="_Toc477878689"/>
      <w:bookmarkStart w:id="3468" w:name="_Toc477882093"/>
      <w:bookmarkStart w:id="3469" w:name="_Toc477886555"/>
      <w:bookmarkStart w:id="3470" w:name="_Toc478131500"/>
      <w:bookmarkStart w:id="3471" w:name="_Toc478138870"/>
      <w:bookmarkStart w:id="3472" w:name="_Toc478232394"/>
      <w:bookmarkStart w:id="3473" w:name="_Toc478237379"/>
      <w:bookmarkStart w:id="3474" w:name="_Toc481761920"/>
      <w:bookmarkStart w:id="3475" w:name="_Toc492900572"/>
      <w:r w:rsidRPr="00EE262F">
        <w:t>Innledning</w:t>
      </w:r>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p>
    <w:p w:rsidR="002238DD" w:rsidRDefault="002238DD" w:rsidP="002238DD">
      <w:r>
        <w:t>I de foregående kapitle</w:t>
      </w:r>
      <w:r w:rsidR="004A5A4A">
        <w:t>ne</w:t>
      </w:r>
      <w:r>
        <w:t xml:space="preserve"> har departementet gjennomgått dagens finansierings</w:t>
      </w:r>
      <w:r w:rsidR="00E24086">
        <w:t xml:space="preserve">ordninger for tros- og livssynssamfunnene og tatt opp forslag om </w:t>
      </w:r>
      <w:r>
        <w:t>endringer i d</w:t>
      </w:r>
      <w:r w:rsidR="00E24086">
        <w:t>isse</w:t>
      </w:r>
      <w:r>
        <w:t xml:space="preserve">. </w:t>
      </w:r>
      <w:r w:rsidR="00A47671">
        <w:t>For tros- og livssynssamfunn utenom Den norske kirke innebærer e</w:t>
      </w:r>
      <w:r>
        <w:t xml:space="preserve">ndringene en </w:t>
      </w:r>
      <w:r w:rsidR="00E24086">
        <w:t xml:space="preserve">full </w:t>
      </w:r>
      <w:r>
        <w:t>statlig</w:t>
      </w:r>
      <w:r w:rsidR="00E24086">
        <w:t xml:space="preserve"> finansiering </w:t>
      </w:r>
      <w:r>
        <w:t xml:space="preserve">og </w:t>
      </w:r>
      <w:r w:rsidR="00E24086">
        <w:t xml:space="preserve">en viss </w:t>
      </w:r>
      <w:r>
        <w:t>omlegging av tilskuddsordningen</w:t>
      </w:r>
      <w:r w:rsidR="00A47671">
        <w:t>. For Den norske kirke foreslås</w:t>
      </w:r>
      <w:r>
        <w:t xml:space="preserve"> </w:t>
      </w:r>
      <w:r w:rsidR="00E24086">
        <w:t xml:space="preserve">en </w:t>
      </w:r>
      <w:r>
        <w:t xml:space="preserve">fortsatt budsjettstyrt finansiering der man enten beholder dagens to-delte finansiering mellom stat og kommune eller der staten overtar hele finansieringsansvaret. Forslagene har det til felles at de viderefører et finansieringssystem som legger det </w:t>
      </w:r>
      <w:r w:rsidRPr="00144E02">
        <w:t xml:space="preserve">alminnelige skatte- og avgiftssystemet </w:t>
      </w:r>
      <w:r>
        <w:t>til grunn. Dette innebærer at både personlige</w:t>
      </w:r>
      <w:r w:rsidRPr="00144E02">
        <w:t xml:space="preserve"> skatt</w:t>
      </w:r>
      <w:r w:rsidR="008442E6">
        <w:t>eytere,</w:t>
      </w:r>
      <w:r>
        <w:t xml:space="preserve"> bedrifter</w:t>
      </w:r>
      <w:r w:rsidR="008442E6">
        <w:t>, oljeinntekter og øvrige skatter og avgifter</w:t>
      </w:r>
      <w:r w:rsidRPr="00144E02">
        <w:t xml:space="preserve"> </w:t>
      </w:r>
      <w:r>
        <w:t xml:space="preserve">er </w:t>
      </w:r>
      <w:r w:rsidRPr="00144E02">
        <w:t xml:space="preserve">med på å finansiere </w:t>
      </w:r>
      <w:r>
        <w:t xml:space="preserve">virksomheten i </w:t>
      </w:r>
      <w:r w:rsidRPr="00144E02">
        <w:t xml:space="preserve">Den norske kirke og </w:t>
      </w:r>
      <w:r>
        <w:t xml:space="preserve">i de </w:t>
      </w:r>
      <w:r w:rsidRPr="00144E02">
        <w:t>andre tros- og livssyns</w:t>
      </w:r>
      <w:r>
        <w:t>sa</w:t>
      </w:r>
      <w:r w:rsidRPr="00144E02">
        <w:t>mfunn</w:t>
      </w:r>
      <w:r>
        <w:t>ene, uten at det er noen direkte kobling mellom skatt og medlemskap</w:t>
      </w:r>
      <w:r w:rsidRPr="00144E02">
        <w:t xml:space="preserve">. </w:t>
      </w:r>
    </w:p>
    <w:p w:rsidR="002238DD" w:rsidRDefault="002238DD" w:rsidP="002238DD">
      <w:r>
        <w:t xml:space="preserve">Flere kirkelige og offentlige utredninger har pekt på at </w:t>
      </w:r>
      <w:r w:rsidR="00E24086">
        <w:t xml:space="preserve">dagens </w:t>
      </w:r>
      <w:r>
        <w:t>finansiering</w:t>
      </w:r>
      <w:r w:rsidR="00E24086">
        <w:t>sordninger</w:t>
      </w:r>
      <w:r>
        <w:t xml:space="preserve"> </w:t>
      </w:r>
      <w:r w:rsidR="007A4BD2">
        <w:t xml:space="preserve">for Den norske kirke </w:t>
      </w:r>
      <w:r>
        <w:t xml:space="preserve">gjennom det alminnelige skatte- og avgiftssystemet ikke i stor nok grad </w:t>
      </w:r>
      <w:r w:rsidR="007A4BD2">
        <w:t xml:space="preserve">gir det enkelte </w:t>
      </w:r>
      <w:r w:rsidR="009903BA">
        <w:t>medlemme</w:t>
      </w:r>
      <w:r w:rsidR="007A4BD2">
        <w:t>t</w:t>
      </w:r>
      <w:r w:rsidR="009903BA">
        <w:t xml:space="preserve"> </w:t>
      </w:r>
      <w:r w:rsidR="007A4BD2">
        <w:t xml:space="preserve">et selvstendig </w:t>
      </w:r>
      <w:r w:rsidR="009903BA">
        <w:t xml:space="preserve">ansvar for sin religiøse tilhørighet – også </w:t>
      </w:r>
      <w:r w:rsidR="00003A39">
        <w:t>ø</w:t>
      </w:r>
      <w:r w:rsidR="009903BA">
        <w:t>konomisk.</w:t>
      </w:r>
      <w:r>
        <w:t xml:space="preserve"> </w:t>
      </w:r>
      <w:r w:rsidR="007A4BD2">
        <w:t>De a</w:t>
      </w:r>
      <w:r>
        <w:t>lternative</w:t>
      </w:r>
      <w:r w:rsidR="007A4BD2">
        <w:t xml:space="preserve"> finansieringsordningene </w:t>
      </w:r>
      <w:r>
        <w:t>som har blitt drøftet</w:t>
      </w:r>
      <w:r w:rsidR="007A4BD2">
        <w:t>,</w:t>
      </w:r>
      <w:r>
        <w:t xml:space="preserve"> har i hovedsak vært </w:t>
      </w:r>
      <w:r w:rsidRPr="00144E02">
        <w:t>ordning</w:t>
      </w:r>
      <w:r w:rsidR="007A4BD2">
        <w:t>er</w:t>
      </w:r>
      <w:r w:rsidRPr="00144E02">
        <w:t xml:space="preserve"> med medlemsavgift </w:t>
      </w:r>
      <w:r w:rsidRPr="00D06178">
        <w:t xml:space="preserve">i </w:t>
      </w:r>
      <w:r w:rsidR="007A4BD2">
        <w:t>kombinasjon med</w:t>
      </w:r>
      <w:r w:rsidRPr="00144E02">
        <w:t xml:space="preserve"> dagens offentlige bevi</w:t>
      </w:r>
      <w:r>
        <w:t>l</w:t>
      </w:r>
      <w:r w:rsidRPr="00144E02">
        <w:t>gninger</w:t>
      </w:r>
      <w:r>
        <w:t xml:space="preserve">, eller en ordning med en pliktig livssynsavgift som ilegges alle skattebetalere, </w:t>
      </w:r>
      <w:r w:rsidR="007A4BD2">
        <w:t xml:space="preserve">jf. blant annet </w:t>
      </w:r>
      <w:r>
        <w:t xml:space="preserve">Bakkevig-utvalgets </w:t>
      </w:r>
      <w:r w:rsidR="007A4BD2">
        <w:t xml:space="preserve">utredning </w:t>
      </w:r>
      <w:r>
        <w:rPr>
          <w:i/>
        </w:rPr>
        <w:t xml:space="preserve">Samme kirke – ny ordning </w:t>
      </w:r>
      <w:r>
        <w:t xml:space="preserve">og Gjønnes-utvalgets </w:t>
      </w:r>
      <w:r w:rsidR="007A4BD2">
        <w:t xml:space="preserve">utredning </w:t>
      </w:r>
      <w:r>
        <w:t xml:space="preserve">NOU 2006:2 </w:t>
      </w:r>
      <w:r>
        <w:rPr>
          <w:i/>
        </w:rPr>
        <w:t>Staten og Den norske kirke</w:t>
      </w:r>
      <w:r>
        <w:t xml:space="preserve">. En overgang til full medlemsfinansiering </w:t>
      </w:r>
      <w:r w:rsidR="007A4BD2">
        <w:t xml:space="preserve">av Den norske kirke </w:t>
      </w:r>
      <w:r>
        <w:t xml:space="preserve">gjennom innkreving av medlemsavgift har ikke vært foreslått, </w:t>
      </w:r>
      <w:r w:rsidR="00D461C8">
        <w:t>bla</w:t>
      </w:r>
      <w:r w:rsidR="007A4BD2">
        <w:t xml:space="preserve">nt annet under henvisning til at </w:t>
      </w:r>
      <w:r w:rsidR="00FF38F9">
        <w:t>økonomi</w:t>
      </w:r>
      <w:r w:rsidR="00357EF3">
        <w:t xml:space="preserve"> </w:t>
      </w:r>
      <w:r w:rsidR="00FF38F9">
        <w:t xml:space="preserve">ikke bør </w:t>
      </w:r>
      <w:r w:rsidR="00357EF3">
        <w:t xml:space="preserve">være </w:t>
      </w:r>
      <w:r w:rsidR="00FF38F9">
        <w:t>avgjørende for folks tilhørighet</w:t>
      </w:r>
      <w:r w:rsidR="00357EF3">
        <w:t>,</w:t>
      </w:r>
      <w:r w:rsidR="00FF38F9">
        <w:t xml:space="preserve"> og at en full medlemsfinansiering </w:t>
      </w:r>
      <w:r w:rsidR="00D461C8">
        <w:t xml:space="preserve">kan komme i konflikt med </w:t>
      </w:r>
      <w:r w:rsidR="00B61C83">
        <w:t>forutsetningene for</w:t>
      </w:r>
      <w:r w:rsidR="00D461C8">
        <w:t xml:space="preserve"> den åpne folkekirken, se bla</w:t>
      </w:r>
      <w:r w:rsidR="00357EF3">
        <w:t>nt annet</w:t>
      </w:r>
      <w:r w:rsidR="00D461C8">
        <w:t xml:space="preserve"> </w:t>
      </w:r>
      <w:r w:rsidR="00FF38F9">
        <w:t>NOU 2006:2 s. 125</w:t>
      </w:r>
      <w:r w:rsidR="00A47671">
        <w:t xml:space="preserve"> </w:t>
      </w:r>
      <w:r w:rsidR="00FF38F9">
        <w:t>ff</w:t>
      </w:r>
      <w:r w:rsidR="00D461C8">
        <w:t xml:space="preserve">. </w:t>
      </w:r>
    </w:p>
    <w:p w:rsidR="002238DD" w:rsidRDefault="002238DD" w:rsidP="002238DD">
      <w:r>
        <w:t xml:space="preserve">Som </w:t>
      </w:r>
      <w:r w:rsidR="00357EF3">
        <w:t xml:space="preserve">det framgår av drøftingene foran i </w:t>
      </w:r>
      <w:r w:rsidRPr="00003A39">
        <w:t>kap</w:t>
      </w:r>
      <w:r w:rsidR="00357EF3">
        <w:t>ittel</w:t>
      </w:r>
      <w:r w:rsidRPr="00003A39">
        <w:t xml:space="preserve"> 6</w:t>
      </w:r>
      <w:r w:rsidR="00357EF3">
        <w:t>,</w:t>
      </w:r>
      <w:r>
        <w:t xml:space="preserve"> legger departementet til grunn at staten etter Grunnloven § 16 er rettslig forpliktet til materielt </w:t>
      </w:r>
      <w:r w:rsidR="00357EF3">
        <w:t xml:space="preserve">å </w:t>
      </w:r>
      <w:r>
        <w:t xml:space="preserve">understøtte tros- og livssynssamfunnenes virksomhet, også med økonomisk støtte. Staten har imidlertid et betydelig rom for å vurdere hvilket nivå den økonomiske støtten skal ligge på, og hvordan støtten skal innrettes. </w:t>
      </w:r>
    </w:p>
    <w:p w:rsidR="002238DD" w:rsidRDefault="00357EF3" w:rsidP="002238DD">
      <w:r>
        <w:t>D</w:t>
      </w:r>
      <w:r w:rsidR="002238DD">
        <w:t xml:space="preserve">epartementet </w:t>
      </w:r>
      <w:r>
        <w:t xml:space="preserve">tar </w:t>
      </w:r>
      <w:r w:rsidR="002238DD">
        <w:t xml:space="preserve">ikke </w:t>
      </w:r>
      <w:r>
        <w:t xml:space="preserve">opp </w:t>
      </w:r>
      <w:r w:rsidR="002238DD">
        <w:t xml:space="preserve">forslag om full medlemsfinansiering </w:t>
      </w:r>
      <w:r>
        <w:t xml:space="preserve">av Den norske kirke </w:t>
      </w:r>
      <w:r w:rsidR="002238DD">
        <w:t xml:space="preserve">gjennom innkreving av medlemsavgift. </w:t>
      </w:r>
      <w:r w:rsidR="00DB54F0">
        <w:t>Det er imidlertid departementets syn at Den norske bør ha anledning til å kreve medlems</w:t>
      </w:r>
      <w:r>
        <w:t>kontingent, slik som andre tros- og livssynssamfunn.</w:t>
      </w:r>
      <w:r w:rsidR="00DB54F0">
        <w:t xml:space="preserve"> Siden </w:t>
      </w:r>
      <w:r>
        <w:t xml:space="preserve">det er uklart om Den norske kirke har rettslig adgang til </w:t>
      </w:r>
      <w:r w:rsidR="00701FFA">
        <w:t xml:space="preserve">dette, </w:t>
      </w:r>
      <w:r w:rsidR="00DB54F0">
        <w:t xml:space="preserve">foreslår departementet en </w:t>
      </w:r>
      <w:r w:rsidR="002C37C7">
        <w:t xml:space="preserve">egen lovbestemmelse </w:t>
      </w:r>
      <w:r w:rsidR="00701FFA">
        <w:t>s</w:t>
      </w:r>
      <w:r w:rsidR="002C37C7">
        <w:t xml:space="preserve">om </w:t>
      </w:r>
      <w:r w:rsidR="00701FFA">
        <w:t xml:space="preserve">klargjør adgangen, </w:t>
      </w:r>
      <w:r>
        <w:t>jf. kap</w:t>
      </w:r>
      <w:r w:rsidR="00701FFA">
        <w:t>i</w:t>
      </w:r>
      <w:r>
        <w:t xml:space="preserve">ttel 10. </w:t>
      </w:r>
    </w:p>
    <w:p w:rsidR="002238DD" w:rsidRDefault="002238DD" w:rsidP="002238DD">
      <w:r>
        <w:t xml:space="preserve">I forbindelse med at den offentlige finansieringen av Den norske kirke og andre tros- og livssynssamfunn nå er aktuell for endringer, har departementet sett det som viktig å få vurdert </w:t>
      </w:r>
      <w:r w:rsidR="008E1628">
        <w:t xml:space="preserve">en obligatorisk </w:t>
      </w:r>
      <w:r>
        <w:t>livssynsavgift</w:t>
      </w:r>
      <w:r w:rsidR="008E1628">
        <w:t xml:space="preserve">, felles for alle skatteytere, </w:t>
      </w:r>
      <w:r>
        <w:t>som e</w:t>
      </w:r>
      <w:r w:rsidR="008E1628">
        <w:t>t</w:t>
      </w:r>
      <w:r>
        <w:t xml:space="preserve"> alternativ</w:t>
      </w:r>
      <w:r w:rsidR="008E1628">
        <w:t>t</w:t>
      </w:r>
      <w:r>
        <w:t xml:space="preserve"> finansierings</w:t>
      </w:r>
      <w:r w:rsidR="008E1628">
        <w:t xml:space="preserve">system </w:t>
      </w:r>
      <w:r>
        <w:t xml:space="preserve">til </w:t>
      </w:r>
      <w:r w:rsidR="00872344">
        <w:t>dagens finansierings</w:t>
      </w:r>
      <w:r w:rsidR="008E1628">
        <w:t>system</w:t>
      </w:r>
      <w:r w:rsidR="00872344">
        <w:t xml:space="preserve">, og </w:t>
      </w:r>
      <w:r w:rsidR="008E1628">
        <w:t xml:space="preserve">dermed også </w:t>
      </w:r>
      <w:r w:rsidR="00872344">
        <w:t xml:space="preserve">til de forslag departementet har tatt opp i høringsnotatet. </w:t>
      </w:r>
    </w:p>
    <w:p w:rsidR="002238DD" w:rsidRDefault="002238DD" w:rsidP="002238DD">
      <w:r>
        <w:t>Livssynsavgiften har tradisjonelt blitt løftet fram som en modell</w:t>
      </w:r>
      <w:r w:rsidR="005927C6">
        <w:t xml:space="preserve"> som </w:t>
      </w:r>
      <w:r w:rsidR="007454FB">
        <w:t xml:space="preserve">i teorien </w:t>
      </w:r>
      <w:r w:rsidR="008E1628">
        <w:t xml:space="preserve">og ideelt gir en klar </w:t>
      </w:r>
      <w:r w:rsidR="005927C6">
        <w:t xml:space="preserve">sammenheng mellom medlemskap og hva støtten går til, og som ivaretar et hensyn om at ingen </w:t>
      </w:r>
      <w:r w:rsidR="007454FB">
        <w:t>bør</w:t>
      </w:r>
      <w:r w:rsidR="005927C6">
        <w:t xml:space="preserve"> være forpliktet til å gi økonomisk støtte til et</w:t>
      </w:r>
      <w:r w:rsidR="00EB6C7E">
        <w:t xml:space="preserve"> </w:t>
      </w:r>
      <w:r w:rsidR="008E1628">
        <w:t>tros- eller livssyns</w:t>
      </w:r>
      <w:r w:rsidR="00EB6C7E">
        <w:t>samfunn som han eller hun ikke selv er medlem av.</w:t>
      </w:r>
      <w:r>
        <w:t xml:space="preserve"> </w:t>
      </w:r>
    </w:p>
    <w:p w:rsidR="002238DD" w:rsidRDefault="002238DD" w:rsidP="002238DD">
      <w:pPr>
        <w:rPr>
          <w:rFonts w:cs="Times New Roman"/>
          <w:szCs w:val="24"/>
        </w:rPr>
      </w:pPr>
      <w:r>
        <w:rPr>
          <w:rFonts w:cs="Times New Roman"/>
          <w:szCs w:val="24"/>
        </w:rPr>
        <w:lastRenderedPageBreak/>
        <w:t xml:space="preserve">Selv om flere utvalg har sett nærmere på livssynsavgiften som modell, har den aldri vært konsekvensutredet. Det er også få land å høste erfaringer fra. Både Italia og Island har hatt ulike innslag av livssynsavgift, men </w:t>
      </w:r>
      <w:r w:rsidR="00EB6C7E">
        <w:rPr>
          <w:rFonts w:cs="Times New Roman"/>
          <w:szCs w:val="24"/>
        </w:rPr>
        <w:t>ingen av d</w:t>
      </w:r>
      <w:r w:rsidR="007454FB">
        <w:rPr>
          <w:rFonts w:cs="Times New Roman"/>
          <w:szCs w:val="24"/>
        </w:rPr>
        <w:t>isse landene</w:t>
      </w:r>
      <w:r w:rsidR="00EB6C7E">
        <w:rPr>
          <w:rFonts w:cs="Times New Roman"/>
          <w:szCs w:val="24"/>
        </w:rPr>
        <w:t xml:space="preserve"> har ordninger som gir vesentlig</w:t>
      </w:r>
      <w:r w:rsidR="00AE7524">
        <w:rPr>
          <w:rFonts w:cs="Times New Roman"/>
          <w:szCs w:val="24"/>
        </w:rPr>
        <w:t>e</w:t>
      </w:r>
      <w:r w:rsidR="00EB6C7E">
        <w:rPr>
          <w:rFonts w:cs="Times New Roman"/>
          <w:szCs w:val="24"/>
        </w:rPr>
        <w:t xml:space="preserve"> bidrag til utformingen av en mulig livssynsavgift</w:t>
      </w:r>
      <w:r>
        <w:rPr>
          <w:rFonts w:cs="Times New Roman"/>
          <w:szCs w:val="24"/>
        </w:rPr>
        <w:t xml:space="preserve"> i Norge, jf. omtale</w:t>
      </w:r>
      <w:r w:rsidR="008E1628">
        <w:rPr>
          <w:rFonts w:cs="Times New Roman"/>
          <w:szCs w:val="24"/>
        </w:rPr>
        <w:t>n</w:t>
      </w:r>
      <w:r>
        <w:rPr>
          <w:rFonts w:cs="Times New Roman"/>
          <w:szCs w:val="24"/>
        </w:rPr>
        <w:t xml:space="preserve"> </w:t>
      </w:r>
      <w:r w:rsidR="008E1628">
        <w:rPr>
          <w:rFonts w:cs="Times New Roman"/>
          <w:szCs w:val="24"/>
        </w:rPr>
        <w:t xml:space="preserve">av disse landene </w:t>
      </w:r>
      <w:r w:rsidRPr="00003A39">
        <w:rPr>
          <w:rFonts w:cs="Times New Roman"/>
          <w:szCs w:val="24"/>
        </w:rPr>
        <w:t>nedenfor.</w:t>
      </w:r>
      <w:r>
        <w:rPr>
          <w:rFonts w:cs="Times New Roman"/>
          <w:szCs w:val="24"/>
        </w:rPr>
        <w:t xml:space="preserve"> </w:t>
      </w:r>
    </w:p>
    <w:p w:rsidR="002238DD" w:rsidRDefault="002238DD" w:rsidP="002238DD">
      <w:pPr>
        <w:rPr>
          <w:rFonts w:cs="Times New Roman"/>
          <w:szCs w:val="24"/>
        </w:rPr>
      </w:pPr>
      <w:r>
        <w:rPr>
          <w:rFonts w:cs="Times New Roman"/>
          <w:szCs w:val="24"/>
        </w:rPr>
        <w:t>En ordning med livssynsavgift er ment å erstatte dagens offentlige bevilgninger til tros- og livssynssamfunn</w:t>
      </w:r>
      <w:r w:rsidR="007454FB">
        <w:rPr>
          <w:rFonts w:cs="Times New Roman"/>
          <w:szCs w:val="24"/>
        </w:rPr>
        <w:t>ene</w:t>
      </w:r>
      <w:r>
        <w:rPr>
          <w:rFonts w:cs="Times New Roman"/>
          <w:szCs w:val="24"/>
        </w:rPr>
        <w:t>, inkludert Den norske kirke. For å kunne ta stilling til om livssynsavgiften er en modell som egner seg</w:t>
      </w:r>
      <w:r w:rsidR="00AE7524">
        <w:rPr>
          <w:rFonts w:cs="Times New Roman"/>
          <w:szCs w:val="24"/>
        </w:rPr>
        <w:t xml:space="preserve">, </w:t>
      </w:r>
      <w:r>
        <w:rPr>
          <w:rFonts w:cs="Times New Roman"/>
          <w:szCs w:val="24"/>
        </w:rPr>
        <w:t xml:space="preserve">har departementet sett behov for å få </w:t>
      </w:r>
      <w:r w:rsidR="00AE7524">
        <w:rPr>
          <w:rFonts w:cs="Times New Roman"/>
          <w:szCs w:val="24"/>
        </w:rPr>
        <w:t xml:space="preserve">nærmere </w:t>
      </w:r>
      <w:r>
        <w:rPr>
          <w:rFonts w:cs="Times New Roman"/>
          <w:szCs w:val="24"/>
        </w:rPr>
        <w:t xml:space="preserve">utredet </w:t>
      </w:r>
      <w:r w:rsidR="00AE7524">
        <w:rPr>
          <w:rFonts w:cs="Times New Roman"/>
          <w:szCs w:val="24"/>
        </w:rPr>
        <w:t xml:space="preserve">mange av de </w:t>
      </w:r>
      <w:r>
        <w:rPr>
          <w:rFonts w:cs="Times New Roman"/>
          <w:szCs w:val="24"/>
        </w:rPr>
        <w:t>spørsmål</w:t>
      </w:r>
      <w:r w:rsidR="00AE7524">
        <w:rPr>
          <w:rFonts w:cs="Times New Roman"/>
          <w:szCs w:val="24"/>
        </w:rPr>
        <w:t>en</w:t>
      </w:r>
      <w:r w:rsidR="00A47671">
        <w:rPr>
          <w:rFonts w:cs="Times New Roman"/>
          <w:szCs w:val="24"/>
        </w:rPr>
        <w:t>e</w:t>
      </w:r>
      <w:r>
        <w:rPr>
          <w:rFonts w:cs="Times New Roman"/>
          <w:szCs w:val="24"/>
        </w:rPr>
        <w:t xml:space="preserve"> som knytter seg til en slik avgift. Dette gjelder bla</w:t>
      </w:r>
      <w:r w:rsidR="004577EF">
        <w:rPr>
          <w:rFonts w:cs="Times New Roman"/>
          <w:szCs w:val="24"/>
        </w:rPr>
        <w:t>nt ann</w:t>
      </w:r>
      <w:r w:rsidR="007454FB">
        <w:rPr>
          <w:rFonts w:cs="Times New Roman"/>
          <w:szCs w:val="24"/>
        </w:rPr>
        <w:t>e</w:t>
      </w:r>
      <w:r w:rsidR="004577EF">
        <w:rPr>
          <w:rFonts w:cs="Times New Roman"/>
          <w:szCs w:val="24"/>
        </w:rPr>
        <w:t xml:space="preserve">t </w:t>
      </w:r>
      <w:r>
        <w:rPr>
          <w:rFonts w:cs="Times New Roman"/>
          <w:szCs w:val="24"/>
        </w:rPr>
        <w:t xml:space="preserve">hvilke tekniske løsninger som </w:t>
      </w:r>
      <w:r w:rsidR="00AE7524">
        <w:rPr>
          <w:rFonts w:cs="Times New Roman"/>
          <w:szCs w:val="24"/>
        </w:rPr>
        <w:t>kan være aktuelle</w:t>
      </w:r>
      <w:r>
        <w:rPr>
          <w:rFonts w:cs="Times New Roman"/>
          <w:szCs w:val="24"/>
        </w:rPr>
        <w:t xml:space="preserve">, </w:t>
      </w:r>
      <w:r w:rsidR="00AE7524">
        <w:rPr>
          <w:rFonts w:cs="Times New Roman"/>
          <w:szCs w:val="24"/>
        </w:rPr>
        <w:t xml:space="preserve">og </w:t>
      </w:r>
      <w:r>
        <w:rPr>
          <w:rFonts w:cs="Times New Roman"/>
          <w:szCs w:val="24"/>
        </w:rPr>
        <w:t xml:space="preserve">hvilke økonomiske og administrative konsekvenser </w:t>
      </w:r>
      <w:r w:rsidR="00AE7524">
        <w:rPr>
          <w:rFonts w:cs="Times New Roman"/>
          <w:szCs w:val="24"/>
        </w:rPr>
        <w:t xml:space="preserve">en livssynssavgift kan få </w:t>
      </w:r>
      <w:r>
        <w:rPr>
          <w:rFonts w:cs="Times New Roman"/>
          <w:szCs w:val="24"/>
        </w:rPr>
        <w:t xml:space="preserve">for </w:t>
      </w:r>
      <w:r w:rsidR="004577EF">
        <w:rPr>
          <w:rFonts w:cs="Times New Roman"/>
          <w:szCs w:val="24"/>
        </w:rPr>
        <w:t>s</w:t>
      </w:r>
      <w:r>
        <w:rPr>
          <w:rFonts w:cs="Times New Roman"/>
          <w:szCs w:val="24"/>
        </w:rPr>
        <w:t xml:space="preserve">amfunnenes inntekter, det offentliges utgifter og for den enkeltes privatøkonomi. </w:t>
      </w:r>
    </w:p>
    <w:p w:rsidR="002238DD" w:rsidRDefault="002238DD" w:rsidP="002238DD">
      <w:pPr>
        <w:rPr>
          <w:rFonts w:cs="Times New Roman"/>
          <w:szCs w:val="24"/>
        </w:rPr>
      </w:pPr>
      <w:r>
        <w:rPr>
          <w:rFonts w:cs="Times New Roman"/>
          <w:szCs w:val="24"/>
        </w:rPr>
        <w:t xml:space="preserve">I dette kapitlet gjennomgås konsekvensene av mulige løsninger for utforming av en livssynsavgift. Gjennomgangen bygger på systematikken og hovedfunnene til EY Norge, som på oppdrag fra departementet har foretatt en utredning av spørsmålene, se nærmere omtale </w:t>
      </w:r>
      <w:r w:rsidR="004577EF">
        <w:rPr>
          <w:rFonts w:cs="Times New Roman"/>
          <w:szCs w:val="24"/>
        </w:rPr>
        <w:t xml:space="preserve">nedenfor </w:t>
      </w:r>
      <w:r>
        <w:rPr>
          <w:rFonts w:cs="Times New Roman"/>
          <w:szCs w:val="24"/>
        </w:rPr>
        <w:t>under p</w:t>
      </w:r>
      <w:r w:rsidR="00DE2AAB">
        <w:rPr>
          <w:rFonts w:cs="Times New Roman"/>
          <w:szCs w:val="24"/>
        </w:rPr>
        <w:t>unkt</w:t>
      </w:r>
      <w:r>
        <w:rPr>
          <w:rFonts w:cs="Times New Roman"/>
          <w:szCs w:val="24"/>
        </w:rPr>
        <w:t xml:space="preserve"> </w:t>
      </w:r>
      <w:r w:rsidR="0053576F">
        <w:rPr>
          <w:rFonts w:cs="Times New Roman"/>
          <w:szCs w:val="24"/>
        </w:rPr>
        <w:t>21</w:t>
      </w:r>
      <w:r>
        <w:rPr>
          <w:rFonts w:cs="Times New Roman"/>
          <w:szCs w:val="24"/>
        </w:rPr>
        <w:t xml:space="preserve">.3 </w:t>
      </w:r>
      <w:r>
        <w:rPr>
          <w:rFonts w:cs="Times New Roman"/>
          <w:i/>
          <w:szCs w:val="24"/>
        </w:rPr>
        <w:t>Livssynsavgift som finansieringsordning i Norge</w:t>
      </w:r>
      <w:r>
        <w:rPr>
          <w:rFonts w:cs="Times New Roman"/>
          <w:szCs w:val="24"/>
        </w:rPr>
        <w:t>. Departementets vurderinger er foretatt avslutningsvis</w:t>
      </w:r>
      <w:r w:rsidR="007454FB">
        <w:rPr>
          <w:rFonts w:cs="Times New Roman"/>
          <w:szCs w:val="24"/>
        </w:rPr>
        <w:t xml:space="preserve"> i punkt 21.5</w:t>
      </w:r>
      <w:r>
        <w:rPr>
          <w:rFonts w:cs="Times New Roman"/>
          <w:szCs w:val="24"/>
        </w:rPr>
        <w:t xml:space="preserve">. </w:t>
      </w:r>
    </w:p>
    <w:p w:rsidR="002238DD" w:rsidRPr="00840790" w:rsidRDefault="002238DD" w:rsidP="002238DD">
      <w:pPr>
        <w:pStyle w:val="Overskrift2"/>
        <w:rPr>
          <w:rStyle w:val="Overskrift2Tegn"/>
          <w:b/>
        </w:rPr>
      </w:pPr>
      <w:bookmarkStart w:id="3476" w:name="_Toc477536057"/>
      <w:bookmarkStart w:id="3477" w:name="_Toc477631187"/>
      <w:bookmarkStart w:id="3478" w:name="_Toc477694152"/>
      <w:bookmarkStart w:id="3479" w:name="_Toc477704578"/>
      <w:bookmarkStart w:id="3480" w:name="_Toc477799821"/>
      <w:bookmarkStart w:id="3481" w:name="_Toc477806422"/>
      <w:bookmarkStart w:id="3482" w:name="_Toc477872082"/>
      <w:bookmarkStart w:id="3483" w:name="_Toc477878690"/>
      <w:bookmarkStart w:id="3484" w:name="_Toc477882094"/>
      <w:bookmarkStart w:id="3485" w:name="_Toc477886556"/>
      <w:bookmarkStart w:id="3486" w:name="_Toc478131501"/>
      <w:bookmarkStart w:id="3487" w:name="_Toc478138871"/>
      <w:bookmarkStart w:id="3488" w:name="_Toc478232395"/>
      <w:bookmarkStart w:id="3489" w:name="_Toc478237380"/>
      <w:bookmarkStart w:id="3490" w:name="_Toc481761921"/>
      <w:bookmarkStart w:id="3491" w:name="_Toc492900573"/>
      <w:r w:rsidRPr="00840790">
        <w:rPr>
          <w:rStyle w:val="Overskrift2Tegn"/>
          <w:b/>
        </w:rPr>
        <w:t>Livssynsavgiften i Italia og på Island</w:t>
      </w:r>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p>
    <w:p w:rsidR="00294019" w:rsidRDefault="00EB6C7E" w:rsidP="002238DD">
      <w:r>
        <w:t xml:space="preserve">Italia og Island har blitt trukket fram av tidligere utredninger som </w:t>
      </w:r>
      <w:r w:rsidR="00D8062A">
        <w:t>eksemp</w:t>
      </w:r>
      <w:r w:rsidR="004577EF">
        <w:t>ler</w:t>
      </w:r>
      <w:r w:rsidR="00D8062A">
        <w:t xml:space="preserve"> på land som har livssynsavgift. Det kan imidlertid reises spørsmål ved om de økonomiske støtteordningene til tros- og livssynssamfunn i disse landene kan omtales som en livssynsavgift</w:t>
      </w:r>
      <w:r w:rsidR="004577EF">
        <w:t>.</w:t>
      </w:r>
      <w:r w:rsidR="00D8062A">
        <w:t xml:space="preserve"> </w:t>
      </w:r>
    </w:p>
    <w:p w:rsidR="00294019" w:rsidRDefault="00294019" w:rsidP="00294019">
      <w:pPr>
        <w:pStyle w:val="Overskrift3"/>
      </w:pPr>
      <w:bookmarkStart w:id="3492" w:name="_Toc481761922"/>
      <w:bookmarkStart w:id="3493" w:name="_Toc492900574"/>
      <w:r>
        <w:t>Island</w:t>
      </w:r>
      <w:bookmarkEnd w:id="3492"/>
      <w:bookmarkEnd w:id="3493"/>
    </w:p>
    <w:p w:rsidR="00E7666E" w:rsidRDefault="006A6B5B" w:rsidP="002238DD">
      <w:r>
        <w:t>På Island er det grunnlovsfestet at enhver er fri til å stå utenfor religiøse foreninger, og at ingen skal være forpliktet til å gi noen form for økonomisk støtte til en religiøs forening som han eller hun ikke er medlem av (artikkel 64)</w:t>
      </w:r>
      <w:r w:rsidR="00FF102A">
        <w:t xml:space="preserve">, jf. omtalen </w:t>
      </w:r>
      <w:r w:rsidR="007454FB">
        <w:t xml:space="preserve">foran i kapittel 5 </w:t>
      </w:r>
      <w:r w:rsidR="00FF102A">
        <w:t>av den økonomiske støtteordningen for tros- og livssynssamfunn på Island</w:t>
      </w:r>
      <w:r w:rsidR="007454FB">
        <w:t>.</w:t>
      </w:r>
      <w:r w:rsidR="00294019">
        <w:t xml:space="preserve"> </w:t>
      </w:r>
    </w:p>
    <w:p w:rsidR="008E2591" w:rsidRDefault="00587952" w:rsidP="002238DD">
      <w:r>
        <w:t xml:space="preserve">Tidligere var det slik at skattebetalere som ikke var medlem av </w:t>
      </w:r>
      <w:r w:rsidR="007454FB">
        <w:t>noe tros- eller livssynssamfunn</w:t>
      </w:r>
      <w:r>
        <w:t xml:space="preserve"> betalte en månedlig avgift</w:t>
      </w:r>
      <w:r w:rsidR="004577EF">
        <w:t>,</w:t>
      </w:r>
      <w:r>
        <w:t xml:space="preserve"> slik også medlemmer av religiøse foreninger gjorde. Avgiften fra disse gikk til universitetet.</w:t>
      </w:r>
      <w:r w:rsidR="00294019">
        <w:t xml:space="preserve"> </w:t>
      </w:r>
      <w:r w:rsidR="00D8062A">
        <w:t xml:space="preserve">Departementet har ved henvendelse til den </w:t>
      </w:r>
      <w:r w:rsidR="00F73231">
        <w:t>norske ambassade</w:t>
      </w:r>
      <w:r w:rsidR="00AE7524">
        <w:t>n</w:t>
      </w:r>
      <w:r w:rsidR="00F73231">
        <w:t xml:space="preserve"> på I</w:t>
      </w:r>
      <w:r w:rsidR="00D8062A">
        <w:t xml:space="preserve">sland </w:t>
      </w:r>
      <w:r w:rsidR="00294019">
        <w:t>fått op</w:t>
      </w:r>
      <w:r w:rsidR="00D8062A">
        <w:t xml:space="preserve">plyst at </w:t>
      </w:r>
      <w:r w:rsidR="00294019">
        <w:t xml:space="preserve">avgiften </w:t>
      </w:r>
      <w:r w:rsidR="00D8062A">
        <w:t xml:space="preserve">på Island </w:t>
      </w:r>
      <w:r w:rsidR="00294019">
        <w:t xml:space="preserve">ikke lenger er obligatorisk for de som ikke tilhører </w:t>
      </w:r>
      <w:r>
        <w:t xml:space="preserve">en religiøs forening eller, fra 2013, et </w:t>
      </w:r>
      <w:r w:rsidR="008E2591">
        <w:t xml:space="preserve">sekulært </w:t>
      </w:r>
      <w:r w:rsidR="00294019">
        <w:t xml:space="preserve">livssynssamfunn. </w:t>
      </w:r>
      <w:r w:rsidR="00FC2ADA">
        <w:t>Endringen gjør at den økonomiske støtteordningen på Island i dag mer kan karakteriseres som en blanding av en medlemsavgift og den tilskuddsordningen vi har i Norge i dag. En andel av inntek</w:t>
      </w:r>
      <w:r w:rsidR="00406761">
        <w:t>t</w:t>
      </w:r>
      <w:r w:rsidR="00FC2ADA">
        <w:t>s</w:t>
      </w:r>
      <w:r w:rsidR="009768F5">
        <w:t>s</w:t>
      </w:r>
      <w:r w:rsidR="00FC2ADA">
        <w:t xml:space="preserve">katten til medlemmer over 16 år (religiøs myndighetsalder) </w:t>
      </w:r>
      <w:r w:rsidR="008E2591">
        <w:t xml:space="preserve">fordeles videre som statstilskudd til </w:t>
      </w:r>
      <w:r w:rsidR="00FC2ADA">
        <w:t>godkjent</w:t>
      </w:r>
      <w:r w:rsidR="008E2591">
        <w:t>e</w:t>
      </w:r>
      <w:r w:rsidR="00FC2ADA">
        <w:t xml:space="preserve"> religiøs</w:t>
      </w:r>
      <w:r w:rsidR="008E2591">
        <w:t>e</w:t>
      </w:r>
      <w:r w:rsidR="00FC2ADA">
        <w:t xml:space="preserve"> forening</w:t>
      </w:r>
      <w:r w:rsidR="008E2591">
        <w:t>er eller sekulære</w:t>
      </w:r>
      <w:r w:rsidR="00FC2ADA">
        <w:t xml:space="preserve"> livssyn</w:t>
      </w:r>
      <w:r w:rsidR="008E2591">
        <w:t>. De som ikke er medlemmer</w:t>
      </w:r>
      <w:r w:rsidR="009768F5">
        <w:t>,</w:t>
      </w:r>
      <w:r w:rsidR="008E2591">
        <w:t xml:space="preserve"> betaler ingen avgift. </w:t>
      </w:r>
    </w:p>
    <w:p w:rsidR="008E2591" w:rsidRDefault="008E2591" w:rsidP="008E2591">
      <w:pPr>
        <w:pStyle w:val="Overskrift3"/>
      </w:pPr>
      <w:bookmarkStart w:id="3494" w:name="_Toc481761923"/>
      <w:bookmarkStart w:id="3495" w:name="_Toc492900575"/>
      <w:r>
        <w:t>Italia</w:t>
      </w:r>
      <w:bookmarkEnd w:id="3494"/>
      <w:bookmarkEnd w:id="3495"/>
    </w:p>
    <w:p w:rsidR="00401650" w:rsidRDefault="00E7666E" w:rsidP="002238DD">
      <w:r>
        <w:t xml:space="preserve">I Italia </w:t>
      </w:r>
      <w:r w:rsidR="000A1BE9">
        <w:t xml:space="preserve">bidrar alle skattebetalere til "livssynsavgiften", men avgiften er ikke en avgift knyttet til personlige skatteytere i den forstand at det er en viss prosent av den enkeltes inntektsskatt som utgjør avgiften. Avgiften settes fast som </w:t>
      </w:r>
      <w:r>
        <w:t>0,8 p</w:t>
      </w:r>
      <w:r w:rsidR="00FF102A">
        <w:t>st.</w:t>
      </w:r>
      <w:r>
        <w:t xml:space="preserve"> av statens totale</w:t>
      </w:r>
      <w:r w:rsidR="000A1BE9">
        <w:t xml:space="preserve"> </w:t>
      </w:r>
      <w:r>
        <w:t>in</w:t>
      </w:r>
      <w:r w:rsidR="000A1BE9">
        <w:t>n</w:t>
      </w:r>
      <w:r>
        <w:t xml:space="preserve">tekter fra </w:t>
      </w:r>
      <w:r>
        <w:lastRenderedPageBreak/>
        <w:t>inntektsskatten</w:t>
      </w:r>
      <w:r w:rsidR="000A1BE9">
        <w:t>. Beløpet</w:t>
      </w:r>
      <w:r>
        <w:t xml:space="preserve"> blir</w:t>
      </w:r>
      <w:r w:rsidR="000A1BE9">
        <w:t xml:space="preserve"> så</w:t>
      </w:r>
      <w:r>
        <w:t xml:space="preserve"> fordelt mellom staten og trossamfunn som staten har godkjent gjennom særlig avtale. </w:t>
      </w:r>
    </w:p>
    <w:p w:rsidR="00C1742F" w:rsidRDefault="00E7666E" w:rsidP="00535489">
      <w:r>
        <w:t xml:space="preserve">Avgiften </w:t>
      </w:r>
      <w:r w:rsidR="00401650">
        <w:t xml:space="preserve">i Italia </w:t>
      </w:r>
      <w:r>
        <w:t xml:space="preserve">er ikke knyttet til medlemskap i tros- eller livssynssamfunn. </w:t>
      </w:r>
      <w:r w:rsidR="00401650">
        <w:t xml:space="preserve">Den enkelte skattebetaler fyller ut punktet om livssynsavgift i </w:t>
      </w:r>
      <w:r w:rsidR="00C1742F">
        <w:t>skattemeldingen (</w:t>
      </w:r>
      <w:proofErr w:type="gramStart"/>
      <w:r w:rsidR="00401650">
        <w:t>selvangivelsen</w:t>
      </w:r>
      <w:r w:rsidR="00C1742F">
        <w:t>)</w:t>
      </w:r>
      <w:r w:rsidR="001814F1">
        <w:t xml:space="preserve"> </w:t>
      </w:r>
      <w:r w:rsidR="00401650">
        <w:t xml:space="preserve"> og</w:t>
      </w:r>
      <w:proofErr w:type="gramEnd"/>
      <w:r w:rsidR="00401650">
        <w:t xml:space="preserve"> velger selv fritt hvilken institusjonen</w:t>
      </w:r>
      <w:r w:rsidR="001814F1">
        <w:t xml:space="preserve"> som skal tilgodesees. Skattebetaleren må da velge mellom de institusjonene som staten har inngått avtale med, og det er bare en andel</w:t>
      </w:r>
      <w:r w:rsidR="00401650">
        <w:t xml:space="preserve"> av den totale summen av avgiften</w:t>
      </w:r>
      <w:r w:rsidR="001814F1">
        <w:t xml:space="preserve"> som fordeles på denne måten</w:t>
      </w:r>
      <w:r w:rsidR="00401650">
        <w:t>. Den resterende andelen fordeles etter egne fordelingsnøkler avhen</w:t>
      </w:r>
      <w:r w:rsidR="008A600E">
        <w:t>g</w:t>
      </w:r>
      <w:r w:rsidR="00401650">
        <w:t xml:space="preserve">ig av hvilke avtaler det enkelte godkjente trossamfunn har inngått med staten. </w:t>
      </w:r>
      <w:r w:rsidR="00535489">
        <w:t>Den katolske kirke har avtale om å motta den største andelen av avgiften.</w:t>
      </w:r>
    </w:p>
    <w:p w:rsidR="00401650" w:rsidRDefault="008A600E" w:rsidP="002238DD">
      <w:r>
        <w:t>I dag er det</w:t>
      </w:r>
      <w:r w:rsidR="008A662E">
        <w:t xml:space="preserve"> 11 slike godkjente trossamfunn</w:t>
      </w:r>
      <w:r>
        <w:t xml:space="preserve"> </w:t>
      </w:r>
      <w:r w:rsidR="00C1742F">
        <w:t xml:space="preserve">som den enkelte kan velge å gi en del av sin avgift til. Av ikke-religiøse godkjente formål, står arbeid for å bekjempe sult, håndtering av naturkatastrofer, assistanse til flyktninger, vedlikehold av kulturarv og vedlikehold av skolebygninger oppført på listen i skattemeldingen. </w:t>
      </w:r>
      <w:r>
        <w:t xml:space="preserve">Sekulære livssynssamfunn er ikke innlemmet i ordningen. Det er heller ingen muslimske samfunn som </w:t>
      </w:r>
      <w:r w:rsidR="007A370D">
        <w:t>til nå</w:t>
      </w:r>
      <w:r w:rsidR="00C1742F">
        <w:t xml:space="preserve"> har fått godkjent avtale med staten om rett til livssynsavgift. </w:t>
      </w:r>
    </w:p>
    <w:p w:rsidR="002142BD" w:rsidRDefault="002142BD" w:rsidP="002238DD">
      <w:bookmarkStart w:id="3496" w:name="_Toc477536058"/>
      <w:bookmarkStart w:id="3497" w:name="_Toc477631188"/>
      <w:bookmarkStart w:id="3498" w:name="_Toc477694153"/>
      <w:bookmarkStart w:id="3499" w:name="_Toc477704579"/>
      <w:bookmarkStart w:id="3500" w:name="_Toc477799822"/>
      <w:bookmarkStart w:id="3501" w:name="_Toc477806423"/>
      <w:bookmarkStart w:id="3502" w:name="_Toc477872083"/>
      <w:bookmarkStart w:id="3503" w:name="_Toc477878691"/>
      <w:bookmarkStart w:id="3504" w:name="_Toc477882095"/>
      <w:bookmarkStart w:id="3505" w:name="_Toc477886557"/>
      <w:bookmarkStart w:id="3506" w:name="_Toc478131502"/>
      <w:bookmarkStart w:id="3507" w:name="_Toc478138872"/>
      <w:bookmarkStart w:id="3508" w:name="_Toc478232396"/>
      <w:bookmarkStart w:id="3509" w:name="_Toc478237381"/>
      <w:r>
        <w:t xml:space="preserve">Livssynsavgiften i Italia er slik sett mer en form for særskatt som den enkelte </w:t>
      </w:r>
      <w:r w:rsidR="00DA572B">
        <w:t xml:space="preserve">fritt </w:t>
      </w:r>
      <w:r>
        <w:t xml:space="preserve">kan gi til et av staten godkjent formål, enn den er en livssynsavgift som ivaretar avgiftens </w:t>
      </w:r>
      <w:r w:rsidR="007A370D">
        <w:t xml:space="preserve">ideelle </w:t>
      </w:r>
      <w:r>
        <w:t xml:space="preserve">formål om </w:t>
      </w:r>
      <w:r w:rsidR="007A370D">
        <w:t xml:space="preserve">direkte </w:t>
      </w:r>
      <w:r>
        <w:t>kobling mellom medlemskap og hva avgiften går til.</w:t>
      </w:r>
    </w:p>
    <w:p w:rsidR="002238DD" w:rsidRPr="002F2397" w:rsidRDefault="002238DD" w:rsidP="002238DD">
      <w:pPr>
        <w:pStyle w:val="Overskrift2"/>
      </w:pPr>
      <w:bookmarkStart w:id="3510" w:name="_Toc481761924"/>
      <w:bookmarkStart w:id="3511" w:name="_Toc492900576"/>
      <w:r w:rsidRPr="002F2397">
        <w:t>Livssynsavgift som finansieringsordning i Norge</w:t>
      </w:r>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p>
    <w:p w:rsidR="002238DD" w:rsidRDefault="002238DD" w:rsidP="002238DD">
      <w:r w:rsidRPr="00144E02">
        <w:t>En offentlig livssynsavgift forstås gjerne som en pliktig avgift som staten pålegger alle skatt</w:t>
      </w:r>
      <w:r w:rsidR="009768F5">
        <w:t>e</w:t>
      </w:r>
      <w:r w:rsidRPr="00144E02">
        <w:t>ytere å betale</w:t>
      </w:r>
      <w:r>
        <w:t xml:space="preserve">. Ordningen har </w:t>
      </w:r>
      <w:r w:rsidRPr="00144E02">
        <w:t>likhetstrekk med dagens finansieringssystem</w:t>
      </w:r>
      <w:r>
        <w:t xml:space="preserve"> for tros- og livssynssamfunn, der alle skatteytere i realiteten er med på å finansiere samfunnene gjennom statens alminnelige skatter og avgifter. </w:t>
      </w:r>
    </w:p>
    <w:p w:rsidR="002238DD" w:rsidRDefault="002238DD" w:rsidP="002238DD">
      <w:r>
        <w:t xml:space="preserve">Ved en livssynsavgift er det imidlertid ikke statens alminnelige skatter og avgifter som skal omfordeles. Avgiften er knyttet til personlige skatteytere, og ideen bak livssynsavgiften er at det skal være en direkte kobling mellom innbetalt avgift og hvilket formål avgiften går til. Avgiften fra medlemmer av Den norske kirke skal gå til Den norske kirke, avgiften fra medlemmer av Buddhistforbundet skal gå til Buddhistforbundet osv., altså en øremerking av innkrevet livssynsavgift til formålet. De som ikke er medlemmer av et tros- eller livssynssamfunn unngår ikke å betale avgiften, men avgiften skal ikke gå til å finansiere </w:t>
      </w:r>
      <w:r w:rsidR="009768F5">
        <w:t xml:space="preserve">virksomhet av </w:t>
      </w:r>
      <w:r>
        <w:t>tros- eller livssyns</w:t>
      </w:r>
      <w:r w:rsidR="009768F5">
        <w:t>messig karakter.</w:t>
      </w:r>
      <w:r>
        <w:t xml:space="preserve"> Den skal gå til å dekke et veldedig formål, </w:t>
      </w:r>
      <w:r w:rsidR="003A5667">
        <w:t>eventuelt</w:t>
      </w:r>
      <w:r>
        <w:t xml:space="preserve"> gå til generelle samfunnsformål på linje med ikke-øremerkede skatter og avgifter som staten ellers krever inn. </w:t>
      </w:r>
    </w:p>
    <w:p w:rsidR="002238DD" w:rsidRDefault="002238DD" w:rsidP="002238DD">
      <w:r>
        <w:t xml:space="preserve">En annen hovedforskjell mellom dagens </w:t>
      </w:r>
      <w:r w:rsidR="009640F2">
        <w:t>finansierings</w:t>
      </w:r>
      <w:r>
        <w:t xml:space="preserve">system og </w:t>
      </w:r>
      <w:r w:rsidR="007A370D">
        <w:t xml:space="preserve">en </w:t>
      </w:r>
      <w:r>
        <w:t xml:space="preserve">livssynsavgift, er at livssynsavgiften </w:t>
      </w:r>
      <w:r w:rsidR="009640F2">
        <w:t xml:space="preserve">i utgangspunktet vil være </w:t>
      </w:r>
      <w:r>
        <w:t xml:space="preserve">en avgift </w:t>
      </w:r>
      <w:r w:rsidR="009640F2">
        <w:t xml:space="preserve">til </w:t>
      </w:r>
      <w:r w:rsidR="009640F2" w:rsidRPr="009640F2">
        <w:t>staten</w:t>
      </w:r>
      <w:r w:rsidR="009640F2">
        <w:t xml:space="preserve"> for videre tildeling til </w:t>
      </w:r>
      <w:r>
        <w:t>tros- og livssynssamfunn</w:t>
      </w:r>
      <w:r w:rsidR="009640F2">
        <w:t>ene</w:t>
      </w:r>
      <w:r>
        <w:t xml:space="preserve">, inkludert Den </w:t>
      </w:r>
      <w:r w:rsidR="00BC02E1">
        <w:t>norske</w:t>
      </w:r>
      <w:r>
        <w:t xml:space="preserve"> kirke. </w:t>
      </w:r>
      <w:r w:rsidR="009640F2">
        <w:t xml:space="preserve">Kommunenes ansvar for å finansiere tros- og livssynssamfunnene, slik </w:t>
      </w:r>
      <w:r w:rsidR="00206DA7">
        <w:t xml:space="preserve">som i dag, </w:t>
      </w:r>
      <w:r w:rsidR="001814F1">
        <w:t xml:space="preserve">vil med andre ord </w:t>
      </w:r>
      <w:r>
        <w:t>falle</w:t>
      </w:r>
      <w:r w:rsidR="001814F1">
        <w:t xml:space="preserve"> bort</w:t>
      </w:r>
      <w:r>
        <w:t>.</w:t>
      </w:r>
      <w:r w:rsidR="008A662E">
        <w:t xml:space="preserve"> Departementet ser det ikke som aktuelt at livssynsavgiften utformes som en lokalt fastsatt eller innkrevd avgift, jf.   nærmere om dette under punkt 21.5.2.1. </w:t>
      </w:r>
      <w:r>
        <w:t xml:space="preserve"> </w:t>
      </w:r>
    </w:p>
    <w:p w:rsidR="002238DD" w:rsidRDefault="001D2531" w:rsidP="002238DD">
      <w:r>
        <w:t>En ordning med livssynsavgift</w:t>
      </w:r>
      <w:r w:rsidR="002238DD">
        <w:t xml:space="preserve"> kan utformes og innkreves på forsk</w:t>
      </w:r>
      <w:r w:rsidR="000F1F57">
        <w:t>j</w:t>
      </w:r>
      <w:r w:rsidR="002238DD">
        <w:t xml:space="preserve">ellige måter. I tillegg er det et spørsmål hvordan innberetningen av medlemsopplysninger skal skje, og i hvilken grad avgiften skal øremerkes eller ei. Disse </w:t>
      </w:r>
      <w:r w:rsidR="00206DA7">
        <w:t xml:space="preserve">er blant </w:t>
      </w:r>
      <w:r w:rsidR="002238DD">
        <w:t xml:space="preserve">spørsmålene EY Norge </w:t>
      </w:r>
      <w:r w:rsidR="00206DA7">
        <w:t xml:space="preserve">har </w:t>
      </w:r>
      <w:r w:rsidR="002238DD">
        <w:t xml:space="preserve">utredet på oppdrag fra departementet. Utredningen har tatt for seg ulike alternativer for utforming, </w:t>
      </w:r>
      <w:r w:rsidR="002238DD">
        <w:lastRenderedPageBreak/>
        <w:t>innkreving og innberetning av avgiften, og vurdert konsekvensene av disse alte</w:t>
      </w:r>
      <w:r w:rsidR="00406761">
        <w:t>r</w:t>
      </w:r>
      <w:r w:rsidR="002238DD">
        <w:t xml:space="preserve">nativene opp mot kategoriene økonomi, administrasjon, personvern og teknologi. </w:t>
      </w:r>
    </w:p>
    <w:p w:rsidR="003975F8" w:rsidRDefault="002238DD" w:rsidP="002238DD">
      <w:r>
        <w:t>Rapporten fra EY ligger sammen med departementets oppdragsbeskrivelse ute på Kulturdepartementets nettsid</w:t>
      </w:r>
      <w:r w:rsidR="003975F8">
        <w:t>e og kan leses i sin helhet her:</w:t>
      </w:r>
      <w:r w:rsidR="008A662E">
        <w:t xml:space="preserve"> </w:t>
      </w:r>
      <w:hyperlink r:id="rId11" w:history="1">
        <w:r w:rsidR="003975F8" w:rsidRPr="00D46A57">
          <w:rPr>
            <w:rStyle w:val="Hyperkobling"/>
          </w:rPr>
          <w:t>https://www.regjeringen.no/no/dokumenter/rapport--om-livssynsavgift/id2541795/?q=Livssynsavgift</w:t>
        </w:r>
      </w:hyperlink>
    </w:p>
    <w:p w:rsidR="008442E6" w:rsidRDefault="002238DD" w:rsidP="002238DD">
      <w:r>
        <w:t>Nedenfor gjennomgås kort de ulike alternativene EY skisserer, sammen med EYs hovedfunn fra rapporten. Som forutsetning for EYs utredning har departementet lagt til grunn at det offentliges samlede utgiftsnivå til Den norske kirke og de øvrige tros- og livssynssamfunnene skal ta utgangspunkt i dagens bevilgningsnivå</w:t>
      </w:r>
      <w:r w:rsidR="001D2531">
        <w:t xml:space="preserve">. Dette utgjør i dag om lag 5 mrd. kroner til Den norske kirke </w:t>
      </w:r>
      <w:r w:rsidR="000F1F57">
        <w:t xml:space="preserve">utenom gravplassforvaltningen </w:t>
      </w:r>
      <w:r w:rsidR="001D2531">
        <w:t>og 600 mill. kroner til de øvrige tros- og livssynssamfunnene, samlet om lag 5,5 mrd. kroner</w:t>
      </w:r>
      <w:r>
        <w:t>.</w:t>
      </w:r>
    </w:p>
    <w:p w:rsidR="002238DD" w:rsidRPr="00FB00C0" w:rsidRDefault="002238DD" w:rsidP="008442E6">
      <w:pPr>
        <w:pStyle w:val="Overskrift2"/>
        <w:rPr>
          <w:rStyle w:val="Overskrift2Tegn"/>
        </w:rPr>
      </w:pPr>
      <w:bookmarkStart w:id="3512" w:name="_Toc481761925"/>
      <w:bookmarkStart w:id="3513" w:name="_Toc492900577"/>
      <w:r>
        <w:t>EY Norges rapport – konsekvensutredning av livssynsavgiften</w:t>
      </w:r>
      <w:bookmarkEnd w:id="3512"/>
      <w:bookmarkEnd w:id="3513"/>
    </w:p>
    <w:p w:rsidR="002238DD" w:rsidRDefault="002238DD" w:rsidP="002238DD">
      <w:pPr>
        <w:pStyle w:val="Overskrift3"/>
      </w:pPr>
      <w:bookmarkStart w:id="3514" w:name="_Toc477536059"/>
      <w:bookmarkStart w:id="3515" w:name="_Toc477631189"/>
      <w:bookmarkStart w:id="3516" w:name="_Toc477694154"/>
      <w:bookmarkStart w:id="3517" w:name="_Toc477704580"/>
      <w:bookmarkStart w:id="3518" w:name="_Toc477799823"/>
      <w:bookmarkStart w:id="3519" w:name="_Toc477806424"/>
      <w:bookmarkStart w:id="3520" w:name="_Toc477871183"/>
      <w:bookmarkStart w:id="3521" w:name="_Toc477872084"/>
      <w:bookmarkStart w:id="3522" w:name="_Toc477878692"/>
      <w:bookmarkStart w:id="3523" w:name="_Toc477882096"/>
      <w:bookmarkStart w:id="3524" w:name="_Toc477886558"/>
      <w:bookmarkStart w:id="3525" w:name="_Toc478131503"/>
      <w:bookmarkStart w:id="3526" w:name="_Toc478138873"/>
      <w:bookmarkStart w:id="3527" w:name="_Toc478232397"/>
      <w:bookmarkStart w:id="3528" w:name="_Toc478237382"/>
      <w:bookmarkStart w:id="3529" w:name="_Toc481761926"/>
      <w:bookmarkStart w:id="3530" w:name="_Toc492900578"/>
      <w:r>
        <w:t>Innledning</w:t>
      </w:r>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p>
    <w:p w:rsidR="002238DD" w:rsidRDefault="002238DD" w:rsidP="002238DD">
      <w:pPr>
        <w:rPr>
          <w:rFonts w:cs="Times New Roman"/>
          <w:szCs w:val="24"/>
        </w:rPr>
      </w:pPr>
      <w:r>
        <w:rPr>
          <w:rFonts w:cs="Times New Roman"/>
          <w:szCs w:val="24"/>
        </w:rPr>
        <w:t xml:space="preserve">Rapporten fra EY Norge tar utgangspunkt i følgende fire områder, som hver har knyttet alternativer til </w:t>
      </w:r>
      <w:r w:rsidR="001814F1">
        <w:rPr>
          <w:rFonts w:cs="Times New Roman"/>
          <w:szCs w:val="24"/>
        </w:rPr>
        <w:t>seg</w:t>
      </w:r>
      <w:r>
        <w:rPr>
          <w:rFonts w:cs="Times New Roman"/>
          <w:szCs w:val="24"/>
        </w:rPr>
        <w:t>. Alternativene er så vurdert opp mot hvilke konsekvenser de har for økonomi, administrasjon, personvern og teknologi.</w:t>
      </w:r>
    </w:p>
    <w:p w:rsidR="002238DD" w:rsidRDefault="0060174B" w:rsidP="0060174B">
      <w:pPr>
        <w:pStyle w:val="Tabellnavn"/>
      </w:pPr>
      <w:r>
        <w:t>02N0xx2</w:t>
      </w:r>
    </w:p>
    <w:tbl>
      <w:tblPr>
        <w:tblStyle w:val="StandardTabell"/>
        <w:tblW w:w="9200" w:type="dxa"/>
        <w:tblInd w:w="226" w:type="dxa"/>
        <w:tblLook w:val="04A0" w:firstRow="1" w:lastRow="0" w:firstColumn="1" w:lastColumn="0" w:noHBand="0" w:noVBand="1"/>
      </w:tblPr>
      <w:tblGrid>
        <w:gridCol w:w="4600"/>
        <w:gridCol w:w="4600"/>
      </w:tblGrid>
      <w:tr w:rsidR="0060174B" w:rsidTr="00064EB7">
        <w:tc>
          <w:tcPr>
            <w:tcW w:w="4600" w:type="dxa"/>
            <w:shd w:val="clear" w:color="auto" w:fill="D0CECE" w:themeFill="background2" w:themeFillShade="E6"/>
          </w:tcPr>
          <w:p w:rsidR="0060174B" w:rsidRDefault="0060174B" w:rsidP="0060174B">
            <w:r w:rsidRPr="002659D8">
              <w:rPr>
                <w:rFonts w:ascii="Calibri" w:hAnsi="Calibri" w:cs="Times New Roman"/>
                <w:color w:val="000000"/>
              </w:rPr>
              <w:t>Område</w:t>
            </w:r>
          </w:p>
        </w:tc>
        <w:tc>
          <w:tcPr>
            <w:tcW w:w="4600" w:type="dxa"/>
            <w:shd w:val="clear" w:color="auto" w:fill="D0CECE" w:themeFill="background2" w:themeFillShade="E6"/>
          </w:tcPr>
          <w:p w:rsidR="0060174B" w:rsidRDefault="0060174B" w:rsidP="0060174B">
            <w:r w:rsidRPr="002659D8">
              <w:rPr>
                <w:rFonts w:ascii="Calibri" w:hAnsi="Calibri" w:cs="Times New Roman"/>
                <w:color w:val="000000"/>
              </w:rPr>
              <w:t>Alternativ</w:t>
            </w:r>
          </w:p>
        </w:tc>
      </w:tr>
      <w:tr w:rsidR="0060174B" w:rsidTr="00064EB7">
        <w:tc>
          <w:tcPr>
            <w:tcW w:w="4600" w:type="dxa"/>
            <w:shd w:val="clear" w:color="auto" w:fill="FFD966" w:themeFill="accent4" w:themeFillTint="99"/>
          </w:tcPr>
          <w:p w:rsidR="0060174B" w:rsidRPr="00900AAB" w:rsidRDefault="00900AAB" w:rsidP="0060174B">
            <w:pPr>
              <w:rPr>
                <w:rFonts w:asciiTheme="minorHAnsi" w:hAnsiTheme="minorHAnsi"/>
              </w:rPr>
            </w:pPr>
            <w:r w:rsidRPr="00900AAB">
              <w:rPr>
                <w:rFonts w:asciiTheme="minorHAnsi" w:hAnsiTheme="minorHAnsi"/>
              </w:rPr>
              <w:t>Utforming</w:t>
            </w:r>
          </w:p>
        </w:tc>
        <w:tc>
          <w:tcPr>
            <w:tcW w:w="4600" w:type="dxa"/>
            <w:shd w:val="clear" w:color="auto" w:fill="E7E6E6" w:themeFill="background2"/>
            <w:vAlign w:val="bottom"/>
          </w:tcPr>
          <w:p w:rsidR="00004FBC" w:rsidRDefault="0060174B" w:rsidP="00004FBC">
            <w:pPr>
              <w:spacing w:after="0" w:line="240" w:lineRule="auto"/>
              <w:rPr>
                <w:rFonts w:ascii="Calibri" w:hAnsi="Calibri" w:cs="Times New Roman"/>
                <w:color w:val="000000"/>
              </w:rPr>
            </w:pPr>
            <w:r w:rsidRPr="002659D8">
              <w:rPr>
                <w:rFonts w:ascii="Calibri" w:hAnsi="Calibri" w:cs="Times New Roman"/>
                <w:color w:val="000000"/>
              </w:rPr>
              <w:t>a. Fast kronebeløp</w:t>
            </w:r>
          </w:p>
          <w:p w:rsidR="0060174B" w:rsidRPr="002659D8" w:rsidRDefault="0060174B" w:rsidP="00004FBC">
            <w:pPr>
              <w:spacing w:after="0" w:line="240" w:lineRule="auto"/>
              <w:rPr>
                <w:rFonts w:ascii="Calibri" w:hAnsi="Calibri" w:cs="Times New Roman"/>
                <w:color w:val="000000"/>
              </w:rPr>
            </w:pPr>
            <w:r w:rsidRPr="002659D8">
              <w:rPr>
                <w:rFonts w:ascii="Calibri" w:hAnsi="Calibri" w:cs="Times New Roman"/>
                <w:color w:val="000000"/>
              </w:rPr>
              <w:t>b. Progressiv avgift</w:t>
            </w:r>
          </w:p>
        </w:tc>
      </w:tr>
      <w:tr w:rsidR="0060174B" w:rsidTr="00064EB7">
        <w:tc>
          <w:tcPr>
            <w:tcW w:w="4600" w:type="dxa"/>
            <w:shd w:val="clear" w:color="auto" w:fill="FFD966" w:themeFill="accent4" w:themeFillTint="99"/>
          </w:tcPr>
          <w:p w:rsidR="0060174B" w:rsidRPr="00900AAB" w:rsidRDefault="00900AAB" w:rsidP="0060174B">
            <w:pPr>
              <w:rPr>
                <w:rFonts w:asciiTheme="minorHAnsi" w:hAnsiTheme="minorHAnsi"/>
              </w:rPr>
            </w:pPr>
            <w:r w:rsidRPr="00900AAB">
              <w:rPr>
                <w:rFonts w:asciiTheme="minorHAnsi" w:hAnsiTheme="minorHAnsi"/>
              </w:rPr>
              <w:t>Innkreving</w:t>
            </w:r>
          </w:p>
        </w:tc>
        <w:tc>
          <w:tcPr>
            <w:tcW w:w="4600" w:type="dxa"/>
            <w:shd w:val="clear" w:color="auto" w:fill="ACB9CA" w:themeFill="text2" w:themeFillTint="66"/>
          </w:tcPr>
          <w:p w:rsidR="00004FBC" w:rsidRDefault="0060174B" w:rsidP="00004FBC">
            <w:pPr>
              <w:rPr>
                <w:rFonts w:ascii="Calibri" w:hAnsi="Calibri" w:cs="Times New Roman"/>
                <w:color w:val="000000"/>
              </w:rPr>
            </w:pPr>
            <w:r w:rsidRPr="002659D8">
              <w:rPr>
                <w:rFonts w:ascii="Calibri" w:hAnsi="Calibri" w:cs="Times New Roman"/>
                <w:color w:val="000000"/>
              </w:rPr>
              <w:t>a. Skatteinnkreving</w:t>
            </w:r>
          </w:p>
          <w:p w:rsidR="0060174B" w:rsidRDefault="0060174B" w:rsidP="00004FBC">
            <w:r w:rsidRPr="002659D8">
              <w:rPr>
                <w:rFonts w:ascii="Calibri" w:hAnsi="Calibri" w:cs="Times New Roman"/>
                <w:color w:val="000000"/>
              </w:rPr>
              <w:t>b. Faktura</w:t>
            </w:r>
          </w:p>
        </w:tc>
      </w:tr>
      <w:tr w:rsidR="0060174B" w:rsidTr="00064EB7">
        <w:tc>
          <w:tcPr>
            <w:tcW w:w="4600" w:type="dxa"/>
            <w:shd w:val="clear" w:color="auto" w:fill="FFD966" w:themeFill="accent4" w:themeFillTint="99"/>
          </w:tcPr>
          <w:p w:rsidR="0060174B" w:rsidRPr="00900AAB" w:rsidRDefault="00900AAB" w:rsidP="0060174B">
            <w:pPr>
              <w:rPr>
                <w:rFonts w:asciiTheme="minorHAnsi" w:hAnsiTheme="minorHAnsi"/>
              </w:rPr>
            </w:pPr>
            <w:r>
              <w:rPr>
                <w:rFonts w:asciiTheme="minorHAnsi" w:hAnsiTheme="minorHAnsi"/>
              </w:rPr>
              <w:t>Innberetning</w:t>
            </w:r>
          </w:p>
        </w:tc>
        <w:tc>
          <w:tcPr>
            <w:tcW w:w="4600" w:type="dxa"/>
            <w:shd w:val="clear" w:color="auto" w:fill="E7E6E6" w:themeFill="background2"/>
          </w:tcPr>
          <w:p w:rsidR="00004FBC" w:rsidRDefault="0060174B" w:rsidP="00004FBC">
            <w:pPr>
              <w:rPr>
                <w:rFonts w:ascii="Calibri" w:hAnsi="Calibri" w:cs="Times New Roman"/>
                <w:color w:val="000000"/>
              </w:rPr>
            </w:pPr>
            <w:r w:rsidRPr="002659D8">
              <w:rPr>
                <w:rFonts w:ascii="Calibri" w:hAnsi="Calibri" w:cs="Times New Roman"/>
                <w:color w:val="000000"/>
              </w:rPr>
              <w:t xml:space="preserve">a. Innberetning via </w:t>
            </w:r>
            <w:r>
              <w:rPr>
                <w:rFonts w:ascii="Calibri" w:hAnsi="Calibri" w:cs="Times New Roman"/>
                <w:color w:val="000000"/>
              </w:rPr>
              <w:t>skattemeldingen</w:t>
            </w:r>
          </w:p>
          <w:p w:rsidR="0060174B" w:rsidRDefault="0060174B" w:rsidP="00004FBC">
            <w:bookmarkStart w:id="3531" w:name="_GoBack"/>
            <w:bookmarkEnd w:id="3531"/>
            <w:r w:rsidRPr="002659D8">
              <w:rPr>
                <w:rFonts w:ascii="Calibri" w:hAnsi="Calibri" w:cs="Times New Roman"/>
                <w:color w:val="000000"/>
              </w:rPr>
              <w:t xml:space="preserve">b. Innberetning utenom </w:t>
            </w:r>
            <w:r>
              <w:rPr>
                <w:rFonts w:ascii="Calibri" w:hAnsi="Calibri" w:cs="Times New Roman"/>
                <w:color w:val="000000"/>
              </w:rPr>
              <w:t>skattemeldingen</w:t>
            </w:r>
          </w:p>
        </w:tc>
      </w:tr>
      <w:tr w:rsidR="0060174B" w:rsidTr="00064EB7">
        <w:tc>
          <w:tcPr>
            <w:tcW w:w="4600" w:type="dxa"/>
            <w:shd w:val="clear" w:color="auto" w:fill="FFD966" w:themeFill="accent4" w:themeFillTint="99"/>
          </w:tcPr>
          <w:p w:rsidR="0060174B" w:rsidRPr="00900AAB" w:rsidRDefault="00900AAB" w:rsidP="0060174B">
            <w:pPr>
              <w:rPr>
                <w:rFonts w:asciiTheme="minorHAnsi" w:hAnsiTheme="minorHAnsi"/>
              </w:rPr>
            </w:pPr>
            <w:r>
              <w:rPr>
                <w:rFonts w:asciiTheme="minorHAnsi" w:hAnsiTheme="minorHAnsi"/>
              </w:rPr>
              <w:t>Øremerking</w:t>
            </w:r>
          </w:p>
        </w:tc>
        <w:tc>
          <w:tcPr>
            <w:tcW w:w="4600" w:type="dxa"/>
            <w:shd w:val="clear" w:color="auto" w:fill="ACB9CA" w:themeFill="text2" w:themeFillTint="66"/>
          </w:tcPr>
          <w:p w:rsidR="0060174B" w:rsidRDefault="0060174B" w:rsidP="0060174B">
            <w:r w:rsidRPr="002659D8">
              <w:rPr>
                <w:rFonts w:ascii="Calibri" w:hAnsi="Calibri" w:cs="Times New Roman"/>
                <w:color w:val="000000"/>
              </w:rPr>
              <w:t>a. Øremerking av progressiv avgift</w:t>
            </w:r>
          </w:p>
        </w:tc>
      </w:tr>
    </w:tbl>
    <w:p w:rsidR="002238DD" w:rsidRPr="00FB00C0" w:rsidRDefault="002238DD" w:rsidP="002238DD">
      <w:pPr>
        <w:pStyle w:val="Overskrift3"/>
      </w:pPr>
      <w:bookmarkStart w:id="3532" w:name="_Toc477536060"/>
      <w:bookmarkStart w:id="3533" w:name="_Toc477631190"/>
      <w:bookmarkStart w:id="3534" w:name="_Toc477694155"/>
      <w:bookmarkStart w:id="3535" w:name="_Toc477704581"/>
      <w:bookmarkStart w:id="3536" w:name="_Toc477799824"/>
      <w:bookmarkStart w:id="3537" w:name="_Toc477806425"/>
      <w:bookmarkStart w:id="3538" w:name="_Toc477872085"/>
      <w:bookmarkStart w:id="3539" w:name="_Toc477878693"/>
      <w:bookmarkStart w:id="3540" w:name="_Toc477882097"/>
      <w:bookmarkStart w:id="3541" w:name="_Toc477886559"/>
      <w:bookmarkStart w:id="3542" w:name="_Toc478131504"/>
      <w:bookmarkStart w:id="3543" w:name="_Toc478138874"/>
      <w:bookmarkStart w:id="3544" w:name="_Toc478232398"/>
      <w:bookmarkStart w:id="3545" w:name="_Toc478237383"/>
      <w:bookmarkStart w:id="3546" w:name="_Toc481761927"/>
      <w:bookmarkStart w:id="3547" w:name="_Toc492900579"/>
      <w:r w:rsidRPr="00FB00C0">
        <w:t>Utformingen av avgiften</w:t>
      </w:r>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p>
    <w:p w:rsidR="002238DD" w:rsidRDefault="002238DD" w:rsidP="002238DD">
      <w:pPr>
        <w:pStyle w:val="Overskrift4"/>
      </w:pPr>
      <w:r>
        <w:t>Innledning</w:t>
      </w:r>
    </w:p>
    <w:p w:rsidR="002238DD" w:rsidRDefault="002238DD" w:rsidP="002238DD">
      <w:pPr>
        <w:rPr>
          <w:rFonts w:cs="Times New Roman"/>
          <w:szCs w:val="24"/>
        </w:rPr>
      </w:pPr>
      <w:r>
        <w:rPr>
          <w:rFonts w:cs="Times New Roman"/>
          <w:szCs w:val="24"/>
        </w:rPr>
        <w:t>En livssynsa</w:t>
      </w:r>
      <w:r w:rsidRPr="00144E02">
        <w:rPr>
          <w:rFonts w:cs="Times New Roman"/>
          <w:szCs w:val="24"/>
        </w:rPr>
        <w:t>vgift kan utformes som et kronebeløp likt for alle, eller den kan settes som en prosent av skattbar inntekt</w:t>
      </w:r>
      <w:r>
        <w:rPr>
          <w:rFonts w:cs="Times New Roman"/>
          <w:szCs w:val="24"/>
        </w:rPr>
        <w:t xml:space="preserve"> – en såkalt progressiv avgift som knyttes til </w:t>
      </w:r>
      <w:r w:rsidR="000F1F57">
        <w:rPr>
          <w:rFonts w:cs="Times New Roman"/>
          <w:szCs w:val="24"/>
        </w:rPr>
        <w:t xml:space="preserve">den enkeltes </w:t>
      </w:r>
      <w:r>
        <w:rPr>
          <w:rFonts w:cs="Times New Roman"/>
          <w:szCs w:val="24"/>
        </w:rPr>
        <w:t>skatteevne</w:t>
      </w:r>
      <w:r w:rsidRPr="00144E02">
        <w:rPr>
          <w:rFonts w:cs="Times New Roman"/>
          <w:szCs w:val="24"/>
        </w:rPr>
        <w:t>.</w:t>
      </w:r>
      <w:r>
        <w:rPr>
          <w:rFonts w:cs="Times New Roman"/>
          <w:szCs w:val="24"/>
        </w:rPr>
        <w:t xml:space="preserve"> Nedenfor gjennomgås kort de to alternativene og deres konsekvenser for de fire områdene økonomi, administrasjon, personvern og teknologi. </w:t>
      </w:r>
    </w:p>
    <w:p w:rsidR="002238DD" w:rsidRPr="00840790" w:rsidRDefault="002238DD" w:rsidP="002238DD">
      <w:pPr>
        <w:pStyle w:val="Overskrift4"/>
        <w:rPr>
          <w:rStyle w:val="Overskrift4Tegn"/>
        </w:rPr>
      </w:pPr>
      <w:r w:rsidRPr="00840790">
        <w:rPr>
          <w:rStyle w:val="Overskrift4Tegn"/>
        </w:rPr>
        <w:t>Fast kronebeløp</w:t>
      </w:r>
    </w:p>
    <w:p w:rsidR="002238DD" w:rsidRDefault="002238DD" w:rsidP="002238DD">
      <w:pPr>
        <w:rPr>
          <w:rFonts w:cs="Times New Roman"/>
          <w:szCs w:val="24"/>
        </w:rPr>
      </w:pPr>
      <w:r w:rsidRPr="00840790">
        <w:t>Et fast kronebeløp som er likt for alle</w:t>
      </w:r>
      <w:r w:rsidR="007A370D">
        <w:t>,</w:t>
      </w:r>
      <w:r w:rsidRPr="00840790">
        <w:t xml:space="preserve"> innebærer at avgiften settes uavhengig av inntekt og øvrige fradrag. </w:t>
      </w:r>
      <w:r>
        <w:rPr>
          <w:rFonts w:cs="Times New Roman"/>
          <w:szCs w:val="24"/>
        </w:rPr>
        <w:t>Gitt dagens nivå på stat</w:t>
      </w:r>
      <w:r w:rsidR="000F1F57">
        <w:rPr>
          <w:rFonts w:cs="Times New Roman"/>
          <w:szCs w:val="24"/>
        </w:rPr>
        <w:t>ens</w:t>
      </w:r>
      <w:r>
        <w:rPr>
          <w:rFonts w:cs="Times New Roman"/>
          <w:szCs w:val="24"/>
        </w:rPr>
        <w:t xml:space="preserve"> og kommune</w:t>
      </w:r>
      <w:r w:rsidR="000F1F57">
        <w:rPr>
          <w:rFonts w:cs="Times New Roman"/>
          <w:szCs w:val="24"/>
        </w:rPr>
        <w:t>nes</w:t>
      </w:r>
      <w:r>
        <w:rPr>
          <w:rFonts w:cs="Times New Roman"/>
          <w:szCs w:val="24"/>
        </w:rPr>
        <w:t xml:space="preserve"> samlede bevilgninger til tros- og livssynssamfunn, vil de økonomiske konsekvensene for samfunnene ved en slik utforming av </w:t>
      </w:r>
      <w:r>
        <w:rPr>
          <w:rFonts w:cs="Times New Roman"/>
          <w:szCs w:val="24"/>
        </w:rPr>
        <w:lastRenderedPageBreak/>
        <w:t xml:space="preserve">avgiften være få. Samfunnene vil få inntekter som er </w:t>
      </w:r>
      <w:r w:rsidRPr="00144E02">
        <w:rPr>
          <w:rFonts w:cs="Times New Roman"/>
          <w:szCs w:val="24"/>
        </w:rPr>
        <w:t xml:space="preserve">direkte proporsjonal med </w:t>
      </w:r>
      <w:r>
        <w:rPr>
          <w:rFonts w:cs="Times New Roman"/>
          <w:szCs w:val="24"/>
        </w:rPr>
        <w:t>antallet skattebetalende medlemmer og uavhengig av medlemmenes inntek</w:t>
      </w:r>
      <w:r w:rsidR="00406761">
        <w:rPr>
          <w:rFonts w:cs="Times New Roman"/>
          <w:szCs w:val="24"/>
        </w:rPr>
        <w:t>t</w:t>
      </w:r>
      <w:r>
        <w:rPr>
          <w:rFonts w:cs="Times New Roman"/>
          <w:szCs w:val="24"/>
        </w:rPr>
        <w:t>snivå. I utgangspunktet vil det derfor ikke være behov for å foreta noen refordeling mellom samfunnene for å videreføre dagens bevilgningsnivå. Fordelingen mellom dagens total</w:t>
      </w:r>
      <w:r w:rsidR="00406761">
        <w:rPr>
          <w:rFonts w:cs="Times New Roman"/>
          <w:szCs w:val="24"/>
        </w:rPr>
        <w:t>e</w:t>
      </w:r>
      <w:r>
        <w:rPr>
          <w:rFonts w:cs="Times New Roman"/>
          <w:szCs w:val="24"/>
        </w:rPr>
        <w:t xml:space="preserve"> antall medlemmer, som bla</w:t>
      </w:r>
      <w:r w:rsidR="00206DA7">
        <w:rPr>
          <w:rFonts w:cs="Times New Roman"/>
          <w:szCs w:val="24"/>
        </w:rPr>
        <w:t xml:space="preserve">nt annet </w:t>
      </w:r>
      <w:r>
        <w:rPr>
          <w:rFonts w:cs="Times New Roman"/>
          <w:szCs w:val="24"/>
        </w:rPr>
        <w:t xml:space="preserve">innbefatter barn, er imidlertid ikke nødvendigvis proposjonal med hvor mange skattebetalende medlemmer hvert samfunn har. En viss refordeling mellom samfunnene må en derfor påregne også ved et fast kronebeløp som er likt for alle. Et fast kronebeløp vil </w:t>
      </w:r>
      <w:r w:rsidR="008A662E">
        <w:rPr>
          <w:rFonts w:cs="Times New Roman"/>
          <w:szCs w:val="24"/>
        </w:rPr>
        <w:t xml:space="preserve">imidlertid kunne </w:t>
      </w:r>
      <w:r>
        <w:rPr>
          <w:rFonts w:cs="Times New Roman"/>
          <w:szCs w:val="24"/>
        </w:rPr>
        <w:t xml:space="preserve">ivareta livssynsavgiftens intensjon om en kobling mellom innbetalt avgift og medlemskap.  </w:t>
      </w:r>
    </w:p>
    <w:p w:rsidR="002238DD" w:rsidRDefault="002238DD" w:rsidP="002238DD">
      <w:r>
        <w:t xml:space="preserve">En utforming av avgiften som et fast kronebeløp vil imidlertid medføre en relativt stor omlegging av den enkeltes skattenivå. Dersom alle skal betale samme beløp uavhengig av inntekt og øvrige fradrag, vil livssynsavgiften utgjøre en større andel av inntekten til de med lav inntekt enn de med høy inntekt. Det er med andre ord de med lavest skatteevne som vil få størst økning i skattebelastning. Dette er et brudd med den alminnelige innretning av skatter og avgifter i Norge og vil </w:t>
      </w:r>
      <w:r w:rsidR="007A370D">
        <w:t>blant annet aktualisere et</w:t>
      </w:r>
      <w:r>
        <w:t xml:space="preserve"> behov for å trekke en nedre grense for når det er rimelig at en skattebetaler betaler livssynsavgift.</w:t>
      </w:r>
    </w:p>
    <w:p w:rsidR="002238DD" w:rsidRDefault="002238DD" w:rsidP="002238DD">
      <w:r>
        <w:t>Et fast kronebeløp vil være</w:t>
      </w:r>
      <w:r w:rsidRPr="00144E02">
        <w:t xml:space="preserve"> en enklere avgift å administrere</w:t>
      </w:r>
      <w:r>
        <w:t xml:space="preserve"> enn en progressiv avgift så fremt innkrevingen skjer utenom den alminnelige beskatningen, for eksempel ved faktura.</w:t>
      </w:r>
      <w:r w:rsidRPr="00D22347">
        <w:t xml:space="preserve"> </w:t>
      </w:r>
      <w:r>
        <w:t xml:space="preserve">Foretas innkrevingen derimot over skattemeldingen, er de administrative kostnadene ved et fast kronebeløp og en progressiv avgift stort sett de samme.  </w:t>
      </w:r>
    </w:p>
    <w:p w:rsidR="002238DD" w:rsidRDefault="002238DD" w:rsidP="002238DD">
      <w:r>
        <w:t>Et fast kronebeløp vil isolert sett ikke ha personvernutfordringer, da det ikke er nødvendig å foreta en kobling mellom medlemsopplysninger og ligningsopplysninger for den enkelte skattebetaler. Det er heller ingen åpenbare teknologiske utfordringer knyttet til at avgiften utformes som et fast kronebeløp.</w:t>
      </w:r>
    </w:p>
    <w:p w:rsidR="002238DD" w:rsidRDefault="002238DD" w:rsidP="002238DD">
      <w:pPr>
        <w:pStyle w:val="Overskrift4"/>
      </w:pPr>
      <w:r w:rsidRPr="003164DE">
        <w:t>Prosent av inntekt (progressiv avgift)</w:t>
      </w:r>
    </w:p>
    <w:p w:rsidR="002238DD" w:rsidRDefault="002238DD" w:rsidP="002238DD">
      <w:pPr>
        <w:rPr>
          <w:rFonts w:cs="Times New Roman"/>
          <w:szCs w:val="24"/>
        </w:rPr>
      </w:pPr>
      <w:r>
        <w:rPr>
          <w:rFonts w:cs="Times New Roman"/>
          <w:szCs w:val="24"/>
        </w:rPr>
        <w:t xml:space="preserve">En progressiv avgift innebærer at størrelsen på livssynsavgiften knyttes til forhold som inntekt, fradrag og skatteklasse. </w:t>
      </w:r>
    </w:p>
    <w:p w:rsidR="002238DD" w:rsidRDefault="002238DD" w:rsidP="002238DD">
      <w:pPr>
        <w:rPr>
          <w:rFonts w:cs="Times New Roman"/>
          <w:szCs w:val="24"/>
        </w:rPr>
      </w:pPr>
      <w:r>
        <w:rPr>
          <w:rFonts w:cs="Times New Roman"/>
          <w:szCs w:val="24"/>
        </w:rPr>
        <w:t xml:space="preserve">Dersom avgiften settes til en </w:t>
      </w:r>
      <w:r w:rsidRPr="00144E02">
        <w:rPr>
          <w:rFonts w:cs="Times New Roman"/>
          <w:szCs w:val="24"/>
        </w:rPr>
        <w:t xml:space="preserve">viss prosent av </w:t>
      </w:r>
      <w:r>
        <w:rPr>
          <w:rFonts w:cs="Times New Roman"/>
          <w:szCs w:val="24"/>
        </w:rPr>
        <w:t>skatt</w:t>
      </w:r>
      <w:r w:rsidR="007A370D">
        <w:rPr>
          <w:rFonts w:cs="Times New Roman"/>
          <w:szCs w:val="24"/>
        </w:rPr>
        <w:t>e</w:t>
      </w:r>
      <w:r>
        <w:rPr>
          <w:rFonts w:cs="Times New Roman"/>
          <w:szCs w:val="24"/>
        </w:rPr>
        <w:t xml:space="preserve">yterens </w:t>
      </w:r>
      <w:r w:rsidRPr="00144E02">
        <w:rPr>
          <w:rFonts w:cs="Times New Roman"/>
          <w:szCs w:val="24"/>
        </w:rPr>
        <w:t>inntekt</w:t>
      </w:r>
      <w:r>
        <w:rPr>
          <w:rFonts w:cs="Times New Roman"/>
          <w:szCs w:val="24"/>
        </w:rPr>
        <w:t>,</w:t>
      </w:r>
      <w:r w:rsidRPr="00144E02">
        <w:rPr>
          <w:rFonts w:cs="Times New Roman"/>
          <w:szCs w:val="24"/>
        </w:rPr>
        <w:t xml:space="preserve"> </w:t>
      </w:r>
      <w:r>
        <w:rPr>
          <w:rFonts w:cs="Times New Roman"/>
          <w:szCs w:val="24"/>
        </w:rPr>
        <w:t xml:space="preserve">vil </w:t>
      </w:r>
      <w:r w:rsidRPr="00144E02">
        <w:rPr>
          <w:rFonts w:cs="Times New Roman"/>
          <w:szCs w:val="24"/>
        </w:rPr>
        <w:t>avgiften utgjøre en like stor andel av inntekten til alle skatt</w:t>
      </w:r>
      <w:r w:rsidR="007A370D">
        <w:rPr>
          <w:rFonts w:cs="Times New Roman"/>
          <w:szCs w:val="24"/>
        </w:rPr>
        <w:t>e</w:t>
      </w:r>
      <w:r>
        <w:rPr>
          <w:rFonts w:cs="Times New Roman"/>
          <w:szCs w:val="24"/>
        </w:rPr>
        <w:t>ytere. Skatteeffekten av avgiften for den enkelte skatt</w:t>
      </w:r>
      <w:r w:rsidR="007A370D">
        <w:rPr>
          <w:rFonts w:cs="Times New Roman"/>
          <w:szCs w:val="24"/>
        </w:rPr>
        <w:t>e</w:t>
      </w:r>
      <w:r>
        <w:rPr>
          <w:rFonts w:cs="Times New Roman"/>
          <w:szCs w:val="24"/>
        </w:rPr>
        <w:t>yter vil</w:t>
      </w:r>
      <w:r w:rsidR="00406761">
        <w:rPr>
          <w:rFonts w:cs="Times New Roman"/>
          <w:szCs w:val="24"/>
        </w:rPr>
        <w:t>,</w:t>
      </w:r>
      <w:r>
        <w:rPr>
          <w:rFonts w:cs="Times New Roman"/>
          <w:szCs w:val="24"/>
        </w:rPr>
        <w:t xml:space="preserve"> med de forutsetninger som er nevnt innledningsvis</w:t>
      </w:r>
      <w:r w:rsidR="00406761">
        <w:rPr>
          <w:rFonts w:cs="Times New Roman"/>
          <w:szCs w:val="24"/>
        </w:rPr>
        <w:t>,</w:t>
      </w:r>
      <w:r>
        <w:rPr>
          <w:rFonts w:cs="Times New Roman"/>
          <w:szCs w:val="24"/>
        </w:rPr>
        <w:t xml:space="preserve"> ligge </w:t>
      </w:r>
      <w:r w:rsidRPr="00144E02">
        <w:rPr>
          <w:rFonts w:cs="Times New Roman"/>
          <w:szCs w:val="24"/>
        </w:rPr>
        <w:t xml:space="preserve">nær </w:t>
      </w:r>
      <w:r>
        <w:rPr>
          <w:rFonts w:cs="Times New Roman"/>
          <w:szCs w:val="24"/>
        </w:rPr>
        <w:t xml:space="preserve">skatteeffekten av </w:t>
      </w:r>
      <w:r w:rsidRPr="00144E02">
        <w:rPr>
          <w:rFonts w:cs="Times New Roman"/>
          <w:szCs w:val="24"/>
        </w:rPr>
        <w:t>dagens fi</w:t>
      </w:r>
      <w:r>
        <w:rPr>
          <w:rFonts w:cs="Times New Roman"/>
          <w:szCs w:val="24"/>
        </w:rPr>
        <w:t>n</w:t>
      </w:r>
      <w:r w:rsidRPr="00144E02">
        <w:rPr>
          <w:rFonts w:cs="Times New Roman"/>
          <w:szCs w:val="24"/>
        </w:rPr>
        <w:t>ansiering</w:t>
      </w:r>
      <w:r>
        <w:rPr>
          <w:rFonts w:cs="Times New Roman"/>
          <w:szCs w:val="24"/>
        </w:rPr>
        <w:t xml:space="preserve">sordning for tros- og livssynssamfunnene. </w:t>
      </w:r>
    </w:p>
    <w:p w:rsidR="002238DD" w:rsidRDefault="002238DD" w:rsidP="002238DD">
      <w:pPr>
        <w:rPr>
          <w:rFonts w:cs="Times New Roman"/>
          <w:szCs w:val="24"/>
        </w:rPr>
      </w:pPr>
      <w:r>
        <w:rPr>
          <w:rFonts w:cs="Times New Roman"/>
          <w:szCs w:val="24"/>
        </w:rPr>
        <w:t>For t</w:t>
      </w:r>
      <w:r w:rsidRPr="00144E02">
        <w:rPr>
          <w:rFonts w:cs="Times New Roman"/>
          <w:szCs w:val="24"/>
        </w:rPr>
        <w:t>ros</w:t>
      </w:r>
      <w:r>
        <w:rPr>
          <w:rFonts w:cs="Times New Roman"/>
          <w:szCs w:val="24"/>
        </w:rPr>
        <w:t>- og livssynssam</w:t>
      </w:r>
      <w:r w:rsidRPr="00144E02">
        <w:rPr>
          <w:rFonts w:cs="Times New Roman"/>
          <w:szCs w:val="24"/>
        </w:rPr>
        <w:t>funn</w:t>
      </w:r>
      <w:r>
        <w:rPr>
          <w:rFonts w:cs="Times New Roman"/>
          <w:szCs w:val="24"/>
        </w:rPr>
        <w:t>enes økonomi derimot, vil en progressiv avgift gi andre fordelingsvirkninger enn de som følger av dagens finansieringsordning dersom intensjonen om en øremerket avgift skal beholdes. Samfunn som for eksempel har</w:t>
      </w:r>
      <w:r w:rsidRPr="00144E02">
        <w:rPr>
          <w:rFonts w:cs="Times New Roman"/>
          <w:szCs w:val="24"/>
        </w:rPr>
        <w:t xml:space="preserve"> medlemmer </w:t>
      </w:r>
      <w:r>
        <w:rPr>
          <w:rFonts w:cs="Times New Roman"/>
          <w:szCs w:val="24"/>
        </w:rPr>
        <w:t>med høy gjennomsnitts</w:t>
      </w:r>
      <w:r w:rsidRPr="00144E02">
        <w:rPr>
          <w:rFonts w:cs="Times New Roman"/>
          <w:szCs w:val="24"/>
        </w:rPr>
        <w:t xml:space="preserve">inntekt, </w:t>
      </w:r>
      <w:r>
        <w:rPr>
          <w:rFonts w:cs="Times New Roman"/>
          <w:szCs w:val="24"/>
        </w:rPr>
        <w:t xml:space="preserve">vil få </w:t>
      </w:r>
      <w:r w:rsidRPr="00144E02">
        <w:rPr>
          <w:rFonts w:cs="Times New Roman"/>
          <w:szCs w:val="24"/>
        </w:rPr>
        <w:t xml:space="preserve">et høyere avgiftsgrunnlag </w:t>
      </w:r>
      <w:r>
        <w:rPr>
          <w:rFonts w:cs="Times New Roman"/>
          <w:szCs w:val="24"/>
        </w:rPr>
        <w:t xml:space="preserve">enn andre samfunn </w:t>
      </w:r>
      <w:r w:rsidRPr="00144E02">
        <w:rPr>
          <w:rFonts w:cs="Times New Roman"/>
          <w:szCs w:val="24"/>
        </w:rPr>
        <w:t xml:space="preserve">og få en høyere tildeling </w:t>
      </w:r>
      <w:r>
        <w:rPr>
          <w:rFonts w:cs="Times New Roman"/>
          <w:szCs w:val="24"/>
        </w:rPr>
        <w:t>per medlem</w:t>
      </w:r>
      <w:r w:rsidRPr="00144E02">
        <w:rPr>
          <w:rFonts w:cs="Times New Roman"/>
          <w:szCs w:val="24"/>
        </w:rPr>
        <w:t xml:space="preserve">. </w:t>
      </w:r>
      <w:r w:rsidR="007A370D">
        <w:rPr>
          <w:rFonts w:cs="Times New Roman"/>
          <w:szCs w:val="24"/>
        </w:rPr>
        <w:t>Dette kan omgås ved</w:t>
      </w:r>
      <w:r>
        <w:rPr>
          <w:rFonts w:cs="Times New Roman"/>
          <w:szCs w:val="24"/>
        </w:rPr>
        <w:t xml:space="preserve"> ikke </w:t>
      </w:r>
      <w:r w:rsidR="007A370D">
        <w:rPr>
          <w:rFonts w:cs="Times New Roman"/>
          <w:szCs w:val="24"/>
        </w:rPr>
        <w:t xml:space="preserve">å </w:t>
      </w:r>
      <w:r>
        <w:rPr>
          <w:rFonts w:cs="Times New Roman"/>
          <w:szCs w:val="24"/>
        </w:rPr>
        <w:t>øremerke avgiften eller ved å legge inn en refordelingspott, men et slikt utjevningssystem vil innebære at enkelte tros- og livssynssamfunn subsidierer andre</w:t>
      </w:r>
      <w:r w:rsidR="008A662E">
        <w:rPr>
          <w:rFonts w:cs="Times New Roman"/>
          <w:szCs w:val="24"/>
        </w:rPr>
        <w:t>,</w:t>
      </w:r>
      <w:r>
        <w:rPr>
          <w:rFonts w:cs="Times New Roman"/>
          <w:szCs w:val="24"/>
        </w:rPr>
        <w:t xml:space="preserve"> og en vil miste den direkte sammenhengen mellom enkeltindividets avgift og registrert medlemskap. </w:t>
      </w:r>
    </w:p>
    <w:p w:rsidR="002238DD" w:rsidRDefault="002238DD" w:rsidP="002238DD">
      <w:pPr>
        <w:rPr>
          <w:rFonts w:cs="Times New Roman"/>
          <w:szCs w:val="24"/>
        </w:rPr>
      </w:pPr>
      <w:r>
        <w:rPr>
          <w:rFonts w:cs="Times New Roman"/>
          <w:szCs w:val="24"/>
        </w:rPr>
        <w:t>Dersom en progressiv avgift øremerkes, vil det være nødvendig å foreta en kobling mellom medlemsopplysninger og skatteopplysninger. Dette vil skape større personvernutfordringer enn ved et fast kronebeløp. Personvernutfordringene kan minimeres dersom man helt unngår øremerking, men dette vil innebære at en mister den direkte sammenhengen mellom enkeltindividets avgift og registrert medlemskap.</w:t>
      </w:r>
    </w:p>
    <w:p w:rsidR="002238DD" w:rsidRDefault="002238DD" w:rsidP="002238DD">
      <w:pPr>
        <w:rPr>
          <w:rFonts w:cs="Times New Roman"/>
          <w:szCs w:val="24"/>
        </w:rPr>
      </w:pPr>
      <w:r>
        <w:rPr>
          <w:rFonts w:cs="Times New Roman"/>
          <w:szCs w:val="24"/>
        </w:rPr>
        <w:lastRenderedPageBreak/>
        <w:t>Dersom avgiften skal synliggjøres</w:t>
      </w:r>
      <w:r w:rsidR="007A370D">
        <w:rPr>
          <w:rFonts w:cs="Times New Roman"/>
          <w:szCs w:val="24"/>
        </w:rPr>
        <w:t>,</w:t>
      </w:r>
      <w:r>
        <w:rPr>
          <w:rFonts w:cs="Times New Roman"/>
          <w:szCs w:val="24"/>
        </w:rPr>
        <w:t xml:space="preserve"> vil dette innebære noen mindre endringer i oppsettet av skattemeldingen. Disse endringene er ifølge Skattedirektoratet enkle å gjennomføre. </w:t>
      </w:r>
    </w:p>
    <w:p w:rsidR="002238DD" w:rsidRPr="00FB00C0" w:rsidRDefault="002238DD" w:rsidP="002238DD">
      <w:pPr>
        <w:pStyle w:val="Overskrift3"/>
      </w:pPr>
      <w:bookmarkStart w:id="3548" w:name="_Toc477536061"/>
      <w:bookmarkStart w:id="3549" w:name="_Toc477631191"/>
      <w:bookmarkStart w:id="3550" w:name="_Toc477694156"/>
      <w:bookmarkStart w:id="3551" w:name="_Toc477704582"/>
      <w:bookmarkStart w:id="3552" w:name="_Toc477799825"/>
      <w:bookmarkStart w:id="3553" w:name="_Toc477806426"/>
      <w:bookmarkStart w:id="3554" w:name="_Toc477872086"/>
      <w:bookmarkStart w:id="3555" w:name="_Toc477878694"/>
      <w:bookmarkStart w:id="3556" w:name="_Toc477882098"/>
      <w:bookmarkStart w:id="3557" w:name="_Toc477886560"/>
      <w:bookmarkStart w:id="3558" w:name="_Toc478131505"/>
      <w:bookmarkStart w:id="3559" w:name="_Toc478138875"/>
      <w:bookmarkStart w:id="3560" w:name="_Toc478232399"/>
      <w:bookmarkStart w:id="3561" w:name="_Toc478237384"/>
      <w:bookmarkStart w:id="3562" w:name="_Toc481761928"/>
      <w:bookmarkStart w:id="3563" w:name="_Toc492900580"/>
      <w:r>
        <w:t>I</w:t>
      </w:r>
      <w:r w:rsidRPr="00FB00C0">
        <w:t>nnkreving av avgiften</w:t>
      </w:r>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p>
    <w:p w:rsidR="002238DD" w:rsidRDefault="003A5667" w:rsidP="002238DD">
      <w:pPr>
        <w:pStyle w:val="Overskrift4"/>
      </w:pPr>
      <w:r>
        <w:t>Innledning</w:t>
      </w:r>
    </w:p>
    <w:p w:rsidR="002238DD" w:rsidRDefault="002238DD" w:rsidP="002238DD">
      <w:pPr>
        <w:rPr>
          <w:rFonts w:cs="Times New Roman"/>
          <w:szCs w:val="24"/>
        </w:rPr>
      </w:pPr>
      <w:r>
        <w:rPr>
          <w:rFonts w:cs="Times New Roman"/>
          <w:szCs w:val="24"/>
        </w:rPr>
        <w:t xml:space="preserve">En innkreving av avgiften kan enten foretas via den alminnelige skatteinnkrevingen eller ved bruk av faktura. Nedenfor gjennomgås kort hva som ligger i de to alternativene, målt opp mot konsekvensene de har for økonomi, administrasjon, personvern og teknologi. </w:t>
      </w:r>
    </w:p>
    <w:p w:rsidR="002238DD" w:rsidRDefault="002238DD" w:rsidP="002238DD">
      <w:pPr>
        <w:pStyle w:val="Overskrift4"/>
      </w:pPr>
      <w:r>
        <w:t xml:space="preserve">Skatteinnkreving </w:t>
      </w:r>
    </w:p>
    <w:p w:rsidR="002238DD" w:rsidRDefault="002238DD" w:rsidP="002238DD">
      <w:pPr>
        <w:rPr>
          <w:rFonts w:cs="Times New Roman"/>
          <w:szCs w:val="24"/>
        </w:rPr>
      </w:pPr>
      <w:r w:rsidRPr="000C7AE6">
        <w:rPr>
          <w:rFonts w:cs="Times New Roman"/>
          <w:szCs w:val="24"/>
        </w:rPr>
        <w:t>E</w:t>
      </w:r>
      <w:r>
        <w:rPr>
          <w:rFonts w:cs="Times New Roman"/>
          <w:szCs w:val="24"/>
        </w:rPr>
        <w:t xml:space="preserve">n innkreving av livssynsavgiften via den alminnelige skatteinnkrevingen vil være tilnærmet lik dagens praksis. Forskjellen er at summen kan velges synliggjort på skattemeldingen til den enkelte, enten som en prosent av inntekt eller som et fast kronebeløp. Førstnevnte vil være sammenlignbart med hvordan trygdeavgiften synliggjøres i dag, selv om det er stor forskjell i størrelsesgrunnlaget (statens inntekter fra arbeidsgiver- og trygdeavgiften utgjør til sammen i dag i overkant av 300 mrd. kroner). </w:t>
      </w:r>
    </w:p>
    <w:p w:rsidR="002238DD" w:rsidRDefault="002238DD" w:rsidP="002238DD">
      <w:pPr>
        <w:rPr>
          <w:rFonts w:cs="Times New Roman"/>
          <w:szCs w:val="24"/>
        </w:rPr>
      </w:pPr>
      <w:r>
        <w:rPr>
          <w:rFonts w:cs="Times New Roman"/>
          <w:szCs w:val="24"/>
        </w:rPr>
        <w:t xml:space="preserve">Dersom avgiften skal gjøres eksplisitt og </w:t>
      </w:r>
      <w:r w:rsidR="00406761">
        <w:rPr>
          <w:rFonts w:cs="Times New Roman"/>
          <w:szCs w:val="24"/>
        </w:rPr>
        <w:t xml:space="preserve">være </w:t>
      </w:r>
      <w:r>
        <w:rPr>
          <w:rFonts w:cs="Times New Roman"/>
          <w:szCs w:val="24"/>
        </w:rPr>
        <w:t>synliggjort, vil en innkreving gjennom den alminnelige beskatningen føre til en noe økt administrasjonsbyrde for staten sammenlignet med dagens system. Dette skyldes at skattemyndighetene må skille ut en del av personbeskatningen som en livssynsavgift. Endringene som etableringen medfører, samt driften av denne, vil imidlertid være moderate. Det vil ifølge Skattedirektoratet også være enkelt å foreta de nødvendige tekniske justeringene i skattemeldingen.</w:t>
      </w:r>
    </w:p>
    <w:p w:rsidR="002238DD" w:rsidRDefault="002238DD" w:rsidP="002238DD">
      <w:pPr>
        <w:rPr>
          <w:rFonts w:cs="Times New Roman"/>
          <w:szCs w:val="24"/>
        </w:rPr>
      </w:pPr>
      <w:r>
        <w:rPr>
          <w:rFonts w:cs="Times New Roman"/>
          <w:szCs w:val="24"/>
        </w:rPr>
        <w:t xml:space="preserve">En innkreving av tros- og livssynsavgiften via den alminnelige skatteinnkrevingen vil gi personvernutfordringer i det øyeblikket innkrevd beløp kobles til faktisk tilhørighet i form av en medlemsregistrering. Omfanget av personvernutfordringene avhenger av hvilken løsning som velges for innberetning av medlemsopplysninger, se nedenfor. </w:t>
      </w:r>
    </w:p>
    <w:p w:rsidR="002238DD" w:rsidRPr="002B2D3B" w:rsidRDefault="002238DD" w:rsidP="002238DD">
      <w:pPr>
        <w:rPr>
          <w:rFonts w:cs="Times New Roman"/>
          <w:szCs w:val="24"/>
        </w:rPr>
      </w:pPr>
      <w:r>
        <w:rPr>
          <w:rFonts w:cs="Times New Roman"/>
          <w:szCs w:val="24"/>
        </w:rPr>
        <w:t>Generelt vil det være mulig å redusere personvern</w:t>
      </w:r>
      <w:r w:rsidR="007A370D">
        <w:rPr>
          <w:rFonts w:cs="Times New Roman"/>
          <w:szCs w:val="24"/>
        </w:rPr>
        <w:t xml:space="preserve">utfordringer </w:t>
      </w:r>
      <w:r>
        <w:rPr>
          <w:rFonts w:cs="Times New Roman"/>
          <w:szCs w:val="24"/>
        </w:rPr>
        <w:t xml:space="preserve">gjennom en sletting eller isolering av aktuelle poster på skattemeldingen. På den måten vil skattemeldingen fortsatt kunne brukes til å søke om banklån eller støtte fra NAV etc. EY viser imidlertid i sin rapport til at løsningene innen dagens system </w:t>
      </w:r>
      <w:r w:rsidR="008A662E">
        <w:rPr>
          <w:rFonts w:cs="Times New Roman"/>
          <w:szCs w:val="24"/>
        </w:rPr>
        <w:t xml:space="preserve">bare </w:t>
      </w:r>
      <w:r>
        <w:rPr>
          <w:rFonts w:cs="Times New Roman"/>
          <w:szCs w:val="24"/>
        </w:rPr>
        <w:t>er mulig for skatteytere som har elektronisk skattemelding. For alle andre vil det være nødvendig med manuell sladding av opplysninger, noe som vil øke administrasjonsbyrden. Mulighetene for skjerming av sensitive opplysninger vil være betraktelig større i den nye skattemeldingsløsningen som er under utarbeiding hos Skatteetaten, men det vil ifølge</w:t>
      </w:r>
      <w:r w:rsidR="007A370D">
        <w:rPr>
          <w:rFonts w:cs="Times New Roman"/>
          <w:szCs w:val="24"/>
        </w:rPr>
        <w:t xml:space="preserve"> EY-</w:t>
      </w:r>
      <w:r>
        <w:rPr>
          <w:rFonts w:cs="Times New Roman"/>
          <w:szCs w:val="24"/>
        </w:rPr>
        <w:t>rapporten ta flere år før en slik løsning er på plass.</w:t>
      </w:r>
    </w:p>
    <w:p w:rsidR="002238DD" w:rsidRDefault="002238DD" w:rsidP="002238DD">
      <w:pPr>
        <w:pStyle w:val="Overskrift4"/>
      </w:pPr>
      <w:r w:rsidRPr="00333C6B">
        <w:t>Innkreving ved bruk av faktura</w:t>
      </w:r>
    </w:p>
    <w:p w:rsidR="002238DD" w:rsidRDefault="002238DD" w:rsidP="002238DD">
      <w:pPr>
        <w:rPr>
          <w:rFonts w:cs="Times New Roman"/>
          <w:szCs w:val="24"/>
        </w:rPr>
      </w:pPr>
      <w:r w:rsidRPr="00333C6B">
        <w:rPr>
          <w:rFonts w:cs="Times New Roman"/>
          <w:szCs w:val="24"/>
        </w:rPr>
        <w:t xml:space="preserve">En innkreving av livssynsavgiften som en særavgift </w:t>
      </w:r>
      <w:r>
        <w:rPr>
          <w:rFonts w:cs="Times New Roman"/>
          <w:szCs w:val="24"/>
        </w:rPr>
        <w:t>kan også gjøres ved bruk av faktura. Dette er en ordning som blant annet b</w:t>
      </w:r>
      <w:r w:rsidR="00927798">
        <w:rPr>
          <w:rFonts w:cs="Times New Roman"/>
          <w:szCs w:val="24"/>
        </w:rPr>
        <w:t>enyttes for innkreving av kringkastings</w:t>
      </w:r>
      <w:r>
        <w:rPr>
          <w:rFonts w:cs="Times New Roman"/>
          <w:szCs w:val="24"/>
        </w:rPr>
        <w:t xml:space="preserve">avgift og veiavgift. </w:t>
      </w:r>
    </w:p>
    <w:p w:rsidR="002238DD" w:rsidRDefault="002238DD" w:rsidP="002238DD">
      <w:pPr>
        <w:rPr>
          <w:rFonts w:cs="Times New Roman"/>
          <w:szCs w:val="24"/>
        </w:rPr>
      </w:pPr>
      <w:r>
        <w:rPr>
          <w:rFonts w:cs="Times New Roman"/>
          <w:szCs w:val="24"/>
        </w:rPr>
        <w:t xml:space="preserve">De økonomiske og administrative kostnadene ved innkreving gjennom faktura er betydelige sammenlignet med dagens system og sett opp mot et alternativ hvor det gjøres gjennom den alminnelige skatteinnkrevingen. </w:t>
      </w:r>
    </w:p>
    <w:p w:rsidR="002238DD" w:rsidRDefault="00927798" w:rsidP="002238DD">
      <w:pPr>
        <w:rPr>
          <w:rFonts w:cs="Times New Roman"/>
          <w:szCs w:val="24"/>
        </w:rPr>
      </w:pPr>
      <w:r>
        <w:rPr>
          <w:rFonts w:cs="Times New Roman"/>
          <w:szCs w:val="24"/>
        </w:rPr>
        <w:t>Innkreving av kringkastings</w:t>
      </w:r>
      <w:r w:rsidR="002238DD">
        <w:rPr>
          <w:rFonts w:cs="Times New Roman"/>
          <w:szCs w:val="24"/>
        </w:rPr>
        <w:t>avgiften koster i dag staten i underkant av 3 p</w:t>
      </w:r>
      <w:r w:rsidR="007A370D">
        <w:rPr>
          <w:rFonts w:cs="Times New Roman"/>
          <w:szCs w:val="24"/>
        </w:rPr>
        <w:t>st.</w:t>
      </w:r>
      <w:r w:rsidR="002238DD">
        <w:rPr>
          <w:rFonts w:cs="Times New Roman"/>
          <w:szCs w:val="24"/>
        </w:rPr>
        <w:t xml:space="preserve"> av innkrevd beløp. Den økonomiske belastningen for staten ved å innkreve en livssynsavgift med en total kostnadsramme på </w:t>
      </w:r>
      <w:r w:rsidR="00406761">
        <w:rPr>
          <w:rFonts w:cs="Times New Roman"/>
          <w:szCs w:val="24"/>
        </w:rPr>
        <w:t>5,5</w:t>
      </w:r>
      <w:r w:rsidR="002238DD">
        <w:rPr>
          <w:rFonts w:cs="Times New Roman"/>
          <w:szCs w:val="24"/>
        </w:rPr>
        <w:t xml:space="preserve"> mrd. kroner, vil med sannsynlighet ligge på tilsvarende nivå, altså i overkant av 150 mill. kroner årlig. </w:t>
      </w:r>
    </w:p>
    <w:p w:rsidR="002238DD" w:rsidRDefault="002238DD" w:rsidP="002238DD">
      <w:pPr>
        <w:rPr>
          <w:rFonts w:cs="Times New Roman"/>
          <w:szCs w:val="24"/>
        </w:rPr>
      </w:pPr>
      <w:r>
        <w:rPr>
          <w:rFonts w:cs="Times New Roman"/>
          <w:szCs w:val="24"/>
        </w:rPr>
        <w:lastRenderedPageBreak/>
        <w:t>En økt administrasjonsbyrde vil først og fremst være forbundet med å etablere en virksomhet tilsvarende lise</w:t>
      </w:r>
      <w:r w:rsidR="00872294">
        <w:rPr>
          <w:rFonts w:cs="Times New Roman"/>
          <w:szCs w:val="24"/>
        </w:rPr>
        <w:t>n</w:t>
      </w:r>
      <w:r>
        <w:rPr>
          <w:rFonts w:cs="Times New Roman"/>
          <w:szCs w:val="24"/>
        </w:rPr>
        <w:t>savdelingen i NRK, som blir satt til å administrere, drifte og kontrollere ordningen. Virksomheten vil ifølge EYs rapport høyst sannsy</w:t>
      </w:r>
      <w:r w:rsidR="00406761">
        <w:rPr>
          <w:rFonts w:cs="Times New Roman"/>
          <w:szCs w:val="24"/>
        </w:rPr>
        <w:t>nlig også ha behov for en tekni</w:t>
      </w:r>
      <w:r>
        <w:rPr>
          <w:rFonts w:cs="Times New Roman"/>
          <w:szCs w:val="24"/>
        </w:rPr>
        <w:t xml:space="preserve">sk løsning som vil kreve betydelige etablerings- og driftskostnader. </w:t>
      </w:r>
    </w:p>
    <w:p w:rsidR="002238DD" w:rsidRPr="00AB1D28" w:rsidRDefault="002238DD" w:rsidP="002238DD">
      <w:pPr>
        <w:rPr>
          <w:rFonts w:cs="Times New Roman"/>
          <w:szCs w:val="24"/>
          <w:u w:val="single"/>
        </w:rPr>
      </w:pPr>
      <w:r>
        <w:rPr>
          <w:rFonts w:cs="Times New Roman"/>
          <w:szCs w:val="24"/>
        </w:rPr>
        <w:t xml:space="preserve">Bruk av faktura har imidlertid positiv innvirkning på personvernhensyn, da informasjon om tilhørighet til tros- eller livssynssamfunn ikke sammenblandes med annen personinformasjon, som inntekt, formue og øvrige forhold knyttet til personlig beskatning. Det vil likevel også ved bruk av faktura være personvernopplysninger som må sikres </w:t>
      </w:r>
      <w:r w:rsidR="007A370D">
        <w:rPr>
          <w:rFonts w:cs="Times New Roman"/>
          <w:szCs w:val="24"/>
        </w:rPr>
        <w:t xml:space="preserve">overfor </w:t>
      </w:r>
      <w:r>
        <w:rPr>
          <w:rFonts w:cs="Times New Roman"/>
          <w:szCs w:val="24"/>
        </w:rPr>
        <w:t>aktører som er involvert i innkrevingen av avgiften.</w:t>
      </w:r>
    </w:p>
    <w:p w:rsidR="002238DD" w:rsidRPr="00E92719" w:rsidRDefault="002238DD" w:rsidP="002238DD">
      <w:pPr>
        <w:pStyle w:val="Overskrift3"/>
      </w:pPr>
      <w:bookmarkStart w:id="3564" w:name="_Toc477536062"/>
      <w:bookmarkStart w:id="3565" w:name="_Toc477631192"/>
      <w:bookmarkStart w:id="3566" w:name="_Toc477694157"/>
      <w:bookmarkStart w:id="3567" w:name="_Toc477704583"/>
      <w:bookmarkStart w:id="3568" w:name="_Toc477799826"/>
      <w:bookmarkStart w:id="3569" w:name="_Toc477806427"/>
      <w:bookmarkStart w:id="3570" w:name="_Toc477872087"/>
      <w:bookmarkStart w:id="3571" w:name="_Toc477878695"/>
      <w:bookmarkStart w:id="3572" w:name="_Toc477882099"/>
      <w:bookmarkStart w:id="3573" w:name="_Toc477886561"/>
      <w:bookmarkStart w:id="3574" w:name="_Toc478131506"/>
      <w:bookmarkStart w:id="3575" w:name="_Toc478138876"/>
      <w:bookmarkStart w:id="3576" w:name="_Toc478232400"/>
      <w:bookmarkStart w:id="3577" w:name="_Toc478237385"/>
      <w:bookmarkStart w:id="3578" w:name="_Toc481761929"/>
      <w:bookmarkStart w:id="3579" w:name="_Toc492900581"/>
      <w:r w:rsidRPr="00E92719">
        <w:t>Innberetning av medlemsopplysninger</w:t>
      </w:r>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p>
    <w:p w:rsidR="002238DD" w:rsidRDefault="002238DD" w:rsidP="002238DD">
      <w:pPr>
        <w:pStyle w:val="Overskrift4"/>
      </w:pPr>
      <w:r>
        <w:t>Innledning</w:t>
      </w:r>
    </w:p>
    <w:p w:rsidR="002238DD" w:rsidRDefault="002238DD" w:rsidP="002238DD">
      <w:pPr>
        <w:rPr>
          <w:rFonts w:cs="Times New Roman"/>
          <w:szCs w:val="24"/>
        </w:rPr>
      </w:pPr>
      <w:r>
        <w:rPr>
          <w:rFonts w:cs="Times New Roman"/>
          <w:szCs w:val="24"/>
        </w:rPr>
        <w:t>Ifølge EYs rapport er det to hovedalternativer for innberetning av medlemskap i forbindelse med en livssynsavgift. Enten kan medlemskap innberettes via skattemeldingen, eller så kan slik informasjon innberettes gjennom en egen løsning utenom skattemeldingen, for eksempel via Altinn.</w:t>
      </w:r>
    </w:p>
    <w:p w:rsidR="002238DD" w:rsidRDefault="002238DD" w:rsidP="002238DD">
      <w:pPr>
        <w:rPr>
          <w:rFonts w:cs="Times New Roman"/>
          <w:szCs w:val="24"/>
        </w:rPr>
      </w:pPr>
      <w:r>
        <w:rPr>
          <w:rFonts w:cs="Times New Roman"/>
          <w:szCs w:val="24"/>
        </w:rPr>
        <w:t>For innberetning via skattemeldingen finnes det igjen ulike alternativer. Opplysninger om medlemskap kan enten innberettes av tros- og livssynssamfunnene og forhåndsutfylles på skattemeldingen, eller så kan det enkelte medlem selv være ansvarlig for første års utfylling av medlemsopplysninger. Det samme skillet for hvem som har ansvar for første gangs innberetning</w:t>
      </w:r>
      <w:r w:rsidR="007A370D">
        <w:rPr>
          <w:rFonts w:cs="Times New Roman"/>
          <w:szCs w:val="24"/>
        </w:rPr>
        <w:t>,</w:t>
      </w:r>
      <w:r>
        <w:rPr>
          <w:rFonts w:cs="Times New Roman"/>
          <w:szCs w:val="24"/>
        </w:rPr>
        <w:t xml:space="preserve"> kan også gjøres for en innberetning utenfor skattemeldingen.</w:t>
      </w:r>
    </w:p>
    <w:p w:rsidR="00AA2AEE" w:rsidRDefault="00321E7B" w:rsidP="00AA2AEE">
      <w:pPr>
        <w:pStyle w:val="Overskrift4"/>
      </w:pPr>
      <w:r>
        <w:t>Avgrensning</w:t>
      </w:r>
      <w:r w:rsidR="00AB1D28">
        <w:t xml:space="preserve">er </w:t>
      </w:r>
      <w:r w:rsidR="00206DA7">
        <w:t>–</w:t>
      </w:r>
      <w:r w:rsidR="00AB1D28">
        <w:t xml:space="preserve"> </w:t>
      </w:r>
      <w:r w:rsidR="00AA2AEE">
        <w:t xml:space="preserve">departementets </w:t>
      </w:r>
      <w:r w:rsidR="00AB1D28">
        <w:t>vurderinger</w:t>
      </w:r>
    </w:p>
    <w:p w:rsidR="002238DD" w:rsidRDefault="002238DD" w:rsidP="002238DD">
      <w:pPr>
        <w:rPr>
          <w:rFonts w:cs="Times New Roman"/>
          <w:szCs w:val="24"/>
        </w:rPr>
      </w:pPr>
      <w:r>
        <w:rPr>
          <w:rFonts w:cs="Times New Roman"/>
          <w:szCs w:val="24"/>
        </w:rPr>
        <w:t>Opplysninger om medlemskap er ikke relevant for ligningen ellers og det er knyttet personvernutfordringer til å koble denne type opplysninger. Selv om det er teknisk mulig å legge til rette for løsninger som krever at den enkelte har fylt ut medlemsopplysninger for at skattemeldingen skal bli godkjent, mener departementet at en slik løsning er såpass inngripende at det er lite aktuelt å gå vid</w:t>
      </w:r>
      <w:r w:rsidR="008A662E">
        <w:rPr>
          <w:rFonts w:cs="Times New Roman"/>
          <w:szCs w:val="24"/>
        </w:rPr>
        <w:t>ere med den. Uten et slikt krav</w:t>
      </w:r>
      <w:r>
        <w:rPr>
          <w:rFonts w:cs="Times New Roman"/>
          <w:szCs w:val="24"/>
        </w:rPr>
        <w:t xml:space="preserve"> er </w:t>
      </w:r>
      <w:r w:rsidR="008A662E">
        <w:rPr>
          <w:rFonts w:cs="Times New Roman"/>
          <w:szCs w:val="24"/>
        </w:rPr>
        <w:t xml:space="preserve">imidlertid </w:t>
      </w:r>
      <w:r>
        <w:rPr>
          <w:rFonts w:cs="Times New Roman"/>
          <w:szCs w:val="24"/>
        </w:rPr>
        <w:t xml:space="preserve">sannsynligheten stor for at den enkelte skatteyter ikke fyller ut opplysninger om medlemskap. Grunnlaget for fordeling samfunnene imellom vil da inneholde store feilkilder. </w:t>
      </w:r>
    </w:p>
    <w:p w:rsidR="002238DD" w:rsidRDefault="002238DD" w:rsidP="002238DD">
      <w:pPr>
        <w:rPr>
          <w:rFonts w:cs="Times New Roman"/>
          <w:szCs w:val="24"/>
        </w:rPr>
      </w:pPr>
      <w:r>
        <w:rPr>
          <w:rFonts w:cs="Times New Roman"/>
          <w:szCs w:val="24"/>
        </w:rPr>
        <w:t xml:space="preserve">I det følgende er det derfor kun løsningene med innberetning fra tros- og livssynssamfunnene som gjennomgås – da enten via skattemeldingen eller via en løsning utenom skattemeldingen, som for eksempel Altinn. </w:t>
      </w:r>
    </w:p>
    <w:p w:rsidR="002238DD" w:rsidRDefault="002238DD" w:rsidP="002238DD">
      <w:pPr>
        <w:pStyle w:val="Overskrift4"/>
      </w:pPr>
      <w:r w:rsidRPr="00365D87">
        <w:t xml:space="preserve">Forhåndsutfylt </w:t>
      </w:r>
      <w:r>
        <w:t>skattemelding</w:t>
      </w:r>
      <w:r w:rsidRPr="00365D87">
        <w:t xml:space="preserve"> basert på innmelding fra tros- og livssynssamfunnene</w:t>
      </w:r>
    </w:p>
    <w:p w:rsidR="002238DD" w:rsidRDefault="002238DD" w:rsidP="002238DD">
      <w:pPr>
        <w:rPr>
          <w:rFonts w:cs="Times New Roman"/>
          <w:szCs w:val="24"/>
        </w:rPr>
      </w:pPr>
      <w:r w:rsidRPr="00B26D6F">
        <w:rPr>
          <w:rFonts w:cs="Times New Roman"/>
          <w:szCs w:val="24"/>
        </w:rPr>
        <w:t>En i</w:t>
      </w:r>
      <w:r>
        <w:rPr>
          <w:rFonts w:cs="Times New Roman"/>
          <w:szCs w:val="24"/>
        </w:rPr>
        <w:t>nnberetning av medlemsopplysninger fra tros- og livssynssamfunnene innebærer at samfunnene sender inn lister med fødselsnummer og D-nummer for sine medlemmer til skattemyndighetene. Listene kontrolleres så mot folkeregisteret og danner utgangspunkt for forhåndsutfylling av skattemeldingen. I den forhåndsutfylte skattemeldingen som sendes skattebetalerne, fr</w:t>
      </w:r>
      <w:r w:rsidR="008A662E">
        <w:rPr>
          <w:rFonts w:cs="Times New Roman"/>
          <w:szCs w:val="24"/>
        </w:rPr>
        <w:t>a</w:t>
      </w:r>
      <w:r>
        <w:rPr>
          <w:rFonts w:cs="Times New Roman"/>
          <w:szCs w:val="24"/>
        </w:rPr>
        <w:t>mkommer det hvilket tros- eller livsynssamfunn skattebetaleren er medlem av, eventuelt om vedkommende ikke er medlem av noe tros- eller livssynssamfunn. Avgiftsbetaleren (skatteyteren) vil ha en kontrollerende rolle knyttet til sitt medlemskap, der det vil kunne åpnes for å innberette/korrigere opplysninger som er feil.</w:t>
      </w:r>
    </w:p>
    <w:p w:rsidR="002238DD" w:rsidRDefault="002238DD" w:rsidP="002238DD">
      <w:pPr>
        <w:rPr>
          <w:rFonts w:cs="Times New Roman"/>
          <w:szCs w:val="24"/>
        </w:rPr>
      </w:pPr>
      <w:r>
        <w:rPr>
          <w:rFonts w:cs="Times New Roman"/>
          <w:szCs w:val="24"/>
        </w:rPr>
        <w:t xml:space="preserve">Det vil være engangskostnader forbundet med å endre på utformingen av skattemeldingen og tilhørende systemer for å håndtere medlemskap i tros- og livsynssamfunnene. Disse </w:t>
      </w:r>
      <w:r>
        <w:rPr>
          <w:rFonts w:cs="Times New Roman"/>
          <w:szCs w:val="24"/>
        </w:rPr>
        <w:lastRenderedPageBreak/>
        <w:t xml:space="preserve">kostnadene vil imidlertid ifølge Skattedirektoratet være marginale dersom endringen gjøres samtidig med pågående tekniske utviklingsprosesser i Skatteetaten, hvor en ombygging av skattemeldingen er omfattet. </w:t>
      </w:r>
    </w:p>
    <w:p w:rsidR="002238DD" w:rsidRDefault="002238DD" w:rsidP="002238DD">
      <w:pPr>
        <w:rPr>
          <w:rFonts w:cs="Times New Roman"/>
          <w:szCs w:val="24"/>
        </w:rPr>
      </w:pPr>
      <w:r>
        <w:rPr>
          <w:rFonts w:cs="Times New Roman"/>
          <w:szCs w:val="24"/>
        </w:rPr>
        <w:t>En forhåndsutfylt</w:t>
      </w:r>
      <w:r w:rsidR="00406761">
        <w:rPr>
          <w:rFonts w:cs="Times New Roman"/>
          <w:szCs w:val="24"/>
        </w:rPr>
        <w:t xml:space="preserve"> skattemelding vil være relativ</w:t>
      </w:r>
      <w:r>
        <w:rPr>
          <w:rFonts w:cs="Times New Roman"/>
          <w:szCs w:val="24"/>
        </w:rPr>
        <w:t xml:space="preserve"> enkel å administrere for den enkelte skattebetaler, men det vil representere en administrasjonsbyrde å opprettholde og vedlikeholde en liste med samtlige </w:t>
      </w:r>
      <w:r w:rsidR="00406761">
        <w:rPr>
          <w:rFonts w:cs="Times New Roman"/>
          <w:szCs w:val="24"/>
        </w:rPr>
        <w:t xml:space="preserve">godkjente </w:t>
      </w:r>
      <w:r>
        <w:rPr>
          <w:rFonts w:cs="Times New Roman"/>
          <w:szCs w:val="24"/>
        </w:rPr>
        <w:t xml:space="preserve">tros- og livssynssamfunn. Hvor stor denne administrasjonsbyrden blir, avhenger av om og eventuelt hvor stor rolle Skatteetaten skal ha i å kontrollere og vedlikeholde en slik liste. Dersom skattemyndighetene for eksempel skal ha en rolle knyttet til kontroll av dobbeltmedlemskap etter nærmere angitte regler for hvem som skal motta støtte der flere samfunn melder inn medlemskap på skattebetaler, vil det innebære en periodisk eller løpende kostnads- og administrasjonsbyrde knyttet til vedlikehold av innholdet i registeret og listen som vises i skattemeldingen. </w:t>
      </w:r>
    </w:p>
    <w:p w:rsidR="002238DD" w:rsidRDefault="002238DD" w:rsidP="002238DD">
      <w:pPr>
        <w:rPr>
          <w:rFonts w:cs="Times New Roman"/>
          <w:szCs w:val="24"/>
        </w:rPr>
      </w:pPr>
      <w:r>
        <w:rPr>
          <w:rFonts w:cs="Times New Roman"/>
          <w:szCs w:val="24"/>
        </w:rPr>
        <w:t>For Den norske kirke vil det også innebære en noe øk</w:t>
      </w:r>
      <w:r w:rsidR="00321E7B">
        <w:rPr>
          <w:rFonts w:cs="Times New Roman"/>
          <w:szCs w:val="24"/>
        </w:rPr>
        <w:t>t administrasjonsbyrde, da kirken</w:t>
      </w:r>
      <w:r>
        <w:rPr>
          <w:rFonts w:cs="Times New Roman"/>
          <w:szCs w:val="24"/>
        </w:rPr>
        <w:t xml:space="preserve"> ikke innberetter medlemslister i dag. For de øvrige tros- og livssynssamfunnene vil administrasjonsbyrden bli omtrent som i dag, med den forskjell at innberetning skjer til Skatteetaten og ikke til </w:t>
      </w:r>
      <w:r w:rsidR="008A662E">
        <w:rPr>
          <w:rFonts w:cs="Times New Roman"/>
          <w:szCs w:val="24"/>
        </w:rPr>
        <w:t>f</w:t>
      </w:r>
      <w:r>
        <w:rPr>
          <w:rFonts w:cs="Times New Roman"/>
          <w:szCs w:val="24"/>
        </w:rPr>
        <w:t>ylkesmennene.</w:t>
      </w:r>
    </w:p>
    <w:p w:rsidR="002238DD" w:rsidRDefault="002238DD" w:rsidP="002238DD">
      <w:pPr>
        <w:rPr>
          <w:rFonts w:cs="Times New Roman"/>
          <w:szCs w:val="24"/>
        </w:rPr>
      </w:pPr>
      <w:r>
        <w:rPr>
          <w:rFonts w:cs="Times New Roman"/>
          <w:szCs w:val="24"/>
        </w:rPr>
        <w:t>En innberetning av medlemso</w:t>
      </w:r>
      <w:r w:rsidR="007A370D">
        <w:rPr>
          <w:rFonts w:cs="Times New Roman"/>
          <w:szCs w:val="24"/>
        </w:rPr>
        <w:t>p</w:t>
      </w:r>
      <w:r>
        <w:rPr>
          <w:rFonts w:cs="Times New Roman"/>
          <w:szCs w:val="24"/>
        </w:rPr>
        <w:t>plysninger via skattemeldingen vil åpne for konflikter av personvern</w:t>
      </w:r>
      <w:r w:rsidR="007A370D">
        <w:rPr>
          <w:rFonts w:cs="Times New Roman"/>
          <w:szCs w:val="24"/>
        </w:rPr>
        <w:t xml:space="preserve">karakter. </w:t>
      </w:r>
      <w:r>
        <w:rPr>
          <w:rFonts w:cs="Times New Roman"/>
          <w:szCs w:val="24"/>
        </w:rPr>
        <w:t>De mest sentrale utfordringene er knyttet til formålsutglidning og antallet aktører som vil ha tilgang til personopplysningene. Skatteetaten vil ved en registrering av medlemskap på skattemeldingen kunne få tilgang til informasjon utover det som er nødvendig for å utføre oppgavene Skatteetaten har i dag, ettersom medlemskap i tros- og livssynssamfunn ikke har noen betydning for andre skattemessige forhold. Dersom skattemyndighetene skal ha en rolle i innberetning av medlemsopplysninger, må det derfor etableres mekanismer som sørger for at dataene ikke benyttes til andre formål</w:t>
      </w:r>
      <w:r w:rsidR="007A370D">
        <w:rPr>
          <w:rFonts w:cs="Times New Roman"/>
          <w:szCs w:val="24"/>
        </w:rPr>
        <w:t xml:space="preserve">. Dessuten må en </w:t>
      </w:r>
      <w:r>
        <w:rPr>
          <w:rFonts w:cs="Times New Roman"/>
          <w:szCs w:val="24"/>
        </w:rPr>
        <w:t>sørge for mekanismer for bla</w:t>
      </w:r>
      <w:r w:rsidR="007A370D">
        <w:rPr>
          <w:rFonts w:cs="Times New Roman"/>
          <w:szCs w:val="24"/>
        </w:rPr>
        <w:t xml:space="preserve">nt annet </w:t>
      </w:r>
      <w:r>
        <w:rPr>
          <w:rFonts w:cs="Times New Roman"/>
          <w:szCs w:val="24"/>
        </w:rPr>
        <w:t>sladding av opplysninger i</w:t>
      </w:r>
      <w:r w:rsidR="007A370D">
        <w:rPr>
          <w:rFonts w:cs="Times New Roman"/>
          <w:szCs w:val="24"/>
        </w:rPr>
        <w:t xml:space="preserve"> forbindelse med </w:t>
      </w:r>
      <w:r>
        <w:rPr>
          <w:rFonts w:cs="Times New Roman"/>
          <w:szCs w:val="24"/>
        </w:rPr>
        <w:t xml:space="preserve">lånesøknad </w:t>
      </w:r>
      <w:r w:rsidR="007A370D">
        <w:rPr>
          <w:rFonts w:cs="Times New Roman"/>
          <w:szCs w:val="24"/>
        </w:rPr>
        <w:t>m.m.</w:t>
      </w:r>
      <w:r>
        <w:rPr>
          <w:rFonts w:cs="Times New Roman"/>
          <w:szCs w:val="24"/>
        </w:rPr>
        <w:t xml:space="preserve"> Dette vil være lettere å få til med den nye s</w:t>
      </w:r>
      <w:r w:rsidR="007A370D">
        <w:rPr>
          <w:rFonts w:cs="Times New Roman"/>
          <w:szCs w:val="24"/>
        </w:rPr>
        <w:t>kattemeldings</w:t>
      </w:r>
      <w:r>
        <w:rPr>
          <w:rFonts w:cs="Times New Roman"/>
          <w:szCs w:val="24"/>
        </w:rPr>
        <w:t>løsningen som er under utarbeidelse</w:t>
      </w:r>
      <w:r w:rsidR="007A370D">
        <w:rPr>
          <w:rFonts w:cs="Times New Roman"/>
          <w:szCs w:val="24"/>
        </w:rPr>
        <w:t>,</w:t>
      </w:r>
      <w:r>
        <w:rPr>
          <w:rFonts w:cs="Times New Roman"/>
          <w:szCs w:val="24"/>
        </w:rPr>
        <w:t xml:space="preserve"> jf. omtale</w:t>
      </w:r>
      <w:r w:rsidR="007A370D">
        <w:rPr>
          <w:rFonts w:cs="Times New Roman"/>
          <w:szCs w:val="24"/>
        </w:rPr>
        <w:t>n</w:t>
      </w:r>
      <w:r>
        <w:rPr>
          <w:rFonts w:cs="Times New Roman"/>
          <w:szCs w:val="24"/>
        </w:rPr>
        <w:t xml:space="preserve"> ovenfor</w:t>
      </w:r>
      <w:r w:rsidR="007A370D">
        <w:rPr>
          <w:rFonts w:cs="Times New Roman"/>
          <w:szCs w:val="24"/>
        </w:rPr>
        <w:t>,</w:t>
      </w:r>
      <w:r w:rsidR="007A370D" w:rsidRPr="007A370D">
        <w:rPr>
          <w:rFonts w:cs="Times New Roman"/>
          <w:szCs w:val="24"/>
        </w:rPr>
        <w:t xml:space="preserve"> </w:t>
      </w:r>
      <w:r w:rsidR="007A370D">
        <w:rPr>
          <w:rFonts w:cs="Times New Roman"/>
          <w:szCs w:val="24"/>
        </w:rPr>
        <w:t>enn det vil være i dag,</w:t>
      </w:r>
    </w:p>
    <w:p w:rsidR="002238DD" w:rsidRPr="00840790" w:rsidRDefault="002238DD" w:rsidP="002238DD">
      <w:pPr>
        <w:rPr>
          <w:rFonts w:cs="Times New Roman"/>
          <w:szCs w:val="24"/>
        </w:rPr>
      </w:pPr>
      <w:r>
        <w:rPr>
          <w:rFonts w:cs="Times New Roman"/>
          <w:szCs w:val="24"/>
        </w:rPr>
        <w:t xml:space="preserve">Teknologisk vil det være relativt enkelt å legge til rette for en forhåndsutfylt skattemelding der opplysninger om medlemskap er innberettet fra tros- og livssynssamfunnene. </w:t>
      </w:r>
    </w:p>
    <w:p w:rsidR="002238DD" w:rsidRDefault="002238DD" w:rsidP="002238DD">
      <w:pPr>
        <w:pStyle w:val="Overskrift4"/>
      </w:pPr>
      <w:r w:rsidRPr="007B5CB7">
        <w:t xml:space="preserve">Innberetning utenom </w:t>
      </w:r>
      <w:r>
        <w:t xml:space="preserve">skattemeldingen </w:t>
      </w:r>
    </w:p>
    <w:p w:rsidR="002238DD" w:rsidRDefault="002238DD" w:rsidP="002238DD">
      <w:pPr>
        <w:rPr>
          <w:rFonts w:cs="Times New Roman"/>
          <w:szCs w:val="24"/>
        </w:rPr>
      </w:pPr>
      <w:r>
        <w:rPr>
          <w:rFonts w:cs="Times New Roman"/>
          <w:szCs w:val="24"/>
        </w:rPr>
        <w:t>Innberetning av medlemskap kan også gjøres utenom skattemeldingen, for eksempel ved bruk av Altinn. Informasjon om medlemskap kobles da til skattesystemet på samme måte som ved bruk av skattemeldingen, men den vil bli lagret i et eget register og ikke være synlig på den enkeltes skattemelding.</w:t>
      </w:r>
    </w:p>
    <w:p w:rsidR="002238DD" w:rsidRDefault="002238DD" w:rsidP="002238DD">
      <w:pPr>
        <w:rPr>
          <w:rFonts w:cs="Times New Roman"/>
          <w:szCs w:val="24"/>
        </w:rPr>
      </w:pPr>
      <w:r>
        <w:rPr>
          <w:rFonts w:cs="Times New Roman"/>
          <w:szCs w:val="24"/>
        </w:rPr>
        <w:t xml:space="preserve">Bruk av en Altinn-løsning har en samlet lav kostnad for staten da det allerede eksisterer løsninger som kan gjenbrukes for innrapportering. Ifølge Brønnøysundregistrene vil ikke nødvendige systemendringer være spesielt ressurskrevende eller teknologisk komplekse, og kan i ressursbruk sammenlignes med en enkel ombygging av skattemeldingen. </w:t>
      </w:r>
    </w:p>
    <w:p w:rsidR="002238DD" w:rsidRDefault="002238DD" w:rsidP="002238DD">
      <w:pPr>
        <w:rPr>
          <w:rFonts w:cs="Times New Roman"/>
          <w:szCs w:val="24"/>
        </w:rPr>
      </w:pPr>
      <w:r>
        <w:rPr>
          <w:rFonts w:cs="Times New Roman"/>
          <w:szCs w:val="24"/>
        </w:rPr>
        <w:t xml:space="preserve">For tros- og livssynssamfunnene inkludert Den norske kirke vil administrasjonsbyrden også være lik som ved innrapportering via skattemeldingen. Ved bruk av Altinn vil det imidlertid være behov for å avklare hvem det er som skal forvalte registeret, noe som ifølge EYs rapport må utredes nærmere om en skulle velge å </w:t>
      </w:r>
      <w:r w:rsidR="00820EDB">
        <w:rPr>
          <w:rFonts w:cs="Times New Roman"/>
          <w:szCs w:val="24"/>
        </w:rPr>
        <w:t xml:space="preserve">gå </w:t>
      </w:r>
      <w:r>
        <w:rPr>
          <w:rFonts w:cs="Times New Roman"/>
          <w:szCs w:val="24"/>
        </w:rPr>
        <w:t xml:space="preserve">videre med en slik løsning. </w:t>
      </w:r>
    </w:p>
    <w:p w:rsidR="002238DD" w:rsidRDefault="002238DD" w:rsidP="002238DD">
      <w:pPr>
        <w:rPr>
          <w:rFonts w:cs="Times New Roman"/>
          <w:szCs w:val="24"/>
        </w:rPr>
      </w:pPr>
      <w:r>
        <w:rPr>
          <w:rFonts w:cs="Times New Roman"/>
          <w:szCs w:val="24"/>
        </w:rPr>
        <w:t>En digital løsning</w:t>
      </w:r>
      <w:r w:rsidR="001E3AD1">
        <w:rPr>
          <w:rFonts w:cs="Times New Roman"/>
          <w:szCs w:val="24"/>
        </w:rPr>
        <w:t>,</w:t>
      </w:r>
      <w:r>
        <w:rPr>
          <w:rFonts w:cs="Times New Roman"/>
          <w:szCs w:val="24"/>
        </w:rPr>
        <w:t xml:space="preserve"> som Altinn</w:t>
      </w:r>
      <w:r w:rsidR="001E3AD1">
        <w:rPr>
          <w:rFonts w:cs="Times New Roman"/>
          <w:szCs w:val="24"/>
        </w:rPr>
        <w:t>,</w:t>
      </w:r>
      <w:r>
        <w:rPr>
          <w:rFonts w:cs="Times New Roman"/>
          <w:szCs w:val="24"/>
        </w:rPr>
        <w:t xml:space="preserve"> krever innlogging for å kontrollere eget medlemskap. For de fleste skatteytere er Altinn et kjent system, men for privatpersoner som ikke bruker digitale løsninger vil en eventuell kontroll av medlemskap måtte skje på annen måte, for eksempel </w:t>
      </w:r>
      <w:r>
        <w:rPr>
          <w:rFonts w:cs="Times New Roman"/>
          <w:szCs w:val="24"/>
        </w:rPr>
        <w:lastRenderedPageBreak/>
        <w:t xml:space="preserve">via post. Også dette må nærmere </w:t>
      </w:r>
      <w:r w:rsidR="001E3AD1">
        <w:rPr>
          <w:rFonts w:cs="Times New Roman"/>
          <w:szCs w:val="24"/>
        </w:rPr>
        <w:t>vurderes</w:t>
      </w:r>
      <w:r>
        <w:rPr>
          <w:rFonts w:cs="Times New Roman"/>
          <w:szCs w:val="24"/>
        </w:rPr>
        <w:t xml:space="preserve">, da graden av tilgjengelighet og aktivitet fra borgerne har betydning for hvor korrekte opplysningene blir. </w:t>
      </w:r>
    </w:p>
    <w:p w:rsidR="002238DD" w:rsidRDefault="002238DD" w:rsidP="002238DD">
      <w:pPr>
        <w:rPr>
          <w:rFonts w:cs="Times New Roman"/>
          <w:szCs w:val="24"/>
        </w:rPr>
      </w:pPr>
      <w:r>
        <w:rPr>
          <w:rFonts w:cs="Times New Roman"/>
          <w:szCs w:val="24"/>
        </w:rPr>
        <w:t>Mulighetene for å innberette medlemsopplysninger utenom skattemeldingen gir i seg selv færre personvernkonflikter. Sensitiv personinformasjon om tilhørighet til tros- og livssynssamfunn samles fortsatt inn og krever tilstrekkelig behandlingsgrunnlag, beskyttelse og ivaretakelse av kvalitetskrav, men den sep</w:t>
      </w:r>
      <w:r w:rsidR="00872294">
        <w:rPr>
          <w:rFonts w:cs="Times New Roman"/>
          <w:szCs w:val="24"/>
        </w:rPr>
        <w:t>a</w:t>
      </w:r>
      <w:r>
        <w:rPr>
          <w:rFonts w:cs="Times New Roman"/>
          <w:szCs w:val="24"/>
        </w:rPr>
        <w:t>rate behandlingsprossessen gjør det enklere å ivareta personvernet på en god måte. Bla</w:t>
      </w:r>
      <w:r w:rsidR="00406761">
        <w:rPr>
          <w:rFonts w:cs="Times New Roman"/>
          <w:szCs w:val="24"/>
        </w:rPr>
        <w:t xml:space="preserve">nt annet </w:t>
      </w:r>
      <w:r>
        <w:rPr>
          <w:rFonts w:cs="Times New Roman"/>
          <w:szCs w:val="24"/>
        </w:rPr>
        <w:t>vil det ikke være behov for sladding av opplysninger ved fr</w:t>
      </w:r>
      <w:r w:rsidR="00406761">
        <w:rPr>
          <w:rFonts w:cs="Times New Roman"/>
          <w:szCs w:val="24"/>
        </w:rPr>
        <w:t>a</w:t>
      </w:r>
      <w:r>
        <w:rPr>
          <w:rFonts w:cs="Times New Roman"/>
          <w:szCs w:val="24"/>
        </w:rPr>
        <w:t xml:space="preserve">mleggelse av skattemeldingen til andre formål. </w:t>
      </w:r>
    </w:p>
    <w:p w:rsidR="002238DD" w:rsidRPr="00E92719" w:rsidRDefault="002238DD" w:rsidP="002238DD">
      <w:pPr>
        <w:pStyle w:val="Overskrift3"/>
      </w:pPr>
      <w:bookmarkStart w:id="3580" w:name="_Toc477536063"/>
      <w:bookmarkStart w:id="3581" w:name="_Toc477631193"/>
      <w:bookmarkStart w:id="3582" w:name="_Toc477694158"/>
      <w:bookmarkStart w:id="3583" w:name="_Toc477704584"/>
      <w:bookmarkStart w:id="3584" w:name="_Toc477799827"/>
      <w:bookmarkStart w:id="3585" w:name="_Toc477806428"/>
      <w:bookmarkStart w:id="3586" w:name="_Toc477872088"/>
      <w:bookmarkStart w:id="3587" w:name="_Toc477878696"/>
      <w:bookmarkStart w:id="3588" w:name="_Toc477882100"/>
      <w:bookmarkStart w:id="3589" w:name="_Toc477886562"/>
      <w:bookmarkStart w:id="3590" w:name="_Toc478131507"/>
      <w:bookmarkStart w:id="3591" w:name="_Toc478138877"/>
      <w:bookmarkStart w:id="3592" w:name="_Toc478232401"/>
      <w:bookmarkStart w:id="3593" w:name="_Toc478237386"/>
      <w:bookmarkStart w:id="3594" w:name="_Toc481761930"/>
      <w:bookmarkStart w:id="3595" w:name="_Toc492900582"/>
      <w:r w:rsidRPr="00E92719">
        <w:t>Øremerking</w:t>
      </w:r>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rsidR="002238DD" w:rsidRDefault="002238DD" w:rsidP="002238DD">
      <w:pPr>
        <w:rPr>
          <w:rFonts w:cs="Times New Roman"/>
          <w:szCs w:val="24"/>
        </w:rPr>
      </w:pPr>
      <w:r>
        <w:rPr>
          <w:rFonts w:cs="Times New Roman"/>
          <w:szCs w:val="24"/>
        </w:rPr>
        <w:t xml:space="preserve">Begrepet øremerking innebærer at det </w:t>
      </w:r>
      <w:r w:rsidR="001E3AD1">
        <w:rPr>
          <w:rFonts w:cs="Times New Roman"/>
          <w:szCs w:val="24"/>
        </w:rPr>
        <w:t xml:space="preserve">er direkte </w:t>
      </w:r>
      <w:r>
        <w:rPr>
          <w:rFonts w:cs="Times New Roman"/>
          <w:szCs w:val="24"/>
        </w:rPr>
        <w:t>sammen</w:t>
      </w:r>
      <w:r w:rsidR="001E3AD1">
        <w:rPr>
          <w:rFonts w:cs="Times New Roman"/>
          <w:szCs w:val="24"/>
        </w:rPr>
        <w:t xml:space="preserve">kopling </w:t>
      </w:r>
      <w:r>
        <w:rPr>
          <w:rFonts w:cs="Times New Roman"/>
          <w:szCs w:val="24"/>
        </w:rPr>
        <w:t xml:space="preserve">mellom avgiften som betales og støtten som gis til et bestemt formål. </w:t>
      </w:r>
    </w:p>
    <w:p w:rsidR="002238DD" w:rsidRDefault="002238DD" w:rsidP="002238DD">
      <w:pPr>
        <w:rPr>
          <w:rFonts w:cs="Times New Roman"/>
          <w:szCs w:val="24"/>
        </w:rPr>
      </w:pPr>
      <w:r>
        <w:rPr>
          <w:rFonts w:cs="Times New Roman"/>
          <w:szCs w:val="24"/>
        </w:rPr>
        <w:t xml:space="preserve">Med tanke på livssynsavgiften blir det relevant å snakke om øremerking </w:t>
      </w:r>
      <w:r w:rsidR="00206DA7">
        <w:rPr>
          <w:rFonts w:cs="Times New Roman"/>
          <w:szCs w:val="24"/>
        </w:rPr>
        <w:t xml:space="preserve">dels </w:t>
      </w:r>
      <w:r>
        <w:rPr>
          <w:rFonts w:cs="Times New Roman"/>
          <w:szCs w:val="24"/>
        </w:rPr>
        <w:t>i forbindelse med en progressiv avgift</w:t>
      </w:r>
      <w:r w:rsidR="00206DA7">
        <w:rPr>
          <w:rFonts w:cs="Times New Roman"/>
          <w:szCs w:val="24"/>
        </w:rPr>
        <w:t>, dels</w:t>
      </w:r>
      <w:r>
        <w:rPr>
          <w:rFonts w:cs="Times New Roman"/>
          <w:szCs w:val="24"/>
        </w:rPr>
        <w:t xml:space="preserve"> i forbindelse med hva avgiften fra de som ikke er medlemmer av noe tros- eller livssynssamfunn skal gå til. </w:t>
      </w:r>
      <w:r w:rsidR="00206DA7">
        <w:rPr>
          <w:rFonts w:cs="Times New Roman"/>
          <w:szCs w:val="24"/>
        </w:rPr>
        <w:t xml:space="preserve">Det siste er </w:t>
      </w:r>
      <w:r w:rsidR="001E3AD1">
        <w:rPr>
          <w:rFonts w:cs="Times New Roman"/>
          <w:szCs w:val="24"/>
        </w:rPr>
        <w:t xml:space="preserve">tatt opp </w:t>
      </w:r>
      <w:r w:rsidR="00206DA7">
        <w:rPr>
          <w:rFonts w:cs="Times New Roman"/>
          <w:szCs w:val="24"/>
        </w:rPr>
        <w:t>under punkt 21.5</w:t>
      </w:r>
      <w:r w:rsidR="001E3AD1">
        <w:rPr>
          <w:rFonts w:cs="Times New Roman"/>
          <w:szCs w:val="24"/>
        </w:rPr>
        <w:t xml:space="preserve"> nedenfor.</w:t>
      </w:r>
      <w:r w:rsidRPr="00206DA7">
        <w:rPr>
          <w:rFonts w:cs="Times New Roman"/>
          <w:i/>
          <w:szCs w:val="24"/>
        </w:rPr>
        <w:t xml:space="preserve"> </w:t>
      </w:r>
    </w:p>
    <w:p w:rsidR="002238DD" w:rsidRDefault="002238DD" w:rsidP="002238DD">
      <w:pPr>
        <w:rPr>
          <w:rFonts w:cs="Times New Roman"/>
          <w:szCs w:val="24"/>
        </w:rPr>
      </w:pPr>
      <w:r>
        <w:rPr>
          <w:rFonts w:cs="Times New Roman"/>
          <w:szCs w:val="24"/>
        </w:rPr>
        <w:t>Ved utforming av avgiften som et fast kronebeløp som er likt for alle, blir det å snakke om en eventuell øremerking overflødig. Dette skyldes at samtlige tros- eller livssynssamfunn uansett vil få inntekter som er direkte proposjonal med antallet skattebetalende medlemmer. Diskusjonen om hvorvidt avgiften skal øremerkes eller ei</w:t>
      </w:r>
      <w:r w:rsidR="001E3AD1">
        <w:rPr>
          <w:rFonts w:cs="Times New Roman"/>
          <w:szCs w:val="24"/>
        </w:rPr>
        <w:t>,</w:t>
      </w:r>
      <w:r>
        <w:rPr>
          <w:rFonts w:cs="Times New Roman"/>
          <w:szCs w:val="24"/>
        </w:rPr>
        <w:t xml:space="preserve"> blir derfor først relevant når man kommer til en progressiv utforming av avgiften. Ved en progressiv avgift vil som nevnt en person som betaler mer i skatt</w:t>
      </w:r>
      <w:r w:rsidR="00957331">
        <w:rPr>
          <w:rFonts w:cs="Times New Roman"/>
          <w:szCs w:val="24"/>
        </w:rPr>
        <w:t xml:space="preserve"> enn gjennomsnittet</w:t>
      </w:r>
      <w:r w:rsidR="001E3AD1">
        <w:rPr>
          <w:rFonts w:cs="Times New Roman"/>
          <w:szCs w:val="24"/>
        </w:rPr>
        <w:t>,</w:t>
      </w:r>
      <w:r>
        <w:rPr>
          <w:rFonts w:cs="Times New Roman"/>
          <w:szCs w:val="24"/>
        </w:rPr>
        <w:t xml:space="preserve"> også bidra til </w:t>
      </w:r>
      <w:r w:rsidR="00957331">
        <w:rPr>
          <w:rFonts w:cs="Times New Roman"/>
          <w:szCs w:val="24"/>
        </w:rPr>
        <w:t>større</w:t>
      </w:r>
      <w:r>
        <w:rPr>
          <w:rFonts w:cs="Times New Roman"/>
          <w:szCs w:val="24"/>
        </w:rPr>
        <w:t xml:space="preserve"> støtte til sitt tros- eller livssynssamfunn</w:t>
      </w:r>
      <w:r w:rsidR="00957331">
        <w:rPr>
          <w:rFonts w:cs="Times New Roman"/>
          <w:szCs w:val="24"/>
        </w:rPr>
        <w:t>. E</w:t>
      </w:r>
      <w:r>
        <w:rPr>
          <w:rFonts w:cs="Times New Roman"/>
          <w:szCs w:val="24"/>
        </w:rPr>
        <w:t xml:space="preserve">t samfunn med mange høyinntektspersoner vil </w:t>
      </w:r>
      <w:r w:rsidR="00957331">
        <w:rPr>
          <w:rFonts w:cs="Times New Roman"/>
          <w:szCs w:val="24"/>
        </w:rPr>
        <w:t xml:space="preserve">dermed </w:t>
      </w:r>
      <w:r>
        <w:rPr>
          <w:rFonts w:cs="Times New Roman"/>
          <w:szCs w:val="24"/>
        </w:rPr>
        <w:t>få mer i støtte enn et samfunn med mange lavinntek</w:t>
      </w:r>
      <w:r w:rsidR="00406761">
        <w:rPr>
          <w:rFonts w:cs="Times New Roman"/>
          <w:szCs w:val="24"/>
        </w:rPr>
        <w:t>t</w:t>
      </w:r>
      <w:r>
        <w:rPr>
          <w:rFonts w:cs="Times New Roman"/>
          <w:szCs w:val="24"/>
        </w:rPr>
        <w:t>spersoner, jf. omtale</w:t>
      </w:r>
      <w:r w:rsidR="00206DA7">
        <w:rPr>
          <w:rFonts w:cs="Times New Roman"/>
          <w:szCs w:val="24"/>
        </w:rPr>
        <w:t>n</w:t>
      </w:r>
      <w:r>
        <w:rPr>
          <w:rFonts w:cs="Times New Roman"/>
          <w:szCs w:val="24"/>
        </w:rPr>
        <w:t xml:space="preserve"> under p</w:t>
      </w:r>
      <w:r w:rsidR="008A662E">
        <w:rPr>
          <w:rFonts w:cs="Times New Roman"/>
          <w:szCs w:val="24"/>
        </w:rPr>
        <w:t>un</w:t>
      </w:r>
      <w:r>
        <w:rPr>
          <w:rFonts w:cs="Times New Roman"/>
          <w:szCs w:val="24"/>
        </w:rPr>
        <w:t xml:space="preserve">kt </w:t>
      </w:r>
      <w:r w:rsidR="003A5667">
        <w:rPr>
          <w:rFonts w:cs="Times New Roman"/>
          <w:szCs w:val="24"/>
        </w:rPr>
        <w:t>21.4.2</w:t>
      </w:r>
      <w:r>
        <w:rPr>
          <w:rFonts w:cs="Times New Roman"/>
          <w:szCs w:val="24"/>
        </w:rPr>
        <w:t xml:space="preserve"> </w:t>
      </w:r>
      <w:r w:rsidRPr="00C9254F">
        <w:rPr>
          <w:rFonts w:cs="Times New Roman"/>
          <w:i/>
          <w:szCs w:val="24"/>
        </w:rPr>
        <w:t>Uforming av avgiften</w:t>
      </w:r>
      <w:r>
        <w:rPr>
          <w:rFonts w:cs="Times New Roman"/>
          <w:szCs w:val="24"/>
        </w:rPr>
        <w:t xml:space="preserve">. </w:t>
      </w:r>
    </w:p>
    <w:p w:rsidR="002238DD" w:rsidRDefault="002238DD" w:rsidP="002238DD">
      <w:pPr>
        <w:rPr>
          <w:rFonts w:cs="Times New Roman"/>
          <w:szCs w:val="24"/>
        </w:rPr>
      </w:pPr>
      <w:r>
        <w:rPr>
          <w:rFonts w:cs="Times New Roman"/>
          <w:szCs w:val="24"/>
        </w:rPr>
        <w:t>En progressiv øremerket avgift vil gjøre tros- og livssynssamfunnenes inntekter avhengig av medlemmenes inntektsnivå. Den vil slik ha konsekvenser for fordelingen av økonomisk støtte mellom samfunnene. Den vil også gi større personvernutfordringer</w:t>
      </w:r>
      <w:r w:rsidR="001E3AD1">
        <w:rPr>
          <w:rFonts w:cs="Times New Roman"/>
          <w:szCs w:val="24"/>
        </w:rPr>
        <w:t>,</w:t>
      </w:r>
      <w:r>
        <w:rPr>
          <w:rFonts w:cs="Times New Roman"/>
          <w:szCs w:val="24"/>
        </w:rPr>
        <w:t xml:space="preserve"> fordi </w:t>
      </w:r>
      <w:r w:rsidR="001E3AD1">
        <w:rPr>
          <w:rFonts w:cs="Times New Roman"/>
          <w:szCs w:val="24"/>
        </w:rPr>
        <w:t xml:space="preserve">det gjennom hele prosessen </w:t>
      </w:r>
      <w:r>
        <w:rPr>
          <w:rFonts w:cs="Times New Roman"/>
          <w:szCs w:val="24"/>
        </w:rPr>
        <w:t>kreve</w:t>
      </w:r>
      <w:r w:rsidR="001E3AD1">
        <w:rPr>
          <w:rFonts w:cs="Times New Roman"/>
          <w:szCs w:val="24"/>
        </w:rPr>
        <w:t>s</w:t>
      </w:r>
      <w:r>
        <w:rPr>
          <w:rFonts w:cs="Times New Roman"/>
          <w:szCs w:val="24"/>
        </w:rPr>
        <w:t xml:space="preserve"> en kobling mellom skatteopplysninger og den enkeltes tilhørighet. Graden av personvernutfordringer er imidlertid avhengig av når i prosessen sammenkoblingen av opplysninger skjer. Skjer den allerede på skattemeldingen, vil personvernutfordringene være større enn dersom den først skjer i etterkant ved at skattemyndighetene innhenter opplysninger om medlemskap fra for eksempel Altinn. </w:t>
      </w:r>
    </w:p>
    <w:p w:rsidR="002238DD" w:rsidRDefault="002238DD" w:rsidP="002238DD">
      <w:pPr>
        <w:rPr>
          <w:rFonts w:cs="Times New Roman"/>
          <w:szCs w:val="24"/>
        </w:rPr>
      </w:pPr>
      <w:r>
        <w:rPr>
          <w:rFonts w:cs="Times New Roman"/>
          <w:szCs w:val="24"/>
        </w:rPr>
        <w:t>Personvernutfordringene vil til dels også være de samme ved et fast kronebeløp</w:t>
      </w:r>
      <w:r w:rsidR="00206DA7">
        <w:rPr>
          <w:rFonts w:cs="Times New Roman"/>
          <w:szCs w:val="24"/>
        </w:rPr>
        <w:t>,</w:t>
      </w:r>
      <w:r>
        <w:rPr>
          <w:rFonts w:cs="Times New Roman"/>
          <w:szCs w:val="24"/>
        </w:rPr>
        <w:t xml:space="preserve"> selv om man ikke bruker begrepet øremerking. Men ved et fast kronebeløp er det mulig å ha færre opplysninger knyttet til personlig medlemskap. Bla</w:t>
      </w:r>
      <w:r w:rsidR="00206DA7">
        <w:rPr>
          <w:rFonts w:cs="Times New Roman"/>
          <w:szCs w:val="24"/>
        </w:rPr>
        <w:t xml:space="preserve">nt annet </w:t>
      </w:r>
      <w:r>
        <w:rPr>
          <w:rFonts w:cs="Times New Roman"/>
          <w:szCs w:val="24"/>
        </w:rPr>
        <w:t>kobles ikke informasjonen til inntekt, og det er også mulig å bare skille mellom de som er medlemmer av et tros- eller livssyn</w:t>
      </w:r>
      <w:r w:rsidR="00E26246">
        <w:rPr>
          <w:rFonts w:cs="Times New Roman"/>
          <w:szCs w:val="24"/>
        </w:rPr>
        <w:t>s</w:t>
      </w:r>
      <w:r>
        <w:rPr>
          <w:rFonts w:cs="Times New Roman"/>
          <w:szCs w:val="24"/>
        </w:rPr>
        <w:t xml:space="preserve">samfunn og de som ikke er medlemmer i et slikt samfunn. Dette siden kronebeløpet uansett er det samme og ingen tros- eller livssynssamfunn slik sett vil være med på å sponse hverandre.  </w:t>
      </w:r>
    </w:p>
    <w:p w:rsidR="002238DD" w:rsidRDefault="002238DD" w:rsidP="002238DD">
      <w:pPr>
        <w:rPr>
          <w:rFonts w:cs="Times New Roman"/>
          <w:szCs w:val="24"/>
        </w:rPr>
      </w:pPr>
      <w:r>
        <w:rPr>
          <w:rFonts w:cs="Times New Roman"/>
          <w:szCs w:val="24"/>
        </w:rPr>
        <w:t xml:space="preserve">For den personlige skatteyter og for tros- og livssynssamfunnene vil spørsmålet om øremerking ikke ha betydning for administrasjonsbyrden. For staten vil en sammenkobling øke administrasjonsbyrden noe, men når den tekniske løsningen først er på plass vil den være relativt enkel å forvalte. En kobling mellom skatteopplysninger og medlemskap i tros- og livsynssamfunn vil være enklere å administrere i skattemeldingen enn hvis skatteopplysningene skal kobles mot et separat register som for eksempel Altinn. </w:t>
      </w:r>
    </w:p>
    <w:p w:rsidR="002238DD" w:rsidRDefault="002238DD" w:rsidP="002238DD">
      <w:pPr>
        <w:rPr>
          <w:rFonts w:cs="Times New Roman"/>
          <w:szCs w:val="24"/>
        </w:rPr>
      </w:pPr>
      <w:r>
        <w:rPr>
          <w:rFonts w:cs="Times New Roman"/>
          <w:szCs w:val="24"/>
        </w:rPr>
        <w:lastRenderedPageBreak/>
        <w:t>Ifølge Brønn</w:t>
      </w:r>
      <w:r w:rsidR="00406761">
        <w:rPr>
          <w:rFonts w:cs="Times New Roman"/>
          <w:szCs w:val="24"/>
        </w:rPr>
        <w:t>øy</w:t>
      </w:r>
      <w:r>
        <w:rPr>
          <w:rFonts w:cs="Times New Roman"/>
          <w:szCs w:val="24"/>
        </w:rPr>
        <w:t xml:space="preserve">sundregistrene, NRK og Skatteetaten er det ingen </w:t>
      </w:r>
      <w:r w:rsidR="001E3AD1">
        <w:rPr>
          <w:rFonts w:cs="Times New Roman"/>
          <w:szCs w:val="24"/>
        </w:rPr>
        <w:t xml:space="preserve">avgjørende </w:t>
      </w:r>
      <w:r>
        <w:rPr>
          <w:rFonts w:cs="Times New Roman"/>
          <w:szCs w:val="24"/>
        </w:rPr>
        <w:t xml:space="preserve">teknologiske begrensninger knyttet til øremerking, verken ved bruk av skattemeldingen eller Altinn.  </w:t>
      </w:r>
    </w:p>
    <w:p w:rsidR="002238DD" w:rsidRPr="00E92719" w:rsidRDefault="002238DD" w:rsidP="002238DD">
      <w:pPr>
        <w:pStyle w:val="Overskrift3"/>
      </w:pPr>
      <w:bookmarkStart w:id="3596" w:name="_Toc477536064"/>
      <w:bookmarkStart w:id="3597" w:name="_Toc477631194"/>
      <w:bookmarkStart w:id="3598" w:name="_Toc477694159"/>
      <w:bookmarkStart w:id="3599" w:name="_Toc477704585"/>
      <w:bookmarkStart w:id="3600" w:name="_Toc477799828"/>
      <w:bookmarkStart w:id="3601" w:name="_Toc477806429"/>
      <w:bookmarkStart w:id="3602" w:name="_Toc477872089"/>
      <w:bookmarkStart w:id="3603" w:name="_Toc477878697"/>
      <w:bookmarkStart w:id="3604" w:name="_Toc477882101"/>
      <w:bookmarkStart w:id="3605" w:name="_Toc477886563"/>
      <w:bookmarkStart w:id="3606" w:name="_Toc478131508"/>
      <w:bookmarkStart w:id="3607" w:name="_Toc478138878"/>
      <w:bookmarkStart w:id="3608" w:name="_Toc478232402"/>
      <w:bookmarkStart w:id="3609" w:name="_Toc478237387"/>
      <w:bookmarkStart w:id="3610" w:name="_Toc481761931"/>
      <w:bookmarkStart w:id="3611" w:name="_Toc492900583"/>
      <w:r w:rsidRPr="00E92719">
        <w:t>EY Norges konklusjoner og anbefalinger</w:t>
      </w:r>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p>
    <w:p w:rsidR="002238DD" w:rsidRDefault="002238DD" w:rsidP="002238DD">
      <w:pPr>
        <w:rPr>
          <w:rFonts w:cs="Times New Roman"/>
          <w:szCs w:val="24"/>
        </w:rPr>
      </w:pPr>
      <w:r>
        <w:rPr>
          <w:rFonts w:cs="Times New Roman"/>
          <w:szCs w:val="24"/>
        </w:rPr>
        <w:t xml:space="preserve">EYs </w:t>
      </w:r>
      <w:r w:rsidR="001E3AD1">
        <w:rPr>
          <w:rFonts w:cs="Times New Roman"/>
          <w:szCs w:val="24"/>
        </w:rPr>
        <w:t>rapport</w:t>
      </w:r>
      <w:r>
        <w:rPr>
          <w:rFonts w:cs="Times New Roman"/>
          <w:szCs w:val="24"/>
        </w:rPr>
        <w:t xml:space="preserve"> konkluderer med at det er flere mulige løsninger for hvordan livssynsavgiften kan sammensettes. Målt mot hvilken løsning som best ivaretar personvernutfordringer og minimerer de økonomiske og administrative konsekvensene for staten, tros- og livssynssamfunnene og skattebetalerne, konkluderer EY med at avgiften bør</w:t>
      </w:r>
    </w:p>
    <w:p w:rsidR="002238DD" w:rsidRDefault="002238DD" w:rsidP="00DC4134">
      <w:pPr>
        <w:pStyle w:val="Liste2"/>
      </w:pPr>
      <w:r>
        <w:t>utformes som en progressiv avgift</w:t>
      </w:r>
      <w:r w:rsidR="00957331">
        <w:t>,</w:t>
      </w:r>
    </w:p>
    <w:p w:rsidR="002238DD" w:rsidRDefault="002238DD" w:rsidP="00DC4134">
      <w:pPr>
        <w:pStyle w:val="Liste2"/>
      </w:pPr>
      <w:r>
        <w:t>innkreves via skattesystemet</w:t>
      </w:r>
      <w:r w:rsidR="00957331">
        <w:t>,</w:t>
      </w:r>
    </w:p>
    <w:p w:rsidR="002238DD" w:rsidRDefault="002238DD" w:rsidP="00DC4134">
      <w:pPr>
        <w:pStyle w:val="Liste2"/>
      </w:pPr>
      <w:r>
        <w:t>innberettes uavhengig av skattemeldingen (for eksempel Altinn)</w:t>
      </w:r>
      <w:r w:rsidR="00957331">
        <w:t xml:space="preserve"> og</w:t>
      </w:r>
    </w:p>
    <w:p w:rsidR="002238DD" w:rsidRDefault="002238DD" w:rsidP="00DC4134">
      <w:pPr>
        <w:pStyle w:val="Liste2"/>
      </w:pPr>
      <w:r>
        <w:t>ikke øremerkes.</w:t>
      </w:r>
    </w:p>
    <w:p w:rsidR="002238DD" w:rsidRDefault="002238DD" w:rsidP="002238DD">
      <w:pPr>
        <w:rPr>
          <w:rFonts w:cs="Times New Roman"/>
          <w:szCs w:val="24"/>
        </w:rPr>
      </w:pPr>
      <w:r>
        <w:rPr>
          <w:rFonts w:cs="Times New Roman"/>
          <w:szCs w:val="24"/>
        </w:rPr>
        <w:t>Argumentene for EYs anbefalinger er i rapporten oppsummert slik:</w:t>
      </w:r>
    </w:p>
    <w:p w:rsidR="002238DD" w:rsidRPr="00DC4134" w:rsidRDefault="002238DD" w:rsidP="00DC4134">
      <w:pPr>
        <w:pStyle w:val="blokksit"/>
        <w:rPr>
          <w:rStyle w:val="kursiv"/>
        </w:rPr>
      </w:pPr>
      <w:r w:rsidRPr="00DC4134">
        <w:rPr>
          <w:rStyle w:val="kursiv"/>
        </w:rPr>
        <w:t>Det mest fordelaktige alternativet for utforming av livssynsavgiften synes å være en progressiv avgift. Denne utformingen vil gi minst endringer i enkeltpersoners skattebelastning og sannsynligvis oppleves som mest sosialt akseptabelt. Skatteinnkreving vil gi mindre administrative kostnader for staten sammenlignet med innkreving ved bruk av faktura. Innenfor området innberetning eksisterer det et potensiale for forenkling og dermed reduksjon av administrasjonsbyrde for staten, tros- og livssynssamfunn og skattebetalerne sammenlignet med dagens løsning. Innberetning av medlemslister fra alle tros- og livssynssamfunn via Altinn til et register uavhengig av skattesystemet vil gi minst administrasjonsbyrde av de vurderte alternativene, i tillegg til å gi færrest personvernutfordringer. Ingen øremerking av avgiften vil gi mindre administrasjonsbyrde for staten, færre personvernutfordringer og være mindre krevende enn om avgiften skal kunne øremerkes fra skattebetaler til det enkelte tros- og livssynssamfunn (s. 29).</w:t>
      </w:r>
    </w:p>
    <w:p w:rsidR="002238DD" w:rsidRDefault="002238DD" w:rsidP="002238DD">
      <w:pPr>
        <w:autoSpaceDE w:val="0"/>
        <w:autoSpaceDN w:val="0"/>
        <w:adjustRightInd w:val="0"/>
        <w:spacing w:after="0" w:line="240" w:lineRule="auto"/>
        <w:rPr>
          <w:rFonts w:cs="Times New Roman"/>
          <w:szCs w:val="24"/>
        </w:rPr>
      </w:pPr>
      <w:r>
        <w:rPr>
          <w:rFonts w:cs="Times New Roman"/>
          <w:szCs w:val="24"/>
        </w:rPr>
        <w:t xml:space="preserve">EY påpeker imidlertid at den anbefalte løsningen </w:t>
      </w:r>
      <w:r w:rsidR="008A662E">
        <w:rPr>
          <w:rFonts w:cs="Times New Roman"/>
          <w:szCs w:val="24"/>
        </w:rPr>
        <w:t>kan sies å</w:t>
      </w:r>
      <w:r>
        <w:rPr>
          <w:rFonts w:cs="Times New Roman"/>
          <w:szCs w:val="24"/>
        </w:rPr>
        <w:t xml:space="preserve"> bevege seg vekk fra intensjonene med en livssynsavgift, og at det her mer er </w:t>
      </w:r>
      <w:r w:rsidR="001E3AD1">
        <w:rPr>
          <w:rFonts w:cs="Times New Roman"/>
          <w:szCs w:val="24"/>
        </w:rPr>
        <w:t>tale</w:t>
      </w:r>
      <w:r>
        <w:rPr>
          <w:rFonts w:cs="Times New Roman"/>
          <w:szCs w:val="24"/>
        </w:rPr>
        <w:t xml:space="preserve"> om justeringer og forbedringer av dagens ordning enn en "rendyrket" livssynsavgift:</w:t>
      </w:r>
    </w:p>
    <w:p w:rsidR="002238DD" w:rsidRDefault="002238DD" w:rsidP="002238DD">
      <w:pPr>
        <w:autoSpaceDE w:val="0"/>
        <w:autoSpaceDN w:val="0"/>
        <w:adjustRightInd w:val="0"/>
        <w:spacing w:after="0" w:line="240" w:lineRule="auto"/>
        <w:rPr>
          <w:rFonts w:cs="Times New Roman"/>
        </w:rPr>
      </w:pPr>
      <w:r>
        <w:rPr>
          <w:rFonts w:cs="Times New Roman"/>
          <w:szCs w:val="24"/>
        </w:rPr>
        <w:t xml:space="preserve">  </w:t>
      </w:r>
    </w:p>
    <w:p w:rsidR="002238DD" w:rsidRPr="00DC4134" w:rsidRDefault="002238DD" w:rsidP="00DC4134">
      <w:pPr>
        <w:pStyle w:val="blokksit"/>
        <w:rPr>
          <w:rStyle w:val="kursiv"/>
        </w:rPr>
      </w:pPr>
      <w:r w:rsidRPr="00DC4134">
        <w:rPr>
          <w:rStyle w:val="kursiv"/>
        </w:rPr>
        <w:t>Avslutningsvis kan det diskuteres om den anbefalte løsningen som skissert representerer et alternativ som fjerner seg fra intensjonene med en livssynsavgift. Vår anbefalte løsning befinner seg innenfor rammene av hva som er definert som mulighetsrommet for beskrivelse av et livssynsavgiftsalternativ. Samtidig kan det hevdes at løsningen befinner seg helt i en ytterkant av mulighetsrommet, og derfor kan beskrives som en justering av dagens løsning hvor utfordringer med denne løses.</w:t>
      </w:r>
    </w:p>
    <w:p w:rsidR="002238DD" w:rsidRPr="00DC4134" w:rsidRDefault="002238DD" w:rsidP="00DC4134">
      <w:pPr>
        <w:pStyle w:val="blokksit"/>
        <w:rPr>
          <w:rStyle w:val="kursiv"/>
        </w:rPr>
      </w:pPr>
      <w:r w:rsidRPr="00DC4134">
        <w:rPr>
          <w:rStyle w:val="kursiv"/>
        </w:rPr>
        <w:t>Utredningen viser samtidig at alternativer for utforming, innkreving og øremerking som gir en mer «rendyrket» livssynsavgift er mulig, med de konsekvensene som følger dette. Disse alternativene vil kunne medføre en større administrasjonsbyrde for staten, tros- og livssynssamfunnene og skattebetalerne, være mer teknologisk utfordrende, gi flere personvernutfordringer og i enkelte tilfeller gi refordelingseffekter både mellom skattebetalere og tros- og livssynssamfunnene (s. 29).</w:t>
      </w:r>
    </w:p>
    <w:p w:rsidR="002238DD" w:rsidRPr="002F2397" w:rsidRDefault="002238DD" w:rsidP="002238DD">
      <w:pPr>
        <w:pStyle w:val="Overskrift2"/>
      </w:pPr>
      <w:bookmarkStart w:id="3612" w:name="_Toc477536065"/>
      <w:bookmarkStart w:id="3613" w:name="_Toc477631195"/>
      <w:bookmarkStart w:id="3614" w:name="_Toc477694160"/>
      <w:bookmarkStart w:id="3615" w:name="_Toc477704586"/>
      <w:bookmarkStart w:id="3616" w:name="_Toc477799829"/>
      <w:bookmarkStart w:id="3617" w:name="_Toc477806430"/>
      <w:bookmarkStart w:id="3618" w:name="_Toc477872090"/>
      <w:bookmarkStart w:id="3619" w:name="_Toc477878698"/>
      <w:bookmarkStart w:id="3620" w:name="_Toc477882102"/>
      <w:bookmarkStart w:id="3621" w:name="_Toc477886564"/>
      <w:bookmarkStart w:id="3622" w:name="_Toc478131509"/>
      <w:bookmarkStart w:id="3623" w:name="_Toc478138879"/>
      <w:bookmarkStart w:id="3624" w:name="_Toc478232403"/>
      <w:bookmarkStart w:id="3625" w:name="_Toc478237388"/>
      <w:bookmarkStart w:id="3626" w:name="_Toc481761932"/>
      <w:bookmarkStart w:id="3627" w:name="_Toc492900584"/>
      <w:r>
        <w:t>Departementets vurderinger</w:t>
      </w:r>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rsidR="002238DD" w:rsidRPr="00FB00C0" w:rsidRDefault="002238DD" w:rsidP="002238DD">
      <w:pPr>
        <w:pStyle w:val="Overskrift3"/>
      </w:pPr>
      <w:bookmarkStart w:id="3628" w:name="_Toc477536066"/>
      <w:bookmarkStart w:id="3629" w:name="_Toc477631196"/>
      <w:bookmarkStart w:id="3630" w:name="_Toc477694161"/>
      <w:bookmarkStart w:id="3631" w:name="_Toc477704587"/>
      <w:bookmarkStart w:id="3632" w:name="_Toc477799830"/>
      <w:bookmarkStart w:id="3633" w:name="_Toc477806431"/>
      <w:bookmarkStart w:id="3634" w:name="_Toc477872091"/>
      <w:bookmarkStart w:id="3635" w:name="_Toc477878699"/>
      <w:bookmarkStart w:id="3636" w:name="_Toc477882103"/>
      <w:bookmarkStart w:id="3637" w:name="_Toc477886565"/>
      <w:bookmarkStart w:id="3638" w:name="_Toc478131510"/>
      <w:bookmarkStart w:id="3639" w:name="_Toc478138880"/>
      <w:bookmarkStart w:id="3640" w:name="_Toc478232404"/>
      <w:bookmarkStart w:id="3641" w:name="_Toc478237389"/>
      <w:bookmarkStart w:id="3642" w:name="_Toc481761933"/>
      <w:bookmarkStart w:id="3643" w:name="_Toc492900585"/>
      <w:r>
        <w:t>I</w:t>
      </w:r>
      <w:r w:rsidRPr="00FB00C0">
        <w:t>nnledning</w:t>
      </w:r>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p>
    <w:p w:rsidR="002238DD" w:rsidRDefault="002238DD" w:rsidP="002238DD">
      <w:pPr>
        <w:rPr>
          <w:rFonts w:cs="Times New Roman"/>
          <w:szCs w:val="24"/>
        </w:rPr>
      </w:pPr>
      <w:r>
        <w:rPr>
          <w:rFonts w:cs="Times New Roman"/>
          <w:szCs w:val="24"/>
        </w:rPr>
        <w:t xml:space="preserve">Flere kirkelige og offentlige utvalg har pekt på livssynsavgiften som </w:t>
      </w:r>
      <w:r w:rsidR="00E26246">
        <w:rPr>
          <w:rFonts w:cs="Times New Roman"/>
          <w:szCs w:val="24"/>
        </w:rPr>
        <w:t xml:space="preserve">en mulig </w:t>
      </w:r>
      <w:r>
        <w:rPr>
          <w:rFonts w:cs="Times New Roman"/>
          <w:szCs w:val="24"/>
        </w:rPr>
        <w:t xml:space="preserve">modell for å finansiere tros- og livssynssamfunnene i Norge, også Den norske kirke. </w:t>
      </w:r>
    </w:p>
    <w:p w:rsidR="002238DD" w:rsidRDefault="002238DD" w:rsidP="002238DD">
      <w:pPr>
        <w:rPr>
          <w:rFonts w:cs="Times New Roman"/>
          <w:szCs w:val="24"/>
        </w:rPr>
      </w:pPr>
      <w:r>
        <w:rPr>
          <w:rFonts w:cs="Times New Roman"/>
          <w:szCs w:val="24"/>
        </w:rPr>
        <w:t xml:space="preserve">I utredningene fra utvalgene er det imidlertid ikke foretatt noen konsekvensvurdering av livssynsavgiften. Avgiften har mer blitt diskutert ut fra et teoretisk nivå, der den er en avgift </w:t>
      </w:r>
      <w:r>
        <w:rPr>
          <w:rFonts w:cs="Times New Roman"/>
          <w:szCs w:val="24"/>
        </w:rPr>
        <w:lastRenderedPageBreak/>
        <w:t xml:space="preserve">som årlig fastsettes av Stortinget og som alle skatteytere betaler uavhengig av om de er medlem av et tros- eller livssynssamfunn eller ei. </w:t>
      </w:r>
    </w:p>
    <w:p w:rsidR="002238DD" w:rsidRDefault="002238DD" w:rsidP="002238DD">
      <w:pPr>
        <w:rPr>
          <w:rFonts w:cs="Times New Roman"/>
          <w:szCs w:val="24"/>
        </w:rPr>
      </w:pPr>
      <w:r>
        <w:rPr>
          <w:rFonts w:cs="Times New Roman"/>
          <w:szCs w:val="24"/>
        </w:rPr>
        <w:t>Avgiften har også i stor grad blitt sammenlignet med medlemsavgiften, som et alternativ til hvordan en medlemsbasert finansiering kan utformes. I den</w:t>
      </w:r>
      <w:r w:rsidR="00434A01">
        <w:rPr>
          <w:rFonts w:cs="Times New Roman"/>
          <w:szCs w:val="24"/>
        </w:rPr>
        <w:t>ne</w:t>
      </w:r>
      <w:r>
        <w:rPr>
          <w:rFonts w:cs="Times New Roman"/>
          <w:szCs w:val="24"/>
        </w:rPr>
        <w:t xml:space="preserve"> sammenheng</w:t>
      </w:r>
      <w:r w:rsidR="00434A01">
        <w:rPr>
          <w:rFonts w:cs="Times New Roman"/>
          <w:szCs w:val="24"/>
        </w:rPr>
        <w:t>en</w:t>
      </w:r>
      <w:r>
        <w:rPr>
          <w:rFonts w:cs="Times New Roman"/>
          <w:szCs w:val="24"/>
        </w:rPr>
        <w:t xml:space="preserve"> har livssynsavgiften gjerne blitt fr</w:t>
      </w:r>
      <w:r w:rsidR="00434A01">
        <w:rPr>
          <w:rFonts w:cs="Times New Roman"/>
          <w:szCs w:val="24"/>
        </w:rPr>
        <w:t>a</w:t>
      </w:r>
      <w:r>
        <w:rPr>
          <w:rFonts w:cs="Times New Roman"/>
          <w:szCs w:val="24"/>
        </w:rPr>
        <w:t xml:space="preserve">mholdt som fordelaktig for </w:t>
      </w:r>
      <w:r w:rsidR="001E3AD1">
        <w:rPr>
          <w:rFonts w:cs="Times New Roman"/>
          <w:szCs w:val="24"/>
        </w:rPr>
        <w:t xml:space="preserve">å </w:t>
      </w:r>
      <w:r>
        <w:rPr>
          <w:rFonts w:cs="Times New Roman"/>
          <w:szCs w:val="24"/>
        </w:rPr>
        <w:t>bevare Den norske kirke som folkekirke, fordi den antas å demme opp for mulige negative effekter av en medlemsavgift</w:t>
      </w:r>
      <w:r w:rsidR="001E3AD1">
        <w:rPr>
          <w:rFonts w:cs="Times New Roman"/>
          <w:szCs w:val="24"/>
        </w:rPr>
        <w:t xml:space="preserve"> (</w:t>
      </w:r>
      <w:r>
        <w:rPr>
          <w:rFonts w:cs="Times New Roman"/>
          <w:szCs w:val="24"/>
        </w:rPr>
        <w:t>utmelding</w:t>
      </w:r>
      <w:r w:rsidR="001E3AD1">
        <w:rPr>
          <w:rFonts w:cs="Times New Roman"/>
          <w:szCs w:val="24"/>
        </w:rPr>
        <w:t>er m.m.)</w:t>
      </w:r>
      <w:r>
        <w:rPr>
          <w:rFonts w:cs="Times New Roman"/>
          <w:szCs w:val="24"/>
        </w:rPr>
        <w:t xml:space="preserve">. </w:t>
      </w:r>
    </w:p>
    <w:p w:rsidR="002D78F7" w:rsidRDefault="002238DD" w:rsidP="002238DD">
      <w:pPr>
        <w:rPr>
          <w:rFonts w:cs="Times New Roman"/>
          <w:szCs w:val="24"/>
        </w:rPr>
      </w:pPr>
      <w:r>
        <w:rPr>
          <w:rFonts w:cs="Times New Roman"/>
          <w:szCs w:val="24"/>
        </w:rPr>
        <w:t>Når den offentlige finansieringen av Den norske kirke og andre tros- og livssynssamfunn nå er aktuell for endringer, har departementet sett det som viktig å få nærmere vurdert livssynsavgiften som en alternativ finansieringsløsning</w:t>
      </w:r>
      <w:r w:rsidR="002D78F7">
        <w:rPr>
          <w:rFonts w:cs="Times New Roman"/>
          <w:szCs w:val="24"/>
        </w:rPr>
        <w:t xml:space="preserve"> til dagens ordninger, også </w:t>
      </w:r>
      <w:r>
        <w:rPr>
          <w:rFonts w:cs="Times New Roman"/>
          <w:szCs w:val="24"/>
        </w:rPr>
        <w:t xml:space="preserve">til de </w:t>
      </w:r>
      <w:r w:rsidR="002D78F7">
        <w:rPr>
          <w:rFonts w:cs="Times New Roman"/>
          <w:szCs w:val="24"/>
        </w:rPr>
        <w:t xml:space="preserve">endringene i dagens ordninger som </w:t>
      </w:r>
      <w:r>
        <w:rPr>
          <w:rFonts w:cs="Times New Roman"/>
          <w:szCs w:val="24"/>
        </w:rPr>
        <w:t xml:space="preserve">departementet har drøftet i kapitlene foran. </w:t>
      </w:r>
    </w:p>
    <w:p w:rsidR="002238DD" w:rsidRDefault="002D78F7" w:rsidP="002238DD">
      <w:pPr>
        <w:rPr>
          <w:rFonts w:cs="Times New Roman"/>
          <w:szCs w:val="24"/>
        </w:rPr>
      </w:pPr>
      <w:r>
        <w:rPr>
          <w:rFonts w:cs="Times New Roman"/>
          <w:szCs w:val="24"/>
        </w:rPr>
        <w:t>D</w:t>
      </w:r>
      <w:r w:rsidR="002238DD">
        <w:rPr>
          <w:rFonts w:cs="Times New Roman"/>
          <w:szCs w:val="24"/>
        </w:rPr>
        <w:t xml:space="preserve">epartementet </w:t>
      </w:r>
      <w:r>
        <w:rPr>
          <w:rFonts w:cs="Times New Roman"/>
          <w:szCs w:val="24"/>
        </w:rPr>
        <w:t xml:space="preserve">tar ikke opp </w:t>
      </w:r>
      <w:r w:rsidR="002238DD">
        <w:rPr>
          <w:rFonts w:cs="Times New Roman"/>
          <w:szCs w:val="24"/>
        </w:rPr>
        <w:t>forsl</w:t>
      </w:r>
      <w:r>
        <w:rPr>
          <w:rFonts w:cs="Times New Roman"/>
          <w:szCs w:val="24"/>
        </w:rPr>
        <w:t>ag om at tros- og livssynssamfunn</w:t>
      </w:r>
      <w:r w:rsidR="00B50CD5">
        <w:rPr>
          <w:rFonts w:cs="Times New Roman"/>
          <w:szCs w:val="24"/>
        </w:rPr>
        <w:t>ene</w:t>
      </w:r>
      <w:r>
        <w:rPr>
          <w:rFonts w:cs="Times New Roman"/>
          <w:szCs w:val="24"/>
        </w:rPr>
        <w:t xml:space="preserve">, herunder Den norske kirke, skal </w:t>
      </w:r>
      <w:r w:rsidR="002238DD">
        <w:rPr>
          <w:rFonts w:cs="Times New Roman"/>
          <w:szCs w:val="24"/>
        </w:rPr>
        <w:t>fullfinansier</w:t>
      </w:r>
      <w:r>
        <w:rPr>
          <w:rFonts w:cs="Times New Roman"/>
          <w:szCs w:val="24"/>
        </w:rPr>
        <w:t xml:space="preserve">es gjennom kontingenter eller medlemsavgifter. </w:t>
      </w:r>
      <w:r w:rsidR="002238DD">
        <w:rPr>
          <w:rFonts w:cs="Times New Roman"/>
          <w:szCs w:val="24"/>
        </w:rPr>
        <w:t>Livssynsavgiften som modell kan derfor ikke først og fremst måles mot en ren medlemsavgift, slik tilfellet gjerne har vært tidligere. Den må måles mot dagens finansierings</w:t>
      </w:r>
      <w:r>
        <w:rPr>
          <w:rFonts w:cs="Times New Roman"/>
          <w:szCs w:val="24"/>
        </w:rPr>
        <w:t xml:space="preserve">ordninger </w:t>
      </w:r>
      <w:r w:rsidR="002238DD">
        <w:rPr>
          <w:rFonts w:cs="Times New Roman"/>
          <w:szCs w:val="24"/>
        </w:rPr>
        <w:t xml:space="preserve">og de forslag til endringer i </w:t>
      </w:r>
      <w:r>
        <w:rPr>
          <w:rFonts w:cs="Times New Roman"/>
          <w:szCs w:val="24"/>
        </w:rPr>
        <w:t xml:space="preserve">disse </w:t>
      </w:r>
      <w:r w:rsidR="002238DD">
        <w:rPr>
          <w:rFonts w:cs="Times New Roman"/>
          <w:szCs w:val="24"/>
        </w:rPr>
        <w:t xml:space="preserve">som </w:t>
      </w:r>
      <w:r>
        <w:rPr>
          <w:rFonts w:cs="Times New Roman"/>
          <w:szCs w:val="24"/>
        </w:rPr>
        <w:t xml:space="preserve">departementet har tatt opp i kapitlene foran. </w:t>
      </w:r>
    </w:p>
    <w:p w:rsidR="002238DD" w:rsidRDefault="002238DD" w:rsidP="002238DD">
      <w:pPr>
        <w:rPr>
          <w:rFonts w:cs="Times New Roman"/>
          <w:szCs w:val="24"/>
        </w:rPr>
      </w:pPr>
      <w:r>
        <w:rPr>
          <w:rFonts w:cs="Times New Roman"/>
          <w:szCs w:val="24"/>
        </w:rPr>
        <w:t>EYs mandat har vært begrenset til å avdekke mulige tekniske og skattemessige innretninger av avgiften, og vurdere disse ut fra hvilke konsekvenser de ulike forslagene bla</w:t>
      </w:r>
      <w:r w:rsidR="002D78F7">
        <w:rPr>
          <w:rFonts w:cs="Times New Roman"/>
          <w:szCs w:val="24"/>
        </w:rPr>
        <w:t xml:space="preserve">nt annet </w:t>
      </w:r>
      <w:r>
        <w:rPr>
          <w:rFonts w:cs="Times New Roman"/>
          <w:szCs w:val="24"/>
        </w:rPr>
        <w:t>har for tros- og livssynssamfunnenes økonomi, den enkeltes privatøkonomi (</w:t>
      </w:r>
      <w:r w:rsidR="00D1584E">
        <w:rPr>
          <w:rFonts w:cs="Times New Roman"/>
          <w:szCs w:val="24"/>
        </w:rPr>
        <w:t>skattebe</w:t>
      </w:r>
      <w:r>
        <w:rPr>
          <w:rFonts w:cs="Times New Roman"/>
          <w:szCs w:val="24"/>
        </w:rPr>
        <w:t>l</w:t>
      </w:r>
      <w:r w:rsidR="00D1584E">
        <w:rPr>
          <w:rFonts w:cs="Times New Roman"/>
          <w:szCs w:val="24"/>
        </w:rPr>
        <w:t>a</w:t>
      </w:r>
      <w:r>
        <w:rPr>
          <w:rFonts w:cs="Times New Roman"/>
          <w:szCs w:val="24"/>
        </w:rPr>
        <w:t xml:space="preserve">stning) og det offentliges utgifter. Departementet mener rapporten gir et nytt </w:t>
      </w:r>
      <w:r w:rsidR="002D78F7">
        <w:rPr>
          <w:rFonts w:cs="Times New Roman"/>
          <w:szCs w:val="24"/>
        </w:rPr>
        <w:t xml:space="preserve">og godt </w:t>
      </w:r>
      <w:r>
        <w:rPr>
          <w:rFonts w:cs="Times New Roman"/>
          <w:szCs w:val="24"/>
        </w:rPr>
        <w:t>grunnlag for å vurdere livssynsavgift</w:t>
      </w:r>
      <w:r w:rsidR="008A5F17">
        <w:rPr>
          <w:rFonts w:cs="Times New Roman"/>
          <w:szCs w:val="24"/>
        </w:rPr>
        <w:t>en som finansieringsmodell</w:t>
      </w:r>
      <w:r>
        <w:rPr>
          <w:rFonts w:cs="Times New Roman"/>
          <w:szCs w:val="24"/>
        </w:rPr>
        <w:t xml:space="preserve">. </w:t>
      </w:r>
    </w:p>
    <w:p w:rsidR="002238DD" w:rsidRDefault="002238DD" w:rsidP="002238DD">
      <w:pPr>
        <w:rPr>
          <w:rFonts w:cs="Times New Roman"/>
          <w:szCs w:val="24"/>
        </w:rPr>
      </w:pPr>
      <w:r>
        <w:rPr>
          <w:rFonts w:cs="Times New Roman"/>
          <w:szCs w:val="24"/>
        </w:rPr>
        <w:t>Rapporten</w:t>
      </w:r>
      <w:r w:rsidR="00B50CD5">
        <w:rPr>
          <w:rFonts w:cs="Times New Roman"/>
          <w:szCs w:val="24"/>
        </w:rPr>
        <w:t xml:space="preserve"> fra EY</w:t>
      </w:r>
      <w:r>
        <w:rPr>
          <w:rFonts w:cs="Times New Roman"/>
          <w:szCs w:val="24"/>
        </w:rPr>
        <w:t xml:space="preserve"> går ikke langt i å vurdere hvilke særlige konsekvenser livssynsavgiften som sådan, og de ulike presenterte løsningene, vil ha for Den norske kirke.</w:t>
      </w:r>
      <w:r w:rsidR="00FC4919">
        <w:rPr>
          <w:rFonts w:cs="Times New Roman"/>
          <w:szCs w:val="24"/>
        </w:rPr>
        <w:t xml:space="preserve"> Dette til dels fordi det har lig</w:t>
      </w:r>
      <w:r>
        <w:rPr>
          <w:rFonts w:cs="Times New Roman"/>
          <w:szCs w:val="24"/>
        </w:rPr>
        <w:t>g</w:t>
      </w:r>
      <w:r w:rsidR="00FC4919">
        <w:rPr>
          <w:rFonts w:cs="Times New Roman"/>
          <w:szCs w:val="24"/>
        </w:rPr>
        <w:t>e</w:t>
      </w:r>
      <w:r>
        <w:rPr>
          <w:rFonts w:cs="Times New Roman"/>
          <w:szCs w:val="24"/>
        </w:rPr>
        <w:t>t utenfor EYs mandat, men også fordi EY har sett dette som spørsmål som ikke kan vurderes uavhengig av hvordan finansieringsordninge</w:t>
      </w:r>
      <w:r w:rsidR="00B50CD5">
        <w:rPr>
          <w:rFonts w:cs="Times New Roman"/>
          <w:szCs w:val="24"/>
        </w:rPr>
        <w:t>ne</w:t>
      </w:r>
      <w:r>
        <w:rPr>
          <w:rFonts w:cs="Times New Roman"/>
          <w:szCs w:val="24"/>
        </w:rPr>
        <w:t xml:space="preserve"> for øvrig utformes. </w:t>
      </w:r>
      <w:r w:rsidR="008A5F17">
        <w:rPr>
          <w:rFonts w:cs="Times New Roman"/>
          <w:szCs w:val="24"/>
        </w:rPr>
        <w:t>Virkningene for Den norske kirke</w:t>
      </w:r>
      <w:r w:rsidR="00B50CD5">
        <w:rPr>
          <w:rFonts w:cs="Times New Roman"/>
          <w:szCs w:val="24"/>
        </w:rPr>
        <w:t xml:space="preserve"> er </w:t>
      </w:r>
      <w:r w:rsidR="008A5F17">
        <w:rPr>
          <w:rFonts w:cs="Times New Roman"/>
          <w:szCs w:val="24"/>
        </w:rPr>
        <w:t>belyst i p</w:t>
      </w:r>
      <w:r w:rsidR="00B50CD5">
        <w:rPr>
          <w:rFonts w:cs="Times New Roman"/>
          <w:szCs w:val="24"/>
        </w:rPr>
        <w:t>un</w:t>
      </w:r>
      <w:r w:rsidR="008A5F17">
        <w:rPr>
          <w:rFonts w:cs="Times New Roman"/>
          <w:szCs w:val="24"/>
        </w:rPr>
        <w:t xml:space="preserve">kt 21.5.3 nedenfor. </w:t>
      </w:r>
    </w:p>
    <w:p w:rsidR="00885F09" w:rsidRDefault="00885F09" w:rsidP="002238DD">
      <w:pPr>
        <w:rPr>
          <w:rFonts w:cs="Times New Roman"/>
          <w:szCs w:val="24"/>
        </w:rPr>
      </w:pPr>
      <w:r>
        <w:rPr>
          <w:rFonts w:cs="Times New Roman"/>
          <w:szCs w:val="24"/>
        </w:rPr>
        <w:t>EY har heller ikke hatt i oppdrag å se nærmere på hvem som skal være mottaker av avgiften fra skatteytere som ikke er medlem av noe tros- eller livssynssamfunn, eller om, og eventuelt på hvilken måte, en sats skal reguleres nærmere av Stortinget. Disse spørsmålene ser også departementet det nødvendig å belyse nærmere</w:t>
      </w:r>
      <w:r w:rsidR="00B50CD5">
        <w:rPr>
          <w:rFonts w:cs="Times New Roman"/>
          <w:szCs w:val="24"/>
        </w:rPr>
        <w:t>.</w:t>
      </w:r>
      <w:r>
        <w:rPr>
          <w:rFonts w:cs="Times New Roman"/>
          <w:szCs w:val="24"/>
        </w:rPr>
        <w:t xml:space="preserve"> </w:t>
      </w:r>
    </w:p>
    <w:p w:rsidR="002238DD" w:rsidRDefault="002238DD" w:rsidP="002238DD">
      <w:pPr>
        <w:rPr>
          <w:rFonts w:cs="Times New Roman"/>
          <w:szCs w:val="24"/>
        </w:rPr>
      </w:pPr>
      <w:r>
        <w:rPr>
          <w:rFonts w:cs="Times New Roman"/>
          <w:szCs w:val="24"/>
        </w:rPr>
        <w:t xml:space="preserve">I det følgende vil </w:t>
      </w:r>
      <w:r w:rsidR="00F01A3E">
        <w:rPr>
          <w:rFonts w:cs="Times New Roman"/>
          <w:szCs w:val="24"/>
        </w:rPr>
        <w:t xml:space="preserve">derfor </w:t>
      </w:r>
      <w:r>
        <w:rPr>
          <w:rFonts w:cs="Times New Roman"/>
          <w:szCs w:val="24"/>
        </w:rPr>
        <w:t>departementet gjennomgå overordnede problemstillinger knyttet til innføring av en livssynsavgift, før det gis en vurdering av funnene i EYs rapport</w:t>
      </w:r>
      <w:r w:rsidR="00B50CD5">
        <w:rPr>
          <w:rFonts w:cs="Times New Roman"/>
          <w:szCs w:val="24"/>
        </w:rPr>
        <w:t>.</w:t>
      </w:r>
      <w:r>
        <w:rPr>
          <w:rFonts w:cs="Times New Roman"/>
          <w:szCs w:val="24"/>
        </w:rPr>
        <w:t xml:space="preserve"> </w:t>
      </w:r>
    </w:p>
    <w:p w:rsidR="002238DD" w:rsidRPr="00FB00C0" w:rsidRDefault="002238DD" w:rsidP="002238DD">
      <w:pPr>
        <w:pStyle w:val="Overskrift3"/>
      </w:pPr>
      <w:bookmarkStart w:id="3644" w:name="_Toc477536067"/>
      <w:bookmarkStart w:id="3645" w:name="_Toc477631197"/>
      <w:bookmarkStart w:id="3646" w:name="_Toc477694162"/>
      <w:bookmarkStart w:id="3647" w:name="_Toc477704588"/>
      <w:bookmarkStart w:id="3648" w:name="_Toc477799831"/>
      <w:bookmarkStart w:id="3649" w:name="_Toc477806432"/>
      <w:bookmarkStart w:id="3650" w:name="_Toc477872092"/>
      <w:bookmarkStart w:id="3651" w:name="_Toc477878700"/>
      <w:bookmarkStart w:id="3652" w:name="_Toc477882104"/>
      <w:bookmarkStart w:id="3653" w:name="_Toc477886566"/>
      <w:bookmarkStart w:id="3654" w:name="_Toc478131511"/>
      <w:bookmarkStart w:id="3655" w:name="_Toc478138881"/>
      <w:bookmarkStart w:id="3656" w:name="_Toc478232405"/>
      <w:bookmarkStart w:id="3657" w:name="_Toc478237390"/>
      <w:bookmarkStart w:id="3658" w:name="_Toc481761934"/>
      <w:bookmarkStart w:id="3659" w:name="_Toc492900586"/>
      <w:r>
        <w:t>L</w:t>
      </w:r>
      <w:r w:rsidRPr="00FB00C0">
        <w:t>ivssynsavgiften som modell</w:t>
      </w:r>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p>
    <w:p w:rsidR="002238DD" w:rsidRDefault="002238DD" w:rsidP="002238DD">
      <w:pPr>
        <w:pStyle w:val="Overskrift4"/>
      </w:pPr>
      <w:r w:rsidRPr="00C85B62">
        <w:t>Overordnet sammenligning med de øvrige finansierings</w:t>
      </w:r>
      <w:r w:rsidR="00B50CD5">
        <w:t>ordningene</w:t>
      </w:r>
    </w:p>
    <w:p w:rsidR="002238DD" w:rsidRDefault="002238DD" w:rsidP="002238DD">
      <w:pPr>
        <w:rPr>
          <w:rFonts w:cs="Times New Roman"/>
          <w:szCs w:val="24"/>
        </w:rPr>
      </w:pPr>
      <w:r>
        <w:rPr>
          <w:rFonts w:cs="Times New Roman"/>
          <w:szCs w:val="24"/>
        </w:rPr>
        <w:t xml:space="preserve">I kapitlene </w:t>
      </w:r>
      <w:r w:rsidR="00B50CD5">
        <w:rPr>
          <w:rFonts w:cs="Times New Roman"/>
          <w:szCs w:val="24"/>
        </w:rPr>
        <w:t xml:space="preserve">foran har </w:t>
      </w:r>
      <w:r>
        <w:rPr>
          <w:rFonts w:cs="Times New Roman"/>
          <w:szCs w:val="24"/>
        </w:rPr>
        <w:t xml:space="preserve">departementet </w:t>
      </w:r>
      <w:r w:rsidR="00B50CD5">
        <w:rPr>
          <w:rFonts w:cs="Times New Roman"/>
          <w:szCs w:val="24"/>
        </w:rPr>
        <w:t xml:space="preserve">tatt opp forslag om endringer i dagens </w:t>
      </w:r>
      <w:r>
        <w:rPr>
          <w:rFonts w:cs="Times New Roman"/>
          <w:szCs w:val="24"/>
        </w:rPr>
        <w:t>finansiering</w:t>
      </w:r>
      <w:r w:rsidR="00B50CD5">
        <w:rPr>
          <w:rFonts w:cs="Times New Roman"/>
          <w:szCs w:val="24"/>
        </w:rPr>
        <w:t xml:space="preserve">sordninger for tros- og livssynssamfunnene. </w:t>
      </w:r>
      <w:r>
        <w:rPr>
          <w:rFonts w:cs="Times New Roman"/>
          <w:szCs w:val="24"/>
        </w:rPr>
        <w:t xml:space="preserve">Felles for </w:t>
      </w:r>
      <w:r w:rsidR="00B50CD5">
        <w:rPr>
          <w:rFonts w:cs="Times New Roman"/>
          <w:szCs w:val="24"/>
        </w:rPr>
        <w:t xml:space="preserve">ordningene </w:t>
      </w:r>
      <w:r>
        <w:rPr>
          <w:rFonts w:cs="Times New Roman"/>
          <w:szCs w:val="24"/>
        </w:rPr>
        <w:t xml:space="preserve">er at de alle viderefører en offentlig finansiering gjennom </w:t>
      </w:r>
      <w:r w:rsidR="00022B32">
        <w:rPr>
          <w:rFonts w:cs="Times New Roman"/>
          <w:szCs w:val="24"/>
        </w:rPr>
        <w:t xml:space="preserve">de </w:t>
      </w:r>
      <w:r>
        <w:rPr>
          <w:rFonts w:cs="Times New Roman"/>
          <w:szCs w:val="24"/>
        </w:rPr>
        <w:t>al</w:t>
      </w:r>
      <w:r w:rsidR="00BB15CA">
        <w:rPr>
          <w:rFonts w:cs="Times New Roman"/>
          <w:szCs w:val="24"/>
        </w:rPr>
        <w:t xml:space="preserve">minnelige </w:t>
      </w:r>
      <w:r>
        <w:rPr>
          <w:rFonts w:cs="Times New Roman"/>
          <w:szCs w:val="24"/>
        </w:rPr>
        <w:t xml:space="preserve">skatter og avgifter. </w:t>
      </w:r>
    </w:p>
    <w:p w:rsidR="002238DD" w:rsidRDefault="002238DD" w:rsidP="002238DD">
      <w:pPr>
        <w:rPr>
          <w:rFonts w:cs="Times New Roman"/>
          <w:szCs w:val="24"/>
        </w:rPr>
      </w:pPr>
      <w:r>
        <w:rPr>
          <w:rFonts w:cs="Times New Roman"/>
          <w:szCs w:val="24"/>
        </w:rPr>
        <w:t>En livssynsavgift er knyttet til personlige skatteytere. Dette innebærer bla</w:t>
      </w:r>
      <w:r w:rsidR="00022B32">
        <w:rPr>
          <w:rFonts w:cs="Times New Roman"/>
          <w:szCs w:val="24"/>
        </w:rPr>
        <w:t xml:space="preserve">nt annet </w:t>
      </w:r>
      <w:r>
        <w:rPr>
          <w:rFonts w:cs="Times New Roman"/>
          <w:szCs w:val="24"/>
        </w:rPr>
        <w:t>at dersom Den norske kirke fortsatt</w:t>
      </w:r>
      <w:r w:rsidR="00F01A3E">
        <w:rPr>
          <w:rFonts w:cs="Times New Roman"/>
          <w:szCs w:val="24"/>
        </w:rPr>
        <w:t xml:space="preserve"> skal finansieres med om lag 5,0</w:t>
      </w:r>
      <w:r>
        <w:rPr>
          <w:rFonts w:cs="Times New Roman"/>
          <w:szCs w:val="24"/>
        </w:rPr>
        <w:t xml:space="preserve"> mrd. kroner og de øvrige tros- og livssynssamfunnene med om lag 600 </w:t>
      </w:r>
      <w:r w:rsidR="00F01A3E">
        <w:rPr>
          <w:rFonts w:cs="Times New Roman"/>
          <w:szCs w:val="24"/>
        </w:rPr>
        <w:t xml:space="preserve">mill. </w:t>
      </w:r>
      <w:r>
        <w:rPr>
          <w:rFonts w:cs="Times New Roman"/>
          <w:szCs w:val="24"/>
        </w:rPr>
        <w:t xml:space="preserve">kroner, så vil disse beløpene måtte innkreves av personlige skatteytere, mot dagens ordning hvor fordelingsgrunnlaget for statens inntekter er langt bredere. Personbeskatningen vil ved en slik løsning i utgangspunktet måtte bli høyere. I EYs rapport har en ikke gått nærmere inn på om og i hvilken grad dette kan la seg justere </w:t>
      </w:r>
      <w:r>
        <w:rPr>
          <w:rFonts w:cs="Times New Roman"/>
          <w:szCs w:val="24"/>
        </w:rPr>
        <w:lastRenderedPageBreak/>
        <w:t>mot en eventuell reduksjon i skattebelastningen til den enkelte på øvrige områder. Departementet mener det må legges til grunn at det ved en dreining i retning ren personbeskatning, slik tilfellet vil være ved innføring av en livssynsavgift, må legges til grunn en noe økt skattebelastning for den enkelte</w:t>
      </w:r>
      <w:r w:rsidR="00B50CD5">
        <w:rPr>
          <w:rFonts w:cs="Times New Roman"/>
          <w:szCs w:val="24"/>
        </w:rPr>
        <w:t>,</w:t>
      </w:r>
      <w:r>
        <w:rPr>
          <w:rFonts w:cs="Times New Roman"/>
          <w:szCs w:val="24"/>
        </w:rPr>
        <w:t xml:space="preserve"> </w:t>
      </w:r>
      <w:r w:rsidR="00D1584E">
        <w:rPr>
          <w:rFonts w:cs="Times New Roman"/>
          <w:szCs w:val="24"/>
        </w:rPr>
        <w:t>uavhengi</w:t>
      </w:r>
      <w:r>
        <w:rPr>
          <w:rFonts w:cs="Times New Roman"/>
          <w:szCs w:val="24"/>
        </w:rPr>
        <w:t>g av hvordan avgifte</w:t>
      </w:r>
      <w:r w:rsidR="00B50CD5">
        <w:rPr>
          <w:rFonts w:cs="Times New Roman"/>
          <w:szCs w:val="24"/>
        </w:rPr>
        <w:t>n</w:t>
      </w:r>
      <w:r>
        <w:rPr>
          <w:rFonts w:cs="Times New Roman"/>
          <w:szCs w:val="24"/>
        </w:rPr>
        <w:t xml:space="preserve"> utformes. </w:t>
      </w:r>
    </w:p>
    <w:p w:rsidR="002238DD" w:rsidRDefault="002238DD" w:rsidP="00957331">
      <w:pPr>
        <w:rPr>
          <w:rFonts w:cs="Times New Roman"/>
          <w:szCs w:val="24"/>
        </w:rPr>
      </w:pPr>
      <w:r>
        <w:rPr>
          <w:rFonts w:cs="Times New Roman"/>
          <w:szCs w:val="24"/>
        </w:rPr>
        <w:t xml:space="preserve">Det har i enkelte sammenhenger blitt pekt på at livssynsavgiften kan utformes som en lokal avgift, innkrevd av kommunene. En slik innretning </w:t>
      </w:r>
      <w:r w:rsidR="00B50CD5">
        <w:rPr>
          <w:rFonts w:cs="Times New Roman"/>
          <w:szCs w:val="24"/>
        </w:rPr>
        <w:t xml:space="preserve">av avgiften </w:t>
      </w:r>
      <w:r>
        <w:rPr>
          <w:rFonts w:cs="Times New Roman"/>
          <w:szCs w:val="24"/>
        </w:rPr>
        <w:t xml:space="preserve">har ikke departementet sett </w:t>
      </w:r>
      <w:r w:rsidR="00B50CD5">
        <w:rPr>
          <w:rFonts w:cs="Times New Roman"/>
          <w:szCs w:val="24"/>
        </w:rPr>
        <w:t>grunn til</w:t>
      </w:r>
      <w:r>
        <w:rPr>
          <w:rFonts w:cs="Times New Roman"/>
          <w:szCs w:val="24"/>
        </w:rPr>
        <w:t xml:space="preserve"> å utrede videre, da den vil være uforholdsmessig ressurskrevende for kommunene å håndtere, jf. </w:t>
      </w:r>
      <w:r w:rsidR="00B50CD5">
        <w:rPr>
          <w:rFonts w:cs="Times New Roman"/>
          <w:szCs w:val="24"/>
        </w:rPr>
        <w:t>i denne sammenheng</w:t>
      </w:r>
      <w:r w:rsidR="00BB15CA">
        <w:rPr>
          <w:rFonts w:cs="Times New Roman"/>
          <w:szCs w:val="24"/>
        </w:rPr>
        <w:t>en</w:t>
      </w:r>
      <w:r w:rsidR="00B50CD5">
        <w:rPr>
          <w:rFonts w:cs="Times New Roman"/>
          <w:szCs w:val="24"/>
        </w:rPr>
        <w:t xml:space="preserve"> </w:t>
      </w:r>
      <w:r>
        <w:rPr>
          <w:rFonts w:cs="Times New Roman"/>
          <w:szCs w:val="24"/>
        </w:rPr>
        <w:t>behove</w:t>
      </w:r>
      <w:r w:rsidR="005B11A6">
        <w:rPr>
          <w:rFonts w:cs="Times New Roman"/>
          <w:szCs w:val="24"/>
        </w:rPr>
        <w:t xml:space="preserve">t </w:t>
      </w:r>
      <w:r w:rsidR="00B50CD5">
        <w:rPr>
          <w:rFonts w:cs="Times New Roman"/>
          <w:szCs w:val="24"/>
        </w:rPr>
        <w:t xml:space="preserve">i dag </w:t>
      </w:r>
      <w:r w:rsidR="005B11A6">
        <w:rPr>
          <w:rFonts w:cs="Times New Roman"/>
          <w:szCs w:val="24"/>
        </w:rPr>
        <w:t xml:space="preserve">for å forenkle </w:t>
      </w:r>
      <w:r>
        <w:rPr>
          <w:rFonts w:cs="Times New Roman"/>
          <w:szCs w:val="24"/>
        </w:rPr>
        <w:t>tilskuddsordningen for tros- og livssynssamfunn utenom Den norske kirke</w:t>
      </w:r>
      <w:r w:rsidR="00A36EE3">
        <w:rPr>
          <w:rFonts w:cs="Times New Roman"/>
          <w:szCs w:val="24"/>
        </w:rPr>
        <w:t>, jf.</w:t>
      </w:r>
      <w:r w:rsidR="005B11A6">
        <w:rPr>
          <w:rFonts w:cs="Times New Roman"/>
          <w:szCs w:val="24"/>
        </w:rPr>
        <w:t xml:space="preserve"> </w:t>
      </w:r>
      <w:r w:rsidR="00A36EE3">
        <w:rPr>
          <w:rFonts w:cs="Times New Roman"/>
          <w:szCs w:val="24"/>
        </w:rPr>
        <w:t xml:space="preserve">omtalen </w:t>
      </w:r>
      <w:r w:rsidR="005B11A6">
        <w:rPr>
          <w:rFonts w:cs="Times New Roman"/>
          <w:szCs w:val="24"/>
        </w:rPr>
        <w:t>i kapittel 13</w:t>
      </w:r>
      <w:r w:rsidR="00A36EE3">
        <w:rPr>
          <w:rFonts w:cs="Times New Roman"/>
          <w:szCs w:val="24"/>
        </w:rPr>
        <w:t>.</w:t>
      </w:r>
      <w:r w:rsidR="005B11A6">
        <w:rPr>
          <w:rFonts w:cs="Times New Roman"/>
          <w:szCs w:val="24"/>
        </w:rPr>
        <w:t xml:space="preserve"> </w:t>
      </w:r>
      <w:r>
        <w:rPr>
          <w:rFonts w:cs="Times New Roman"/>
          <w:szCs w:val="24"/>
        </w:rPr>
        <w:t>Til grunn for livssyns</w:t>
      </w:r>
      <w:r w:rsidR="00FC4919">
        <w:rPr>
          <w:rFonts w:cs="Times New Roman"/>
          <w:szCs w:val="24"/>
        </w:rPr>
        <w:t>avgiften</w:t>
      </w:r>
      <w:r w:rsidR="00957331">
        <w:rPr>
          <w:rFonts w:cs="Times New Roman"/>
          <w:szCs w:val="24"/>
        </w:rPr>
        <w:t xml:space="preserve"> </w:t>
      </w:r>
      <w:r>
        <w:rPr>
          <w:rFonts w:cs="Times New Roman"/>
          <w:szCs w:val="24"/>
        </w:rPr>
        <w:t xml:space="preserve">ligger det dermed at den vil bli en ren statlig avgift. </w:t>
      </w:r>
      <w:r w:rsidR="00957331">
        <w:rPr>
          <w:rFonts w:cs="Times New Roman"/>
          <w:szCs w:val="24"/>
        </w:rPr>
        <w:t>Dette har også ligget som premiss i oppdragsbeskrivelsen til EY.</w:t>
      </w:r>
    </w:p>
    <w:p w:rsidR="002238DD" w:rsidRDefault="002238DD" w:rsidP="002238DD">
      <w:pPr>
        <w:rPr>
          <w:rFonts w:cs="Times New Roman"/>
          <w:szCs w:val="24"/>
        </w:rPr>
      </w:pPr>
      <w:r>
        <w:rPr>
          <w:rFonts w:cs="Times New Roman"/>
          <w:szCs w:val="24"/>
        </w:rPr>
        <w:t>I de øvrige finansierings</w:t>
      </w:r>
      <w:r w:rsidR="00A36EE3">
        <w:rPr>
          <w:rFonts w:cs="Times New Roman"/>
          <w:szCs w:val="24"/>
        </w:rPr>
        <w:t xml:space="preserve">ordningene </w:t>
      </w:r>
      <w:r>
        <w:rPr>
          <w:rFonts w:cs="Times New Roman"/>
          <w:szCs w:val="24"/>
        </w:rPr>
        <w:t xml:space="preserve">som presenteres, er tilskuddet til tros- og livssynssamfunn utenom Den norske kirke foreslått </w:t>
      </w:r>
      <w:r w:rsidR="005B11A6">
        <w:rPr>
          <w:rFonts w:cs="Times New Roman"/>
          <w:szCs w:val="24"/>
        </w:rPr>
        <w:t xml:space="preserve">fullt ut finansiert av staten. </w:t>
      </w:r>
      <w:r>
        <w:rPr>
          <w:rFonts w:cs="Times New Roman"/>
          <w:szCs w:val="24"/>
        </w:rPr>
        <w:t>For disse samfunnene vil dermed ikke livssynsavgiften på dette området utgjøre en forskjell. Samfunnene vil i samtlige modeller motta økonomiske overføringer fra det offentlige til den instans som står oppført som ansvarlig mottakspart i Enhetsregisteret</w:t>
      </w:r>
      <w:r w:rsidR="00E31257">
        <w:rPr>
          <w:rFonts w:cs="Times New Roman"/>
          <w:szCs w:val="24"/>
        </w:rPr>
        <w:t>.</w:t>
      </w:r>
      <w:r>
        <w:rPr>
          <w:rFonts w:cs="Times New Roman"/>
          <w:szCs w:val="24"/>
        </w:rPr>
        <w:t xml:space="preserve"> </w:t>
      </w:r>
    </w:p>
    <w:p w:rsidR="002238DD" w:rsidRDefault="002238DD" w:rsidP="002238DD">
      <w:pPr>
        <w:rPr>
          <w:rFonts w:cs="Times New Roman"/>
          <w:szCs w:val="24"/>
        </w:rPr>
      </w:pPr>
      <w:r>
        <w:rPr>
          <w:rFonts w:cs="Times New Roman"/>
          <w:szCs w:val="24"/>
        </w:rPr>
        <w:t xml:space="preserve">For Den norske kirke derimot, </w:t>
      </w:r>
      <w:r w:rsidR="005B11A6">
        <w:rPr>
          <w:rFonts w:cs="Times New Roman"/>
          <w:szCs w:val="24"/>
        </w:rPr>
        <w:t xml:space="preserve">har departementet tatt opp to alternative </w:t>
      </w:r>
      <w:r>
        <w:rPr>
          <w:rFonts w:cs="Times New Roman"/>
          <w:szCs w:val="24"/>
        </w:rPr>
        <w:t>forslag</w:t>
      </w:r>
      <w:r w:rsidR="00A36EE3">
        <w:rPr>
          <w:rFonts w:cs="Times New Roman"/>
          <w:szCs w:val="24"/>
        </w:rPr>
        <w:t>:</w:t>
      </w:r>
      <w:r w:rsidR="005B11A6">
        <w:rPr>
          <w:rFonts w:cs="Times New Roman"/>
          <w:szCs w:val="24"/>
        </w:rPr>
        <w:t xml:space="preserve"> enten at </w:t>
      </w:r>
      <w:r>
        <w:rPr>
          <w:rFonts w:cs="Times New Roman"/>
          <w:szCs w:val="24"/>
        </w:rPr>
        <w:t xml:space="preserve">dagens to-delte finansiering </w:t>
      </w:r>
      <w:r w:rsidR="005B11A6">
        <w:rPr>
          <w:rFonts w:cs="Times New Roman"/>
          <w:szCs w:val="24"/>
        </w:rPr>
        <w:t xml:space="preserve">av Den norske kirke </w:t>
      </w:r>
      <w:r>
        <w:rPr>
          <w:rFonts w:cs="Times New Roman"/>
          <w:szCs w:val="24"/>
        </w:rPr>
        <w:t xml:space="preserve">gjennom stat og kommune </w:t>
      </w:r>
      <w:r w:rsidR="005B11A6">
        <w:rPr>
          <w:rFonts w:cs="Times New Roman"/>
          <w:szCs w:val="24"/>
        </w:rPr>
        <w:t xml:space="preserve">blir videreført, eller at staten tar over det fulle finansieringsansvaret for </w:t>
      </w:r>
      <w:r>
        <w:rPr>
          <w:rFonts w:cs="Times New Roman"/>
          <w:szCs w:val="24"/>
        </w:rPr>
        <w:t>Den norske kirke</w:t>
      </w:r>
      <w:r w:rsidR="005B11A6">
        <w:rPr>
          <w:rFonts w:cs="Times New Roman"/>
          <w:szCs w:val="24"/>
        </w:rPr>
        <w:t>.</w:t>
      </w:r>
    </w:p>
    <w:p w:rsidR="002238DD" w:rsidRPr="00B33C85" w:rsidRDefault="002238DD" w:rsidP="002238DD">
      <w:pPr>
        <w:rPr>
          <w:rFonts w:cs="Times New Roman"/>
          <w:szCs w:val="24"/>
        </w:rPr>
      </w:pPr>
      <w:r>
        <w:rPr>
          <w:rFonts w:cs="Times New Roman"/>
          <w:szCs w:val="24"/>
        </w:rPr>
        <w:t xml:space="preserve">Ved innføring av en eventuell livssynsavgift legger departementet til grunn at overføringene til Den norske kirke </w:t>
      </w:r>
      <w:r w:rsidR="00C21367">
        <w:rPr>
          <w:rFonts w:cs="Times New Roman"/>
          <w:szCs w:val="24"/>
        </w:rPr>
        <w:t>bør stille</w:t>
      </w:r>
      <w:r w:rsidR="00A36EE3">
        <w:rPr>
          <w:rFonts w:cs="Times New Roman"/>
          <w:szCs w:val="24"/>
        </w:rPr>
        <w:t>s</w:t>
      </w:r>
      <w:r w:rsidR="00C21367">
        <w:rPr>
          <w:rFonts w:cs="Times New Roman"/>
          <w:szCs w:val="24"/>
        </w:rPr>
        <w:t xml:space="preserve"> til til rådighet for </w:t>
      </w:r>
      <w:r>
        <w:rPr>
          <w:rFonts w:cs="Times New Roman"/>
          <w:szCs w:val="24"/>
        </w:rPr>
        <w:t xml:space="preserve">Kirkemøtet, på samme måte som ved en </w:t>
      </w:r>
      <w:r w:rsidR="00C21367">
        <w:rPr>
          <w:rFonts w:cs="Times New Roman"/>
          <w:szCs w:val="24"/>
        </w:rPr>
        <w:t xml:space="preserve">full </w:t>
      </w:r>
      <w:r>
        <w:rPr>
          <w:rFonts w:cs="Times New Roman"/>
          <w:szCs w:val="24"/>
        </w:rPr>
        <w:t>statlig</w:t>
      </w:r>
      <w:r w:rsidR="00C21367">
        <w:rPr>
          <w:rFonts w:cs="Times New Roman"/>
          <w:szCs w:val="24"/>
        </w:rPr>
        <w:t xml:space="preserve"> rammefinansiering av </w:t>
      </w:r>
      <w:r>
        <w:rPr>
          <w:rFonts w:cs="Times New Roman"/>
          <w:szCs w:val="24"/>
        </w:rPr>
        <w:t xml:space="preserve">Den norske kirke, jf. </w:t>
      </w:r>
      <w:r w:rsidR="00C21367">
        <w:rPr>
          <w:rFonts w:cs="Times New Roman"/>
          <w:szCs w:val="24"/>
        </w:rPr>
        <w:t xml:space="preserve">drøftingene i </w:t>
      </w:r>
      <w:r w:rsidRPr="00E31257">
        <w:rPr>
          <w:rFonts w:cs="Times New Roman"/>
          <w:szCs w:val="24"/>
        </w:rPr>
        <w:t>kap</w:t>
      </w:r>
      <w:r w:rsidR="00C21367">
        <w:rPr>
          <w:rFonts w:cs="Times New Roman"/>
          <w:szCs w:val="24"/>
        </w:rPr>
        <w:t>ittel</w:t>
      </w:r>
      <w:r w:rsidRPr="00E31257">
        <w:rPr>
          <w:rFonts w:cs="Times New Roman"/>
          <w:szCs w:val="24"/>
        </w:rPr>
        <w:t xml:space="preserve"> </w:t>
      </w:r>
      <w:r w:rsidR="00D1584E" w:rsidRPr="00E31257">
        <w:rPr>
          <w:rFonts w:cs="Times New Roman"/>
          <w:szCs w:val="24"/>
        </w:rPr>
        <w:t>9</w:t>
      </w:r>
      <w:r>
        <w:rPr>
          <w:rFonts w:cs="Times New Roman"/>
          <w:szCs w:val="24"/>
        </w:rPr>
        <w:t>. Hvilke</w:t>
      </w:r>
      <w:r w:rsidR="00A36EE3">
        <w:rPr>
          <w:rFonts w:cs="Times New Roman"/>
          <w:szCs w:val="24"/>
        </w:rPr>
        <w:t>n</w:t>
      </w:r>
      <w:r>
        <w:rPr>
          <w:rFonts w:cs="Times New Roman"/>
          <w:szCs w:val="24"/>
        </w:rPr>
        <w:t xml:space="preserve"> betydning dette vil ha for kirken, </w:t>
      </w:r>
      <w:r w:rsidR="00C21367">
        <w:rPr>
          <w:rFonts w:cs="Times New Roman"/>
          <w:szCs w:val="24"/>
        </w:rPr>
        <w:t>er kommentert nedenfor i punkt 21.5.3.</w:t>
      </w:r>
      <w:r>
        <w:rPr>
          <w:rFonts w:cs="Times New Roman"/>
          <w:szCs w:val="24"/>
        </w:rPr>
        <w:t xml:space="preserve"> </w:t>
      </w:r>
    </w:p>
    <w:p w:rsidR="002238DD" w:rsidRDefault="00F01A3E" w:rsidP="002238DD">
      <w:pPr>
        <w:pStyle w:val="Overskrift4"/>
      </w:pPr>
      <w:r>
        <w:t>Regulering av avgiften</w:t>
      </w:r>
    </w:p>
    <w:p w:rsidR="00C42901" w:rsidRDefault="002238DD" w:rsidP="002238DD">
      <w:pPr>
        <w:rPr>
          <w:rFonts w:cs="Times New Roman"/>
          <w:szCs w:val="24"/>
        </w:rPr>
      </w:pPr>
      <w:r>
        <w:rPr>
          <w:rFonts w:cs="Times New Roman"/>
          <w:szCs w:val="24"/>
        </w:rPr>
        <w:t xml:space="preserve">I tidligere utredninger har det vært pekt på at Stortinget </w:t>
      </w:r>
      <w:r w:rsidR="00C42901">
        <w:rPr>
          <w:rFonts w:cs="Times New Roman"/>
          <w:szCs w:val="24"/>
        </w:rPr>
        <w:t>kan fastsette avgiften for ett år av gangen. I NOU 2006:</w:t>
      </w:r>
      <w:r w:rsidR="00E31257">
        <w:rPr>
          <w:rFonts w:cs="Times New Roman"/>
          <w:szCs w:val="24"/>
        </w:rPr>
        <w:t xml:space="preserve"> </w:t>
      </w:r>
      <w:r w:rsidR="00C42901">
        <w:rPr>
          <w:rFonts w:cs="Times New Roman"/>
          <w:szCs w:val="24"/>
        </w:rPr>
        <w:t>2 pekes det bla</w:t>
      </w:r>
      <w:r w:rsidR="00C21367">
        <w:rPr>
          <w:rFonts w:cs="Times New Roman"/>
          <w:szCs w:val="24"/>
        </w:rPr>
        <w:t xml:space="preserve">nt annet </w:t>
      </w:r>
      <w:r w:rsidR="00C42901">
        <w:rPr>
          <w:rFonts w:cs="Times New Roman"/>
          <w:szCs w:val="24"/>
        </w:rPr>
        <w:t>på at satsen hvert år kan reguleres etter forhandlinger med representanter for tros- og livssynssamfunnene, eller at grunnbeløpet jevnlig kan justeres i henhold til årlig pris- og lønnsutvikling. Det pekes også på at avgiften kan fastsettes i lov, med en forhåndsdefinert årlig økning ut fra fastlagte kriterer</w:t>
      </w:r>
      <w:r w:rsidR="00131261">
        <w:rPr>
          <w:rFonts w:cs="Times New Roman"/>
          <w:szCs w:val="24"/>
        </w:rPr>
        <w:t xml:space="preserve"> (utredningen s. 122</w:t>
      </w:r>
      <w:r w:rsidR="00EA274E">
        <w:rPr>
          <w:rFonts w:cs="Times New Roman"/>
          <w:szCs w:val="24"/>
        </w:rPr>
        <w:t xml:space="preserve"> </w:t>
      </w:r>
      <w:r w:rsidR="00131261">
        <w:rPr>
          <w:rFonts w:cs="Times New Roman"/>
          <w:szCs w:val="24"/>
        </w:rPr>
        <w:t>f)</w:t>
      </w:r>
      <w:r w:rsidR="00C42901">
        <w:rPr>
          <w:rFonts w:cs="Times New Roman"/>
          <w:szCs w:val="24"/>
        </w:rPr>
        <w:t xml:space="preserve">.  </w:t>
      </w:r>
    </w:p>
    <w:p w:rsidR="002238DD" w:rsidRDefault="002238DD" w:rsidP="002238DD">
      <w:pPr>
        <w:rPr>
          <w:rFonts w:cs="Times New Roman"/>
          <w:szCs w:val="24"/>
        </w:rPr>
      </w:pPr>
      <w:r>
        <w:rPr>
          <w:rFonts w:cs="Times New Roman"/>
          <w:szCs w:val="24"/>
        </w:rPr>
        <w:t>Dette er som nevnt</w:t>
      </w:r>
      <w:r w:rsidR="00C42901">
        <w:rPr>
          <w:rFonts w:cs="Times New Roman"/>
          <w:szCs w:val="24"/>
        </w:rPr>
        <w:t xml:space="preserve"> spørsmål de</w:t>
      </w:r>
      <w:r>
        <w:rPr>
          <w:rFonts w:cs="Times New Roman"/>
          <w:szCs w:val="24"/>
        </w:rPr>
        <w:t xml:space="preserve">partementet </w:t>
      </w:r>
      <w:r w:rsidR="005A318B">
        <w:rPr>
          <w:rFonts w:cs="Times New Roman"/>
          <w:szCs w:val="24"/>
        </w:rPr>
        <w:t>ikke</w:t>
      </w:r>
      <w:r>
        <w:rPr>
          <w:rFonts w:cs="Times New Roman"/>
          <w:szCs w:val="24"/>
        </w:rPr>
        <w:t xml:space="preserve"> har bedt EY se nærmere</w:t>
      </w:r>
      <w:r w:rsidR="00EA274E">
        <w:rPr>
          <w:rFonts w:cs="Times New Roman"/>
          <w:szCs w:val="24"/>
        </w:rPr>
        <w:t xml:space="preserve"> på</w:t>
      </w:r>
      <w:r w:rsidR="00BB15CA">
        <w:rPr>
          <w:rFonts w:cs="Times New Roman"/>
          <w:szCs w:val="24"/>
        </w:rPr>
        <w:t>,</w:t>
      </w:r>
      <w:r>
        <w:rPr>
          <w:rFonts w:cs="Times New Roman"/>
          <w:szCs w:val="24"/>
        </w:rPr>
        <w:t xml:space="preserve"> ut over generelle betraktninger rundt sammenlignbare avgifter.   </w:t>
      </w:r>
    </w:p>
    <w:p w:rsidR="005A318B" w:rsidRDefault="002238DD" w:rsidP="002238DD">
      <w:pPr>
        <w:rPr>
          <w:rFonts w:ascii="Helvetica" w:hAnsi="Helvetica" w:cs="Helvetica"/>
          <w:color w:val="333333"/>
          <w:sz w:val="23"/>
          <w:szCs w:val="23"/>
        </w:rPr>
      </w:pPr>
      <w:r>
        <w:rPr>
          <w:rFonts w:cs="Times New Roman"/>
          <w:szCs w:val="24"/>
        </w:rPr>
        <w:t>Dersom en legger til grunn EYs anbefaling om en progressivt utformet avgift som ikke skal øremerkes, antar departementet</w:t>
      </w:r>
      <w:r w:rsidR="00131261">
        <w:rPr>
          <w:rFonts w:cs="Times New Roman"/>
          <w:szCs w:val="24"/>
        </w:rPr>
        <w:t>, som EY,</w:t>
      </w:r>
      <w:r>
        <w:rPr>
          <w:rFonts w:cs="Times New Roman"/>
          <w:szCs w:val="24"/>
        </w:rPr>
        <w:t xml:space="preserve"> at det vil være rimelig å se hen til hvordan trygdeavgiften utformes. Dette er en avgift som fast</w:t>
      </w:r>
      <w:r w:rsidR="00C21367">
        <w:rPr>
          <w:rFonts w:cs="Times New Roman"/>
          <w:szCs w:val="24"/>
        </w:rPr>
        <w:t>s</w:t>
      </w:r>
      <w:r>
        <w:rPr>
          <w:rFonts w:cs="Times New Roman"/>
          <w:szCs w:val="24"/>
        </w:rPr>
        <w:t>ettes i prosent av personinntekt etter skatteloven § 12</w:t>
      </w:r>
      <w:r w:rsidR="0027653F">
        <w:rPr>
          <w:rFonts w:cs="Times New Roman"/>
          <w:szCs w:val="24"/>
        </w:rPr>
        <w:t>-2</w:t>
      </w:r>
      <w:r>
        <w:rPr>
          <w:rFonts w:cs="Times New Roman"/>
          <w:szCs w:val="24"/>
        </w:rPr>
        <w:t xml:space="preserve"> og som Stortinget årlig fastsetter satsene for i medhold av Grunnloven </w:t>
      </w:r>
      <w:r w:rsidRPr="0008165B">
        <w:rPr>
          <w:rFonts w:cs="Times New Roman"/>
          <w:szCs w:val="24"/>
        </w:rPr>
        <w:t>§ 75 bokstav a og lov 28. februar 1997 nr. 19 om folketrygd (folketrygdloven) kap. 23</w:t>
      </w:r>
      <w:r>
        <w:rPr>
          <w:rFonts w:ascii="Helvetica" w:hAnsi="Helvetica" w:cs="Helvetica"/>
          <w:color w:val="333333"/>
          <w:sz w:val="23"/>
          <w:szCs w:val="23"/>
        </w:rPr>
        <w:t xml:space="preserve">. </w:t>
      </w:r>
    </w:p>
    <w:p w:rsidR="002238DD" w:rsidRPr="00840790" w:rsidRDefault="005A318B" w:rsidP="002238DD">
      <w:pPr>
        <w:rPr>
          <w:rFonts w:cs="Times New Roman"/>
          <w:szCs w:val="24"/>
        </w:rPr>
      </w:pPr>
      <w:r w:rsidRPr="005A318B">
        <w:t>Departeme</w:t>
      </w:r>
      <w:r>
        <w:t>ntet har ikke sett grunn til å gå nærmere inn på spørsmålet om hvorvidt tros- og livssynssamfunnene skal ha forhandlingsrett i fastsettingen av den årlige avgiften.</w:t>
      </w:r>
      <w:r w:rsidR="002238DD">
        <w:t xml:space="preserve"> </w:t>
      </w:r>
    </w:p>
    <w:p w:rsidR="002238DD" w:rsidRDefault="002238DD" w:rsidP="002238DD">
      <w:pPr>
        <w:pStyle w:val="Overskrift4"/>
      </w:pPr>
      <w:r w:rsidRPr="00C85B62">
        <w:t>Muligheten til å skaffe egeninntekter</w:t>
      </w:r>
    </w:p>
    <w:p w:rsidR="002238DD" w:rsidRDefault="00131261" w:rsidP="002238DD">
      <w:pPr>
        <w:tabs>
          <w:tab w:val="left" w:pos="1968"/>
        </w:tabs>
        <w:rPr>
          <w:rFonts w:cs="Times New Roman"/>
          <w:szCs w:val="24"/>
        </w:rPr>
      </w:pPr>
      <w:r>
        <w:rPr>
          <w:rFonts w:cs="Times New Roman"/>
          <w:szCs w:val="24"/>
        </w:rPr>
        <w:t>Ved innføring av en livssyns</w:t>
      </w:r>
      <w:r w:rsidR="002238DD">
        <w:rPr>
          <w:rFonts w:cs="Times New Roman"/>
          <w:szCs w:val="24"/>
        </w:rPr>
        <w:t xml:space="preserve">avgift vil det også være behov for å avklare hvorvidt denne legger begrensninger på tros- og livssynssamfunnenes mulighet for å skaffe egeninntekter. </w:t>
      </w:r>
    </w:p>
    <w:p w:rsidR="002238DD" w:rsidRDefault="002238DD" w:rsidP="002238DD">
      <w:pPr>
        <w:tabs>
          <w:tab w:val="left" w:pos="1968"/>
        </w:tabs>
        <w:rPr>
          <w:rFonts w:cs="Times New Roman"/>
          <w:szCs w:val="24"/>
        </w:rPr>
      </w:pPr>
      <w:r>
        <w:rPr>
          <w:rFonts w:cs="Times New Roman"/>
          <w:szCs w:val="24"/>
        </w:rPr>
        <w:lastRenderedPageBreak/>
        <w:t xml:space="preserve">I dag er det </w:t>
      </w:r>
      <w:r w:rsidR="00C21367">
        <w:rPr>
          <w:rFonts w:cs="Times New Roman"/>
          <w:szCs w:val="24"/>
        </w:rPr>
        <w:t xml:space="preserve">mange </w:t>
      </w:r>
      <w:r>
        <w:rPr>
          <w:rFonts w:cs="Times New Roman"/>
          <w:szCs w:val="24"/>
        </w:rPr>
        <w:t>tros- og livssynssamfunn som har egeninntekter gjennom gaver og medlemskonti</w:t>
      </w:r>
      <w:r w:rsidR="00C21367">
        <w:rPr>
          <w:rFonts w:cs="Times New Roman"/>
          <w:szCs w:val="24"/>
        </w:rPr>
        <w:t>n</w:t>
      </w:r>
      <w:r>
        <w:rPr>
          <w:rFonts w:cs="Times New Roman"/>
          <w:szCs w:val="24"/>
        </w:rPr>
        <w:t>gent</w:t>
      </w:r>
      <w:r w:rsidR="00C21367">
        <w:rPr>
          <w:rFonts w:cs="Times New Roman"/>
          <w:szCs w:val="24"/>
        </w:rPr>
        <w:t>er</w:t>
      </w:r>
      <w:r>
        <w:rPr>
          <w:rFonts w:cs="Times New Roman"/>
          <w:szCs w:val="24"/>
        </w:rPr>
        <w:t xml:space="preserve">. Det er lite trolig at innføring av en livssynsavgift vil ha stor innvirkning på muligheten for å skaffe denne type egeninntekter. </w:t>
      </w:r>
    </w:p>
    <w:p w:rsidR="002238DD" w:rsidRPr="00144E02" w:rsidRDefault="00165FFE" w:rsidP="002238DD">
      <w:pPr>
        <w:tabs>
          <w:tab w:val="left" w:pos="1968"/>
        </w:tabs>
        <w:rPr>
          <w:rFonts w:cs="Times New Roman"/>
          <w:szCs w:val="24"/>
        </w:rPr>
      </w:pPr>
      <w:r>
        <w:rPr>
          <w:rFonts w:cs="Times New Roman"/>
          <w:szCs w:val="24"/>
        </w:rPr>
        <w:t xml:space="preserve">For Den norske kirke er situasjonen en annen. </w:t>
      </w:r>
      <w:r w:rsidR="002238DD">
        <w:rPr>
          <w:rFonts w:cs="Times New Roman"/>
          <w:szCs w:val="24"/>
        </w:rPr>
        <w:t xml:space="preserve">Den norske kirke har i dag noe egeninntekter gjennom givertjenester og ofringer m.m., men </w:t>
      </w:r>
      <w:r w:rsidR="00872294">
        <w:rPr>
          <w:rFonts w:cs="Times New Roman"/>
          <w:szCs w:val="24"/>
        </w:rPr>
        <w:t>har</w:t>
      </w:r>
      <w:r w:rsidR="002238DD">
        <w:rPr>
          <w:rFonts w:cs="Times New Roman"/>
          <w:szCs w:val="24"/>
        </w:rPr>
        <w:t xml:space="preserve"> ingen tradisjon for medlemskonti</w:t>
      </w:r>
      <w:r w:rsidR="00872294">
        <w:rPr>
          <w:rFonts w:cs="Times New Roman"/>
          <w:szCs w:val="24"/>
        </w:rPr>
        <w:t>n</w:t>
      </w:r>
      <w:r w:rsidR="002238DD">
        <w:rPr>
          <w:rFonts w:cs="Times New Roman"/>
          <w:szCs w:val="24"/>
        </w:rPr>
        <w:t xml:space="preserve">gent eller -avgift. Departementet </w:t>
      </w:r>
      <w:r w:rsidR="00C21367">
        <w:rPr>
          <w:rFonts w:cs="Times New Roman"/>
          <w:szCs w:val="24"/>
        </w:rPr>
        <w:t xml:space="preserve">kan </w:t>
      </w:r>
      <w:r w:rsidR="002238DD">
        <w:rPr>
          <w:rFonts w:cs="Times New Roman"/>
          <w:szCs w:val="24"/>
        </w:rPr>
        <w:t xml:space="preserve">vanskelig se </w:t>
      </w:r>
      <w:r w:rsidR="00AA76F1">
        <w:rPr>
          <w:rFonts w:cs="Times New Roman"/>
          <w:szCs w:val="24"/>
        </w:rPr>
        <w:t xml:space="preserve">at </w:t>
      </w:r>
      <w:r w:rsidR="002238DD">
        <w:rPr>
          <w:rFonts w:cs="Times New Roman"/>
          <w:szCs w:val="24"/>
        </w:rPr>
        <w:t xml:space="preserve">det </w:t>
      </w:r>
      <w:r w:rsidR="00C21367">
        <w:rPr>
          <w:rFonts w:cs="Times New Roman"/>
          <w:szCs w:val="24"/>
        </w:rPr>
        <w:t>vil</w:t>
      </w:r>
      <w:r w:rsidR="002238DD">
        <w:rPr>
          <w:rFonts w:cs="Times New Roman"/>
          <w:szCs w:val="24"/>
        </w:rPr>
        <w:t xml:space="preserve"> være mulig for Den norske kirke å innføre medlems</w:t>
      </w:r>
      <w:r w:rsidR="00C21367">
        <w:rPr>
          <w:rFonts w:cs="Times New Roman"/>
          <w:szCs w:val="24"/>
        </w:rPr>
        <w:t>kontingent</w:t>
      </w:r>
      <w:r w:rsidR="002238DD">
        <w:rPr>
          <w:rFonts w:cs="Times New Roman"/>
          <w:szCs w:val="24"/>
        </w:rPr>
        <w:t xml:space="preserve"> dersom medlemmene </w:t>
      </w:r>
      <w:r w:rsidR="004F094A">
        <w:rPr>
          <w:rFonts w:cs="Times New Roman"/>
          <w:szCs w:val="24"/>
        </w:rPr>
        <w:t xml:space="preserve">samtidig skal </w:t>
      </w:r>
      <w:r w:rsidR="002238DD">
        <w:rPr>
          <w:rFonts w:cs="Times New Roman"/>
          <w:szCs w:val="24"/>
        </w:rPr>
        <w:t>betale livssynsavgift. Ikke fordi det vil være begrensninger i lov</w:t>
      </w:r>
      <w:r w:rsidR="004F094A">
        <w:rPr>
          <w:rFonts w:cs="Times New Roman"/>
          <w:szCs w:val="24"/>
        </w:rPr>
        <w:t xml:space="preserve">, </w:t>
      </w:r>
      <w:r w:rsidR="002238DD">
        <w:rPr>
          <w:rFonts w:cs="Times New Roman"/>
          <w:szCs w:val="24"/>
        </w:rPr>
        <w:t xml:space="preserve">men fordi </w:t>
      </w:r>
      <w:r w:rsidR="004F094A">
        <w:rPr>
          <w:rFonts w:cs="Times New Roman"/>
          <w:szCs w:val="24"/>
        </w:rPr>
        <w:t xml:space="preserve">en medlemskontingent ved siden av en obligatorisk livssynsavgift </w:t>
      </w:r>
      <w:r w:rsidR="007E0445">
        <w:rPr>
          <w:rFonts w:cs="Times New Roman"/>
          <w:szCs w:val="24"/>
        </w:rPr>
        <w:t xml:space="preserve">trolig </w:t>
      </w:r>
      <w:r w:rsidR="004F094A">
        <w:rPr>
          <w:rFonts w:cs="Times New Roman"/>
          <w:szCs w:val="24"/>
        </w:rPr>
        <w:t xml:space="preserve">vil framstå </w:t>
      </w:r>
      <w:r w:rsidR="00AA76F1">
        <w:rPr>
          <w:rFonts w:cs="Times New Roman"/>
          <w:szCs w:val="24"/>
        </w:rPr>
        <w:t xml:space="preserve">for det enkelte kirkemedlemmet </w:t>
      </w:r>
      <w:r w:rsidR="004F094A">
        <w:rPr>
          <w:rFonts w:cs="Times New Roman"/>
          <w:szCs w:val="24"/>
        </w:rPr>
        <w:t xml:space="preserve">som en uforholdsmessig stor økonomisk </w:t>
      </w:r>
      <w:r w:rsidR="00AA76F1">
        <w:rPr>
          <w:rFonts w:cs="Times New Roman"/>
          <w:szCs w:val="24"/>
        </w:rPr>
        <w:t xml:space="preserve">belastning. </w:t>
      </w:r>
      <w:r w:rsidR="002238DD">
        <w:rPr>
          <w:rFonts w:cs="Times New Roman"/>
          <w:szCs w:val="24"/>
        </w:rPr>
        <w:t xml:space="preserve">Departementet antar imidlertid at </w:t>
      </w:r>
      <w:r w:rsidR="004F094A">
        <w:rPr>
          <w:rFonts w:cs="Times New Roman"/>
          <w:szCs w:val="24"/>
        </w:rPr>
        <w:t xml:space="preserve">den frivillige </w:t>
      </w:r>
      <w:r w:rsidR="002238DD">
        <w:rPr>
          <w:rFonts w:cs="Times New Roman"/>
          <w:szCs w:val="24"/>
        </w:rPr>
        <w:t xml:space="preserve">givertjenesten i Den norske kirke </w:t>
      </w:r>
      <w:r w:rsidR="004F094A">
        <w:rPr>
          <w:rFonts w:cs="Times New Roman"/>
          <w:szCs w:val="24"/>
        </w:rPr>
        <w:t xml:space="preserve">ikke </w:t>
      </w:r>
      <w:r w:rsidR="002238DD">
        <w:rPr>
          <w:rFonts w:cs="Times New Roman"/>
          <w:szCs w:val="24"/>
        </w:rPr>
        <w:t xml:space="preserve">vil bli vesentlig svekket som følge av overgang til en livssynsavgift. </w:t>
      </w:r>
    </w:p>
    <w:p w:rsidR="002238DD" w:rsidRDefault="002238DD" w:rsidP="002238DD">
      <w:pPr>
        <w:pStyle w:val="Overskrift4"/>
      </w:pPr>
      <w:r w:rsidRPr="00C85B62">
        <w:t>Vilkår for statlig støtte</w:t>
      </w:r>
    </w:p>
    <w:p w:rsidR="002238DD" w:rsidRDefault="002238DD" w:rsidP="002238DD">
      <w:pPr>
        <w:rPr>
          <w:rFonts w:cs="Times New Roman"/>
          <w:szCs w:val="24"/>
        </w:rPr>
      </w:pPr>
      <w:r>
        <w:rPr>
          <w:rFonts w:cs="Times New Roman"/>
          <w:szCs w:val="24"/>
        </w:rPr>
        <w:t>Når det gjelder</w:t>
      </w:r>
      <w:r w:rsidRPr="00144E02">
        <w:rPr>
          <w:rFonts w:cs="Times New Roman"/>
          <w:szCs w:val="24"/>
        </w:rPr>
        <w:t xml:space="preserve"> </w:t>
      </w:r>
      <w:r>
        <w:rPr>
          <w:rFonts w:cs="Times New Roman"/>
          <w:szCs w:val="24"/>
        </w:rPr>
        <w:t xml:space="preserve">mulighetene for å stille krav og sette </w:t>
      </w:r>
      <w:r w:rsidRPr="00144E02">
        <w:rPr>
          <w:rFonts w:cs="Times New Roman"/>
          <w:szCs w:val="24"/>
        </w:rPr>
        <w:t>vilkår for støtte</w:t>
      </w:r>
      <w:r>
        <w:rPr>
          <w:rFonts w:cs="Times New Roman"/>
          <w:szCs w:val="24"/>
        </w:rPr>
        <w:t>n</w:t>
      </w:r>
      <w:r w:rsidRPr="00144E02">
        <w:rPr>
          <w:rFonts w:cs="Times New Roman"/>
          <w:szCs w:val="24"/>
        </w:rPr>
        <w:t xml:space="preserve"> til tros- og livssynssamfunn, </w:t>
      </w:r>
      <w:r w:rsidRPr="00AD4E80">
        <w:rPr>
          <w:rFonts w:cs="Times New Roman"/>
          <w:szCs w:val="24"/>
        </w:rPr>
        <w:t>jf. kap</w:t>
      </w:r>
      <w:r w:rsidR="00AA76F1">
        <w:rPr>
          <w:rFonts w:cs="Times New Roman"/>
          <w:szCs w:val="24"/>
        </w:rPr>
        <w:t>ittel</w:t>
      </w:r>
      <w:r w:rsidRPr="00AD4E80">
        <w:rPr>
          <w:rFonts w:cs="Times New Roman"/>
          <w:szCs w:val="24"/>
        </w:rPr>
        <w:t xml:space="preserve"> </w:t>
      </w:r>
      <w:r w:rsidR="00C04260" w:rsidRPr="00AD4E80">
        <w:rPr>
          <w:rFonts w:cs="Times New Roman"/>
          <w:szCs w:val="24"/>
        </w:rPr>
        <w:t>15</w:t>
      </w:r>
      <w:r>
        <w:rPr>
          <w:rFonts w:cs="Times New Roman"/>
          <w:szCs w:val="24"/>
        </w:rPr>
        <w:t xml:space="preserve">, </w:t>
      </w:r>
      <w:r w:rsidRPr="00144E02">
        <w:rPr>
          <w:rFonts w:cs="Times New Roman"/>
          <w:szCs w:val="24"/>
        </w:rPr>
        <w:t xml:space="preserve">vil en ordning med livssynsavgift </w:t>
      </w:r>
      <w:r>
        <w:rPr>
          <w:rFonts w:cs="Times New Roman"/>
          <w:szCs w:val="24"/>
        </w:rPr>
        <w:t xml:space="preserve">kanskje </w:t>
      </w:r>
      <w:r w:rsidRPr="00144E02">
        <w:rPr>
          <w:rFonts w:cs="Times New Roman"/>
          <w:szCs w:val="24"/>
        </w:rPr>
        <w:t xml:space="preserve">kunne gjøre det </w:t>
      </w:r>
      <w:r>
        <w:rPr>
          <w:rFonts w:cs="Times New Roman"/>
          <w:szCs w:val="24"/>
        </w:rPr>
        <w:t>mer utfordrende</w:t>
      </w:r>
      <w:r w:rsidRPr="00144E02">
        <w:rPr>
          <w:rFonts w:cs="Times New Roman"/>
          <w:szCs w:val="24"/>
        </w:rPr>
        <w:t xml:space="preserve"> for staten å sette slike vilkår. </w:t>
      </w:r>
    </w:p>
    <w:p w:rsidR="002238DD" w:rsidRDefault="002238DD" w:rsidP="002238DD">
      <w:pPr>
        <w:rPr>
          <w:rFonts w:cs="Times New Roman"/>
          <w:szCs w:val="24"/>
        </w:rPr>
      </w:pPr>
      <w:r>
        <w:rPr>
          <w:rFonts w:cs="Times New Roman"/>
          <w:szCs w:val="24"/>
        </w:rPr>
        <w:t xml:space="preserve">En modell med livssynsavgift </w:t>
      </w:r>
      <w:r w:rsidR="00165FFE">
        <w:rPr>
          <w:rFonts w:cs="Times New Roman"/>
          <w:szCs w:val="24"/>
        </w:rPr>
        <w:t>er</w:t>
      </w:r>
      <w:r>
        <w:rPr>
          <w:rFonts w:cs="Times New Roman"/>
          <w:szCs w:val="24"/>
        </w:rPr>
        <w:t xml:space="preserve"> en form for rettighetsbasert tilskudd, der det kun er antallet skattebetalende medlemmer i samfunnene som bestemmer overføringene fra staten. Siden avgiften også betales av alle, uavhengig av medlemskap i et tros- eller livssynssamfunn, </w:t>
      </w:r>
      <w:r w:rsidR="00E369DE">
        <w:rPr>
          <w:rFonts w:cs="Times New Roman"/>
          <w:szCs w:val="24"/>
        </w:rPr>
        <w:t xml:space="preserve">og siden staten langt på vei bare </w:t>
      </w:r>
      <w:r w:rsidR="00E26246">
        <w:rPr>
          <w:rFonts w:cs="Times New Roman"/>
          <w:szCs w:val="24"/>
        </w:rPr>
        <w:t xml:space="preserve">er </w:t>
      </w:r>
      <w:r w:rsidR="00E369DE">
        <w:rPr>
          <w:rFonts w:cs="Times New Roman"/>
          <w:szCs w:val="24"/>
        </w:rPr>
        <w:t xml:space="preserve">en videreformidler av avgiften fra den enkelte til vedkommende tros- eller livssynssamfunn, </w:t>
      </w:r>
      <w:r>
        <w:rPr>
          <w:rFonts w:cs="Times New Roman"/>
          <w:szCs w:val="24"/>
        </w:rPr>
        <w:t xml:space="preserve">vil terskelen for eksempel </w:t>
      </w:r>
      <w:r w:rsidR="00E26246">
        <w:rPr>
          <w:rFonts w:cs="Times New Roman"/>
          <w:szCs w:val="24"/>
        </w:rPr>
        <w:t xml:space="preserve">for å </w:t>
      </w:r>
      <w:r>
        <w:rPr>
          <w:rFonts w:cs="Times New Roman"/>
          <w:szCs w:val="24"/>
        </w:rPr>
        <w:t>trekke tilbake støtte til samfunn som har begått lovbrudd</w:t>
      </w:r>
      <w:r w:rsidR="00A36EE3">
        <w:rPr>
          <w:rFonts w:cs="Times New Roman"/>
          <w:szCs w:val="24"/>
        </w:rPr>
        <w:t>,</w:t>
      </w:r>
      <w:r>
        <w:rPr>
          <w:rFonts w:cs="Times New Roman"/>
          <w:szCs w:val="24"/>
        </w:rPr>
        <w:t xml:space="preserve"> kunne være noe høyere enn om tilskudde</w:t>
      </w:r>
      <w:r w:rsidR="000C6BC2">
        <w:rPr>
          <w:rFonts w:cs="Times New Roman"/>
          <w:szCs w:val="24"/>
        </w:rPr>
        <w:t>t</w:t>
      </w:r>
      <w:r>
        <w:rPr>
          <w:rFonts w:cs="Times New Roman"/>
          <w:szCs w:val="24"/>
        </w:rPr>
        <w:t xml:space="preserve"> utformes i tråd med forslaget i </w:t>
      </w:r>
      <w:r w:rsidR="00165FFE" w:rsidRPr="00AD4E80">
        <w:rPr>
          <w:rFonts w:cs="Times New Roman"/>
          <w:szCs w:val="24"/>
        </w:rPr>
        <w:t>kap</w:t>
      </w:r>
      <w:r w:rsidR="00AA76F1">
        <w:rPr>
          <w:rFonts w:cs="Times New Roman"/>
          <w:szCs w:val="24"/>
        </w:rPr>
        <w:t>ittel</w:t>
      </w:r>
      <w:r w:rsidR="00165FFE" w:rsidRPr="00AD4E80">
        <w:rPr>
          <w:rFonts w:cs="Times New Roman"/>
          <w:szCs w:val="24"/>
        </w:rPr>
        <w:t xml:space="preserve"> 14</w:t>
      </w:r>
      <w:r>
        <w:rPr>
          <w:rFonts w:cs="Times New Roman"/>
          <w:szCs w:val="24"/>
        </w:rPr>
        <w:t xml:space="preserve">. </w:t>
      </w:r>
      <w:r w:rsidR="00AD4E80">
        <w:rPr>
          <w:rFonts w:cs="Times New Roman"/>
          <w:szCs w:val="24"/>
        </w:rPr>
        <w:t>På samme måte vil det også kunne være en noe høyere terskel for å be om rapportering i tråd med forslagene som skisseres i kap</w:t>
      </w:r>
      <w:r w:rsidR="00AA76F1">
        <w:rPr>
          <w:rFonts w:cs="Times New Roman"/>
          <w:szCs w:val="24"/>
        </w:rPr>
        <w:t>ittel</w:t>
      </w:r>
      <w:r w:rsidR="00AD4E80">
        <w:rPr>
          <w:rFonts w:cs="Times New Roman"/>
          <w:szCs w:val="24"/>
        </w:rPr>
        <w:t xml:space="preserve"> 16. </w:t>
      </w:r>
    </w:p>
    <w:p w:rsidR="002238DD" w:rsidRDefault="000C6BC2" w:rsidP="002238DD">
      <w:pPr>
        <w:rPr>
          <w:rFonts w:cs="Times New Roman"/>
          <w:szCs w:val="24"/>
        </w:rPr>
      </w:pPr>
      <w:r>
        <w:rPr>
          <w:rFonts w:cs="Times New Roman"/>
          <w:szCs w:val="24"/>
        </w:rPr>
        <w:t xml:space="preserve">Likevel vil det også ved en livssynsavgift være mulig langt på vei </w:t>
      </w:r>
      <w:r w:rsidR="00E26246">
        <w:rPr>
          <w:rFonts w:cs="Times New Roman"/>
          <w:szCs w:val="24"/>
        </w:rPr>
        <w:t xml:space="preserve">å </w:t>
      </w:r>
      <w:r>
        <w:rPr>
          <w:rFonts w:cs="Times New Roman"/>
          <w:szCs w:val="24"/>
        </w:rPr>
        <w:t>stille tilsvarende krav som de som skisseres i kap</w:t>
      </w:r>
      <w:r w:rsidR="00AA76F1">
        <w:rPr>
          <w:rFonts w:cs="Times New Roman"/>
          <w:szCs w:val="24"/>
        </w:rPr>
        <w:t>ittel</w:t>
      </w:r>
      <w:r>
        <w:rPr>
          <w:rFonts w:cs="Times New Roman"/>
          <w:szCs w:val="24"/>
        </w:rPr>
        <w:t xml:space="preserve"> </w:t>
      </w:r>
      <w:r w:rsidR="00AD4E80">
        <w:rPr>
          <w:rFonts w:cs="Times New Roman"/>
          <w:szCs w:val="24"/>
        </w:rPr>
        <w:t>15</w:t>
      </w:r>
      <w:r w:rsidR="00845FC3">
        <w:rPr>
          <w:rFonts w:cs="Times New Roman"/>
          <w:szCs w:val="24"/>
        </w:rPr>
        <w:t>. Vilkårene vil da imidlertid ikke kunne utformes som vilkår for å få statstilskudd. De</w:t>
      </w:r>
      <w:r w:rsidR="00AD4E80">
        <w:rPr>
          <w:rFonts w:cs="Times New Roman"/>
          <w:szCs w:val="24"/>
        </w:rPr>
        <w:t xml:space="preserve"> vil måtte utformes som vilkår for å bli registrert som </w:t>
      </w:r>
      <w:r w:rsidR="00845FC3">
        <w:rPr>
          <w:rFonts w:cs="Times New Roman"/>
          <w:szCs w:val="24"/>
        </w:rPr>
        <w:t>godkjent</w:t>
      </w:r>
      <w:r w:rsidR="00AD4E80">
        <w:rPr>
          <w:rFonts w:cs="Times New Roman"/>
          <w:szCs w:val="24"/>
        </w:rPr>
        <w:t xml:space="preserve"> </w:t>
      </w:r>
      <w:r w:rsidR="00845FC3">
        <w:rPr>
          <w:rFonts w:cs="Times New Roman"/>
          <w:szCs w:val="24"/>
        </w:rPr>
        <w:t xml:space="preserve">tros- eller livssynssamfunn under ordningen. </w:t>
      </w:r>
      <w:r w:rsidR="002238DD">
        <w:rPr>
          <w:rFonts w:cs="Times New Roman"/>
          <w:szCs w:val="24"/>
        </w:rPr>
        <w:t>Det vil bla</w:t>
      </w:r>
      <w:r w:rsidR="00E26246">
        <w:rPr>
          <w:rFonts w:cs="Times New Roman"/>
          <w:szCs w:val="24"/>
        </w:rPr>
        <w:t xml:space="preserve">nt annet </w:t>
      </w:r>
      <w:r w:rsidR="002238DD">
        <w:rPr>
          <w:rFonts w:cs="Times New Roman"/>
          <w:szCs w:val="24"/>
        </w:rPr>
        <w:t>innebære at skattemyndighetene eller den som forvalter et eventuelt Altinn-register, vil måtte ha lister over godkjente tros- og livssynssamfunn.</w:t>
      </w:r>
      <w:r w:rsidR="00845FC3">
        <w:rPr>
          <w:rFonts w:cs="Times New Roman"/>
          <w:szCs w:val="24"/>
        </w:rPr>
        <w:t xml:space="preserve"> Det vil også innebære at en mister muligheten for å stå som registrert tros</w:t>
      </w:r>
      <w:r w:rsidR="00E369DE">
        <w:rPr>
          <w:rFonts w:cs="Times New Roman"/>
          <w:szCs w:val="24"/>
        </w:rPr>
        <w:t>- eller livssyns</w:t>
      </w:r>
      <w:r w:rsidR="00845FC3">
        <w:rPr>
          <w:rFonts w:cs="Times New Roman"/>
          <w:szCs w:val="24"/>
        </w:rPr>
        <w:t>samfunn, uten å kreve tilskudd</w:t>
      </w:r>
      <w:r w:rsidR="0051489B">
        <w:rPr>
          <w:rFonts w:cs="Times New Roman"/>
          <w:szCs w:val="24"/>
        </w:rPr>
        <w:t>. Dette har bla</w:t>
      </w:r>
      <w:r w:rsidR="00AA76F1">
        <w:rPr>
          <w:rFonts w:cs="Times New Roman"/>
          <w:szCs w:val="24"/>
        </w:rPr>
        <w:t xml:space="preserve">nt annet </w:t>
      </w:r>
      <w:r w:rsidR="0051489B">
        <w:rPr>
          <w:rFonts w:cs="Times New Roman"/>
          <w:szCs w:val="24"/>
        </w:rPr>
        <w:t xml:space="preserve">betydning for samfunnene som ønsker vigselsrett, men ikke økonomisk støtte fra det offentlige. </w:t>
      </w:r>
    </w:p>
    <w:p w:rsidR="002238DD" w:rsidRDefault="002238DD" w:rsidP="002238DD">
      <w:pPr>
        <w:pStyle w:val="Overskrift4"/>
      </w:pPr>
      <w:r w:rsidRPr="006033A9">
        <w:t>Bevisstgjøring og kontroll med medlemskap</w:t>
      </w:r>
    </w:p>
    <w:p w:rsidR="002238DD" w:rsidRDefault="002238DD" w:rsidP="002238DD">
      <w:pPr>
        <w:rPr>
          <w:rFonts w:cs="Times New Roman"/>
          <w:szCs w:val="24"/>
        </w:rPr>
      </w:pPr>
      <w:r>
        <w:rPr>
          <w:rFonts w:cs="Times New Roman"/>
          <w:szCs w:val="24"/>
        </w:rPr>
        <w:t xml:space="preserve">Sammenlignet med dagens finansieringsordning innebærer livssynsavgiften en større bevisstgjøring og kontroll med medlemskap i tros- og livssynssamfunn. Graden av denne kontrollen avhenger av innretningen av avgiften, jf. EYs </w:t>
      </w:r>
      <w:r w:rsidR="00A36EE3">
        <w:rPr>
          <w:rFonts w:cs="Times New Roman"/>
          <w:szCs w:val="24"/>
        </w:rPr>
        <w:t>rapport.</w:t>
      </w:r>
      <w:r>
        <w:rPr>
          <w:rFonts w:cs="Times New Roman"/>
          <w:szCs w:val="24"/>
        </w:rPr>
        <w:t xml:space="preserve"> Innberetning via </w:t>
      </w:r>
      <w:r w:rsidR="00BB15CA">
        <w:rPr>
          <w:rFonts w:cs="Times New Roman"/>
          <w:szCs w:val="24"/>
        </w:rPr>
        <w:t xml:space="preserve">skattemeldingen </w:t>
      </w:r>
      <w:r>
        <w:rPr>
          <w:rFonts w:cs="Times New Roman"/>
          <w:szCs w:val="24"/>
        </w:rPr>
        <w:t>gjør det enkelt å få oversikt over, kontrollere og eventuelt endre opply</w:t>
      </w:r>
      <w:r w:rsidR="00E26246">
        <w:rPr>
          <w:rFonts w:cs="Times New Roman"/>
          <w:szCs w:val="24"/>
        </w:rPr>
        <w:t>s</w:t>
      </w:r>
      <w:r>
        <w:rPr>
          <w:rFonts w:cs="Times New Roman"/>
          <w:szCs w:val="24"/>
        </w:rPr>
        <w:t xml:space="preserve">ninger om medlemskap i tros- og livssynssamfunn, mens innberetning via Altinn eller tilsvarende krever en større grad av egeninnsats. </w:t>
      </w:r>
    </w:p>
    <w:p w:rsidR="002238DD" w:rsidRDefault="002238DD" w:rsidP="002238DD">
      <w:pPr>
        <w:rPr>
          <w:rFonts w:cs="Times New Roman"/>
          <w:szCs w:val="24"/>
        </w:rPr>
      </w:pPr>
      <w:r>
        <w:rPr>
          <w:rFonts w:cs="Times New Roman"/>
          <w:szCs w:val="24"/>
        </w:rPr>
        <w:t xml:space="preserve">Departementet mener at dersom økonomisk støtte til tros- og livssynssamfunnene skal gis på grunnlag av medlemstall alene, slik tilfellet vil være med en livssynsavgift (skattebetalende medlemmer), så vil det være en fordel om innberetning av medlemstall skjer på en sikrere og mindre ressurskrevende måte enn hva tilfellet er i dag. </w:t>
      </w:r>
    </w:p>
    <w:p w:rsidR="002238DD" w:rsidRDefault="002238DD" w:rsidP="002238DD">
      <w:pPr>
        <w:rPr>
          <w:rFonts w:cs="Times New Roman"/>
          <w:szCs w:val="24"/>
        </w:rPr>
      </w:pPr>
      <w:r>
        <w:rPr>
          <w:rFonts w:cs="Times New Roman"/>
          <w:szCs w:val="24"/>
        </w:rPr>
        <w:lastRenderedPageBreak/>
        <w:t xml:space="preserve">En sikrere og mindre ressurskrevende innberetning fordrer imidlertid ikke en livssynsavgift. Velges en innberetning via for eksempel Altinn, kan et slikt register opprettes uavhengig av livssynsavgiften. </w:t>
      </w:r>
    </w:p>
    <w:p w:rsidR="002238DD" w:rsidRDefault="002238DD" w:rsidP="002238DD">
      <w:pPr>
        <w:pStyle w:val="Overskrift4"/>
      </w:pPr>
      <w:r w:rsidRPr="00851816">
        <w:t>Øremerking</w:t>
      </w:r>
    </w:p>
    <w:p w:rsidR="002238DD" w:rsidRDefault="002238DD" w:rsidP="002238DD">
      <w:pPr>
        <w:rPr>
          <w:rFonts w:cs="Times New Roman"/>
          <w:szCs w:val="24"/>
        </w:rPr>
      </w:pPr>
      <w:r>
        <w:rPr>
          <w:rFonts w:cs="Times New Roman"/>
          <w:szCs w:val="24"/>
        </w:rPr>
        <w:t xml:space="preserve">Som </w:t>
      </w:r>
      <w:r w:rsidR="00AA76F1">
        <w:rPr>
          <w:rFonts w:cs="Times New Roman"/>
          <w:szCs w:val="24"/>
        </w:rPr>
        <w:t xml:space="preserve">det går fram av </w:t>
      </w:r>
      <w:r w:rsidRPr="00AB00B5">
        <w:rPr>
          <w:rFonts w:cs="Times New Roman"/>
          <w:szCs w:val="24"/>
        </w:rPr>
        <w:t>kap</w:t>
      </w:r>
      <w:r w:rsidR="00AA76F1">
        <w:rPr>
          <w:rFonts w:cs="Times New Roman"/>
          <w:szCs w:val="24"/>
        </w:rPr>
        <w:t>ittel</w:t>
      </w:r>
      <w:r w:rsidRPr="00AB00B5">
        <w:rPr>
          <w:rFonts w:cs="Times New Roman"/>
          <w:szCs w:val="24"/>
        </w:rPr>
        <w:t xml:space="preserve"> 6</w:t>
      </w:r>
      <w:r w:rsidR="00AA76F1">
        <w:rPr>
          <w:rFonts w:cs="Times New Roman"/>
          <w:szCs w:val="24"/>
        </w:rPr>
        <w:t>,</w:t>
      </w:r>
      <w:r>
        <w:rPr>
          <w:rFonts w:cs="Times New Roman"/>
          <w:szCs w:val="24"/>
        </w:rPr>
        <w:t xml:space="preserve"> mener departementet det ikke kan ses som konvensjonsstridig at staten finansierer religiøse formål som vil være i strid med skattebetalere</w:t>
      </w:r>
      <w:r w:rsidR="00E26246">
        <w:rPr>
          <w:rFonts w:cs="Times New Roman"/>
          <w:szCs w:val="24"/>
        </w:rPr>
        <w:t>n</w:t>
      </w:r>
      <w:r>
        <w:rPr>
          <w:rFonts w:cs="Times New Roman"/>
          <w:szCs w:val="24"/>
        </w:rPr>
        <w:t>s overbevisning. Det har likevel l</w:t>
      </w:r>
      <w:r w:rsidR="00FC4919">
        <w:rPr>
          <w:rFonts w:cs="Times New Roman"/>
          <w:szCs w:val="24"/>
        </w:rPr>
        <w:t>ig</w:t>
      </w:r>
      <w:r>
        <w:rPr>
          <w:rFonts w:cs="Times New Roman"/>
          <w:szCs w:val="24"/>
        </w:rPr>
        <w:t>g</w:t>
      </w:r>
      <w:r w:rsidR="00FC4919">
        <w:rPr>
          <w:rFonts w:cs="Times New Roman"/>
          <w:szCs w:val="24"/>
        </w:rPr>
        <w:t>e</w:t>
      </w:r>
      <w:r>
        <w:rPr>
          <w:rFonts w:cs="Times New Roman"/>
          <w:szCs w:val="24"/>
        </w:rPr>
        <w:t xml:space="preserve">t som et viktig hensyn ved livssynsavgiften at den muliggjør en øremerking der den enkelte </w:t>
      </w:r>
      <w:r w:rsidRPr="00144E02">
        <w:rPr>
          <w:rFonts w:cs="Times New Roman"/>
          <w:szCs w:val="24"/>
        </w:rPr>
        <w:t xml:space="preserve">ikke </w:t>
      </w:r>
      <w:r>
        <w:rPr>
          <w:rFonts w:cs="Times New Roman"/>
          <w:szCs w:val="24"/>
        </w:rPr>
        <w:t xml:space="preserve">vil behøve å bidra til å </w:t>
      </w:r>
      <w:r w:rsidRPr="00144E02">
        <w:rPr>
          <w:rFonts w:cs="Times New Roman"/>
          <w:szCs w:val="24"/>
        </w:rPr>
        <w:t>finansiere tros- og livssyns</w:t>
      </w:r>
      <w:r>
        <w:rPr>
          <w:rFonts w:cs="Times New Roman"/>
          <w:szCs w:val="24"/>
        </w:rPr>
        <w:t>samfunn som vedkommende ikke er medlem av selv</w:t>
      </w:r>
      <w:r w:rsidR="00C04260">
        <w:rPr>
          <w:rFonts w:cs="Times New Roman"/>
          <w:szCs w:val="24"/>
        </w:rPr>
        <w:t>, jf. også hvordan grunnlovens artikkel 64 er utformet på Island</w:t>
      </w:r>
      <w:r w:rsidRPr="00144E02">
        <w:rPr>
          <w:rFonts w:cs="Times New Roman"/>
          <w:szCs w:val="24"/>
        </w:rPr>
        <w:t>.</w:t>
      </w:r>
      <w:r>
        <w:rPr>
          <w:rFonts w:cs="Times New Roman"/>
          <w:szCs w:val="24"/>
        </w:rPr>
        <w:t xml:space="preserve"> </w:t>
      </w:r>
    </w:p>
    <w:p w:rsidR="002238DD" w:rsidRDefault="002238DD" w:rsidP="002238DD">
      <w:pPr>
        <w:rPr>
          <w:rFonts w:cs="Times New Roman"/>
          <w:szCs w:val="24"/>
        </w:rPr>
      </w:pPr>
      <w:r>
        <w:rPr>
          <w:rFonts w:cs="Times New Roman"/>
          <w:szCs w:val="24"/>
        </w:rPr>
        <w:t xml:space="preserve">Et slikt hensyn blir imidlertid svekket dersom det ikke foretas en øremerking av avgiften, jf. EYs </w:t>
      </w:r>
      <w:r w:rsidR="00A36EE3">
        <w:rPr>
          <w:rFonts w:cs="Times New Roman"/>
          <w:szCs w:val="24"/>
        </w:rPr>
        <w:t>rapport.</w:t>
      </w:r>
      <w:r>
        <w:rPr>
          <w:rFonts w:cs="Times New Roman"/>
          <w:szCs w:val="24"/>
        </w:rPr>
        <w:t xml:space="preserve"> Generelt mener departementet det kan være problematisk å gå bort fra et slikt hensyn og likevel kalle det en livssynsavgift. Dette vil departementet komme tilbake til nedenfor. </w:t>
      </w:r>
    </w:p>
    <w:p w:rsidR="002238DD" w:rsidRDefault="002238DD" w:rsidP="002238DD">
      <w:pPr>
        <w:pStyle w:val="Overskrift4"/>
      </w:pPr>
      <w:r w:rsidRPr="00F91A55">
        <w:t>Øremerking</w:t>
      </w:r>
      <w:r>
        <w:t xml:space="preserve"> av avgiften fra de som ikke er medlemmer av noe tros- eller livssynssamfunn</w:t>
      </w:r>
    </w:p>
    <w:p w:rsidR="002238DD" w:rsidRDefault="002238DD" w:rsidP="002238DD">
      <w:pPr>
        <w:rPr>
          <w:rFonts w:cs="Times New Roman"/>
          <w:szCs w:val="24"/>
        </w:rPr>
      </w:pPr>
      <w:r>
        <w:rPr>
          <w:rFonts w:cs="Times New Roman"/>
          <w:szCs w:val="24"/>
        </w:rPr>
        <w:t xml:space="preserve">Departementet mener at det ved innføring av en livssynsavgift </w:t>
      </w:r>
      <w:r w:rsidR="00AB00B5">
        <w:rPr>
          <w:rFonts w:cs="Times New Roman"/>
          <w:szCs w:val="24"/>
        </w:rPr>
        <w:t>er en forutsetning at</w:t>
      </w:r>
      <w:r>
        <w:rPr>
          <w:rFonts w:cs="Times New Roman"/>
          <w:szCs w:val="24"/>
        </w:rPr>
        <w:t xml:space="preserve"> avgiften fra de som ikke er medlemmer av noe tros- eller livssynssamfunn</w:t>
      </w:r>
      <w:r w:rsidR="00AA76F1">
        <w:rPr>
          <w:rFonts w:cs="Times New Roman"/>
          <w:szCs w:val="24"/>
        </w:rPr>
        <w:t>,</w:t>
      </w:r>
      <w:r>
        <w:rPr>
          <w:rFonts w:cs="Times New Roman"/>
          <w:szCs w:val="24"/>
        </w:rPr>
        <w:t xml:space="preserve"> øremerkes et annet formål enn religiøs virksomhet, eller går inn i statskassen som alminnelig inntekt for staten som kan refordeles til andre formål.</w:t>
      </w:r>
    </w:p>
    <w:p w:rsidR="002238DD" w:rsidRDefault="002238DD" w:rsidP="002238DD">
      <w:pPr>
        <w:rPr>
          <w:rFonts w:cs="Times New Roman"/>
          <w:szCs w:val="24"/>
        </w:rPr>
      </w:pPr>
      <w:r>
        <w:rPr>
          <w:rFonts w:cs="Times New Roman"/>
          <w:szCs w:val="24"/>
        </w:rPr>
        <w:t xml:space="preserve">Hva avgiften fra de som ikke er medlemmer av noe tros- eller livssynssamfunn skal gå til, har ikke vært </w:t>
      </w:r>
      <w:r w:rsidR="00AA76F1">
        <w:rPr>
          <w:rFonts w:cs="Times New Roman"/>
          <w:szCs w:val="24"/>
        </w:rPr>
        <w:t>blant de spørsmålene</w:t>
      </w:r>
      <w:r>
        <w:rPr>
          <w:rFonts w:cs="Times New Roman"/>
          <w:szCs w:val="24"/>
        </w:rPr>
        <w:t xml:space="preserve"> EY spesifikt </w:t>
      </w:r>
      <w:r w:rsidR="00C11075">
        <w:rPr>
          <w:rFonts w:cs="Times New Roman"/>
          <w:szCs w:val="24"/>
        </w:rPr>
        <w:t xml:space="preserve">har blitt </w:t>
      </w:r>
      <w:r w:rsidR="00AA76F1">
        <w:rPr>
          <w:rFonts w:cs="Times New Roman"/>
          <w:szCs w:val="24"/>
        </w:rPr>
        <w:t xml:space="preserve">bedt </w:t>
      </w:r>
      <w:r>
        <w:rPr>
          <w:rFonts w:cs="Times New Roman"/>
          <w:szCs w:val="24"/>
        </w:rPr>
        <w:t>om å se</w:t>
      </w:r>
      <w:r w:rsidR="00EA274E">
        <w:rPr>
          <w:rFonts w:cs="Times New Roman"/>
          <w:szCs w:val="24"/>
        </w:rPr>
        <w:t xml:space="preserve"> på. I oppdragsbeskrivelsen la </w:t>
      </w:r>
      <w:r>
        <w:rPr>
          <w:rFonts w:cs="Times New Roman"/>
          <w:szCs w:val="24"/>
        </w:rPr>
        <w:t>departementet foreløpig til grunn at avgiften kan øremerkes andre kulturformål</w:t>
      </w:r>
      <w:r w:rsidR="00A36EE3">
        <w:rPr>
          <w:rFonts w:cs="Times New Roman"/>
          <w:szCs w:val="24"/>
        </w:rPr>
        <w:t>.</w:t>
      </w:r>
      <w:r>
        <w:rPr>
          <w:rFonts w:cs="Times New Roman"/>
          <w:szCs w:val="24"/>
        </w:rPr>
        <w:t xml:space="preserve"> </w:t>
      </w:r>
    </w:p>
    <w:p w:rsidR="002238DD" w:rsidRDefault="00A36EE3" w:rsidP="002238DD">
      <w:pPr>
        <w:rPr>
          <w:rFonts w:cs="Times New Roman"/>
          <w:szCs w:val="24"/>
        </w:rPr>
      </w:pPr>
      <w:r>
        <w:rPr>
          <w:rFonts w:cs="Times New Roman"/>
          <w:szCs w:val="24"/>
        </w:rPr>
        <w:t>I rapporten fra EY pekes det</w:t>
      </w:r>
      <w:r w:rsidR="002238DD">
        <w:rPr>
          <w:rFonts w:cs="Times New Roman"/>
          <w:szCs w:val="24"/>
        </w:rPr>
        <w:t xml:space="preserve"> på utfordringer ved å la avgiften gå til kulturformål. Bla</w:t>
      </w:r>
      <w:r w:rsidR="00C11075">
        <w:rPr>
          <w:rFonts w:cs="Times New Roman"/>
          <w:szCs w:val="24"/>
        </w:rPr>
        <w:t xml:space="preserve">nt annet </w:t>
      </w:r>
      <w:r w:rsidR="002238DD">
        <w:rPr>
          <w:rFonts w:cs="Times New Roman"/>
          <w:szCs w:val="24"/>
        </w:rPr>
        <w:t xml:space="preserve">vises det til at det kan være utfordrende å velge hvilke kulturformål </w:t>
      </w:r>
      <w:r w:rsidR="00BB15CA">
        <w:rPr>
          <w:rFonts w:cs="Times New Roman"/>
          <w:szCs w:val="24"/>
        </w:rPr>
        <w:t>som skal tilgodeses</w:t>
      </w:r>
      <w:r w:rsidR="002238DD">
        <w:rPr>
          <w:rFonts w:cs="Times New Roman"/>
          <w:szCs w:val="24"/>
        </w:rPr>
        <w:t>, samt at en delvis finansiering av kulturformål gjennom en sektoravgift, som livssynsavgiften da vil være, vil gi mange grensesnitt mot andre finansieringskilder for kulturtiltak i Norge. Generelt pekes det også på at det må a</w:t>
      </w:r>
      <w:r w:rsidR="00E26246">
        <w:rPr>
          <w:rFonts w:cs="Times New Roman"/>
          <w:szCs w:val="24"/>
        </w:rPr>
        <w:t>r</w:t>
      </w:r>
      <w:r w:rsidR="002238DD">
        <w:rPr>
          <w:rFonts w:cs="Times New Roman"/>
          <w:szCs w:val="24"/>
        </w:rPr>
        <w:t xml:space="preserve">gumenteres godt for hvorfor kulturtiltak er </w:t>
      </w:r>
      <w:r w:rsidR="00E26246">
        <w:rPr>
          <w:rFonts w:cs="Times New Roman"/>
          <w:szCs w:val="24"/>
        </w:rPr>
        <w:t>b</w:t>
      </w:r>
      <w:r w:rsidR="002238DD">
        <w:rPr>
          <w:rFonts w:cs="Times New Roman"/>
          <w:szCs w:val="24"/>
        </w:rPr>
        <w:t xml:space="preserve">edre å </w:t>
      </w:r>
      <w:r>
        <w:rPr>
          <w:rFonts w:cs="Times New Roman"/>
          <w:szCs w:val="24"/>
        </w:rPr>
        <w:t xml:space="preserve">velge </w:t>
      </w:r>
      <w:r w:rsidR="002238DD">
        <w:rPr>
          <w:rFonts w:cs="Times New Roman"/>
          <w:szCs w:val="24"/>
        </w:rPr>
        <w:t>ut som kategori</w:t>
      </w:r>
      <w:r w:rsidR="00BB15CA">
        <w:rPr>
          <w:rFonts w:cs="Times New Roman"/>
          <w:szCs w:val="24"/>
        </w:rPr>
        <w:t>,</w:t>
      </w:r>
      <w:r w:rsidR="002238DD">
        <w:rPr>
          <w:rFonts w:cs="Times New Roman"/>
          <w:szCs w:val="24"/>
        </w:rPr>
        <w:t xml:space="preserve"> enn for eksempel bistand, idrett eller forskning. </w:t>
      </w:r>
    </w:p>
    <w:p w:rsidR="002238DD" w:rsidRDefault="002238DD" w:rsidP="002238DD">
      <w:pPr>
        <w:rPr>
          <w:rFonts w:cs="Times New Roman"/>
          <w:szCs w:val="24"/>
        </w:rPr>
      </w:pPr>
      <w:r>
        <w:rPr>
          <w:rFonts w:cs="Times New Roman"/>
          <w:szCs w:val="24"/>
        </w:rPr>
        <w:t xml:space="preserve">Departementet vil peke på at det er generelt utfordrende å øremerke avgiften til ett spesifikt formål. På Island gikk avgiften fra de som ikke var medlemmer av noe trossamfunn til universitetet. Denne ordningen er imidlertid avviklet, og Norge har ikke sammenlignbare forhold der vi har ett universitet, eller ett annet godt formål, som kan motta midler fra avgiften. </w:t>
      </w:r>
      <w:r w:rsidR="0092236C">
        <w:rPr>
          <w:rFonts w:cs="Times New Roman"/>
          <w:szCs w:val="24"/>
        </w:rPr>
        <w:t xml:space="preserve">Slik departementet ser det, vil det neppe være mulig å </w:t>
      </w:r>
      <w:r w:rsidR="00A36EE3">
        <w:rPr>
          <w:rFonts w:cs="Times New Roman"/>
          <w:szCs w:val="24"/>
        </w:rPr>
        <w:t>øremerke</w:t>
      </w:r>
      <w:r w:rsidR="0092236C">
        <w:rPr>
          <w:rFonts w:cs="Times New Roman"/>
          <w:szCs w:val="24"/>
        </w:rPr>
        <w:t xml:space="preserve"> avgiften til </w:t>
      </w:r>
      <w:r>
        <w:rPr>
          <w:rFonts w:cs="Times New Roman"/>
          <w:szCs w:val="24"/>
        </w:rPr>
        <w:t xml:space="preserve">ett spesifikt formål. </w:t>
      </w:r>
      <w:r w:rsidR="0092236C">
        <w:rPr>
          <w:rFonts w:cs="Times New Roman"/>
          <w:szCs w:val="24"/>
        </w:rPr>
        <w:t xml:space="preserve">Det synes også vanskelig </w:t>
      </w:r>
      <w:r w:rsidR="00F2562E">
        <w:rPr>
          <w:rFonts w:cs="Times New Roman"/>
          <w:szCs w:val="24"/>
        </w:rPr>
        <w:t xml:space="preserve">å </w:t>
      </w:r>
      <w:r w:rsidR="0092236C">
        <w:rPr>
          <w:rFonts w:cs="Times New Roman"/>
          <w:szCs w:val="24"/>
        </w:rPr>
        <w:t>"</w:t>
      </w:r>
      <w:r w:rsidR="00F2562E">
        <w:rPr>
          <w:rFonts w:cs="Times New Roman"/>
          <w:szCs w:val="24"/>
        </w:rPr>
        <w:t>listeføre</w:t>
      </w:r>
      <w:r w:rsidR="0092236C">
        <w:rPr>
          <w:rFonts w:cs="Times New Roman"/>
          <w:szCs w:val="24"/>
        </w:rPr>
        <w:t>"</w:t>
      </w:r>
      <w:r w:rsidR="00F2562E">
        <w:rPr>
          <w:rFonts w:cs="Times New Roman"/>
          <w:szCs w:val="24"/>
        </w:rPr>
        <w:t xml:space="preserve"> enkelte andre av staten godkjente formål, slik ordningen er i Italia. </w:t>
      </w:r>
      <w:r>
        <w:rPr>
          <w:rFonts w:cs="Times New Roman"/>
          <w:szCs w:val="24"/>
        </w:rPr>
        <w:t xml:space="preserve">Øremerking av avgifter er </w:t>
      </w:r>
      <w:r w:rsidR="0092236C">
        <w:rPr>
          <w:rFonts w:cs="Times New Roman"/>
          <w:szCs w:val="24"/>
        </w:rPr>
        <w:t xml:space="preserve">dessuten </w:t>
      </w:r>
      <w:r>
        <w:rPr>
          <w:rFonts w:cs="Times New Roman"/>
          <w:szCs w:val="24"/>
        </w:rPr>
        <w:t xml:space="preserve">generelt noe staten viser tilbakeholdenhet med å innføre, jf. Finansdepartementets rundskriv R-112/2015. Departementet legger derfor til grunn at </w:t>
      </w:r>
      <w:r w:rsidR="00C11075">
        <w:rPr>
          <w:rFonts w:cs="Times New Roman"/>
          <w:szCs w:val="24"/>
        </w:rPr>
        <w:t xml:space="preserve">en ordning med livssynsavgift vil innebære at </w:t>
      </w:r>
      <w:r>
        <w:rPr>
          <w:rFonts w:cs="Times New Roman"/>
          <w:szCs w:val="24"/>
        </w:rPr>
        <w:t xml:space="preserve">avgiften fra ikke-medlemmer </w:t>
      </w:r>
      <w:r w:rsidR="00C11075">
        <w:rPr>
          <w:rFonts w:cs="Times New Roman"/>
          <w:szCs w:val="24"/>
        </w:rPr>
        <w:t xml:space="preserve">må </w:t>
      </w:r>
      <w:r>
        <w:rPr>
          <w:rFonts w:cs="Times New Roman"/>
          <w:szCs w:val="24"/>
        </w:rPr>
        <w:t>gå inn som</w:t>
      </w:r>
      <w:r w:rsidR="007450CF">
        <w:rPr>
          <w:rFonts w:cs="Times New Roman"/>
          <w:szCs w:val="24"/>
        </w:rPr>
        <w:t xml:space="preserve"> en</w:t>
      </w:r>
      <w:r>
        <w:rPr>
          <w:rFonts w:cs="Times New Roman"/>
          <w:szCs w:val="24"/>
        </w:rPr>
        <w:t xml:space="preserve"> alminnelig inntekt</w:t>
      </w:r>
      <w:r w:rsidR="007450CF">
        <w:rPr>
          <w:rFonts w:cs="Times New Roman"/>
          <w:szCs w:val="24"/>
        </w:rPr>
        <w:t>/avgift</w:t>
      </w:r>
      <w:r>
        <w:rPr>
          <w:rFonts w:cs="Times New Roman"/>
          <w:szCs w:val="24"/>
        </w:rPr>
        <w:t xml:space="preserve"> for staten</w:t>
      </w:r>
      <w:r w:rsidR="00C11075">
        <w:rPr>
          <w:rFonts w:cs="Times New Roman"/>
          <w:szCs w:val="24"/>
        </w:rPr>
        <w:t>.</w:t>
      </w:r>
      <w:r>
        <w:rPr>
          <w:rFonts w:cs="Times New Roman"/>
          <w:szCs w:val="24"/>
        </w:rPr>
        <w:t xml:space="preserve"> </w:t>
      </w:r>
    </w:p>
    <w:p w:rsidR="002238DD" w:rsidRPr="00FB00C0" w:rsidRDefault="002238DD" w:rsidP="002238DD">
      <w:pPr>
        <w:pStyle w:val="Overskrift3"/>
      </w:pPr>
      <w:bookmarkStart w:id="3660" w:name="_Toc477536068"/>
      <w:bookmarkStart w:id="3661" w:name="_Toc477631198"/>
      <w:bookmarkStart w:id="3662" w:name="_Toc477694163"/>
      <w:bookmarkStart w:id="3663" w:name="_Toc477704589"/>
      <w:bookmarkStart w:id="3664" w:name="_Toc477799832"/>
      <w:bookmarkStart w:id="3665" w:name="_Toc477806433"/>
      <w:bookmarkStart w:id="3666" w:name="_Toc477872093"/>
      <w:bookmarkStart w:id="3667" w:name="_Toc477878701"/>
      <w:bookmarkStart w:id="3668" w:name="_Toc477882105"/>
      <w:bookmarkStart w:id="3669" w:name="_Toc477886567"/>
      <w:bookmarkStart w:id="3670" w:name="_Toc478131512"/>
      <w:bookmarkStart w:id="3671" w:name="_Toc478138882"/>
      <w:bookmarkStart w:id="3672" w:name="_Toc478232406"/>
      <w:bookmarkStart w:id="3673" w:name="_Toc478237391"/>
      <w:bookmarkStart w:id="3674" w:name="_Toc481761935"/>
      <w:bookmarkStart w:id="3675" w:name="_Toc492900587"/>
      <w:r>
        <w:lastRenderedPageBreak/>
        <w:t>K</w:t>
      </w:r>
      <w:r w:rsidRPr="00FB00C0">
        <w:t xml:space="preserve">onsekvenser for </w:t>
      </w:r>
      <w:r w:rsidR="00BD2B04">
        <w:t>D</w:t>
      </w:r>
      <w:r w:rsidRPr="00FB00C0">
        <w:t xml:space="preserve">en norske kirke – støtte per medlem og </w:t>
      </w:r>
      <w:r w:rsidR="00BB15CA">
        <w:t>full statlig finansiering</w:t>
      </w:r>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p>
    <w:p w:rsidR="002238DD" w:rsidRDefault="002238DD" w:rsidP="002238DD">
      <w:pPr>
        <w:rPr>
          <w:rFonts w:cs="Times New Roman"/>
          <w:szCs w:val="24"/>
        </w:rPr>
      </w:pPr>
      <w:r>
        <w:rPr>
          <w:rFonts w:cs="Times New Roman"/>
          <w:szCs w:val="24"/>
        </w:rPr>
        <w:t xml:space="preserve">En modell med livssynsavgift innebærer at alle tros- og livssynssamfunn likebehandles både </w:t>
      </w:r>
      <w:r w:rsidRPr="00144E02">
        <w:rPr>
          <w:rFonts w:cs="Times New Roman"/>
          <w:szCs w:val="24"/>
        </w:rPr>
        <w:t xml:space="preserve">økonomisk </w:t>
      </w:r>
      <w:r w:rsidR="007E25FE">
        <w:rPr>
          <w:rFonts w:cs="Times New Roman"/>
          <w:szCs w:val="24"/>
        </w:rPr>
        <w:t>(den relative størrelsen på de økonomiske overføringene) og i ordning (innretningen av finansieringsordningen)</w:t>
      </w:r>
      <w:r>
        <w:rPr>
          <w:rFonts w:cs="Times New Roman"/>
          <w:szCs w:val="24"/>
        </w:rPr>
        <w:t xml:space="preserve">. </w:t>
      </w:r>
    </w:p>
    <w:p w:rsidR="002238DD" w:rsidRDefault="002238DD" w:rsidP="002238DD">
      <w:pPr>
        <w:rPr>
          <w:rFonts w:cs="Times New Roman"/>
          <w:szCs w:val="24"/>
        </w:rPr>
      </w:pPr>
      <w:r w:rsidRPr="0092236C">
        <w:rPr>
          <w:rFonts w:cs="Times New Roman"/>
          <w:i/>
          <w:szCs w:val="24"/>
        </w:rPr>
        <w:t>Økonomisk</w:t>
      </w:r>
      <w:r>
        <w:rPr>
          <w:rFonts w:cs="Times New Roman"/>
          <w:szCs w:val="24"/>
        </w:rPr>
        <w:t xml:space="preserve"> likebehandling </w:t>
      </w:r>
      <w:r w:rsidR="00764AFE">
        <w:rPr>
          <w:rFonts w:cs="Times New Roman"/>
          <w:szCs w:val="24"/>
        </w:rPr>
        <w:t xml:space="preserve">av Den norske kirke og andre tros- og livssynssamfunn </w:t>
      </w:r>
      <w:r w:rsidR="0092236C">
        <w:rPr>
          <w:rFonts w:cs="Times New Roman"/>
          <w:szCs w:val="24"/>
        </w:rPr>
        <w:t xml:space="preserve">praktiseres </w:t>
      </w:r>
      <w:r>
        <w:rPr>
          <w:rFonts w:cs="Times New Roman"/>
          <w:szCs w:val="24"/>
        </w:rPr>
        <w:t xml:space="preserve">i dag, og </w:t>
      </w:r>
      <w:r w:rsidR="0092236C">
        <w:rPr>
          <w:rFonts w:cs="Times New Roman"/>
          <w:szCs w:val="24"/>
        </w:rPr>
        <w:t xml:space="preserve">er lagt til </w:t>
      </w:r>
      <w:r w:rsidR="00764AFE">
        <w:rPr>
          <w:rFonts w:cs="Times New Roman"/>
          <w:szCs w:val="24"/>
        </w:rPr>
        <w:t xml:space="preserve">grunn </w:t>
      </w:r>
      <w:r>
        <w:rPr>
          <w:rFonts w:cs="Times New Roman"/>
          <w:szCs w:val="24"/>
        </w:rPr>
        <w:t xml:space="preserve">også i de forslagene til endringer i finansieringsordningene som </w:t>
      </w:r>
      <w:r w:rsidR="00764AFE">
        <w:rPr>
          <w:rFonts w:cs="Times New Roman"/>
          <w:szCs w:val="24"/>
        </w:rPr>
        <w:t xml:space="preserve">gjennomgås i </w:t>
      </w:r>
      <w:r>
        <w:rPr>
          <w:rFonts w:cs="Times New Roman"/>
          <w:szCs w:val="24"/>
        </w:rPr>
        <w:t xml:space="preserve">kapitlene foran. </w:t>
      </w:r>
    </w:p>
    <w:p w:rsidR="002238DD" w:rsidRDefault="00764AFE" w:rsidP="002238DD">
      <w:pPr>
        <w:rPr>
          <w:rFonts w:cs="Times New Roman"/>
          <w:szCs w:val="24"/>
        </w:rPr>
      </w:pPr>
      <w:r>
        <w:rPr>
          <w:rFonts w:cs="Times New Roman"/>
          <w:szCs w:val="24"/>
        </w:rPr>
        <w:t xml:space="preserve">Likhet i </w:t>
      </w:r>
      <w:r w:rsidRPr="00764AFE">
        <w:rPr>
          <w:rFonts w:cs="Times New Roman"/>
          <w:i/>
          <w:szCs w:val="24"/>
        </w:rPr>
        <w:t>fi</w:t>
      </w:r>
      <w:r>
        <w:rPr>
          <w:rFonts w:cs="Times New Roman"/>
          <w:i/>
          <w:szCs w:val="24"/>
        </w:rPr>
        <w:t>n</w:t>
      </w:r>
      <w:r w:rsidRPr="00764AFE">
        <w:rPr>
          <w:rFonts w:cs="Times New Roman"/>
          <w:i/>
          <w:szCs w:val="24"/>
        </w:rPr>
        <w:t>ansierings</w:t>
      </w:r>
      <w:r w:rsidR="007E25FE" w:rsidRPr="00764AFE">
        <w:rPr>
          <w:rFonts w:cs="Times New Roman"/>
          <w:i/>
          <w:szCs w:val="24"/>
        </w:rPr>
        <w:t>ordning</w:t>
      </w:r>
      <w:r>
        <w:rPr>
          <w:rFonts w:cs="Times New Roman"/>
          <w:i/>
          <w:szCs w:val="24"/>
        </w:rPr>
        <w:t>er</w:t>
      </w:r>
      <w:r w:rsidR="002238DD">
        <w:rPr>
          <w:rFonts w:cs="Times New Roman"/>
          <w:szCs w:val="24"/>
        </w:rPr>
        <w:t xml:space="preserve"> </w:t>
      </w:r>
      <w:r>
        <w:rPr>
          <w:rFonts w:cs="Times New Roman"/>
          <w:szCs w:val="24"/>
        </w:rPr>
        <w:t xml:space="preserve">for Den norske kirke og andre tros- og livssynssamfunn </w:t>
      </w:r>
      <w:r w:rsidR="002238DD">
        <w:rPr>
          <w:rFonts w:cs="Times New Roman"/>
          <w:szCs w:val="24"/>
        </w:rPr>
        <w:t>er i</w:t>
      </w:r>
      <w:r>
        <w:rPr>
          <w:rFonts w:cs="Times New Roman"/>
          <w:szCs w:val="24"/>
        </w:rPr>
        <w:t>midlertid i</w:t>
      </w:r>
      <w:r w:rsidR="002238DD">
        <w:rPr>
          <w:rFonts w:cs="Times New Roman"/>
          <w:szCs w:val="24"/>
        </w:rPr>
        <w:t xml:space="preserve">kke bygget inn i forslagene </w:t>
      </w:r>
      <w:r>
        <w:rPr>
          <w:rFonts w:cs="Times New Roman"/>
          <w:szCs w:val="24"/>
        </w:rPr>
        <w:t xml:space="preserve">foran om endrete </w:t>
      </w:r>
      <w:proofErr w:type="gramStart"/>
      <w:r w:rsidR="002238DD">
        <w:rPr>
          <w:rFonts w:cs="Times New Roman"/>
          <w:szCs w:val="24"/>
        </w:rPr>
        <w:t>finansieringsordninger</w:t>
      </w:r>
      <w:r>
        <w:rPr>
          <w:rFonts w:cs="Times New Roman"/>
          <w:szCs w:val="24"/>
        </w:rPr>
        <w:t xml:space="preserve"> .</w:t>
      </w:r>
      <w:proofErr w:type="gramEnd"/>
      <w:r w:rsidR="002238DD">
        <w:rPr>
          <w:rFonts w:cs="Times New Roman"/>
          <w:szCs w:val="24"/>
        </w:rPr>
        <w:t xml:space="preserve"> </w:t>
      </w:r>
    </w:p>
    <w:p w:rsidR="002238DD" w:rsidRDefault="002238DD" w:rsidP="002238DD">
      <w:pPr>
        <w:rPr>
          <w:rFonts w:cs="Times New Roman"/>
          <w:szCs w:val="24"/>
        </w:rPr>
      </w:pPr>
      <w:r>
        <w:rPr>
          <w:rFonts w:cs="Times New Roman"/>
          <w:szCs w:val="24"/>
        </w:rPr>
        <w:t>Ved innføring av en livssynsavgift der tros- og livssynssamfunnene ska</w:t>
      </w:r>
      <w:r w:rsidR="007E25FE">
        <w:rPr>
          <w:rFonts w:cs="Times New Roman"/>
          <w:szCs w:val="24"/>
        </w:rPr>
        <w:t>l likebehandles også i innretningen av finansieringsordningen</w:t>
      </w:r>
      <w:r>
        <w:rPr>
          <w:rFonts w:cs="Times New Roman"/>
          <w:szCs w:val="24"/>
        </w:rPr>
        <w:t xml:space="preserve">, vil den offentlige støtten til Den norske kirke ikke lenger være underlagt særskilte vurderinger fra år til år. Den norske kirke vil motta livssynsavgiften etter samme regler som andre tros- og livssynssamfunn. Dersom antallet medlemmer i Den norske kirke går ned, vil også den økonomiske støtten til Den norske kirke gå ned. </w:t>
      </w:r>
    </w:p>
    <w:p w:rsidR="002F2082" w:rsidRDefault="002238DD" w:rsidP="002238DD">
      <w:pPr>
        <w:rPr>
          <w:rFonts w:cs="Times New Roman"/>
          <w:szCs w:val="24"/>
        </w:rPr>
      </w:pPr>
      <w:r>
        <w:rPr>
          <w:rFonts w:cs="Times New Roman"/>
          <w:szCs w:val="24"/>
        </w:rPr>
        <w:t>F</w:t>
      </w:r>
      <w:r w:rsidR="00EA5E94">
        <w:rPr>
          <w:rFonts w:cs="Times New Roman"/>
          <w:szCs w:val="24"/>
        </w:rPr>
        <w:t xml:space="preserve">lere utvalg har pekt på at de særlige </w:t>
      </w:r>
      <w:r w:rsidR="007450CF">
        <w:rPr>
          <w:rFonts w:cs="Times New Roman"/>
          <w:szCs w:val="24"/>
        </w:rPr>
        <w:t xml:space="preserve">oppgavene Den norske kirke har som folkekirke, </w:t>
      </w:r>
      <w:r w:rsidR="00EA5E94">
        <w:rPr>
          <w:rFonts w:cs="Times New Roman"/>
          <w:szCs w:val="24"/>
        </w:rPr>
        <w:t>ved en livssynsavgift</w:t>
      </w:r>
      <w:r>
        <w:rPr>
          <w:rFonts w:cs="Times New Roman"/>
          <w:szCs w:val="24"/>
        </w:rPr>
        <w:t xml:space="preserve"> kan løses gjennom særskilte økonomiske støtteordninger for Den norske kirke. </w:t>
      </w:r>
    </w:p>
    <w:p w:rsidR="002238DD" w:rsidRDefault="002238DD" w:rsidP="002238DD">
      <w:pPr>
        <w:rPr>
          <w:rFonts w:cs="Times New Roman"/>
          <w:szCs w:val="24"/>
        </w:rPr>
      </w:pPr>
      <w:r>
        <w:rPr>
          <w:rFonts w:cs="Times New Roman"/>
          <w:szCs w:val="24"/>
        </w:rPr>
        <w:t xml:space="preserve">Departementet legger til grunn at det også innenfor en modell med livssynsavgift vil være mulig </w:t>
      </w:r>
      <w:r w:rsidR="002F2082">
        <w:rPr>
          <w:rFonts w:cs="Times New Roman"/>
          <w:szCs w:val="24"/>
        </w:rPr>
        <w:t xml:space="preserve">for Den norske kirke å ivareta forvaltningsansvaret for gravplassene, og at det økonomiske tilskuddet til dette da holdes utenfor livssynsavgiften. </w:t>
      </w:r>
      <w:r w:rsidR="00BA62B3">
        <w:rPr>
          <w:rFonts w:cs="Times New Roman"/>
          <w:szCs w:val="24"/>
        </w:rPr>
        <w:t xml:space="preserve">Antakelig må </w:t>
      </w:r>
      <w:r w:rsidR="005750C0">
        <w:rPr>
          <w:rFonts w:cs="Times New Roman"/>
          <w:szCs w:val="24"/>
        </w:rPr>
        <w:t xml:space="preserve">det også vurderes særskilte støtteordninger til Den norske kirke for </w:t>
      </w:r>
      <w:r>
        <w:rPr>
          <w:rFonts w:cs="Times New Roman"/>
          <w:szCs w:val="24"/>
        </w:rPr>
        <w:t>ivaretakelse</w:t>
      </w:r>
      <w:r w:rsidR="007450CF">
        <w:rPr>
          <w:rFonts w:cs="Times New Roman"/>
          <w:szCs w:val="24"/>
        </w:rPr>
        <w:t>n</w:t>
      </w:r>
      <w:r>
        <w:rPr>
          <w:rFonts w:cs="Times New Roman"/>
          <w:szCs w:val="24"/>
        </w:rPr>
        <w:t xml:space="preserve"> av de</w:t>
      </w:r>
      <w:r w:rsidR="005750C0">
        <w:rPr>
          <w:rFonts w:cs="Times New Roman"/>
          <w:szCs w:val="24"/>
        </w:rPr>
        <w:t xml:space="preserve">n kulturarven som de eldre </w:t>
      </w:r>
      <w:r>
        <w:rPr>
          <w:rFonts w:cs="Times New Roman"/>
          <w:szCs w:val="24"/>
        </w:rPr>
        <w:t>kirkebyggene</w:t>
      </w:r>
      <w:r w:rsidR="005750C0">
        <w:rPr>
          <w:rFonts w:cs="Times New Roman"/>
          <w:szCs w:val="24"/>
        </w:rPr>
        <w:t xml:space="preserve"> representerer.</w:t>
      </w:r>
      <w:r>
        <w:rPr>
          <w:rFonts w:cs="Times New Roman"/>
          <w:szCs w:val="24"/>
        </w:rPr>
        <w:t xml:space="preserve"> </w:t>
      </w:r>
    </w:p>
    <w:p w:rsidR="00764AFE" w:rsidRDefault="002238DD" w:rsidP="002238DD">
      <w:pPr>
        <w:rPr>
          <w:rFonts w:cs="Times New Roman"/>
          <w:szCs w:val="24"/>
        </w:rPr>
      </w:pPr>
      <w:r>
        <w:rPr>
          <w:rFonts w:cs="Times New Roman"/>
          <w:szCs w:val="24"/>
        </w:rPr>
        <w:t xml:space="preserve">Ut over dette </w:t>
      </w:r>
      <w:r w:rsidR="00EA5E94">
        <w:rPr>
          <w:rFonts w:cs="Times New Roman"/>
          <w:szCs w:val="24"/>
        </w:rPr>
        <w:t>ser</w:t>
      </w:r>
      <w:r>
        <w:rPr>
          <w:rFonts w:cs="Times New Roman"/>
          <w:szCs w:val="24"/>
        </w:rPr>
        <w:t xml:space="preserve"> ikke departementet </w:t>
      </w:r>
      <w:r w:rsidR="00764AFE">
        <w:rPr>
          <w:rFonts w:cs="Times New Roman"/>
          <w:szCs w:val="24"/>
        </w:rPr>
        <w:t>at</w:t>
      </w:r>
      <w:r w:rsidR="00BB15CA">
        <w:rPr>
          <w:rFonts w:cs="Times New Roman"/>
          <w:szCs w:val="24"/>
        </w:rPr>
        <w:t xml:space="preserve"> det</w:t>
      </w:r>
      <w:r w:rsidR="00764AFE">
        <w:rPr>
          <w:rFonts w:cs="Times New Roman"/>
          <w:szCs w:val="24"/>
        </w:rPr>
        <w:t xml:space="preserve"> ved innføring av livssynsavgift </w:t>
      </w:r>
      <w:r w:rsidR="00622020">
        <w:rPr>
          <w:rFonts w:cs="Times New Roman"/>
          <w:szCs w:val="24"/>
        </w:rPr>
        <w:t xml:space="preserve">vil være </w:t>
      </w:r>
      <w:r w:rsidR="00EA5E94">
        <w:rPr>
          <w:rFonts w:cs="Times New Roman"/>
          <w:szCs w:val="24"/>
        </w:rPr>
        <w:t xml:space="preserve">realistisk å </w:t>
      </w:r>
      <w:r w:rsidR="00622020">
        <w:rPr>
          <w:rFonts w:cs="Times New Roman"/>
          <w:szCs w:val="24"/>
        </w:rPr>
        <w:t xml:space="preserve">etablere </w:t>
      </w:r>
      <w:r>
        <w:rPr>
          <w:rFonts w:cs="Times New Roman"/>
          <w:szCs w:val="24"/>
        </w:rPr>
        <w:t>sær</w:t>
      </w:r>
      <w:r w:rsidR="007450CF">
        <w:rPr>
          <w:rFonts w:cs="Times New Roman"/>
          <w:szCs w:val="24"/>
        </w:rPr>
        <w:t>s</w:t>
      </w:r>
      <w:r>
        <w:rPr>
          <w:rFonts w:cs="Times New Roman"/>
          <w:szCs w:val="24"/>
        </w:rPr>
        <w:t>kilte økonomiske støtteordninger</w:t>
      </w:r>
      <w:r w:rsidR="00764AFE">
        <w:rPr>
          <w:rFonts w:cs="Times New Roman"/>
          <w:szCs w:val="24"/>
        </w:rPr>
        <w:t xml:space="preserve"> </w:t>
      </w:r>
      <w:r>
        <w:rPr>
          <w:rFonts w:cs="Times New Roman"/>
          <w:szCs w:val="24"/>
        </w:rPr>
        <w:t>for Den norske kirke</w:t>
      </w:r>
      <w:r w:rsidR="00622020">
        <w:rPr>
          <w:rFonts w:cs="Times New Roman"/>
          <w:szCs w:val="24"/>
        </w:rPr>
        <w:t xml:space="preserve">. Det er ellers neppe mulig </w:t>
      </w:r>
      <w:r>
        <w:rPr>
          <w:rFonts w:cs="Times New Roman"/>
          <w:szCs w:val="24"/>
        </w:rPr>
        <w:t>å gjøre en tilnærmet presis beregning av hvilke merutgifter Den norske kirke har som følge av at kirken er undergitt reguleringer og forpliktelser som andre tros- og livssynssamfunn ikke er omfattet av</w:t>
      </w:r>
      <w:r w:rsidR="00622020">
        <w:rPr>
          <w:rFonts w:cs="Times New Roman"/>
          <w:szCs w:val="24"/>
        </w:rPr>
        <w:t>, jf</w:t>
      </w:r>
      <w:r w:rsidR="00611C75">
        <w:rPr>
          <w:rFonts w:cs="Times New Roman"/>
          <w:szCs w:val="24"/>
        </w:rPr>
        <w:t>.</w:t>
      </w:r>
      <w:r w:rsidR="00622020">
        <w:rPr>
          <w:rFonts w:cs="Times New Roman"/>
          <w:szCs w:val="24"/>
        </w:rPr>
        <w:t xml:space="preserve"> drøftingene om dette i kapittel 14. </w:t>
      </w:r>
    </w:p>
    <w:p w:rsidR="002238DD" w:rsidRDefault="002238DD" w:rsidP="002238DD">
      <w:pPr>
        <w:rPr>
          <w:rFonts w:cs="Times New Roman"/>
          <w:szCs w:val="24"/>
        </w:rPr>
      </w:pPr>
      <w:r>
        <w:rPr>
          <w:rFonts w:cs="Times New Roman"/>
          <w:szCs w:val="24"/>
        </w:rPr>
        <w:t>Departementet legger derfor til grunn at en livssynsavgift – med unntak for</w:t>
      </w:r>
      <w:r w:rsidR="002F2082">
        <w:rPr>
          <w:rFonts w:cs="Times New Roman"/>
          <w:szCs w:val="24"/>
        </w:rPr>
        <w:t xml:space="preserve"> gravplassforvaltningen og</w:t>
      </w:r>
      <w:r>
        <w:rPr>
          <w:rFonts w:cs="Times New Roman"/>
          <w:szCs w:val="24"/>
        </w:rPr>
        <w:t xml:space="preserve"> </w:t>
      </w:r>
      <w:r w:rsidR="005750C0">
        <w:rPr>
          <w:rFonts w:cs="Times New Roman"/>
          <w:szCs w:val="24"/>
        </w:rPr>
        <w:t xml:space="preserve">eventuelle </w:t>
      </w:r>
      <w:r>
        <w:rPr>
          <w:rFonts w:cs="Times New Roman"/>
          <w:szCs w:val="24"/>
        </w:rPr>
        <w:t>tilskuddsordning</w:t>
      </w:r>
      <w:r w:rsidR="005750C0">
        <w:rPr>
          <w:rFonts w:cs="Times New Roman"/>
          <w:szCs w:val="24"/>
        </w:rPr>
        <w:t>er</w:t>
      </w:r>
      <w:r>
        <w:rPr>
          <w:rFonts w:cs="Times New Roman"/>
          <w:szCs w:val="24"/>
        </w:rPr>
        <w:t xml:space="preserve"> for </w:t>
      </w:r>
      <w:r w:rsidR="005750C0">
        <w:rPr>
          <w:rFonts w:cs="Times New Roman"/>
          <w:szCs w:val="24"/>
        </w:rPr>
        <w:t xml:space="preserve">bevaring av </w:t>
      </w:r>
      <w:r w:rsidR="00622020">
        <w:rPr>
          <w:rFonts w:cs="Times New Roman"/>
          <w:szCs w:val="24"/>
        </w:rPr>
        <w:t xml:space="preserve">de </w:t>
      </w:r>
      <w:r w:rsidR="005750C0">
        <w:rPr>
          <w:rFonts w:cs="Times New Roman"/>
          <w:szCs w:val="24"/>
        </w:rPr>
        <w:t xml:space="preserve">kulturhistorisk mest </w:t>
      </w:r>
      <w:r w:rsidR="00622020">
        <w:rPr>
          <w:rFonts w:cs="Times New Roman"/>
          <w:szCs w:val="24"/>
        </w:rPr>
        <w:t xml:space="preserve">verdifulle </w:t>
      </w:r>
      <w:r>
        <w:rPr>
          <w:rFonts w:cs="Times New Roman"/>
          <w:szCs w:val="24"/>
        </w:rPr>
        <w:t>kirke</w:t>
      </w:r>
      <w:r w:rsidR="00622020">
        <w:rPr>
          <w:rFonts w:cs="Times New Roman"/>
          <w:szCs w:val="24"/>
        </w:rPr>
        <w:t>byggene</w:t>
      </w:r>
      <w:r>
        <w:rPr>
          <w:rFonts w:cs="Times New Roman"/>
          <w:szCs w:val="24"/>
        </w:rPr>
        <w:t xml:space="preserve"> – </w:t>
      </w:r>
      <w:r w:rsidR="00EA274E">
        <w:rPr>
          <w:rFonts w:cs="Times New Roman"/>
          <w:szCs w:val="24"/>
        </w:rPr>
        <w:t xml:space="preserve">vil erstatte </w:t>
      </w:r>
      <w:r>
        <w:rPr>
          <w:rFonts w:cs="Times New Roman"/>
          <w:szCs w:val="24"/>
        </w:rPr>
        <w:t xml:space="preserve">dagens </w:t>
      </w:r>
      <w:r w:rsidR="00622020">
        <w:rPr>
          <w:rFonts w:cs="Times New Roman"/>
          <w:szCs w:val="24"/>
        </w:rPr>
        <w:t xml:space="preserve">offentlige </w:t>
      </w:r>
      <w:r w:rsidR="00764AFE">
        <w:rPr>
          <w:rFonts w:cs="Times New Roman"/>
          <w:szCs w:val="24"/>
        </w:rPr>
        <w:t xml:space="preserve">tilskudd til </w:t>
      </w:r>
      <w:r w:rsidR="00622020">
        <w:rPr>
          <w:rFonts w:cs="Times New Roman"/>
          <w:szCs w:val="24"/>
        </w:rPr>
        <w:t>Den norske kirke</w:t>
      </w:r>
      <w:r w:rsidR="00EA274E">
        <w:rPr>
          <w:rFonts w:cs="Times New Roman"/>
          <w:szCs w:val="24"/>
        </w:rPr>
        <w:t xml:space="preserve"> fullt ut</w:t>
      </w:r>
      <w:r>
        <w:rPr>
          <w:rFonts w:cs="Times New Roman"/>
          <w:szCs w:val="24"/>
        </w:rPr>
        <w:t>.</w:t>
      </w:r>
    </w:p>
    <w:p w:rsidR="002238DD" w:rsidRDefault="002238DD" w:rsidP="002238DD">
      <w:pPr>
        <w:rPr>
          <w:rFonts w:cs="Times New Roman"/>
          <w:szCs w:val="24"/>
        </w:rPr>
      </w:pPr>
      <w:r>
        <w:rPr>
          <w:rFonts w:cs="Times New Roman"/>
          <w:szCs w:val="24"/>
        </w:rPr>
        <w:t>For Den norske kirke innebærer dette at kirken selv, innenfor rammen av livssynsavgiften, vil måtte ta ansvar fo</w:t>
      </w:r>
      <w:r w:rsidR="00EA5E94">
        <w:rPr>
          <w:rFonts w:cs="Times New Roman"/>
          <w:szCs w:val="24"/>
        </w:rPr>
        <w:t xml:space="preserve">r kirkebyggene, med de </w:t>
      </w:r>
      <w:r>
        <w:rPr>
          <w:rFonts w:cs="Times New Roman"/>
          <w:szCs w:val="24"/>
        </w:rPr>
        <w:t>utgiftsforpliktelser som følger av dette</w:t>
      </w:r>
      <w:r w:rsidR="00622020">
        <w:rPr>
          <w:rFonts w:cs="Times New Roman"/>
          <w:szCs w:val="24"/>
        </w:rPr>
        <w:t>.</w:t>
      </w:r>
      <w:r>
        <w:rPr>
          <w:rFonts w:cs="Times New Roman"/>
          <w:szCs w:val="24"/>
        </w:rPr>
        <w:t xml:space="preserve"> Den norske kirke må også påregne lavere inntekter dersom tallet på medlemmer går</w:t>
      </w:r>
      <w:r w:rsidR="00EA5E94">
        <w:rPr>
          <w:rFonts w:cs="Times New Roman"/>
          <w:szCs w:val="24"/>
        </w:rPr>
        <w:t xml:space="preserve"> ned</w:t>
      </w:r>
      <w:r w:rsidR="00622020">
        <w:rPr>
          <w:rFonts w:cs="Times New Roman"/>
          <w:szCs w:val="24"/>
        </w:rPr>
        <w:t xml:space="preserve">. Det </w:t>
      </w:r>
      <w:r w:rsidR="00C2503E">
        <w:rPr>
          <w:rFonts w:cs="Times New Roman"/>
          <w:szCs w:val="24"/>
        </w:rPr>
        <w:t xml:space="preserve">synes </w:t>
      </w:r>
      <w:r w:rsidR="00622020">
        <w:rPr>
          <w:rFonts w:cs="Times New Roman"/>
          <w:szCs w:val="24"/>
        </w:rPr>
        <w:t xml:space="preserve">ikke </w:t>
      </w:r>
      <w:r w:rsidR="00EA5E94">
        <w:rPr>
          <w:rFonts w:cs="Times New Roman"/>
          <w:szCs w:val="24"/>
        </w:rPr>
        <w:t xml:space="preserve">realistisk </w:t>
      </w:r>
      <w:r w:rsidR="004D6DEA">
        <w:rPr>
          <w:rFonts w:cs="Times New Roman"/>
          <w:szCs w:val="24"/>
        </w:rPr>
        <w:t xml:space="preserve">at </w:t>
      </w:r>
      <w:r w:rsidR="00622020">
        <w:rPr>
          <w:rFonts w:cs="Times New Roman"/>
          <w:szCs w:val="24"/>
        </w:rPr>
        <w:t xml:space="preserve">en </w:t>
      </w:r>
      <w:r>
        <w:rPr>
          <w:rFonts w:cs="Times New Roman"/>
          <w:szCs w:val="24"/>
        </w:rPr>
        <w:t>medlems</w:t>
      </w:r>
      <w:r w:rsidR="00622020">
        <w:rPr>
          <w:rFonts w:cs="Times New Roman"/>
          <w:szCs w:val="24"/>
        </w:rPr>
        <w:t xml:space="preserve">kontingent </w:t>
      </w:r>
      <w:r w:rsidR="00BB15CA">
        <w:rPr>
          <w:rFonts w:cs="Times New Roman"/>
          <w:szCs w:val="24"/>
        </w:rPr>
        <w:t>–</w:t>
      </w:r>
      <w:r w:rsidR="00BB15CA">
        <w:rPr>
          <w:rFonts w:cs="Times New Roman"/>
          <w:szCs w:val="24"/>
        </w:rPr>
        <w:softHyphen/>
        <w:t xml:space="preserve"> om denne i det hele tatt </w:t>
      </w:r>
      <w:r w:rsidR="00AC6DE2">
        <w:rPr>
          <w:rFonts w:cs="Times New Roman"/>
          <w:szCs w:val="24"/>
        </w:rPr>
        <w:t xml:space="preserve">vil kunne innføres ved siden av en livssynsavgift – </w:t>
      </w:r>
      <w:r w:rsidR="00622020">
        <w:rPr>
          <w:rFonts w:cs="Times New Roman"/>
          <w:szCs w:val="24"/>
        </w:rPr>
        <w:t xml:space="preserve">vil </w:t>
      </w:r>
      <w:r w:rsidR="00C2503E">
        <w:rPr>
          <w:rFonts w:cs="Times New Roman"/>
          <w:szCs w:val="24"/>
        </w:rPr>
        <w:t xml:space="preserve">kunne </w:t>
      </w:r>
      <w:r>
        <w:rPr>
          <w:rFonts w:cs="Times New Roman"/>
          <w:szCs w:val="24"/>
        </w:rPr>
        <w:t xml:space="preserve">kompensere for eventuelle inntektstap. </w:t>
      </w:r>
    </w:p>
    <w:p w:rsidR="002238DD" w:rsidRDefault="002238DD" w:rsidP="002238DD">
      <w:pPr>
        <w:rPr>
          <w:rFonts w:cs="Times New Roman"/>
          <w:szCs w:val="24"/>
        </w:rPr>
      </w:pPr>
      <w:r>
        <w:rPr>
          <w:rFonts w:cs="Times New Roman"/>
          <w:szCs w:val="24"/>
        </w:rPr>
        <w:t xml:space="preserve">Et annet element som ligger som premiss ved livssynsavgiften, er at </w:t>
      </w:r>
      <w:r w:rsidR="00872294">
        <w:rPr>
          <w:rFonts w:cs="Times New Roman"/>
          <w:szCs w:val="24"/>
        </w:rPr>
        <w:t xml:space="preserve">staten krever inn og bevilger </w:t>
      </w:r>
      <w:r w:rsidR="00C42EE0">
        <w:rPr>
          <w:rFonts w:cs="Times New Roman"/>
          <w:szCs w:val="24"/>
        </w:rPr>
        <w:t xml:space="preserve">den aktuelle delen </w:t>
      </w:r>
      <w:r w:rsidR="00872294">
        <w:rPr>
          <w:rFonts w:cs="Times New Roman"/>
          <w:szCs w:val="24"/>
        </w:rPr>
        <w:t>til Den norske kirke</w:t>
      </w:r>
      <w:r w:rsidR="00C42EE0">
        <w:rPr>
          <w:rFonts w:cs="Times New Roman"/>
          <w:szCs w:val="24"/>
        </w:rPr>
        <w:t>.</w:t>
      </w:r>
      <w:r>
        <w:rPr>
          <w:rFonts w:cs="Times New Roman"/>
          <w:szCs w:val="24"/>
        </w:rPr>
        <w:t xml:space="preserve"> Kommunenes finansieringsansvar </w:t>
      </w:r>
      <w:r w:rsidR="00C42EE0">
        <w:rPr>
          <w:rFonts w:cs="Times New Roman"/>
          <w:szCs w:val="24"/>
        </w:rPr>
        <w:t xml:space="preserve">overfor Den norske kirke </w:t>
      </w:r>
      <w:r>
        <w:rPr>
          <w:rFonts w:cs="Times New Roman"/>
          <w:szCs w:val="24"/>
        </w:rPr>
        <w:t xml:space="preserve">vil med andre ord bortfalle. </w:t>
      </w:r>
    </w:p>
    <w:p w:rsidR="002238DD" w:rsidRDefault="002238DD" w:rsidP="002238DD">
      <w:pPr>
        <w:rPr>
          <w:rFonts w:cs="Times New Roman"/>
          <w:szCs w:val="24"/>
        </w:rPr>
      </w:pPr>
      <w:r>
        <w:rPr>
          <w:rFonts w:cs="Times New Roman"/>
          <w:szCs w:val="24"/>
        </w:rPr>
        <w:t xml:space="preserve">I </w:t>
      </w:r>
      <w:r w:rsidRPr="00E31257">
        <w:rPr>
          <w:rFonts w:cs="Times New Roman"/>
          <w:szCs w:val="24"/>
        </w:rPr>
        <w:t>kap</w:t>
      </w:r>
      <w:r w:rsidR="00C2503E">
        <w:rPr>
          <w:rFonts w:cs="Times New Roman"/>
          <w:szCs w:val="24"/>
        </w:rPr>
        <w:t>ittel</w:t>
      </w:r>
      <w:r w:rsidRPr="00E31257">
        <w:rPr>
          <w:rFonts w:cs="Times New Roman"/>
          <w:szCs w:val="24"/>
        </w:rPr>
        <w:t xml:space="preserve"> </w:t>
      </w:r>
      <w:r w:rsidR="00BD2B04" w:rsidRPr="00E31257">
        <w:rPr>
          <w:rFonts w:cs="Times New Roman"/>
          <w:szCs w:val="24"/>
        </w:rPr>
        <w:t>9</w:t>
      </w:r>
      <w:r>
        <w:rPr>
          <w:rFonts w:cs="Times New Roman"/>
          <w:szCs w:val="24"/>
        </w:rPr>
        <w:t xml:space="preserve"> har departementet skissert en mulig finansieringsløsning som legger til grunn en statlig overtakelse av finansieringsansvaret for kirken. Departementet legger til grunn at det ved innføring av en eventuell livssynsavgift vil være tilsvarende konsekvenser for Den norske </w:t>
      </w:r>
      <w:r>
        <w:rPr>
          <w:rFonts w:cs="Times New Roman"/>
          <w:szCs w:val="24"/>
        </w:rPr>
        <w:lastRenderedPageBreak/>
        <w:t>kirke som skisseres i dette finansieringsalternativet. Dette innebærer bla</w:t>
      </w:r>
      <w:r w:rsidR="00C2503E">
        <w:rPr>
          <w:rFonts w:cs="Times New Roman"/>
          <w:szCs w:val="24"/>
        </w:rPr>
        <w:t xml:space="preserve">nt annet </w:t>
      </w:r>
      <w:r>
        <w:rPr>
          <w:rFonts w:cs="Times New Roman"/>
          <w:szCs w:val="24"/>
        </w:rPr>
        <w:t xml:space="preserve">at inntektene fra livssynsavgiften </w:t>
      </w:r>
      <w:r w:rsidR="00C2503E">
        <w:rPr>
          <w:rFonts w:cs="Times New Roman"/>
          <w:szCs w:val="24"/>
        </w:rPr>
        <w:t xml:space="preserve">naturlig </w:t>
      </w:r>
      <w:r>
        <w:rPr>
          <w:rFonts w:cs="Times New Roman"/>
          <w:szCs w:val="24"/>
        </w:rPr>
        <w:t xml:space="preserve">bør stilles til Kirkemøtets disposisjon, og at det da vil ligge til Kirkemøtet å bestemme </w:t>
      </w:r>
      <w:r w:rsidR="00C2503E">
        <w:rPr>
          <w:rFonts w:cs="Times New Roman"/>
          <w:szCs w:val="24"/>
        </w:rPr>
        <w:t xml:space="preserve">den videre </w:t>
      </w:r>
      <w:r>
        <w:rPr>
          <w:rFonts w:cs="Times New Roman"/>
          <w:szCs w:val="24"/>
        </w:rPr>
        <w:t xml:space="preserve">fordelingen </w:t>
      </w:r>
      <w:r w:rsidR="00C2503E">
        <w:rPr>
          <w:rFonts w:cs="Times New Roman"/>
          <w:szCs w:val="24"/>
        </w:rPr>
        <w:t>på formål</w:t>
      </w:r>
      <w:r>
        <w:rPr>
          <w:rFonts w:cs="Times New Roman"/>
          <w:szCs w:val="24"/>
        </w:rPr>
        <w:t xml:space="preserve"> og de </w:t>
      </w:r>
      <w:r w:rsidR="00C2503E">
        <w:rPr>
          <w:rFonts w:cs="Times New Roman"/>
          <w:szCs w:val="24"/>
        </w:rPr>
        <w:t xml:space="preserve">enkelte </w:t>
      </w:r>
      <w:r>
        <w:rPr>
          <w:rFonts w:cs="Times New Roman"/>
          <w:szCs w:val="24"/>
        </w:rPr>
        <w:t xml:space="preserve">organisatoriske enhetene i Den norske kirke. Departementet viser til drøftingene i </w:t>
      </w:r>
      <w:r w:rsidRPr="00E31257">
        <w:rPr>
          <w:rFonts w:cs="Times New Roman"/>
          <w:szCs w:val="24"/>
        </w:rPr>
        <w:t>kap</w:t>
      </w:r>
      <w:r w:rsidR="00C2503E">
        <w:rPr>
          <w:rFonts w:cs="Times New Roman"/>
          <w:szCs w:val="24"/>
        </w:rPr>
        <w:t xml:space="preserve">ittel </w:t>
      </w:r>
      <w:r w:rsidR="00BD2B04" w:rsidRPr="00E31257">
        <w:rPr>
          <w:rFonts w:cs="Times New Roman"/>
          <w:szCs w:val="24"/>
        </w:rPr>
        <w:t>9</w:t>
      </w:r>
      <w:r w:rsidR="00C2503E">
        <w:rPr>
          <w:rFonts w:cs="Times New Roman"/>
          <w:szCs w:val="24"/>
        </w:rPr>
        <w:t>.</w:t>
      </w:r>
      <w:r>
        <w:rPr>
          <w:rFonts w:cs="Times New Roman"/>
          <w:szCs w:val="24"/>
        </w:rPr>
        <w:t xml:space="preserve"> </w:t>
      </w:r>
    </w:p>
    <w:p w:rsidR="002238DD" w:rsidRPr="00FB00C0" w:rsidRDefault="002238DD" w:rsidP="002238DD">
      <w:pPr>
        <w:pStyle w:val="Overskrift3"/>
      </w:pPr>
      <w:bookmarkStart w:id="3676" w:name="_Toc477536069"/>
      <w:bookmarkStart w:id="3677" w:name="_Toc477631199"/>
      <w:bookmarkStart w:id="3678" w:name="_Toc477694164"/>
      <w:bookmarkStart w:id="3679" w:name="_Toc477704590"/>
      <w:bookmarkStart w:id="3680" w:name="_Toc477799833"/>
      <w:bookmarkStart w:id="3681" w:name="_Toc477806434"/>
      <w:bookmarkStart w:id="3682" w:name="_Toc477872094"/>
      <w:bookmarkStart w:id="3683" w:name="_Toc477878702"/>
      <w:bookmarkStart w:id="3684" w:name="_Toc477882106"/>
      <w:bookmarkStart w:id="3685" w:name="_Toc477886568"/>
      <w:bookmarkStart w:id="3686" w:name="_Toc478131513"/>
      <w:bookmarkStart w:id="3687" w:name="_Toc478138883"/>
      <w:bookmarkStart w:id="3688" w:name="_Toc478232407"/>
      <w:bookmarkStart w:id="3689" w:name="_Toc478237392"/>
      <w:bookmarkStart w:id="3690" w:name="_Toc481761936"/>
      <w:bookmarkStart w:id="3691" w:name="_Toc492900588"/>
      <w:r>
        <w:t>Vurderinger av EY</w:t>
      </w:r>
      <w:r w:rsidRPr="00FB00C0">
        <w:t>s anbefalte løsning og hovedfunnene i rapporten</w:t>
      </w:r>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p>
    <w:p w:rsidR="002238DD" w:rsidRDefault="002238DD" w:rsidP="002238DD">
      <w:pPr>
        <w:rPr>
          <w:rFonts w:cs="Times New Roman"/>
          <w:szCs w:val="24"/>
        </w:rPr>
      </w:pPr>
      <w:r>
        <w:rPr>
          <w:rFonts w:cs="Times New Roman"/>
          <w:szCs w:val="24"/>
        </w:rPr>
        <w:t xml:space="preserve">I EYs utredning blir det tydelig at dersom man ønsker å ivareta livssynsavgiftens intensjon om en kobling mellom innbetalt avgift og skattebetalende medlemskap (øremerking), </w:t>
      </w:r>
      <w:r w:rsidR="006A43C4">
        <w:rPr>
          <w:rFonts w:cs="Times New Roman"/>
          <w:szCs w:val="24"/>
        </w:rPr>
        <w:t xml:space="preserve">kan man ikke </w:t>
      </w:r>
      <w:r>
        <w:rPr>
          <w:rFonts w:cs="Times New Roman"/>
          <w:szCs w:val="24"/>
        </w:rPr>
        <w:t xml:space="preserve">unngå at avgiften får uforholdsmessig store konsekvenser enten for tros- og livssynssamfunnenes økonomi eller for den enkeltes skattebelastning. </w:t>
      </w:r>
    </w:p>
    <w:p w:rsidR="002238DD" w:rsidRDefault="002238DD" w:rsidP="002238DD">
      <w:pPr>
        <w:rPr>
          <w:rFonts w:cs="Times New Roman"/>
          <w:szCs w:val="24"/>
        </w:rPr>
      </w:pPr>
      <w:r>
        <w:rPr>
          <w:rFonts w:cs="Times New Roman"/>
          <w:szCs w:val="24"/>
        </w:rPr>
        <w:t xml:space="preserve">Utformes livssynsavgiften som en progressiv avgift som skal øremerkes for å opprettholde livssynsavgiftens intensjon om tettere kobling mellom innbetalt avgift og medlemskap, vil konsekvensene for tros- og livssynssamfunnene potensielt bli store siden inntektsgrunnlaget vil avhenge av medlemmenes inntekt. Departementet </w:t>
      </w:r>
      <w:r w:rsidR="006A5E8B">
        <w:rPr>
          <w:rFonts w:cs="Times New Roman"/>
          <w:szCs w:val="24"/>
        </w:rPr>
        <w:t xml:space="preserve">kan ikke </w:t>
      </w:r>
      <w:r w:rsidR="001E3D52">
        <w:rPr>
          <w:rFonts w:cs="Times New Roman"/>
          <w:szCs w:val="24"/>
        </w:rPr>
        <w:t xml:space="preserve">gå inn for </w:t>
      </w:r>
      <w:r>
        <w:rPr>
          <w:rFonts w:cs="Times New Roman"/>
          <w:szCs w:val="24"/>
        </w:rPr>
        <w:t xml:space="preserve">en slik løsning. </w:t>
      </w:r>
    </w:p>
    <w:p w:rsidR="002238DD" w:rsidRDefault="002238DD" w:rsidP="002238DD">
      <w:pPr>
        <w:rPr>
          <w:rFonts w:cs="Times New Roman"/>
          <w:szCs w:val="24"/>
        </w:rPr>
      </w:pPr>
      <w:r>
        <w:rPr>
          <w:rFonts w:cs="Times New Roman"/>
          <w:szCs w:val="24"/>
        </w:rPr>
        <w:t xml:space="preserve">Departementet ser det også som </w:t>
      </w:r>
      <w:r w:rsidR="006A5E8B">
        <w:rPr>
          <w:rFonts w:cs="Times New Roman"/>
          <w:szCs w:val="24"/>
        </w:rPr>
        <w:t>problematisk</w:t>
      </w:r>
      <w:r>
        <w:rPr>
          <w:rFonts w:cs="Times New Roman"/>
          <w:szCs w:val="24"/>
        </w:rPr>
        <w:t xml:space="preserve"> at livssynsavgiften utformes som et fast kronebeløp per skattebetaler. Et fast kronebeløp vil vær</w:t>
      </w:r>
      <w:r w:rsidR="00AC6DE2">
        <w:rPr>
          <w:rFonts w:cs="Times New Roman"/>
          <w:szCs w:val="24"/>
        </w:rPr>
        <w:t>e</w:t>
      </w:r>
      <w:r>
        <w:rPr>
          <w:rFonts w:cs="Times New Roman"/>
          <w:szCs w:val="24"/>
        </w:rPr>
        <w:t xml:space="preserve"> mest hensiktsmessig ut fra tros- og livssynssamfunnenes økonomi</w:t>
      </w:r>
      <w:r w:rsidR="00ED7710">
        <w:rPr>
          <w:rFonts w:cs="Times New Roman"/>
          <w:szCs w:val="24"/>
        </w:rPr>
        <w:t>,</w:t>
      </w:r>
      <w:r>
        <w:rPr>
          <w:rFonts w:cs="Times New Roman"/>
          <w:szCs w:val="24"/>
        </w:rPr>
        <w:t xml:space="preserve"> da disse </w:t>
      </w:r>
      <w:r w:rsidR="00ED7710">
        <w:rPr>
          <w:rFonts w:cs="Times New Roman"/>
          <w:szCs w:val="24"/>
        </w:rPr>
        <w:t xml:space="preserve">da </w:t>
      </w:r>
      <w:r>
        <w:rPr>
          <w:rFonts w:cs="Times New Roman"/>
          <w:szCs w:val="24"/>
        </w:rPr>
        <w:t>vil få inntekter som</w:t>
      </w:r>
      <w:r w:rsidR="00AC6DE2">
        <w:rPr>
          <w:rFonts w:cs="Times New Roman"/>
          <w:szCs w:val="24"/>
        </w:rPr>
        <w:t xml:space="preserve"> er</w:t>
      </w:r>
      <w:r>
        <w:rPr>
          <w:rFonts w:cs="Times New Roman"/>
          <w:szCs w:val="24"/>
        </w:rPr>
        <w:t xml:space="preserve"> proporsjonale med antallet skattebetalende medlemmer. </w:t>
      </w:r>
      <w:r w:rsidR="00AC6DE2">
        <w:rPr>
          <w:rFonts w:cs="Times New Roman"/>
          <w:szCs w:val="24"/>
        </w:rPr>
        <w:t xml:space="preserve">Et fast kronebeløp vil også kunne ivareta </w:t>
      </w:r>
      <w:r>
        <w:rPr>
          <w:rFonts w:cs="Times New Roman"/>
          <w:szCs w:val="24"/>
        </w:rPr>
        <w:t>intensjon</w:t>
      </w:r>
      <w:r w:rsidR="00AC6DE2">
        <w:rPr>
          <w:rFonts w:cs="Times New Roman"/>
          <w:szCs w:val="24"/>
        </w:rPr>
        <w:t>en</w:t>
      </w:r>
      <w:r>
        <w:rPr>
          <w:rFonts w:cs="Times New Roman"/>
          <w:szCs w:val="24"/>
        </w:rPr>
        <w:t xml:space="preserve"> om </w:t>
      </w:r>
      <w:r w:rsidR="00AC6DE2">
        <w:rPr>
          <w:rFonts w:cs="Times New Roman"/>
          <w:szCs w:val="24"/>
        </w:rPr>
        <w:t xml:space="preserve">at det skal være </w:t>
      </w:r>
      <w:r>
        <w:rPr>
          <w:rFonts w:cs="Times New Roman"/>
          <w:szCs w:val="24"/>
        </w:rPr>
        <w:t xml:space="preserve">en direkte kobling mellom innbetalt avgift og avgiftens formål. EY peker imidlertid på at en slik utforming av avgiften kan oppfattes som sosialt urettferdig, da en som har personinntekt på </w:t>
      </w:r>
      <w:r w:rsidR="001E3D52">
        <w:rPr>
          <w:rFonts w:cs="Times New Roman"/>
          <w:szCs w:val="24"/>
        </w:rPr>
        <w:t xml:space="preserve">kr </w:t>
      </w:r>
      <w:r>
        <w:rPr>
          <w:rFonts w:cs="Times New Roman"/>
          <w:szCs w:val="24"/>
        </w:rPr>
        <w:t xml:space="preserve">50 </w:t>
      </w:r>
      <w:r w:rsidR="00415119">
        <w:rPr>
          <w:rFonts w:cs="Times New Roman"/>
          <w:szCs w:val="24"/>
        </w:rPr>
        <w:t>0</w:t>
      </w:r>
      <w:r>
        <w:rPr>
          <w:rFonts w:cs="Times New Roman"/>
          <w:szCs w:val="24"/>
        </w:rPr>
        <w:t>00 vil måtte betale like mye i livssynsavgift som en som har personinntekt på 5 mill. kroner. Selv om det i dag finnes avgifter som er utfo</w:t>
      </w:r>
      <w:r w:rsidR="006A5E8B">
        <w:rPr>
          <w:rFonts w:cs="Times New Roman"/>
          <w:szCs w:val="24"/>
        </w:rPr>
        <w:t>rmet på denne måten, bla</w:t>
      </w:r>
      <w:r w:rsidR="00ED7710">
        <w:rPr>
          <w:rFonts w:cs="Times New Roman"/>
          <w:szCs w:val="24"/>
        </w:rPr>
        <w:t xml:space="preserve">nt annet </w:t>
      </w:r>
      <w:r w:rsidR="006A5E8B">
        <w:rPr>
          <w:rFonts w:cs="Times New Roman"/>
          <w:szCs w:val="24"/>
        </w:rPr>
        <w:t>kringkasting</w:t>
      </w:r>
      <w:r>
        <w:rPr>
          <w:rFonts w:cs="Times New Roman"/>
          <w:szCs w:val="24"/>
        </w:rPr>
        <w:t xml:space="preserve">savgiften, </w:t>
      </w:r>
      <w:r w:rsidR="001E3D52">
        <w:rPr>
          <w:rFonts w:cs="Times New Roman"/>
          <w:szCs w:val="24"/>
        </w:rPr>
        <w:t xml:space="preserve">kan ikke </w:t>
      </w:r>
      <w:r>
        <w:rPr>
          <w:rFonts w:cs="Times New Roman"/>
          <w:szCs w:val="24"/>
        </w:rPr>
        <w:t xml:space="preserve">departementet </w:t>
      </w:r>
      <w:r w:rsidR="001E3D52">
        <w:rPr>
          <w:rFonts w:cs="Times New Roman"/>
          <w:szCs w:val="24"/>
        </w:rPr>
        <w:t xml:space="preserve">gå inn for en løsning der en livssynsavgift settes som et fast beløp, likt for alle skatteytere, uavhengig av deres skatteevne. </w:t>
      </w:r>
    </w:p>
    <w:p w:rsidR="002238DD" w:rsidRDefault="008D0EE4" w:rsidP="002238DD">
      <w:pPr>
        <w:rPr>
          <w:rFonts w:cs="Times New Roman"/>
          <w:szCs w:val="24"/>
        </w:rPr>
      </w:pPr>
      <w:r>
        <w:rPr>
          <w:rFonts w:cs="Times New Roman"/>
          <w:szCs w:val="24"/>
        </w:rPr>
        <w:t>For å minim</w:t>
      </w:r>
      <w:r w:rsidR="002238DD">
        <w:rPr>
          <w:rFonts w:cs="Times New Roman"/>
          <w:szCs w:val="24"/>
        </w:rPr>
        <w:t xml:space="preserve">ere personvernutfordringer og verken ramme den enkeltes privatøkonomi eller tros- og livssynssamfunnenes økonomi i uforholdsmessig stor grad, konkluderer EY med at en eventuell livssynsavgift bør utformes som en progressiv avgift som ikke øremerkes. Det vil si at avgiften utformes som en prosent av skattbar inntekt som innbetales av alle skatteytere, men </w:t>
      </w:r>
      <w:r w:rsidR="00DD68AD">
        <w:rPr>
          <w:rFonts w:cs="Times New Roman"/>
          <w:szCs w:val="24"/>
        </w:rPr>
        <w:t>uten direkte</w:t>
      </w:r>
      <w:r w:rsidR="002238DD">
        <w:rPr>
          <w:rFonts w:cs="Times New Roman"/>
          <w:szCs w:val="24"/>
        </w:rPr>
        <w:t xml:space="preserve"> kobling mellom hvem som innbetaler avgiften og hva avgiften går til. Innbetalt total avgift vil med andre ord refordel</w:t>
      </w:r>
      <w:r w:rsidR="001E3D52">
        <w:rPr>
          <w:rFonts w:cs="Times New Roman"/>
          <w:szCs w:val="24"/>
        </w:rPr>
        <w:t>e</w:t>
      </w:r>
      <w:r w:rsidR="002238DD">
        <w:rPr>
          <w:rFonts w:cs="Times New Roman"/>
          <w:szCs w:val="24"/>
        </w:rPr>
        <w:t>s som en lik sum etter antall</w:t>
      </w:r>
      <w:r w:rsidR="001E3D52">
        <w:rPr>
          <w:rFonts w:cs="Times New Roman"/>
          <w:szCs w:val="24"/>
        </w:rPr>
        <w:t>et</w:t>
      </w:r>
      <w:r w:rsidR="002238DD">
        <w:rPr>
          <w:rFonts w:cs="Times New Roman"/>
          <w:szCs w:val="24"/>
        </w:rPr>
        <w:t xml:space="preserve"> skattebetalende medlemmer i hvert samfunn. Det vil antakeligvis i et slikt system være mulig å skille mellom medlemmer og ikke-medlemmer, men hvordan dette eventuelt kan la seg løse</w:t>
      </w:r>
      <w:r w:rsidR="001E3D52">
        <w:rPr>
          <w:rFonts w:cs="Times New Roman"/>
          <w:szCs w:val="24"/>
        </w:rPr>
        <w:t>,</w:t>
      </w:r>
      <w:r w:rsidR="002238DD">
        <w:rPr>
          <w:rFonts w:cs="Times New Roman"/>
          <w:szCs w:val="24"/>
        </w:rPr>
        <w:t xml:space="preserve"> </w:t>
      </w:r>
      <w:r w:rsidR="001E3D52">
        <w:rPr>
          <w:rFonts w:cs="Times New Roman"/>
          <w:szCs w:val="24"/>
        </w:rPr>
        <w:t xml:space="preserve">er ikke vurdert i </w:t>
      </w:r>
      <w:r w:rsidR="002238DD">
        <w:rPr>
          <w:rFonts w:cs="Times New Roman"/>
          <w:szCs w:val="24"/>
        </w:rPr>
        <w:t>rapporten</w:t>
      </w:r>
      <w:r w:rsidR="00DD68AD">
        <w:rPr>
          <w:rFonts w:cs="Times New Roman"/>
          <w:szCs w:val="24"/>
        </w:rPr>
        <w:t xml:space="preserve"> fra EY</w:t>
      </w:r>
      <w:r w:rsidR="002238DD">
        <w:rPr>
          <w:rFonts w:cs="Times New Roman"/>
          <w:szCs w:val="24"/>
        </w:rPr>
        <w:t xml:space="preserve">. </w:t>
      </w:r>
    </w:p>
    <w:p w:rsidR="002238DD" w:rsidRDefault="002238DD" w:rsidP="002238DD">
      <w:pPr>
        <w:rPr>
          <w:rFonts w:cs="Times New Roman"/>
          <w:szCs w:val="24"/>
        </w:rPr>
      </w:pPr>
      <w:r>
        <w:rPr>
          <w:rFonts w:cs="Times New Roman"/>
          <w:szCs w:val="24"/>
        </w:rPr>
        <w:t>Noe av intensjonen ved å innføre en livssynsavgift er knyttet til at den nettopp ikke skal medvirke til at tros- og livssynssamfunnene finansierer opp hverandre</w:t>
      </w:r>
      <w:r w:rsidR="00AF0793">
        <w:rPr>
          <w:rFonts w:cs="Times New Roman"/>
          <w:szCs w:val="24"/>
        </w:rPr>
        <w:t>, jf. også hvordan artikkel 64 i den islandske grunnloven er utformet</w:t>
      </w:r>
      <w:r>
        <w:rPr>
          <w:rFonts w:cs="Times New Roman"/>
          <w:szCs w:val="24"/>
        </w:rPr>
        <w:t>. Ved å utforme avgiften som en progressiv avgift</w:t>
      </w:r>
      <w:r w:rsidR="001E3D52">
        <w:rPr>
          <w:rFonts w:cs="Times New Roman"/>
          <w:szCs w:val="24"/>
        </w:rPr>
        <w:t>,</w:t>
      </w:r>
      <w:r>
        <w:rPr>
          <w:rFonts w:cs="Times New Roman"/>
          <w:szCs w:val="24"/>
        </w:rPr>
        <w:t xml:space="preserve"> som ikke øremerkes</w:t>
      </w:r>
      <w:r w:rsidR="001E3D52">
        <w:rPr>
          <w:rFonts w:cs="Times New Roman"/>
          <w:szCs w:val="24"/>
        </w:rPr>
        <w:t>,</w:t>
      </w:r>
      <w:r>
        <w:rPr>
          <w:rFonts w:cs="Times New Roman"/>
          <w:szCs w:val="24"/>
        </w:rPr>
        <w:t xml:space="preserve"> vil en dermed miste en vesentlig del av intensjonen </w:t>
      </w:r>
      <w:r w:rsidR="001E3D52">
        <w:rPr>
          <w:rFonts w:cs="Times New Roman"/>
          <w:szCs w:val="24"/>
        </w:rPr>
        <w:t xml:space="preserve">og ideen </w:t>
      </w:r>
      <w:r>
        <w:rPr>
          <w:rFonts w:cs="Times New Roman"/>
          <w:szCs w:val="24"/>
        </w:rPr>
        <w:t xml:space="preserve">bak </w:t>
      </w:r>
      <w:r w:rsidR="001E3D52">
        <w:rPr>
          <w:rFonts w:cs="Times New Roman"/>
          <w:szCs w:val="24"/>
        </w:rPr>
        <w:t>en livssynsavgift</w:t>
      </w:r>
      <w:r>
        <w:rPr>
          <w:rFonts w:cs="Times New Roman"/>
          <w:szCs w:val="24"/>
        </w:rPr>
        <w:t>. EY peker selv i sin rapport på at en slik løsning beveger seg helt i ytterkant</w:t>
      </w:r>
      <w:r w:rsidR="001E3D52">
        <w:rPr>
          <w:rFonts w:cs="Times New Roman"/>
          <w:szCs w:val="24"/>
        </w:rPr>
        <w:t>en</w:t>
      </w:r>
      <w:r>
        <w:rPr>
          <w:rFonts w:cs="Times New Roman"/>
          <w:szCs w:val="24"/>
        </w:rPr>
        <w:t xml:space="preserve"> av hva som kan kalles en livssynsavgift. Når i tillegg innberetningen </w:t>
      </w:r>
      <w:r w:rsidR="001E3D52">
        <w:rPr>
          <w:rFonts w:cs="Times New Roman"/>
          <w:szCs w:val="24"/>
        </w:rPr>
        <w:t xml:space="preserve">av medlemstall og -lister </w:t>
      </w:r>
      <w:r w:rsidR="00DD68AD">
        <w:rPr>
          <w:rFonts w:cs="Times New Roman"/>
          <w:szCs w:val="24"/>
        </w:rPr>
        <w:t xml:space="preserve">ifølge </w:t>
      </w:r>
      <w:r>
        <w:rPr>
          <w:rFonts w:cs="Times New Roman"/>
          <w:szCs w:val="24"/>
        </w:rPr>
        <w:t xml:space="preserve">EYs </w:t>
      </w:r>
      <w:r w:rsidR="00DD68AD">
        <w:rPr>
          <w:rFonts w:cs="Times New Roman"/>
          <w:szCs w:val="24"/>
        </w:rPr>
        <w:t xml:space="preserve">rapport </w:t>
      </w:r>
      <w:r>
        <w:rPr>
          <w:rFonts w:cs="Times New Roman"/>
          <w:szCs w:val="24"/>
        </w:rPr>
        <w:t xml:space="preserve">bør skje utenom det alminnelige skattesystemet, ligger løsningen nær opp til dagens finansieringsordning, slik denne ville sett ut </w:t>
      </w:r>
      <w:r w:rsidR="00DD68AD">
        <w:rPr>
          <w:rFonts w:cs="Times New Roman"/>
          <w:szCs w:val="24"/>
        </w:rPr>
        <w:t xml:space="preserve">om staten tok over finansieringsansvaret for </w:t>
      </w:r>
      <w:r>
        <w:rPr>
          <w:rFonts w:cs="Times New Roman"/>
          <w:szCs w:val="24"/>
        </w:rPr>
        <w:t xml:space="preserve">alle tros- og livssynssamfunn, inkludert Den norske kirke. EY kommenterer dette selv, og mener deres anbefaling "derfor kan beskrives som en justering av dagens løsning hvor utfordringene ved denne løses". </w:t>
      </w:r>
    </w:p>
    <w:p w:rsidR="002238DD" w:rsidRDefault="002238DD" w:rsidP="002238DD">
      <w:pPr>
        <w:rPr>
          <w:rFonts w:cs="Times New Roman"/>
          <w:szCs w:val="24"/>
        </w:rPr>
      </w:pPr>
      <w:r>
        <w:rPr>
          <w:rFonts w:cs="Times New Roman"/>
          <w:szCs w:val="24"/>
        </w:rPr>
        <w:lastRenderedPageBreak/>
        <w:t xml:space="preserve">Utfordringene med dagens finansieringsordning som EY mener kan løses bedre med den anbefalte løsningen, er først og fremst knyttet til en bedre innberetning og kontroll med medlemsopplysninger, og dermed også et bedret personvern. I tillegg peker EY på at administrasjonsbyrden for det offentlige samlet sett vil bli vesentlig mindre siden </w:t>
      </w:r>
      <w:r w:rsidRPr="00F863DC">
        <w:rPr>
          <w:rFonts w:cs="Times New Roman"/>
          <w:szCs w:val="24"/>
        </w:rPr>
        <w:t>administrasjonsbyrden for kommunene vil bortfalle og en vil få et enklere og mindre ressurskrevende finansieringssystem.</w:t>
      </w:r>
      <w:r>
        <w:rPr>
          <w:rFonts w:cs="Times New Roman"/>
          <w:szCs w:val="24"/>
        </w:rPr>
        <w:t xml:space="preserve"> </w:t>
      </w:r>
    </w:p>
    <w:p w:rsidR="002238DD" w:rsidRDefault="002238DD" w:rsidP="002238DD">
      <w:pPr>
        <w:rPr>
          <w:rFonts w:cs="Times New Roman"/>
          <w:szCs w:val="24"/>
        </w:rPr>
      </w:pPr>
      <w:r>
        <w:rPr>
          <w:rFonts w:cs="Times New Roman"/>
          <w:szCs w:val="24"/>
        </w:rPr>
        <w:t xml:space="preserve">Ved en livssynsavgift vil skattebetalende medlemskap være eneste kriterium for overføring av avgiften til samfunnene. </w:t>
      </w:r>
      <w:r w:rsidR="003832A1">
        <w:rPr>
          <w:rFonts w:cs="Times New Roman"/>
          <w:szCs w:val="24"/>
        </w:rPr>
        <w:t xml:space="preserve">Dette krever at fødselsnummer (og D-nummer) fortsatt innberettes for å identifisere den enkelte. </w:t>
      </w:r>
      <w:r w:rsidR="00DD68AD">
        <w:rPr>
          <w:rFonts w:cs="Times New Roman"/>
          <w:szCs w:val="24"/>
        </w:rPr>
        <w:t>D</w:t>
      </w:r>
      <w:r>
        <w:rPr>
          <w:rFonts w:cs="Times New Roman"/>
          <w:szCs w:val="24"/>
        </w:rPr>
        <w:t xml:space="preserve">epartementet </w:t>
      </w:r>
      <w:r w:rsidR="00DD68AD">
        <w:rPr>
          <w:rFonts w:cs="Times New Roman"/>
          <w:szCs w:val="24"/>
        </w:rPr>
        <w:t xml:space="preserve">deler </w:t>
      </w:r>
      <w:r>
        <w:rPr>
          <w:rFonts w:cs="Times New Roman"/>
          <w:szCs w:val="24"/>
        </w:rPr>
        <w:t xml:space="preserve">EYs vurdering av at bedre innberetning og kontroll med medlemsopplysninger </w:t>
      </w:r>
      <w:r w:rsidR="00DD68AD">
        <w:rPr>
          <w:rFonts w:cs="Times New Roman"/>
          <w:szCs w:val="24"/>
        </w:rPr>
        <w:t xml:space="preserve">vil være </w:t>
      </w:r>
      <w:r>
        <w:rPr>
          <w:rFonts w:cs="Times New Roman"/>
          <w:szCs w:val="24"/>
        </w:rPr>
        <w:t xml:space="preserve">et gode. </w:t>
      </w:r>
      <w:r w:rsidR="00DD68AD">
        <w:rPr>
          <w:rFonts w:cs="Times New Roman"/>
          <w:szCs w:val="24"/>
        </w:rPr>
        <w:t>B</w:t>
      </w:r>
      <w:r>
        <w:rPr>
          <w:rFonts w:cs="Times New Roman"/>
          <w:szCs w:val="24"/>
        </w:rPr>
        <w:t xml:space="preserve">edre innberetning og kontroll lar seg </w:t>
      </w:r>
      <w:r w:rsidR="00DD68AD">
        <w:rPr>
          <w:rFonts w:cs="Times New Roman"/>
          <w:szCs w:val="24"/>
        </w:rPr>
        <w:t xml:space="preserve">imidlertid </w:t>
      </w:r>
      <w:r>
        <w:rPr>
          <w:rFonts w:cs="Times New Roman"/>
          <w:szCs w:val="24"/>
        </w:rPr>
        <w:t>gjøre uten at det innføres en livssynsavgift, for eksempel ved å opprette et system for innberet</w:t>
      </w:r>
      <w:r w:rsidR="00597450">
        <w:rPr>
          <w:rFonts w:cs="Times New Roman"/>
          <w:szCs w:val="24"/>
        </w:rPr>
        <w:t>n</w:t>
      </w:r>
      <w:r>
        <w:rPr>
          <w:rFonts w:cs="Times New Roman"/>
          <w:szCs w:val="24"/>
        </w:rPr>
        <w:t>ing av medlemsopplysninger via Altinn</w:t>
      </w:r>
      <w:r w:rsidR="00DD68AD">
        <w:rPr>
          <w:rFonts w:cs="Times New Roman"/>
          <w:szCs w:val="24"/>
        </w:rPr>
        <w:t>.</w:t>
      </w:r>
      <w:r>
        <w:rPr>
          <w:rFonts w:cs="Times New Roman"/>
          <w:szCs w:val="24"/>
        </w:rPr>
        <w:t xml:space="preserve"> </w:t>
      </w:r>
    </w:p>
    <w:p w:rsidR="002238DD" w:rsidRDefault="002238DD" w:rsidP="002238DD">
      <w:pPr>
        <w:rPr>
          <w:rFonts w:cs="Times New Roman"/>
          <w:szCs w:val="24"/>
        </w:rPr>
      </w:pPr>
      <w:r>
        <w:rPr>
          <w:rFonts w:cs="Times New Roman"/>
          <w:szCs w:val="24"/>
        </w:rPr>
        <w:t xml:space="preserve">Selv om EY i sin rapport viser til at en progressiv innretning av livssynsavgiften, uten at denne øremerkes, skiller seg lite fra dagens finansieringsløsning, vil departementet peke på at det er noen vesentlige skiller. </w:t>
      </w:r>
    </w:p>
    <w:p w:rsidR="002238DD" w:rsidRDefault="002238DD" w:rsidP="002238DD">
      <w:pPr>
        <w:rPr>
          <w:rFonts w:cs="Times New Roman"/>
          <w:szCs w:val="24"/>
        </w:rPr>
      </w:pPr>
      <w:r>
        <w:rPr>
          <w:rFonts w:cs="Times New Roman"/>
          <w:szCs w:val="24"/>
        </w:rPr>
        <w:t>I dag er det statens alminnelige skatter og avgifter som legges til grunn for å finansiere tros- og livssynssamfunnene. Dette innbefatter både personbeskatning, bedriftsbeskatning, oljeinntekter og øvrige skatter og avgifter. En dreining over til ren personbeskatning vil medføre en noe høyere skattebelastning for den enkelte</w:t>
      </w:r>
      <w:r w:rsidR="006404C3">
        <w:rPr>
          <w:rFonts w:cs="Times New Roman"/>
          <w:szCs w:val="24"/>
        </w:rPr>
        <w:t>,</w:t>
      </w:r>
      <w:r>
        <w:rPr>
          <w:rFonts w:cs="Times New Roman"/>
          <w:szCs w:val="24"/>
        </w:rPr>
        <w:t xml:space="preserve"> siden det i praksis bare er skattebetalende medlemmer i tros- og livssynssamfunnene som skal finans</w:t>
      </w:r>
      <w:r w:rsidR="00876538">
        <w:rPr>
          <w:rFonts w:cs="Times New Roman"/>
          <w:szCs w:val="24"/>
        </w:rPr>
        <w:t>iere opp samfunnene med om lag 5,5</w:t>
      </w:r>
      <w:r>
        <w:rPr>
          <w:rFonts w:cs="Times New Roman"/>
          <w:szCs w:val="24"/>
        </w:rPr>
        <w:t xml:space="preserve"> mrd. kroner. </w:t>
      </w:r>
      <w:r w:rsidR="00AC6DE2">
        <w:rPr>
          <w:rFonts w:cs="Times New Roman"/>
          <w:szCs w:val="24"/>
        </w:rPr>
        <w:t xml:space="preserve">Om </w:t>
      </w:r>
      <w:r>
        <w:rPr>
          <w:rFonts w:cs="Times New Roman"/>
          <w:szCs w:val="24"/>
        </w:rPr>
        <w:t xml:space="preserve">dette vil kunne la seg utjevne </w:t>
      </w:r>
      <w:r w:rsidR="00021680">
        <w:rPr>
          <w:rFonts w:cs="Times New Roman"/>
          <w:szCs w:val="24"/>
        </w:rPr>
        <w:t xml:space="preserve">gjennom fradrag i personbeskatningen på andre områder, </w:t>
      </w:r>
      <w:r>
        <w:rPr>
          <w:rFonts w:cs="Times New Roman"/>
          <w:szCs w:val="24"/>
        </w:rPr>
        <w:t xml:space="preserve">går ikke </w:t>
      </w:r>
      <w:r w:rsidR="00CF02D8">
        <w:rPr>
          <w:rFonts w:cs="Times New Roman"/>
          <w:szCs w:val="24"/>
        </w:rPr>
        <w:t>EY-</w:t>
      </w:r>
      <w:r>
        <w:rPr>
          <w:rFonts w:cs="Times New Roman"/>
          <w:szCs w:val="24"/>
        </w:rPr>
        <w:t>rapporten nærmere inn på</w:t>
      </w:r>
      <w:r w:rsidR="00AC6DE2">
        <w:rPr>
          <w:rFonts w:cs="Times New Roman"/>
          <w:szCs w:val="24"/>
        </w:rPr>
        <w:t>, men departementet ser ikke dette som realistisk</w:t>
      </w:r>
      <w:r>
        <w:rPr>
          <w:rFonts w:cs="Times New Roman"/>
          <w:szCs w:val="24"/>
        </w:rPr>
        <w:t>.</w:t>
      </w:r>
    </w:p>
    <w:p w:rsidR="002238DD" w:rsidRPr="00256E7F" w:rsidRDefault="002238DD" w:rsidP="002238DD">
      <w:pPr>
        <w:rPr>
          <w:rFonts w:cs="Times New Roman"/>
          <w:szCs w:val="24"/>
        </w:rPr>
      </w:pPr>
      <w:r>
        <w:rPr>
          <w:rFonts w:cs="Times New Roman"/>
          <w:szCs w:val="24"/>
        </w:rPr>
        <w:t>Slik departementet vurderer det, er ikke gevinstene ved en progressiv avgift som ikke øremerkes</w:t>
      </w:r>
      <w:r w:rsidR="00597450">
        <w:rPr>
          <w:rFonts w:cs="Times New Roman"/>
          <w:szCs w:val="24"/>
        </w:rPr>
        <w:t>,</w:t>
      </w:r>
      <w:r>
        <w:rPr>
          <w:rFonts w:cs="Times New Roman"/>
          <w:szCs w:val="24"/>
        </w:rPr>
        <w:t xml:space="preserve"> store nok til at de </w:t>
      </w:r>
      <w:r w:rsidR="00EA274E">
        <w:rPr>
          <w:rFonts w:cs="Times New Roman"/>
          <w:szCs w:val="24"/>
        </w:rPr>
        <w:t>kan forsvare</w:t>
      </w:r>
      <w:r>
        <w:rPr>
          <w:rFonts w:cs="Times New Roman"/>
          <w:szCs w:val="24"/>
        </w:rPr>
        <w:t xml:space="preserve"> en omlegging</w:t>
      </w:r>
      <w:r w:rsidR="00AC6DE2">
        <w:rPr>
          <w:rFonts w:cs="Times New Roman"/>
          <w:szCs w:val="24"/>
        </w:rPr>
        <w:t>.</w:t>
      </w:r>
      <w:r>
        <w:rPr>
          <w:rFonts w:cs="Times New Roman"/>
          <w:szCs w:val="24"/>
        </w:rPr>
        <w:t xml:space="preserve"> Departementet mener generelt det er</w:t>
      </w:r>
      <w:r w:rsidR="00597450">
        <w:rPr>
          <w:rFonts w:cs="Times New Roman"/>
          <w:szCs w:val="24"/>
        </w:rPr>
        <w:t xml:space="preserve"> </w:t>
      </w:r>
      <w:r>
        <w:rPr>
          <w:rFonts w:cs="Times New Roman"/>
          <w:szCs w:val="24"/>
        </w:rPr>
        <w:t xml:space="preserve">problematisk i det hele tatt </w:t>
      </w:r>
      <w:r w:rsidR="00597450">
        <w:rPr>
          <w:rFonts w:cs="Times New Roman"/>
          <w:szCs w:val="24"/>
        </w:rPr>
        <w:t xml:space="preserve">å </w:t>
      </w:r>
      <w:r>
        <w:rPr>
          <w:rFonts w:cs="Times New Roman"/>
          <w:szCs w:val="24"/>
        </w:rPr>
        <w:t xml:space="preserve">snakke om en livssynsavgift innenfor en slik ordning. </w:t>
      </w:r>
      <w:r w:rsidR="005E17D6">
        <w:rPr>
          <w:rFonts w:cs="Times New Roman"/>
          <w:szCs w:val="24"/>
        </w:rPr>
        <w:t xml:space="preserve">Uten øremerking mener departementet at </w:t>
      </w:r>
      <w:r>
        <w:rPr>
          <w:rFonts w:cs="Times New Roman"/>
          <w:szCs w:val="24"/>
        </w:rPr>
        <w:t xml:space="preserve">dagens system med finansiering over statens alminnelige skatter og avgifter </w:t>
      </w:r>
      <w:r w:rsidR="00AC6DE2">
        <w:rPr>
          <w:rFonts w:cs="Times New Roman"/>
          <w:szCs w:val="24"/>
        </w:rPr>
        <w:t xml:space="preserve">heller bør </w:t>
      </w:r>
      <w:r>
        <w:rPr>
          <w:rFonts w:cs="Times New Roman"/>
          <w:szCs w:val="24"/>
        </w:rPr>
        <w:t xml:space="preserve">legges til grunn. Bedre rutiner for kontroll av medlemskap og et eventuelt ønske om å minske administrasjonsbyrden for kommunene, kan uansett oppnås uten at det innføres en livssynsavgift. </w:t>
      </w:r>
    </w:p>
    <w:p w:rsidR="002238DD" w:rsidRPr="00FB00C0" w:rsidRDefault="00CF02D8" w:rsidP="002238DD">
      <w:pPr>
        <w:pStyle w:val="Overskrift3"/>
      </w:pPr>
      <w:bookmarkStart w:id="3692" w:name="_Toc477536070"/>
      <w:bookmarkStart w:id="3693" w:name="_Toc477631200"/>
      <w:bookmarkStart w:id="3694" w:name="_Toc477694165"/>
      <w:bookmarkStart w:id="3695" w:name="_Toc477704591"/>
      <w:bookmarkStart w:id="3696" w:name="_Toc477799834"/>
      <w:bookmarkStart w:id="3697" w:name="_Toc477806435"/>
      <w:bookmarkStart w:id="3698" w:name="_Toc477872095"/>
      <w:bookmarkStart w:id="3699" w:name="_Toc477878703"/>
      <w:bookmarkStart w:id="3700" w:name="_Toc477882107"/>
      <w:bookmarkStart w:id="3701" w:name="_Toc477886569"/>
      <w:bookmarkStart w:id="3702" w:name="_Toc478131514"/>
      <w:bookmarkStart w:id="3703" w:name="_Toc478138884"/>
      <w:bookmarkStart w:id="3704" w:name="_Toc478232408"/>
      <w:bookmarkStart w:id="3705" w:name="_Toc478237393"/>
      <w:bookmarkStart w:id="3706" w:name="_Toc481761937"/>
      <w:bookmarkStart w:id="3707" w:name="_Toc492900589"/>
      <w:r>
        <w:t>Oppsummering</w:t>
      </w:r>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rsidR="002238DD" w:rsidRDefault="00CF02D8" w:rsidP="002238DD">
      <w:pPr>
        <w:rPr>
          <w:rFonts w:cs="Times New Roman"/>
          <w:szCs w:val="24"/>
        </w:rPr>
      </w:pPr>
      <w:r>
        <w:rPr>
          <w:rFonts w:cs="Times New Roman"/>
          <w:szCs w:val="24"/>
        </w:rPr>
        <w:t xml:space="preserve">Etter departementets syn avdekker </w:t>
      </w:r>
      <w:r w:rsidR="002238DD">
        <w:rPr>
          <w:rFonts w:cs="Times New Roman"/>
          <w:szCs w:val="24"/>
        </w:rPr>
        <w:t xml:space="preserve">EYs rapport </w:t>
      </w:r>
      <w:r>
        <w:rPr>
          <w:rFonts w:cs="Times New Roman"/>
          <w:szCs w:val="24"/>
        </w:rPr>
        <w:t xml:space="preserve">en rekke problemstillinger og utfordringer </w:t>
      </w:r>
      <w:r w:rsidR="002238DD" w:rsidRPr="00256E7F">
        <w:rPr>
          <w:rFonts w:cs="Times New Roman"/>
          <w:szCs w:val="24"/>
        </w:rPr>
        <w:t>ved å innføre e</w:t>
      </w:r>
      <w:r w:rsidR="005E17D6">
        <w:rPr>
          <w:rFonts w:cs="Times New Roman"/>
          <w:szCs w:val="24"/>
        </w:rPr>
        <w:t>n livssynsavgift</w:t>
      </w:r>
      <w:r>
        <w:rPr>
          <w:rFonts w:cs="Times New Roman"/>
          <w:szCs w:val="24"/>
        </w:rPr>
        <w:t>.</w:t>
      </w:r>
      <w:r w:rsidR="00F315CF">
        <w:rPr>
          <w:rFonts w:cs="Times New Roman"/>
          <w:szCs w:val="24"/>
        </w:rPr>
        <w:t xml:space="preserve"> </w:t>
      </w:r>
      <w:r>
        <w:rPr>
          <w:rFonts w:cs="Times New Roman"/>
          <w:szCs w:val="24"/>
        </w:rPr>
        <w:t xml:space="preserve">På bakgrunn av rapporten og de konsekvenser en livssynsavgift vil ha, </w:t>
      </w:r>
      <w:r w:rsidR="00C2341B">
        <w:rPr>
          <w:rFonts w:cs="Times New Roman"/>
          <w:szCs w:val="24"/>
        </w:rPr>
        <w:t xml:space="preserve">jf. gjennomgangen ovenfor, </w:t>
      </w:r>
      <w:r>
        <w:rPr>
          <w:rFonts w:cs="Times New Roman"/>
          <w:szCs w:val="24"/>
        </w:rPr>
        <w:t xml:space="preserve">ser ikke departementet det som aktuelt å </w:t>
      </w:r>
      <w:r w:rsidR="00984270">
        <w:rPr>
          <w:rFonts w:cs="Times New Roman"/>
          <w:szCs w:val="24"/>
        </w:rPr>
        <w:t xml:space="preserve">ta opp forslag om </w:t>
      </w:r>
      <w:r>
        <w:rPr>
          <w:rFonts w:cs="Times New Roman"/>
          <w:szCs w:val="24"/>
        </w:rPr>
        <w:t xml:space="preserve">en </w:t>
      </w:r>
      <w:r w:rsidR="005660E2">
        <w:rPr>
          <w:rFonts w:cs="Times New Roman"/>
          <w:szCs w:val="24"/>
        </w:rPr>
        <w:t>slik finansieringsløsning</w:t>
      </w:r>
      <w:r w:rsidR="00F315CF">
        <w:rPr>
          <w:rFonts w:cs="Times New Roman"/>
          <w:szCs w:val="24"/>
        </w:rPr>
        <w:t xml:space="preserve">. </w:t>
      </w:r>
    </w:p>
    <w:p w:rsidR="00A35B0C" w:rsidRDefault="00395910" w:rsidP="00A35B0C">
      <w:pPr>
        <w:rPr>
          <w:rFonts w:cs="Times New Roman"/>
          <w:szCs w:val="24"/>
        </w:rPr>
      </w:pPr>
      <w:r>
        <w:rPr>
          <w:rFonts w:cs="Times New Roman"/>
          <w:szCs w:val="24"/>
        </w:rPr>
        <w:t xml:space="preserve">EY </w:t>
      </w:r>
      <w:r w:rsidR="00C2341B">
        <w:rPr>
          <w:rFonts w:cs="Times New Roman"/>
          <w:szCs w:val="24"/>
        </w:rPr>
        <w:t xml:space="preserve">har </w:t>
      </w:r>
      <w:r>
        <w:rPr>
          <w:rFonts w:cs="Times New Roman"/>
          <w:szCs w:val="24"/>
        </w:rPr>
        <w:t>i sin</w:t>
      </w:r>
      <w:r w:rsidR="002238DD">
        <w:rPr>
          <w:rFonts w:cs="Times New Roman"/>
          <w:szCs w:val="24"/>
        </w:rPr>
        <w:t xml:space="preserve"> rapport </w:t>
      </w:r>
      <w:r w:rsidR="00C2341B">
        <w:rPr>
          <w:rFonts w:cs="Times New Roman"/>
          <w:szCs w:val="24"/>
        </w:rPr>
        <w:t xml:space="preserve">pekt på </w:t>
      </w:r>
      <w:r w:rsidR="00AE3C61">
        <w:rPr>
          <w:rFonts w:cs="Times New Roman"/>
          <w:szCs w:val="24"/>
        </w:rPr>
        <w:t xml:space="preserve">behovet </w:t>
      </w:r>
      <w:r w:rsidR="00C2341B">
        <w:rPr>
          <w:rFonts w:cs="Times New Roman"/>
          <w:szCs w:val="24"/>
        </w:rPr>
        <w:t xml:space="preserve">og mulighetene </w:t>
      </w:r>
      <w:r w:rsidR="00AE3C61">
        <w:rPr>
          <w:rFonts w:cs="Times New Roman"/>
          <w:szCs w:val="24"/>
        </w:rPr>
        <w:t xml:space="preserve">for </w:t>
      </w:r>
      <w:r w:rsidR="002238DD">
        <w:rPr>
          <w:rFonts w:cs="Times New Roman"/>
          <w:szCs w:val="24"/>
        </w:rPr>
        <w:t xml:space="preserve">alternative løsninger for innberetning </w:t>
      </w:r>
      <w:r w:rsidR="00AE3C61">
        <w:rPr>
          <w:rFonts w:cs="Times New Roman"/>
          <w:szCs w:val="24"/>
        </w:rPr>
        <w:t xml:space="preserve">og kontroll </w:t>
      </w:r>
      <w:r w:rsidR="002238DD">
        <w:rPr>
          <w:rFonts w:cs="Times New Roman"/>
          <w:szCs w:val="24"/>
        </w:rPr>
        <w:t>av medlemskap</w:t>
      </w:r>
      <w:r w:rsidR="00C2341B">
        <w:rPr>
          <w:rFonts w:cs="Times New Roman"/>
          <w:szCs w:val="24"/>
        </w:rPr>
        <w:t xml:space="preserve"> i tros- og livssynssamfunn. </w:t>
      </w:r>
      <w:r w:rsidR="00A35B0C">
        <w:rPr>
          <w:rFonts w:cs="Times New Roman"/>
          <w:szCs w:val="24"/>
        </w:rPr>
        <w:t xml:space="preserve">Dette gjelder særlig innberetning av opplysninger gjennom en Altinn-løsning eller tilsvarende, som alternativ til dagens innberetning av medlemslister via fylkesmennene til Brønnøysundregistrene for kontroll. I sin rapport skriver EY blant annet: </w:t>
      </w:r>
    </w:p>
    <w:p w:rsidR="00A35B0C" w:rsidRPr="00DC4134" w:rsidRDefault="00A35B0C" w:rsidP="00DC4134">
      <w:pPr>
        <w:pStyle w:val="blokksit"/>
        <w:rPr>
          <w:rStyle w:val="kursiv"/>
        </w:rPr>
      </w:pPr>
      <w:r w:rsidRPr="00DC4134">
        <w:rPr>
          <w:rStyle w:val="kursiv"/>
        </w:rPr>
        <w:t xml:space="preserve">Det er innenfor området innberetning at det eksisterer et størst potensiale for å redusere administrasjonsbyrden og etablere en forenklet og mer effektiv prosess sammenlignet med dagens løsning. […] Innberetning av medlemslister fra alle tros- og livssynssamfunn via Altinn til et register uavhengig av skattesystemet vil gi minst administrasjonsbyrde av de vurderte alternativene, i tillegg til å gi færrest </w:t>
      </w:r>
      <w:proofErr w:type="gramStart"/>
      <w:r w:rsidRPr="00DC4134">
        <w:rPr>
          <w:rStyle w:val="kursiv"/>
        </w:rPr>
        <w:t>personvernutfordringer(</w:t>
      </w:r>
      <w:proofErr w:type="gramEnd"/>
      <w:r w:rsidRPr="00DC4134">
        <w:rPr>
          <w:rStyle w:val="kursiv"/>
        </w:rPr>
        <w:t>s. 28f).</w:t>
      </w:r>
    </w:p>
    <w:p w:rsidR="002238DD" w:rsidRPr="00256E7F" w:rsidRDefault="00A35B0C" w:rsidP="002238DD">
      <w:pPr>
        <w:rPr>
          <w:rFonts w:cs="Times New Roman"/>
          <w:szCs w:val="24"/>
          <w:u w:val="single"/>
        </w:rPr>
      </w:pPr>
      <w:r>
        <w:rPr>
          <w:rFonts w:cs="Times New Roman"/>
          <w:szCs w:val="24"/>
        </w:rPr>
        <w:lastRenderedPageBreak/>
        <w:t>D</w:t>
      </w:r>
      <w:r w:rsidR="002238DD">
        <w:rPr>
          <w:rFonts w:cs="Times New Roman"/>
          <w:szCs w:val="24"/>
        </w:rPr>
        <w:t xml:space="preserve">epartementet </w:t>
      </w:r>
      <w:r w:rsidR="00AE3C61">
        <w:rPr>
          <w:rFonts w:cs="Times New Roman"/>
          <w:szCs w:val="24"/>
        </w:rPr>
        <w:t xml:space="preserve">mener </w:t>
      </w:r>
      <w:r w:rsidR="00C2341B">
        <w:rPr>
          <w:rFonts w:cs="Times New Roman"/>
          <w:szCs w:val="24"/>
        </w:rPr>
        <w:t xml:space="preserve">det er grunn til å vurdere slike løsninger nærmere, </w:t>
      </w:r>
      <w:r>
        <w:rPr>
          <w:rFonts w:cs="Times New Roman"/>
          <w:szCs w:val="24"/>
        </w:rPr>
        <w:t xml:space="preserve">siden </w:t>
      </w:r>
      <w:r w:rsidR="00AE3C61">
        <w:rPr>
          <w:rFonts w:cs="Times New Roman"/>
          <w:szCs w:val="24"/>
        </w:rPr>
        <w:t>medlems</w:t>
      </w:r>
      <w:r w:rsidR="00C2341B">
        <w:rPr>
          <w:rFonts w:cs="Times New Roman"/>
          <w:szCs w:val="24"/>
        </w:rPr>
        <w:t xml:space="preserve">tall og -lister </w:t>
      </w:r>
      <w:r>
        <w:rPr>
          <w:rFonts w:cs="Times New Roman"/>
          <w:szCs w:val="24"/>
        </w:rPr>
        <w:t xml:space="preserve">etter departementets forslag i kapittel 14 </w:t>
      </w:r>
      <w:r w:rsidR="00C2341B">
        <w:rPr>
          <w:rFonts w:cs="Times New Roman"/>
          <w:szCs w:val="24"/>
        </w:rPr>
        <w:t>fortsatt vil være eneste utbetalingsgrunnlag for til</w:t>
      </w:r>
      <w:r>
        <w:rPr>
          <w:rFonts w:cs="Times New Roman"/>
          <w:szCs w:val="24"/>
        </w:rPr>
        <w:t>s</w:t>
      </w:r>
      <w:r w:rsidR="00C2341B">
        <w:rPr>
          <w:rFonts w:cs="Times New Roman"/>
          <w:szCs w:val="24"/>
        </w:rPr>
        <w:t>kudd til tros- og livssyns</w:t>
      </w:r>
      <w:r>
        <w:rPr>
          <w:rFonts w:cs="Times New Roman"/>
          <w:szCs w:val="24"/>
        </w:rPr>
        <w:t>sa</w:t>
      </w:r>
      <w:r w:rsidR="00C2341B">
        <w:rPr>
          <w:rFonts w:cs="Times New Roman"/>
          <w:szCs w:val="24"/>
        </w:rPr>
        <w:t xml:space="preserve">mfunn utenom Den norske kirke. </w:t>
      </w:r>
      <w:r>
        <w:rPr>
          <w:rFonts w:cs="Times New Roman"/>
          <w:szCs w:val="24"/>
        </w:rPr>
        <w:t xml:space="preserve">Formålet vil i tilfelle være å få en forenklet og mer effektiv </w:t>
      </w:r>
      <w:r w:rsidR="00395910">
        <w:rPr>
          <w:rFonts w:cs="Times New Roman"/>
          <w:szCs w:val="24"/>
        </w:rPr>
        <w:t>løsning</w:t>
      </w:r>
      <w:r>
        <w:rPr>
          <w:rFonts w:cs="Times New Roman"/>
          <w:szCs w:val="24"/>
        </w:rPr>
        <w:t>, til erstatning for dagens ordning</w:t>
      </w:r>
      <w:r w:rsidR="00395910">
        <w:rPr>
          <w:rFonts w:cs="Times New Roman"/>
          <w:szCs w:val="24"/>
        </w:rPr>
        <w:t xml:space="preserve"> med </w:t>
      </w:r>
      <w:r w:rsidR="003D53E1">
        <w:rPr>
          <w:rFonts w:cs="Times New Roman"/>
          <w:szCs w:val="24"/>
        </w:rPr>
        <w:t>inn</w:t>
      </w:r>
      <w:r>
        <w:rPr>
          <w:rFonts w:cs="Times New Roman"/>
          <w:szCs w:val="24"/>
        </w:rPr>
        <w:t>sendte</w:t>
      </w:r>
      <w:r w:rsidR="003D53E1">
        <w:rPr>
          <w:rFonts w:cs="Times New Roman"/>
          <w:szCs w:val="24"/>
        </w:rPr>
        <w:t xml:space="preserve"> </w:t>
      </w:r>
      <w:r w:rsidR="00395910">
        <w:rPr>
          <w:rFonts w:cs="Times New Roman"/>
          <w:szCs w:val="24"/>
        </w:rPr>
        <w:t>lister med fødselsnummer via fylke</w:t>
      </w:r>
      <w:r w:rsidR="00597450">
        <w:rPr>
          <w:rFonts w:cs="Times New Roman"/>
          <w:szCs w:val="24"/>
        </w:rPr>
        <w:t>s</w:t>
      </w:r>
      <w:r w:rsidR="00395910">
        <w:rPr>
          <w:rFonts w:cs="Times New Roman"/>
          <w:szCs w:val="24"/>
        </w:rPr>
        <w:t>mennene til Brønnøysundregistrene for kontroll</w:t>
      </w:r>
      <w:r w:rsidR="00B66F54">
        <w:rPr>
          <w:rFonts w:cs="Times New Roman"/>
          <w:szCs w:val="24"/>
        </w:rPr>
        <w:t>, jf. også omtalen av dette spørsmålet i kapittel 18.4.3</w:t>
      </w:r>
      <w:r w:rsidR="009F5CC8">
        <w:rPr>
          <w:rFonts w:cs="Times New Roman"/>
          <w:szCs w:val="24"/>
        </w:rPr>
        <w:t xml:space="preserve">. </w:t>
      </w:r>
      <w:r w:rsidR="00B66F54">
        <w:rPr>
          <w:rFonts w:cs="Times New Roman"/>
          <w:szCs w:val="24"/>
        </w:rPr>
        <w:t xml:space="preserve">Ved en slik løsning </w:t>
      </w:r>
      <w:r w:rsidR="009F5CC8">
        <w:rPr>
          <w:rFonts w:cs="Times New Roman"/>
          <w:szCs w:val="24"/>
        </w:rPr>
        <w:t xml:space="preserve">vil </w:t>
      </w:r>
      <w:r w:rsidR="00B66F54">
        <w:rPr>
          <w:rFonts w:cs="Times New Roman"/>
          <w:szCs w:val="24"/>
        </w:rPr>
        <w:t xml:space="preserve">det </w:t>
      </w:r>
      <w:r w:rsidR="009F5CC8">
        <w:rPr>
          <w:rFonts w:cs="Times New Roman"/>
          <w:szCs w:val="24"/>
        </w:rPr>
        <w:t xml:space="preserve">også kunne åpnes for at </w:t>
      </w:r>
      <w:r w:rsidR="003D53E1">
        <w:rPr>
          <w:rFonts w:cs="Times New Roman"/>
          <w:szCs w:val="24"/>
        </w:rPr>
        <w:t>de</w:t>
      </w:r>
      <w:r w:rsidR="009F5CC8">
        <w:rPr>
          <w:rFonts w:cs="Times New Roman"/>
          <w:szCs w:val="24"/>
        </w:rPr>
        <w:t>t</w:t>
      </w:r>
      <w:r w:rsidR="003D53E1">
        <w:rPr>
          <w:rFonts w:cs="Times New Roman"/>
          <w:szCs w:val="24"/>
        </w:rPr>
        <w:t xml:space="preserve"> enkelte</w:t>
      </w:r>
      <w:r w:rsidR="00395910">
        <w:rPr>
          <w:rFonts w:cs="Times New Roman"/>
          <w:szCs w:val="24"/>
        </w:rPr>
        <w:t xml:space="preserve"> </w:t>
      </w:r>
      <w:r w:rsidR="009F5CC8">
        <w:rPr>
          <w:rFonts w:cs="Times New Roman"/>
          <w:szCs w:val="24"/>
        </w:rPr>
        <w:t>medlem</w:t>
      </w:r>
      <w:r w:rsidR="00B66F54">
        <w:rPr>
          <w:rFonts w:cs="Times New Roman"/>
          <w:szCs w:val="24"/>
        </w:rPr>
        <w:t>met</w:t>
      </w:r>
      <w:r w:rsidR="009F5CC8">
        <w:rPr>
          <w:rFonts w:cs="Times New Roman"/>
          <w:szCs w:val="24"/>
        </w:rPr>
        <w:t xml:space="preserve"> </w:t>
      </w:r>
      <w:r w:rsidR="00B66F54">
        <w:rPr>
          <w:rFonts w:cs="Times New Roman"/>
          <w:szCs w:val="24"/>
        </w:rPr>
        <w:t xml:space="preserve">får </w:t>
      </w:r>
      <w:r w:rsidR="00395910">
        <w:rPr>
          <w:rFonts w:cs="Times New Roman"/>
          <w:szCs w:val="24"/>
        </w:rPr>
        <w:t xml:space="preserve">anledning </w:t>
      </w:r>
      <w:r w:rsidR="009F5CC8">
        <w:rPr>
          <w:rFonts w:cs="Times New Roman"/>
          <w:szCs w:val="24"/>
        </w:rPr>
        <w:t xml:space="preserve">til å </w:t>
      </w:r>
      <w:r w:rsidR="00395910">
        <w:rPr>
          <w:rFonts w:cs="Times New Roman"/>
          <w:szCs w:val="24"/>
        </w:rPr>
        <w:t xml:space="preserve">kontrollere </w:t>
      </w:r>
      <w:r w:rsidR="009F5CC8">
        <w:rPr>
          <w:rFonts w:cs="Times New Roman"/>
          <w:szCs w:val="24"/>
        </w:rPr>
        <w:t xml:space="preserve">de </w:t>
      </w:r>
      <w:r w:rsidR="00395910">
        <w:rPr>
          <w:rFonts w:cs="Times New Roman"/>
          <w:szCs w:val="24"/>
        </w:rPr>
        <w:t>opplysninger om medlemskap</w:t>
      </w:r>
      <w:r>
        <w:rPr>
          <w:rFonts w:cs="Times New Roman"/>
          <w:szCs w:val="24"/>
        </w:rPr>
        <w:t xml:space="preserve"> som </w:t>
      </w:r>
      <w:r w:rsidR="009F5CC8">
        <w:rPr>
          <w:rFonts w:cs="Times New Roman"/>
          <w:szCs w:val="24"/>
        </w:rPr>
        <w:t xml:space="preserve">tros- og livssynssamfunnene har </w:t>
      </w:r>
      <w:r>
        <w:rPr>
          <w:rFonts w:cs="Times New Roman"/>
          <w:szCs w:val="24"/>
        </w:rPr>
        <w:t>regist</w:t>
      </w:r>
      <w:r w:rsidR="009F5CC8">
        <w:rPr>
          <w:rFonts w:cs="Times New Roman"/>
          <w:szCs w:val="24"/>
        </w:rPr>
        <w:t>r</w:t>
      </w:r>
      <w:r>
        <w:rPr>
          <w:rFonts w:cs="Times New Roman"/>
          <w:szCs w:val="24"/>
        </w:rPr>
        <w:t>ert</w:t>
      </w:r>
      <w:r w:rsidR="009F5CC8">
        <w:rPr>
          <w:rFonts w:cs="Times New Roman"/>
          <w:szCs w:val="24"/>
        </w:rPr>
        <w:t xml:space="preserve"> om vedkommende</w:t>
      </w:r>
      <w:r w:rsidR="003D53E1">
        <w:rPr>
          <w:rFonts w:cs="Times New Roman"/>
          <w:szCs w:val="24"/>
        </w:rPr>
        <w:t>.</w:t>
      </w:r>
      <w:r w:rsidR="009F5CC8">
        <w:rPr>
          <w:rFonts w:cs="Times New Roman"/>
          <w:szCs w:val="24"/>
        </w:rPr>
        <w:t xml:space="preserve"> Departementet tar sikte på å følge opp de</w:t>
      </w:r>
      <w:r w:rsidR="00565657">
        <w:rPr>
          <w:rFonts w:cs="Times New Roman"/>
          <w:szCs w:val="24"/>
        </w:rPr>
        <w:t>tte</w:t>
      </w:r>
      <w:r w:rsidR="00534650">
        <w:rPr>
          <w:rFonts w:cs="Times New Roman"/>
          <w:szCs w:val="24"/>
        </w:rPr>
        <w:t>, men d</w:t>
      </w:r>
      <w:r w:rsidR="00565657">
        <w:rPr>
          <w:rFonts w:cs="Times New Roman"/>
          <w:szCs w:val="24"/>
        </w:rPr>
        <w:t xml:space="preserve">en skisserte løsningen trengs </w:t>
      </w:r>
      <w:r w:rsidR="009F5CC8">
        <w:rPr>
          <w:rFonts w:cs="Times New Roman"/>
          <w:szCs w:val="24"/>
        </w:rPr>
        <w:t>i tilfelle å utredes mer uttømmende enn EY har gjort i sin rapport. Innføring av et nytt system for innberetning av medlem</w:t>
      </w:r>
      <w:r w:rsidR="00B66F54">
        <w:rPr>
          <w:rFonts w:cs="Times New Roman"/>
          <w:szCs w:val="24"/>
        </w:rPr>
        <w:t xml:space="preserve">stall </w:t>
      </w:r>
      <w:r w:rsidR="009F5CC8">
        <w:rPr>
          <w:rFonts w:cs="Times New Roman"/>
          <w:szCs w:val="24"/>
        </w:rPr>
        <w:t xml:space="preserve">som grunnlag for utbetaling av tilskudd, vil </w:t>
      </w:r>
      <w:r w:rsidR="00534650">
        <w:rPr>
          <w:rFonts w:cs="Times New Roman"/>
          <w:szCs w:val="24"/>
        </w:rPr>
        <w:t xml:space="preserve">eventuelt </w:t>
      </w:r>
      <w:r w:rsidR="009F5CC8">
        <w:rPr>
          <w:rFonts w:cs="Times New Roman"/>
          <w:szCs w:val="24"/>
        </w:rPr>
        <w:t xml:space="preserve">kunne skje gjennom </w:t>
      </w:r>
      <w:r w:rsidR="00B66F54">
        <w:rPr>
          <w:rFonts w:cs="Times New Roman"/>
          <w:szCs w:val="24"/>
        </w:rPr>
        <w:t xml:space="preserve">bestemmelse i </w:t>
      </w:r>
      <w:r w:rsidR="009F5CC8">
        <w:rPr>
          <w:rFonts w:cs="Times New Roman"/>
          <w:szCs w:val="24"/>
        </w:rPr>
        <w:t xml:space="preserve">forskrift. Forslag til endringer vil derfor bli gjort til gjenstand for vanlig høring når saken er nærmere utredet. </w:t>
      </w:r>
    </w:p>
    <w:p w:rsidR="002238DD" w:rsidRPr="00150737" w:rsidRDefault="002238DD">
      <w:pPr>
        <w:spacing w:after="0" w:line="240" w:lineRule="auto"/>
        <w:rPr>
          <w:rStyle w:val="halvfet"/>
        </w:rPr>
      </w:pPr>
      <w:r>
        <w:br w:type="page"/>
      </w:r>
    </w:p>
    <w:p w:rsidR="002238DD" w:rsidRPr="00C96BC7" w:rsidRDefault="002238DD" w:rsidP="00D93AC6">
      <w:pPr>
        <w:pStyle w:val="Overskrift1"/>
      </w:pPr>
      <w:bookmarkStart w:id="3708" w:name="_Toc477882108"/>
      <w:bookmarkStart w:id="3709" w:name="_Toc477886570"/>
      <w:bookmarkStart w:id="3710" w:name="_Toc478131515"/>
      <w:bookmarkStart w:id="3711" w:name="_Toc478138885"/>
      <w:bookmarkStart w:id="3712" w:name="_Toc478232409"/>
      <w:bookmarkStart w:id="3713" w:name="_Toc478237394"/>
      <w:bookmarkStart w:id="3714" w:name="_Toc481761938"/>
      <w:bookmarkStart w:id="3715" w:name="_Toc492900590"/>
      <w:bookmarkStart w:id="3716" w:name="_Toc477536071"/>
      <w:bookmarkStart w:id="3717" w:name="_Toc477631201"/>
      <w:bookmarkStart w:id="3718" w:name="_Toc477694166"/>
      <w:bookmarkStart w:id="3719" w:name="_Toc477704592"/>
      <w:bookmarkStart w:id="3720" w:name="_Toc477799835"/>
      <w:bookmarkStart w:id="3721" w:name="_Toc477806436"/>
      <w:bookmarkStart w:id="3722" w:name="_Toc477872096"/>
      <w:bookmarkStart w:id="3723" w:name="_Toc477878704"/>
      <w:r w:rsidRPr="00C96BC7">
        <w:lastRenderedPageBreak/>
        <w:t>Gravplassene – forvaltningsansvaret og avgiftssystemer</w:t>
      </w:r>
      <w:bookmarkEnd w:id="3708"/>
      <w:bookmarkEnd w:id="3709"/>
      <w:bookmarkEnd w:id="3710"/>
      <w:bookmarkEnd w:id="3711"/>
      <w:bookmarkEnd w:id="3712"/>
      <w:bookmarkEnd w:id="3713"/>
      <w:bookmarkEnd w:id="3714"/>
      <w:bookmarkEnd w:id="3715"/>
      <w:r w:rsidRPr="00C96BC7">
        <w:t xml:space="preserve"> </w:t>
      </w:r>
      <w:bookmarkEnd w:id="3716"/>
      <w:bookmarkEnd w:id="3717"/>
      <w:bookmarkEnd w:id="3718"/>
      <w:bookmarkEnd w:id="3719"/>
      <w:bookmarkEnd w:id="3720"/>
      <w:bookmarkEnd w:id="3721"/>
      <w:bookmarkEnd w:id="3722"/>
      <w:bookmarkEnd w:id="3723"/>
    </w:p>
    <w:p w:rsidR="001F53F2" w:rsidRDefault="001F53F2" w:rsidP="002238DD">
      <w:pPr>
        <w:pStyle w:val="Overskrift2"/>
      </w:pPr>
      <w:bookmarkStart w:id="3724" w:name="_Toc477872097"/>
      <w:bookmarkStart w:id="3725" w:name="_Toc477878705"/>
      <w:bookmarkStart w:id="3726" w:name="_Toc477882109"/>
      <w:bookmarkStart w:id="3727" w:name="_Toc477886571"/>
      <w:bookmarkStart w:id="3728" w:name="_Toc478131516"/>
      <w:bookmarkStart w:id="3729" w:name="_Toc478138886"/>
      <w:bookmarkStart w:id="3730" w:name="_Toc478232410"/>
      <w:bookmarkStart w:id="3731" w:name="_Toc478237395"/>
      <w:bookmarkStart w:id="3732" w:name="_Toc481761939"/>
      <w:bookmarkStart w:id="3733" w:name="_Toc492900591"/>
      <w:bookmarkStart w:id="3734" w:name="_Toc477536072"/>
      <w:bookmarkStart w:id="3735" w:name="_Toc477631202"/>
      <w:r>
        <w:t>Innledning</w:t>
      </w:r>
      <w:bookmarkEnd w:id="3724"/>
      <w:bookmarkEnd w:id="3725"/>
      <w:bookmarkEnd w:id="3726"/>
      <w:bookmarkEnd w:id="3727"/>
      <w:bookmarkEnd w:id="3728"/>
      <w:bookmarkEnd w:id="3729"/>
      <w:bookmarkEnd w:id="3730"/>
      <w:bookmarkEnd w:id="3731"/>
      <w:bookmarkEnd w:id="3732"/>
      <w:bookmarkEnd w:id="3733"/>
    </w:p>
    <w:p w:rsidR="007459A0" w:rsidRDefault="001F53F2" w:rsidP="007459A0">
      <w:r>
        <w:t xml:space="preserve">I etterkrigstiden har det vært nedsatt flere utvalg som i tillegg til å se på forholdet mellom stat og kirke, også har sett nærmere på forvaltningsansvaret for gravplassene. Samtlige av disse utvalgene har konkludert med at det praktiske og juridiske ansvaret for drift og forvaltning av gravplassene burde overføres til kommunen. I dag er dette et ansvar som ligger til kirkelig fellesråd, jf. også nærmere omtale av gjeldende </w:t>
      </w:r>
      <w:r w:rsidR="0057178F">
        <w:t>lovgivning</w:t>
      </w:r>
      <w:r>
        <w:t xml:space="preserve"> i kap</w:t>
      </w:r>
      <w:r w:rsidR="00723BCC">
        <w:t>ittel 4.7</w:t>
      </w:r>
      <w:r>
        <w:t>. I høringsrundene har imidlertid forslagene om å overføre forvaltningsansvaret til kommunen blitt avvist</w:t>
      </w:r>
      <w:r w:rsidR="00723BCC">
        <w:t xml:space="preserve">. Spørsmålet ble utførlig omtalt i St.meld. nr. 17 (2007–2008) </w:t>
      </w:r>
      <w:r w:rsidR="00723BCC" w:rsidRPr="00723BCC">
        <w:rPr>
          <w:i/>
        </w:rPr>
        <w:t>Staten og Den norske kirke</w:t>
      </w:r>
      <w:r w:rsidR="00723BCC">
        <w:t>, der depart</w:t>
      </w:r>
      <w:r w:rsidR="00912538">
        <w:t>e</w:t>
      </w:r>
      <w:r w:rsidR="00723BCC">
        <w:t>mentet gikk inn for å føre videre dagens ordning, noe Stortinget sluttet seg til.</w:t>
      </w:r>
      <w:r w:rsidR="007459A0">
        <w:t xml:space="preserve"> </w:t>
      </w:r>
    </w:p>
    <w:p w:rsidR="00DB210F" w:rsidRDefault="00DB210F">
      <w:r>
        <w:t>Når de</w:t>
      </w:r>
      <w:r w:rsidR="002E5AB9">
        <w:t>t nå foreslås</w:t>
      </w:r>
      <w:r>
        <w:t xml:space="preserve"> å gjøre endringer i finansierings</w:t>
      </w:r>
      <w:r w:rsidR="00723BCC">
        <w:t xml:space="preserve">ordningene </w:t>
      </w:r>
      <w:r>
        <w:t>for Den norske kirke og de øvrige tros- og livssynssamfunnene</w:t>
      </w:r>
      <w:r w:rsidR="002E5AB9">
        <w:t>, samt</w:t>
      </w:r>
      <w:r>
        <w:t xml:space="preserve"> gjøre endringer som bla</w:t>
      </w:r>
      <w:r w:rsidR="00597450">
        <w:t xml:space="preserve">nt annet </w:t>
      </w:r>
      <w:r>
        <w:t xml:space="preserve">innebærer større selvstendighet for Den norske kirke til å fastsette egne bestemmelser </w:t>
      </w:r>
      <w:r w:rsidR="002E5AB9">
        <w:t xml:space="preserve">også </w:t>
      </w:r>
      <w:r>
        <w:t xml:space="preserve">om dens organisering, mener departementet det er behov for å vurdere spørsmålet om forvaltningsansvaret for gravplassene på nytt. </w:t>
      </w:r>
    </w:p>
    <w:p w:rsidR="001F53F2" w:rsidRDefault="00DB210F">
      <w:r>
        <w:t xml:space="preserve">I tillegg mener departementet det er behov for å løfte fram </w:t>
      </w:r>
      <w:r w:rsidR="000C7BE6">
        <w:t xml:space="preserve">og vurdere </w:t>
      </w:r>
      <w:r>
        <w:t xml:space="preserve">noen av de </w:t>
      </w:r>
      <w:r w:rsidR="00597450">
        <w:t xml:space="preserve">viktigste </w:t>
      </w:r>
      <w:r w:rsidR="00695AFA">
        <w:t>forslage</w:t>
      </w:r>
      <w:r w:rsidR="000C7BE6">
        <w:t xml:space="preserve">ne </w:t>
      </w:r>
      <w:r>
        <w:t xml:space="preserve">som </w:t>
      </w:r>
      <w:r w:rsidR="000C7BE6">
        <w:t>Lae-utvalget</w:t>
      </w:r>
      <w:r>
        <w:t xml:space="preserve"> </w:t>
      </w:r>
      <w:r w:rsidR="000C7BE6">
        <w:t>kom med knyttet til brukerbetaling på gravplassforvaltningens område. Dette er spørsmål som departementet i forbindelse med endringene i gravferdsloven i 2011 så behov for å utrede nærmere</w:t>
      </w:r>
      <w:r w:rsidR="00597450">
        <w:t>.</w:t>
      </w:r>
      <w:r w:rsidR="000C7BE6">
        <w:t xml:space="preserve"> </w:t>
      </w:r>
    </w:p>
    <w:p w:rsidR="007459A0" w:rsidRPr="00363BD1" w:rsidRDefault="007459A0" w:rsidP="007459A0">
      <w:pPr>
        <w:rPr>
          <w:rFonts w:cs="Times New Roman"/>
          <w:szCs w:val="24"/>
        </w:rPr>
      </w:pPr>
      <w:r>
        <w:t>Departementet vil i det følgende vurdere forvaltningsansvaret for gravplassene i lys av de øvrige forslagene i dette høringsnotatet og den informasjon</w:t>
      </w:r>
      <w:r w:rsidR="00597450">
        <w:t>en</w:t>
      </w:r>
      <w:r>
        <w:t xml:space="preserve"> departementet har fått innhentet fra Nærings- og fiskeridepartementet (NFD) knyttet til anskaffelsesregelverket. I tillegg vil departementet vurdere Lae-utvalgets tre hovedforslag om avvikling av brukerbetaling på gravplassforvaltningens område, samt enkelte mindre forslag som behovet for en egen statistikkhjemmel. Departementet vil også vurdere forslaget om å flytte de oppgaver på gravplassforvaltningens område som i dag ligger til bispedømmerådet, over til fylkesmannen. Forslaget om å samle oppgavene hos ett fylkesmannsembete vil også bli vurdert i denne sammenheng</w:t>
      </w:r>
      <w:r w:rsidR="0057178F">
        <w:t>en</w:t>
      </w:r>
      <w:r>
        <w:t xml:space="preserve">. </w:t>
      </w:r>
      <w:r w:rsidRPr="00C96BC7">
        <w:rPr>
          <w:rFonts w:cs="Times New Roman"/>
          <w:szCs w:val="24"/>
        </w:rPr>
        <w:t>I tillegg er det behov for å vurdere enkelte lovtekniske endringer som følger av forslaget om</w:t>
      </w:r>
      <w:r>
        <w:rPr>
          <w:rFonts w:cs="Times New Roman"/>
          <w:szCs w:val="24"/>
        </w:rPr>
        <w:t xml:space="preserve"> ny, felles lov for tros- og livssynssamfunn</w:t>
      </w:r>
      <w:r w:rsidR="00363BD1">
        <w:rPr>
          <w:rFonts w:cs="Times New Roman"/>
          <w:szCs w:val="24"/>
        </w:rPr>
        <w:t>.</w:t>
      </w:r>
    </w:p>
    <w:p w:rsidR="007459A0" w:rsidRPr="00C96BC7" w:rsidRDefault="007459A0" w:rsidP="007459A0">
      <w:pPr>
        <w:pStyle w:val="Overskrift2"/>
      </w:pPr>
      <w:bookmarkStart w:id="3736" w:name="_Toc477705454"/>
      <w:bookmarkStart w:id="3737" w:name="_Toc477882110"/>
      <w:bookmarkStart w:id="3738" w:name="_Toc477886572"/>
      <w:bookmarkStart w:id="3739" w:name="_Toc478131517"/>
      <w:bookmarkStart w:id="3740" w:name="_Toc478138887"/>
      <w:bookmarkStart w:id="3741" w:name="_Toc478232411"/>
      <w:bookmarkStart w:id="3742" w:name="_Toc478237396"/>
      <w:bookmarkStart w:id="3743" w:name="_Toc481761940"/>
      <w:bookmarkStart w:id="3744" w:name="_Toc492900592"/>
      <w:r>
        <w:t>Forvaltningsansvaret for g</w:t>
      </w:r>
      <w:r w:rsidRPr="00C96BC7">
        <w:t>ravplassene</w:t>
      </w:r>
      <w:bookmarkEnd w:id="3736"/>
      <w:bookmarkEnd w:id="3737"/>
      <w:bookmarkEnd w:id="3738"/>
      <w:bookmarkEnd w:id="3739"/>
      <w:bookmarkEnd w:id="3740"/>
      <w:bookmarkEnd w:id="3741"/>
      <w:bookmarkEnd w:id="3742"/>
      <w:bookmarkEnd w:id="3743"/>
      <w:bookmarkEnd w:id="3744"/>
      <w:r w:rsidRPr="00C96BC7">
        <w:t xml:space="preserve"> </w:t>
      </w:r>
    </w:p>
    <w:p w:rsidR="007459A0" w:rsidRPr="00C96BC7" w:rsidRDefault="007459A0" w:rsidP="007459A0">
      <w:pPr>
        <w:pStyle w:val="Overskrift3"/>
      </w:pPr>
      <w:bookmarkStart w:id="3745" w:name="_Toc477705455"/>
      <w:bookmarkStart w:id="3746" w:name="_Toc477882111"/>
      <w:bookmarkStart w:id="3747" w:name="_Toc477886573"/>
      <w:bookmarkStart w:id="3748" w:name="_Toc478131518"/>
      <w:bookmarkStart w:id="3749" w:name="_Toc478138888"/>
      <w:bookmarkStart w:id="3750" w:name="_Toc478232412"/>
      <w:bookmarkStart w:id="3751" w:name="_Toc478237397"/>
      <w:bookmarkStart w:id="3752" w:name="_Toc481761941"/>
      <w:bookmarkStart w:id="3753" w:name="_Toc492900593"/>
      <w:r w:rsidRPr="00C96BC7">
        <w:t>Gjeldende ordning</w:t>
      </w:r>
      <w:bookmarkEnd w:id="3745"/>
      <w:bookmarkEnd w:id="3746"/>
      <w:bookmarkEnd w:id="3747"/>
      <w:bookmarkEnd w:id="3748"/>
      <w:bookmarkEnd w:id="3749"/>
      <w:bookmarkEnd w:id="3750"/>
      <w:bookmarkEnd w:id="3751"/>
      <w:bookmarkEnd w:id="3752"/>
      <w:bookmarkEnd w:id="3753"/>
    </w:p>
    <w:p w:rsidR="007459A0" w:rsidRPr="00C96BC7" w:rsidRDefault="007459A0" w:rsidP="007459A0">
      <w:pPr>
        <w:rPr>
          <w:rFonts w:cs="Times New Roman"/>
          <w:szCs w:val="24"/>
        </w:rPr>
      </w:pPr>
      <w:r>
        <w:rPr>
          <w:rFonts w:cs="Times New Roman"/>
          <w:szCs w:val="24"/>
        </w:rPr>
        <w:t xml:space="preserve">Det å være gravplassforvalter innebærer i første rekke å ha et </w:t>
      </w:r>
      <w:r w:rsidRPr="00C96BC7">
        <w:rPr>
          <w:rFonts w:cs="Times New Roman"/>
          <w:szCs w:val="24"/>
        </w:rPr>
        <w:t>praktisk og juridisk</w:t>
      </w:r>
      <w:r>
        <w:rPr>
          <w:rFonts w:cs="Times New Roman"/>
          <w:szCs w:val="24"/>
        </w:rPr>
        <w:t xml:space="preserve"> ansvar for anlegg, drift og vedlikehold av </w:t>
      </w:r>
      <w:r w:rsidRPr="00C96BC7">
        <w:rPr>
          <w:rFonts w:cs="Times New Roman"/>
          <w:szCs w:val="24"/>
        </w:rPr>
        <w:t>gravplasser og krematori</w:t>
      </w:r>
      <w:r>
        <w:rPr>
          <w:rFonts w:cs="Times New Roman"/>
          <w:szCs w:val="24"/>
        </w:rPr>
        <w:t>er</w:t>
      </w:r>
      <w:r w:rsidRPr="00C96BC7">
        <w:rPr>
          <w:rFonts w:cs="Times New Roman"/>
          <w:szCs w:val="24"/>
        </w:rPr>
        <w:t>.</w:t>
      </w:r>
      <w:r>
        <w:rPr>
          <w:rFonts w:cs="Times New Roman"/>
          <w:szCs w:val="24"/>
        </w:rPr>
        <w:t xml:space="preserve"> </w:t>
      </w:r>
      <w:r w:rsidRPr="00C96BC7">
        <w:rPr>
          <w:rFonts w:cs="Times New Roman"/>
          <w:szCs w:val="24"/>
        </w:rPr>
        <w:t>I tillegg berører grav</w:t>
      </w:r>
      <w:r>
        <w:rPr>
          <w:rFonts w:cs="Times New Roman"/>
          <w:szCs w:val="24"/>
        </w:rPr>
        <w:t>plass</w:t>
      </w:r>
      <w:r w:rsidRPr="00C96BC7">
        <w:rPr>
          <w:rFonts w:cs="Times New Roman"/>
          <w:szCs w:val="24"/>
        </w:rPr>
        <w:t>forvaltningen viktige kulturelle, religiøse og livssynsmessige forhold</w:t>
      </w:r>
      <w:r>
        <w:rPr>
          <w:rFonts w:cs="Times New Roman"/>
          <w:szCs w:val="24"/>
        </w:rPr>
        <w:t>. F</w:t>
      </w:r>
      <w:r w:rsidRPr="00C96BC7">
        <w:rPr>
          <w:rFonts w:cs="Times New Roman"/>
          <w:szCs w:val="24"/>
        </w:rPr>
        <w:t>orvaltning</w:t>
      </w:r>
      <w:r>
        <w:rPr>
          <w:rFonts w:cs="Times New Roman"/>
          <w:szCs w:val="24"/>
        </w:rPr>
        <w:t>sansvaret</w:t>
      </w:r>
      <w:r w:rsidRPr="00C96BC7">
        <w:rPr>
          <w:rFonts w:cs="Times New Roman"/>
          <w:szCs w:val="24"/>
        </w:rPr>
        <w:t xml:space="preserve"> er regulert i lov 7. juni 1996 nr. 32 om gravplasser, kremasjon og gravferd </w:t>
      </w:r>
      <w:r>
        <w:rPr>
          <w:rFonts w:cs="Times New Roman"/>
          <w:szCs w:val="24"/>
        </w:rPr>
        <w:t xml:space="preserve">(gravferdsloven) </w:t>
      </w:r>
      <w:r w:rsidRPr="00C96BC7">
        <w:rPr>
          <w:rFonts w:cs="Times New Roman"/>
          <w:szCs w:val="24"/>
        </w:rPr>
        <w:t>og i tilhørende forskrift 22. januar 2014 nr. 41</w:t>
      </w:r>
      <w:r>
        <w:rPr>
          <w:rFonts w:cs="Times New Roman"/>
          <w:szCs w:val="24"/>
        </w:rPr>
        <w:t xml:space="preserve"> (gravferdsforskriften)</w:t>
      </w:r>
      <w:r w:rsidRPr="00C96BC7">
        <w:rPr>
          <w:rFonts w:cs="Times New Roman"/>
          <w:szCs w:val="24"/>
        </w:rPr>
        <w:t xml:space="preserve">. </w:t>
      </w:r>
    </w:p>
    <w:p w:rsidR="007459A0" w:rsidRDefault="007459A0" w:rsidP="007459A0">
      <w:pPr>
        <w:rPr>
          <w:rFonts w:cs="Times New Roman"/>
          <w:szCs w:val="24"/>
        </w:rPr>
      </w:pPr>
      <w:r w:rsidRPr="00C96BC7">
        <w:rPr>
          <w:rFonts w:cs="Times New Roman"/>
          <w:szCs w:val="24"/>
        </w:rPr>
        <w:t xml:space="preserve">Gravplassene er etter gravferdsloven § 1 fjerde ledd soknets eiendom, med mindre annet følger av særskilt rettsgrunnlag. </w:t>
      </w:r>
    </w:p>
    <w:p w:rsidR="007459A0" w:rsidRPr="00C96BC7" w:rsidRDefault="001E5FD4" w:rsidP="007459A0">
      <w:pPr>
        <w:rPr>
          <w:rFonts w:cs="Times New Roman"/>
          <w:szCs w:val="24"/>
        </w:rPr>
      </w:pPr>
      <w:r>
        <w:rPr>
          <w:rFonts w:cs="Times New Roman"/>
          <w:szCs w:val="24"/>
        </w:rPr>
        <w:t xml:space="preserve">Som i de øvrige nordiske land er det normalordningen i Norge at gravplassene driftes av den lokale kirke. </w:t>
      </w:r>
      <w:r w:rsidR="007459A0">
        <w:rPr>
          <w:rFonts w:cs="Times New Roman"/>
          <w:szCs w:val="24"/>
        </w:rPr>
        <w:t xml:space="preserve">Forvaltningsansvaret </w:t>
      </w:r>
      <w:r>
        <w:rPr>
          <w:rFonts w:cs="Times New Roman"/>
          <w:szCs w:val="24"/>
        </w:rPr>
        <w:t>er normalt</w:t>
      </w:r>
      <w:r w:rsidR="007459A0" w:rsidRPr="00C96BC7">
        <w:rPr>
          <w:rFonts w:cs="Times New Roman"/>
          <w:szCs w:val="24"/>
        </w:rPr>
        <w:t xml:space="preserve"> tillagt kirkelig fellesråd. I kommuner der det bare </w:t>
      </w:r>
      <w:r w:rsidR="007459A0" w:rsidRPr="00C96BC7">
        <w:rPr>
          <w:rFonts w:cs="Times New Roman"/>
          <w:szCs w:val="24"/>
        </w:rPr>
        <w:lastRenderedPageBreak/>
        <w:t>er ett sokn, er det menighetsrådet som har ansvaret.</w:t>
      </w:r>
      <w:r w:rsidR="007459A0">
        <w:rPr>
          <w:rFonts w:cs="Times New Roman"/>
          <w:szCs w:val="24"/>
        </w:rPr>
        <w:t xml:space="preserve"> </w:t>
      </w:r>
      <w:r w:rsidR="007459A0" w:rsidRPr="00C96BC7">
        <w:rPr>
          <w:rFonts w:cs="Times New Roman"/>
          <w:szCs w:val="24"/>
        </w:rPr>
        <w:t>Fellesrådets ansvar og myndighet etter gravferdsloven kan</w:t>
      </w:r>
      <w:r w:rsidR="007459A0">
        <w:rPr>
          <w:rFonts w:cs="Times New Roman"/>
          <w:szCs w:val="24"/>
        </w:rPr>
        <w:t>,</w:t>
      </w:r>
      <w:r w:rsidR="007459A0" w:rsidRPr="00C96BC7">
        <w:rPr>
          <w:rFonts w:cs="Times New Roman"/>
          <w:szCs w:val="24"/>
        </w:rPr>
        <w:t xml:space="preserve"> med departementets godkjenning, overføres til kommunen</w:t>
      </w:r>
      <w:r w:rsidR="007459A0">
        <w:rPr>
          <w:rFonts w:cs="Times New Roman"/>
          <w:szCs w:val="24"/>
        </w:rPr>
        <w:t xml:space="preserve">, jf. </w:t>
      </w:r>
      <w:r w:rsidR="007459A0" w:rsidRPr="00C96BC7">
        <w:rPr>
          <w:rFonts w:cs="Times New Roman"/>
          <w:szCs w:val="24"/>
        </w:rPr>
        <w:t>gravferdsloven § 23</w:t>
      </w:r>
      <w:r w:rsidR="007459A0">
        <w:rPr>
          <w:rFonts w:cs="Times New Roman"/>
          <w:szCs w:val="24"/>
        </w:rPr>
        <w:t>. Dette forutsetter</w:t>
      </w:r>
      <w:r w:rsidR="007459A0" w:rsidRPr="00C96BC7">
        <w:rPr>
          <w:rFonts w:cs="Times New Roman"/>
          <w:szCs w:val="24"/>
        </w:rPr>
        <w:t xml:space="preserve"> avtale mellom fellesrådet og kommunen</w:t>
      </w:r>
      <w:r w:rsidR="007459A0">
        <w:rPr>
          <w:rFonts w:cs="Times New Roman"/>
          <w:szCs w:val="24"/>
        </w:rPr>
        <w:t>.</w:t>
      </w:r>
      <w:r w:rsidR="007459A0" w:rsidRPr="00C96BC7">
        <w:rPr>
          <w:rFonts w:cs="Times New Roman"/>
          <w:szCs w:val="24"/>
        </w:rPr>
        <w:t xml:space="preserve"> Slik avtale er inngått i fem av landets kommuner.</w:t>
      </w:r>
      <w:r w:rsidR="007459A0">
        <w:rPr>
          <w:rFonts w:cs="Times New Roman"/>
          <w:szCs w:val="24"/>
        </w:rPr>
        <w:t xml:space="preserve"> En a</w:t>
      </w:r>
      <w:r w:rsidR="007459A0" w:rsidRPr="00C96BC7">
        <w:rPr>
          <w:rFonts w:cs="Times New Roman"/>
          <w:szCs w:val="24"/>
        </w:rPr>
        <w:t>vtale om overføring av ansvar etter gravferdsloven § 23 omfatter både ansvaret for å drifte gravplassen</w:t>
      </w:r>
      <w:r w:rsidR="007459A0">
        <w:rPr>
          <w:rFonts w:cs="Times New Roman"/>
          <w:szCs w:val="24"/>
        </w:rPr>
        <w:t>e</w:t>
      </w:r>
      <w:r w:rsidR="007459A0" w:rsidRPr="00C96BC7">
        <w:rPr>
          <w:rFonts w:cs="Times New Roman"/>
          <w:szCs w:val="24"/>
        </w:rPr>
        <w:t xml:space="preserve"> og myndigheten til å treffe vedtak etter loven. </w:t>
      </w:r>
    </w:p>
    <w:p w:rsidR="007459A0" w:rsidRPr="00C96BC7" w:rsidRDefault="007459A0" w:rsidP="007459A0">
      <w:pPr>
        <w:rPr>
          <w:rFonts w:cs="Times New Roman"/>
          <w:szCs w:val="24"/>
        </w:rPr>
      </w:pPr>
      <w:r w:rsidRPr="00C96BC7">
        <w:rPr>
          <w:rFonts w:cs="Times New Roman"/>
          <w:szCs w:val="24"/>
        </w:rPr>
        <w:t xml:space="preserve">Kommunen har etter gravferdsloven § 3 annet ledd og kirkeloven § 15 første ledd bokstav b ansvar for å utrede utgiftene til drift og forvaltning av gravplassene. Det er kommunen som fastsetter avgifter for bruk av gravkapell, kremasjon og feste av grav etter forslag fra fellesrådet. </w:t>
      </w:r>
    </w:p>
    <w:p w:rsidR="007459A0" w:rsidRPr="00C96BC7" w:rsidRDefault="007459A0" w:rsidP="007459A0">
      <w:pPr>
        <w:rPr>
          <w:rFonts w:cs="Times New Roman"/>
          <w:szCs w:val="24"/>
        </w:rPr>
      </w:pPr>
      <w:r w:rsidRPr="00C96BC7">
        <w:rPr>
          <w:rFonts w:cs="Times New Roman"/>
          <w:szCs w:val="24"/>
        </w:rPr>
        <w:t xml:space="preserve">Etter kirkeloven § 15 fjerde ledd kan kommunal tjenesteyting tre i stedet for særskilt bevilgning. Det innebærer at kommunen i stedet for å </w:t>
      </w:r>
      <w:r w:rsidR="00F45F6E">
        <w:rPr>
          <w:rFonts w:cs="Times New Roman"/>
          <w:szCs w:val="24"/>
        </w:rPr>
        <w:t xml:space="preserve">overføre </w:t>
      </w:r>
      <w:r w:rsidRPr="00C96BC7">
        <w:rPr>
          <w:rFonts w:cs="Times New Roman"/>
          <w:szCs w:val="24"/>
        </w:rPr>
        <w:t>budsjettmidler</w:t>
      </w:r>
      <w:r w:rsidR="00F45F6E">
        <w:rPr>
          <w:rFonts w:cs="Times New Roman"/>
          <w:szCs w:val="24"/>
        </w:rPr>
        <w:t xml:space="preserve"> til fellesrådet</w:t>
      </w:r>
      <w:r w:rsidRPr="00C96BC7">
        <w:rPr>
          <w:rFonts w:cs="Times New Roman"/>
          <w:szCs w:val="24"/>
        </w:rPr>
        <w:t xml:space="preserve">, kan </w:t>
      </w:r>
      <w:r>
        <w:rPr>
          <w:rFonts w:cs="Times New Roman"/>
          <w:szCs w:val="24"/>
        </w:rPr>
        <w:t>utføre</w:t>
      </w:r>
      <w:r w:rsidRPr="00C96BC7">
        <w:rPr>
          <w:rFonts w:cs="Times New Roman"/>
          <w:szCs w:val="24"/>
        </w:rPr>
        <w:t xml:space="preserve"> drifts- og vedlikeholdsarbeid med egne ansatte. </w:t>
      </w:r>
      <w:r>
        <w:rPr>
          <w:rFonts w:cs="Times New Roman"/>
          <w:szCs w:val="24"/>
        </w:rPr>
        <w:t xml:space="preserve">Denne ordningen forutsetter </w:t>
      </w:r>
      <w:r w:rsidRPr="00C96BC7">
        <w:rPr>
          <w:rFonts w:cs="Times New Roman"/>
          <w:szCs w:val="24"/>
        </w:rPr>
        <w:t>a</w:t>
      </w:r>
      <w:r>
        <w:rPr>
          <w:rFonts w:cs="Times New Roman"/>
          <w:szCs w:val="24"/>
        </w:rPr>
        <w:t>vtale mellom kommunen og</w:t>
      </w:r>
      <w:r w:rsidRPr="00C96BC7">
        <w:rPr>
          <w:rFonts w:cs="Times New Roman"/>
          <w:szCs w:val="24"/>
        </w:rPr>
        <w:t xml:space="preserve"> kirkelig fellesråd. </w:t>
      </w:r>
      <w:r>
        <w:rPr>
          <w:rFonts w:cs="Times New Roman"/>
          <w:szCs w:val="24"/>
        </w:rPr>
        <w:t>Slik avtale er inngått i et femtitalls kommuner, deriblant Oslo, hvor kommunen helt ut har ansvar for driftsoppgavene gjennom egne ansatte i gravferdsetaten.</w:t>
      </w:r>
    </w:p>
    <w:p w:rsidR="007459A0" w:rsidRPr="001A51D5" w:rsidRDefault="007459A0" w:rsidP="007459A0">
      <w:pPr>
        <w:rPr>
          <w:rFonts w:cs="Times New Roman"/>
          <w:szCs w:val="24"/>
        </w:rPr>
      </w:pPr>
      <w:r w:rsidRPr="00C96BC7">
        <w:rPr>
          <w:rFonts w:cs="Times New Roman"/>
          <w:szCs w:val="24"/>
        </w:rPr>
        <w:t xml:space="preserve">Enkeltvedtak </w:t>
      </w:r>
      <w:r>
        <w:rPr>
          <w:rFonts w:cs="Times New Roman"/>
          <w:szCs w:val="24"/>
        </w:rPr>
        <w:t xml:space="preserve">som </w:t>
      </w:r>
      <w:r w:rsidRPr="00C96BC7">
        <w:rPr>
          <w:rFonts w:cs="Times New Roman"/>
          <w:szCs w:val="24"/>
        </w:rPr>
        <w:t>kirkelig fellesråd har truffet etter gravferdsloven</w:t>
      </w:r>
      <w:r>
        <w:rPr>
          <w:rFonts w:cs="Times New Roman"/>
          <w:szCs w:val="24"/>
        </w:rPr>
        <w:t>,</w:t>
      </w:r>
      <w:r w:rsidRPr="00C96BC7">
        <w:rPr>
          <w:rFonts w:cs="Times New Roman"/>
          <w:szCs w:val="24"/>
        </w:rPr>
        <w:t xml:space="preserve"> kan påklages til bispedømmerådet</w:t>
      </w:r>
      <w:r>
        <w:rPr>
          <w:rFonts w:cs="Times New Roman"/>
          <w:szCs w:val="24"/>
        </w:rPr>
        <w:t xml:space="preserve">. Bispedømmerådet </w:t>
      </w:r>
      <w:r w:rsidRPr="00C96BC7">
        <w:rPr>
          <w:rFonts w:cs="Times New Roman"/>
          <w:szCs w:val="24"/>
        </w:rPr>
        <w:t xml:space="preserve">gir </w:t>
      </w:r>
      <w:r>
        <w:rPr>
          <w:rFonts w:cs="Times New Roman"/>
          <w:szCs w:val="24"/>
        </w:rPr>
        <w:t xml:space="preserve">også </w:t>
      </w:r>
      <w:r w:rsidRPr="00C96BC7">
        <w:rPr>
          <w:rFonts w:cs="Times New Roman"/>
          <w:szCs w:val="24"/>
        </w:rPr>
        <w:t>tillatelse til anlegg av ny gravplass, godkjenner plan for gravplassen mv. Denne myndighet ligger til fylkesmannen når lokal grav</w:t>
      </w:r>
      <w:r w:rsidR="00C42EE0">
        <w:rPr>
          <w:rFonts w:cs="Times New Roman"/>
          <w:szCs w:val="24"/>
        </w:rPr>
        <w:t>plassm</w:t>
      </w:r>
      <w:r w:rsidRPr="00C96BC7">
        <w:rPr>
          <w:rFonts w:cs="Times New Roman"/>
          <w:szCs w:val="24"/>
        </w:rPr>
        <w:t>yndighet et</w:t>
      </w:r>
      <w:r w:rsidR="00363BD1">
        <w:rPr>
          <w:rFonts w:cs="Times New Roman"/>
          <w:szCs w:val="24"/>
        </w:rPr>
        <w:t xml:space="preserve">ter avtale utøves av kommunen. </w:t>
      </w:r>
    </w:p>
    <w:p w:rsidR="007459A0" w:rsidRPr="00C96BC7" w:rsidRDefault="007459A0" w:rsidP="007459A0">
      <w:pPr>
        <w:pStyle w:val="Overskrift3"/>
      </w:pPr>
      <w:bookmarkStart w:id="3754" w:name="_Toc477882112"/>
      <w:bookmarkStart w:id="3755" w:name="_Toc477886574"/>
      <w:bookmarkStart w:id="3756" w:name="_Toc478131519"/>
      <w:bookmarkStart w:id="3757" w:name="_Toc478138889"/>
      <w:bookmarkStart w:id="3758" w:name="_Toc478232413"/>
      <w:bookmarkStart w:id="3759" w:name="_Toc478237398"/>
      <w:bookmarkStart w:id="3760" w:name="_Toc481761942"/>
      <w:bookmarkStart w:id="3761" w:name="_Toc492900594"/>
      <w:r w:rsidRPr="00C96BC7">
        <w:t>Overføring av forvaltningsansvaret til kommunen?</w:t>
      </w:r>
      <w:bookmarkEnd w:id="3754"/>
      <w:bookmarkEnd w:id="3755"/>
      <w:bookmarkEnd w:id="3756"/>
      <w:bookmarkEnd w:id="3757"/>
      <w:bookmarkEnd w:id="3758"/>
      <w:bookmarkEnd w:id="3759"/>
      <w:bookmarkEnd w:id="3760"/>
      <w:bookmarkEnd w:id="3761"/>
    </w:p>
    <w:p w:rsidR="007459A0" w:rsidRPr="00C96BC7" w:rsidRDefault="007459A0" w:rsidP="007459A0">
      <w:pPr>
        <w:rPr>
          <w:rFonts w:cs="Times New Roman"/>
          <w:szCs w:val="24"/>
        </w:rPr>
      </w:pPr>
      <w:r>
        <w:rPr>
          <w:rFonts w:cs="Times New Roman"/>
          <w:szCs w:val="24"/>
        </w:rPr>
        <w:t>Ansvaret kirkelig fellesråd har i dag for forvaltningen av de offentlige gravplassene, er et ansvar kirken har på vegne av det offentlige. Utgifter til gravplassforvaltningen inngår derfor ikke i ber</w:t>
      </w:r>
      <w:r w:rsidR="00723BCC">
        <w:rPr>
          <w:rFonts w:cs="Times New Roman"/>
          <w:szCs w:val="24"/>
        </w:rPr>
        <w:t>e</w:t>
      </w:r>
      <w:r>
        <w:rPr>
          <w:rFonts w:cs="Times New Roman"/>
          <w:szCs w:val="24"/>
        </w:rPr>
        <w:t xml:space="preserve">gningen av tilskudd til andre tros- og livssynssamfunn. </w:t>
      </w:r>
    </w:p>
    <w:p w:rsidR="007459A0" w:rsidRPr="00C96BC7" w:rsidRDefault="007459A0" w:rsidP="007459A0">
      <w:pPr>
        <w:rPr>
          <w:rFonts w:cs="Times New Roman"/>
          <w:szCs w:val="24"/>
        </w:rPr>
      </w:pPr>
      <w:r w:rsidRPr="00C96BC7">
        <w:rPr>
          <w:rFonts w:cs="Times New Roman"/>
          <w:szCs w:val="24"/>
        </w:rPr>
        <w:t xml:space="preserve">I etterkrigstiden har </w:t>
      </w:r>
      <w:r>
        <w:rPr>
          <w:rFonts w:cs="Times New Roman"/>
          <w:szCs w:val="24"/>
        </w:rPr>
        <w:t xml:space="preserve">som nevnt flere </w:t>
      </w:r>
      <w:r w:rsidRPr="00C96BC7">
        <w:rPr>
          <w:rFonts w:cs="Times New Roman"/>
          <w:szCs w:val="24"/>
        </w:rPr>
        <w:t xml:space="preserve">offentlige utvalg </w:t>
      </w:r>
      <w:r>
        <w:rPr>
          <w:rFonts w:cs="Times New Roman"/>
          <w:szCs w:val="24"/>
        </w:rPr>
        <w:t>tatt til orde for at forvaltningsansvaret for gravplassene bør overføres til kommunene, med noe ulik vektlegging av avtalefriheten. Hovedanliggende har i stor grad vært knyttet til at det er prinsipielt uhel</w:t>
      </w:r>
      <w:r w:rsidR="00723BCC">
        <w:rPr>
          <w:rFonts w:cs="Times New Roman"/>
          <w:szCs w:val="24"/>
        </w:rPr>
        <w:t>d</w:t>
      </w:r>
      <w:r>
        <w:rPr>
          <w:rFonts w:cs="Times New Roman"/>
          <w:szCs w:val="24"/>
        </w:rPr>
        <w:t>ig at et trossamfunn har ansvaret for forvaltningen av gravplassene, når disse er al</w:t>
      </w:r>
      <w:r w:rsidR="00912538">
        <w:rPr>
          <w:rFonts w:cs="Times New Roman"/>
          <w:szCs w:val="24"/>
        </w:rPr>
        <w:t>l</w:t>
      </w:r>
      <w:r>
        <w:rPr>
          <w:rFonts w:cs="Times New Roman"/>
          <w:szCs w:val="24"/>
        </w:rPr>
        <w:t xml:space="preserve">menne (for alle). </w:t>
      </w:r>
    </w:p>
    <w:p w:rsidR="007459A0" w:rsidRPr="00C96BC7" w:rsidRDefault="007459A0" w:rsidP="007459A0">
      <w:pPr>
        <w:rPr>
          <w:rFonts w:cs="Times New Roman"/>
          <w:szCs w:val="24"/>
        </w:rPr>
      </w:pPr>
      <w:r w:rsidRPr="00C96BC7">
        <w:rPr>
          <w:rFonts w:cs="Times New Roman"/>
          <w:szCs w:val="24"/>
        </w:rPr>
        <w:t xml:space="preserve">Det siste utvalget som </w:t>
      </w:r>
      <w:r>
        <w:rPr>
          <w:rFonts w:cs="Times New Roman"/>
          <w:szCs w:val="24"/>
        </w:rPr>
        <w:t>har fått i oppgave</w:t>
      </w:r>
      <w:r w:rsidRPr="00C96BC7">
        <w:rPr>
          <w:rFonts w:cs="Times New Roman"/>
          <w:szCs w:val="24"/>
        </w:rPr>
        <w:t xml:space="preserve"> å vurdere forvaltningsansvaret for gravplassene, var </w:t>
      </w:r>
      <w:r w:rsidR="00785D2F">
        <w:rPr>
          <w:rFonts w:cs="Times New Roman"/>
          <w:szCs w:val="24"/>
        </w:rPr>
        <w:t>Stålsett-utvalget</w:t>
      </w:r>
      <w:r w:rsidRPr="00C96BC7">
        <w:rPr>
          <w:rFonts w:cs="Times New Roman"/>
          <w:szCs w:val="24"/>
        </w:rPr>
        <w:t xml:space="preserve"> (NOU 2013:</w:t>
      </w:r>
      <w:r>
        <w:rPr>
          <w:rFonts w:cs="Times New Roman"/>
          <w:szCs w:val="24"/>
        </w:rPr>
        <w:t xml:space="preserve"> </w:t>
      </w:r>
      <w:r w:rsidRPr="00C96BC7">
        <w:rPr>
          <w:rFonts w:cs="Times New Roman"/>
          <w:szCs w:val="24"/>
        </w:rPr>
        <w:t>1). Lae-utvalget</w:t>
      </w:r>
      <w:r>
        <w:rPr>
          <w:rFonts w:cs="Times New Roman"/>
          <w:szCs w:val="24"/>
        </w:rPr>
        <w:t xml:space="preserve"> kommenterte de alternative ordningene som </w:t>
      </w:r>
      <w:r w:rsidR="00785D2F">
        <w:rPr>
          <w:rFonts w:cs="Times New Roman"/>
          <w:szCs w:val="24"/>
        </w:rPr>
        <w:t>Stålsett-utvalget</w:t>
      </w:r>
      <w:r>
        <w:rPr>
          <w:rFonts w:cs="Times New Roman"/>
          <w:szCs w:val="24"/>
        </w:rPr>
        <w:t xml:space="preserve"> drøftet</w:t>
      </w:r>
      <w:r w:rsidRPr="00C96BC7">
        <w:rPr>
          <w:rFonts w:cs="Times New Roman"/>
          <w:szCs w:val="24"/>
        </w:rPr>
        <w:t>, men kom ikke med noen anbefaling da utvalget ikke så dette som innenfor sitt mandat.</w:t>
      </w:r>
    </w:p>
    <w:p w:rsidR="007459A0" w:rsidRPr="00C96BC7" w:rsidRDefault="007459A0" w:rsidP="007459A0">
      <w:pPr>
        <w:rPr>
          <w:rFonts w:cs="Times New Roman"/>
          <w:szCs w:val="24"/>
        </w:rPr>
      </w:pPr>
      <w:r w:rsidRPr="00C96BC7">
        <w:rPr>
          <w:rFonts w:cs="Times New Roman"/>
          <w:szCs w:val="24"/>
        </w:rPr>
        <w:t>I likhet med tidligere offentlige utredninger gikk også Stålsett</w:t>
      </w:r>
      <w:r>
        <w:rPr>
          <w:rFonts w:cs="Times New Roman"/>
          <w:szCs w:val="24"/>
        </w:rPr>
        <w:t>-</w:t>
      </w:r>
      <w:r w:rsidRPr="00C96BC7">
        <w:rPr>
          <w:rFonts w:cs="Times New Roman"/>
          <w:szCs w:val="24"/>
        </w:rPr>
        <w:t xml:space="preserve">utvalget inn for at kommunene skulle overta forvaltningsansvaret for gravplassene. Utvalget mente den lokale avtalefriheten burde være begrenset til praktisk arbeid knyttet til opparbeiding og stell av graver. Selve forvaltningsansvaret burde det ikke åpnes for at kunne tilbakeføres til, eller beholdes av, kirkelig fellesråd. Det ble derfor ikke foreslått en </w:t>
      </w:r>
      <w:r w:rsidR="00F45F6E">
        <w:rPr>
          <w:rFonts w:cs="Times New Roman"/>
          <w:szCs w:val="24"/>
        </w:rPr>
        <w:t xml:space="preserve">såkalt </w:t>
      </w:r>
      <w:r w:rsidRPr="00C96BC7">
        <w:rPr>
          <w:rFonts w:cs="Times New Roman"/>
          <w:szCs w:val="24"/>
        </w:rPr>
        <w:t>speilvending av dagens § 23 i gravferdsloven</w:t>
      </w:r>
      <w:r>
        <w:rPr>
          <w:rFonts w:cs="Times New Roman"/>
          <w:szCs w:val="24"/>
        </w:rPr>
        <w:t>, som også var ett av alternativene utvalget vurderte</w:t>
      </w:r>
      <w:r w:rsidRPr="00C96BC7">
        <w:rPr>
          <w:rFonts w:cs="Times New Roman"/>
          <w:szCs w:val="24"/>
        </w:rPr>
        <w:t xml:space="preserve">. </w:t>
      </w:r>
    </w:p>
    <w:p w:rsidR="007459A0" w:rsidRPr="00C96BC7" w:rsidRDefault="00785D2F" w:rsidP="007459A0">
      <w:pPr>
        <w:rPr>
          <w:rFonts w:cs="Times New Roman"/>
          <w:szCs w:val="24"/>
        </w:rPr>
      </w:pPr>
      <w:r>
        <w:rPr>
          <w:rFonts w:cs="Times New Roman"/>
          <w:szCs w:val="24"/>
        </w:rPr>
        <w:t>Stålsett-utvalget</w:t>
      </w:r>
      <w:r w:rsidR="007459A0" w:rsidRPr="00C96BC7">
        <w:rPr>
          <w:rFonts w:cs="Times New Roman"/>
          <w:szCs w:val="24"/>
        </w:rPr>
        <w:t xml:space="preserve"> viste samtidig til at gravplassene normalt var i so</w:t>
      </w:r>
      <w:r w:rsidR="007459A0">
        <w:rPr>
          <w:rFonts w:cs="Times New Roman"/>
          <w:szCs w:val="24"/>
        </w:rPr>
        <w:t>k</w:t>
      </w:r>
      <w:r w:rsidR="007459A0" w:rsidRPr="00C96BC7">
        <w:rPr>
          <w:rFonts w:cs="Times New Roman"/>
          <w:szCs w:val="24"/>
        </w:rPr>
        <w:t xml:space="preserve">nets eie, og reiste spørsmålet om dette aktualiserte uavklarte problemstillinger </w:t>
      </w:r>
      <w:r w:rsidR="007459A0">
        <w:rPr>
          <w:rFonts w:cs="Times New Roman"/>
          <w:szCs w:val="24"/>
        </w:rPr>
        <w:t>ved en eventuell</w:t>
      </w:r>
      <w:r w:rsidR="007459A0" w:rsidRPr="00C96BC7">
        <w:rPr>
          <w:rFonts w:cs="Times New Roman"/>
          <w:szCs w:val="24"/>
        </w:rPr>
        <w:t xml:space="preserve"> overføring</w:t>
      </w:r>
      <w:r w:rsidR="007459A0">
        <w:rPr>
          <w:rFonts w:cs="Times New Roman"/>
          <w:szCs w:val="24"/>
        </w:rPr>
        <w:t xml:space="preserve"> av forvaltningsansvar</w:t>
      </w:r>
      <w:r w:rsidR="00F45F6E">
        <w:rPr>
          <w:rFonts w:cs="Times New Roman"/>
          <w:szCs w:val="24"/>
        </w:rPr>
        <w:t>et</w:t>
      </w:r>
      <w:r w:rsidR="007459A0">
        <w:rPr>
          <w:rFonts w:cs="Times New Roman"/>
          <w:szCs w:val="24"/>
        </w:rPr>
        <w:t xml:space="preserve"> fra kirkelig fellesråd til kommune</w:t>
      </w:r>
      <w:r w:rsidR="0057178F">
        <w:rPr>
          <w:rFonts w:cs="Times New Roman"/>
          <w:szCs w:val="24"/>
        </w:rPr>
        <w:t>n</w:t>
      </w:r>
      <w:r w:rsidR="007459A0" w:rsidRPr="00C96BC7">
        <w:rPr>
          <w:rFonts w:cs="Times New Roman"/>
          <w:szCs w:val="24"/>
        </w:rPr>
        <w:t xml:space="preserve">. Før det </w:t>
      </w:r>
      <w:r w:rsidR="007459A0">
        <w:rPr>
          <w:rFonts w:cs="Times New Roman"/>
          <w:szCs w:val="24"/>
        </w:rPr>
        <w:t xml:space="preserve">eventuelt </w:t>
      </w:r>
      <w:r w:rsidR="007459A0" w:rsidRPr="00C96BC7">
        <w:rPr>
          <w:rFonts w:cs="Times New Roman"/>
          <w:szCs w:val="24"/>
        </w:rPr>
        <w:t xml:space="preserve">ble </w:t>
      </w:r>
      <w:r w:rsidR="007459A0">
        <w:rPr>
          <w:rFonts w:cs="Times New Roman"/>
          <w:szCs w:val="24"/>
        </w:rPr>
        <w:t>besluttet</w:t>
      </w:r>
      <w:r w:rsidR="007459A0" w:rsidRPr="00C96BC7">
        <w:rPr>
          <w:rFonts w:cs="Times New Roman"/>
          <w:szCs w:val="24"/>
        </w:rPr>
        <w:t xml:space="preserve"> endringer, mente derfor utvalget at det burde utarbeides en juridisk vurdering av eiendomsforholdenes betydning. </w:t>
      </w:r>
      <w:r w:rsidR="007459A0">
        <w:rPr>
          <w:rFonts w:cs="Times New Roman"/>
          <w:szCs w:val="24"/>
        </w:rPr>
        <w:t>En slik utredning</w:t>
      </w:r>
      <w:r w:rsidR="007459A0" w:rsidRPr="00C96BC7">
        <w:rPr>
          <w:rFonts w:cs="Times New Roman"/>
          <w:szCs w:val="24"/>
        </w:rPr>
        <w:t xml:space="preserve"> burde</w:t>
      </w:r>
      <w:r w:rsidR="007459A0">
        <w:rPr>
          <w:rFonts w:cs="Times New Roman"/>
          <w:szCs w:val="24"/>
        </w:rPr>
        <w:t>,</w:t>
      </w:r>
      <w:r w:rsidR="007459A0" w:rsidRPr="00C96BC7">
        <w:rPr>
          <w:rFonts w:cs="Times New Roman"/>
          <w:szCs w:val="24"/>
        </w:rPr>
        <w:t xml:space="preserve"> etter utvalgets oppfatning</w:t>
      </w:r>
      <w:r w:rsidR="007459A0">
        <w:rPr>
          <w:rFonts w:cs="Times New Roman"/>
          <w:szCs w:val="24"/>
        </w:rPr>
        <w:t>,</w:t>
      </w:r>
      <w:r w:rsidR="007459A0" w:rsidRPr="00C96BC7">
        <w:rPr>
          <w:rFonts w:cs="Times New Roman"/>
          <w:szCs w:val="24"/>
        </w:rPr>
        <w:t xml:space="preserve"> også </w:t>
      </w:r>
      <w:r w:rsidR="007459A0" w:rsidRPr="00C96BC7">
        <w:rPr>
          <w:rFonts w:cs="Times New Roman"/>
          <w:szCs w:val="24"/>
        </w:rPr>
        <w:lastRenderedPageBreak/>
        <w:t xml:space="preserve">innbefatte en vurdering av om det kunne være hensiktsmessig – juridisk og økonomisk – å overføre eiendomsretten til gravplassene fra soknet til kommunen. </w:t>
      </w:r>
    </w:p>
    <w:p w:rsidR="007459A0" w:rsidRPr="00C96BC7" w:rsidRDefault="007459A0" w:rsidP="007459A0">
      <w:pPr>
        <w:rPr>
          <w:rFonts w:cs="Times New Roman"/>
          <w:szCs w:val="24"/>
        </w:rPr>
      </w:pPr>
      <w:r w:rsidRPr="00C96BC7">
        <w:rPr>
          <w:rFonts w:cs="Times New Roman"/>
          <w:szCs w:val="24"/>
        </w:rPr>
        <w:t>Utvalget tok også opp spørsmålet om anskaffelsesreglene i det offentlige kunne være til hinder for lokale avtaler om tjenesteyting</w:t>
      </w:r>
      <w:r w:rsidR="00F45F6E">
        <w:rPr>
          <w:rFonts w:cs="Times New Roman"/>
          <w:szCs w:val="24"/>
        </w:rPr>
        <w:t xml:space="preserve"> innen gravplassforvaltningen, dvs. tjenesteyting til erstatning for finansielle overføringer.</w:t>
      </w:r>
      <w:r w:rsidRPr="00451E42">
        <w:rPr>
          <w:rFonts w:cs="Times New Roman"/>
          <w:szCs w:val="24"/>
        </w:rPr>
        <w:t xml:space="preserve"> </w:t>
      </w:r>
      <w:r>
        <w:rPr>
          <w:rFonts w:cs="Times New Roman"/>
          <w:szCs w:val="24"/>
        </w:rPr>
        <w:t>Her ble det imidlertid ikke konkludert og utvalget understreket at det ved en eventuell overføring av ansvaret for gravplassforvaltningen til kommunene ville være behov for å klargjøre hvordan overtakelsen ville forhold</w:t>
      </w:r>
      <w:r w:rsidR="00723BCC">
        <w:rPr>
          <w:rFonts w:cs="Times New Roman"/>
          <w:szCs w:val="24"/>
        </w:rPr>
        <w:t>e</w:t>
      </w:r>
      <w:r>
        <w:rPr>
          <w:rFonts w:cs="Times New Roman"/>
          <w:szCs w:val="24"/>
        </w:rPr>
        <w:t xml:space="preserve"> seg til lov om offentlige anskaffelser, gitt de praktiske og prinsipielle valg kommunene kunne ønske å gjøre for å ivareta forvaltningsansvaret på en hensiktsmessig måte. </w:t>
      </w:r>
    </w:p>
    <w:p w:rsidR="007459A0" w:rsidRDefault="007459A0" w:rsidP="007459A0">
      <w:pPr>
        <w:rPr>
          <w:rFonts w:cs="Times New Roman"/>
          <w:szCs w:val="24"/>
        </w:rPr>
      </w:pPr>
      <w:r w:rsidRPr="00C96BC7">
        <w:rPr>
          <w:rFonts w:cs="Times New Roman"/>
          <w:szCs w:val="24"/>
        </w:rPr>
        <w:t xml:space="preserve">Hovedargumentene for </w:t>
      </w:r>
      <w:r w:rsidR="00785D2F">
        <w:rPr>
          <w:rFonts w:cs="Times New Roman"/>
          <w:szCs w:val="24"/>
        </w:rPr>
        <w:t>Stålsett-utvalget</w:t>
      </w:r>
      <w:r w:rsidRPr="00C96BC7">
        <w:rPr>
          <w:rFonts w:cs="Times New Roman"/>
          <w:szCs w:val="24"/>
        </w:rPr>
        <w:t xml:space="preserve">s </w:t>
      </w:r>
      <w:r>
        <w:rPr>
          <w:rFonts w:cs="Times New Roman"/>
          <w:szCs w:val="24"/>
        </w:rPr>
        <w:t>anbefalinger</w:t>
      </w:r>
      <w:r w:rsidRPr="00C96BC7">
        <w:rPr>
          <w:rFonts w:cs="Times New Roman"/>
          <w:szCs w:val="24"/>
        </w:rPr>
        <w:t xml:space="preserve"> var knyttet </w:t>
      </w:r>
      <w:r>
        <w:rPr>
          <w:rFonts w:cs="Times New Roman"/>
          <w:szCs w:val="24"/>
        </w:rPr>
        <w:t xml:space="preserve">til </w:t>
      </w:r>
      <w:r w:rsidRPr="00C96BC7">
        <w:rPr>
          <w:rFonts w:cs="Times New Roman"/>
          <w:szCs w:val="24"/>
        </w:rPr>
        <w:t>prinsipielle bet</w:t>
      </w:r>
      <w:r>
        <w:rPr>
          <w:rFonts w:cs="Times New Roman"/>
          <w:szCs w:val="24"/>
        </w:rPr>
        <w:t>enkeligheter ved dagens ordning.</w:t>
      </w:r>
      <w:r w:rsidRPr="00C96BC7">
        <w:rPr>
          <w:rFonts w:cs="Times New Roman"/>
          <w:szCs w:val="24"/>
        </w:rPr>
        <w:t xml:space="preserve"> Utvalget anerkjente</w:t>
      </w:r>
      <w:r>
        <w:rPr>
          <w:rFonts w:cs="Times New Roman"/>
          <w:szCs w:val="24"/>
        </w:rPr>
        <w:t xml:space="preserve"> imidlertid</w:t>
      </w:r>
      <w:r w:rsidRPr="00C96BC7">
        <w:rPr>
          <w:rFonts w:cs="Times New Roman"/>
          <w:szCs w:val="24"/>
        </w:rPr>
        <w:t xml:space="preserve"> at dagens ordning i praksis funger</w:t>
      </w:r>
      <w:r>
        <w:rPr>
          <w:rFonts w:cs="Times New Roman"/>
          <w:szCs w:val="24"/>
        </w:rPr>
        <w:t>er</w:t>
      </w:r>
      <w:r w:rsidRPr="00C96BC7">
        <w:rPr>
          <w:rFonts w:cs="Times New Roman"/>
          <w:szCs w:val="24"/>
        </w:rPr>
        <w:t xml:space="preserve"> godt</w:t>
      </w:r>
      <w:r>
        <w:rPr>
          <w:rFonts w:cs="Times New Roman"/>
          <w:szCs w:val="24"/>
        </w:rPr>
        <w:t>,</w:t>
      </w:r>
      <w:r w:rsidRPr="00C96BC7">
        <w:rPr>
          <w:rFonts w:cs="Times New Roman"/>
          <w:szCs w:val="24"/>
        </w:rPr>
        <w:t xml:space="preserve"> og at det var gjort viktige og riktige endringer i loven som i større grad tilgodeser livssynsmessige minoriteter på dette området</w:t>
      </w:r>
      <w:r>
        <w:rPr>
          <w:rFonts w:cs="Times New Roman"/>
          <w:szCs w:val="24"/>
        </w:rPr>
        <w:t xml:space="preserve">.  </w:t>
      </w:r>
    </w:p>
    <w:p w:rsidR="007459A0" w:rsidRPr="00C96BC7" w:rsidRDefault="007459A0" w:rsidP="007459A0">
      <w:pPr>
        <w:rPr>
          <w:rFonts w:cs="Times New Roman"/>
          <w:szCs w:val="24"/>
        </w:rPr>
      </w:pPr>
      <w:r>
        <w:rPr>
          <w:rFonts w:cs="Times New Roman"/>
          <w:szCs w:val="24"/>
        </w:rPr>
        <w:t>I høringsrunden var disse argumentene hyppig gjengitt. Høringsinstansene som støttet utvalgets forslag (10 p</w:t>
      </w:r>
      <w:r w:rsidR="00F45F6E">
        <w:rPr>
          <w:rFonts w:cs="Times New Roman"/>
          <w:szCs w:val="24"/>
        </w:rPr>
        <w:t>st.</w:t>
      </w:r>
      <w:r>
        <w:rPr>
          <w:rFonts w:cs="Times New Roman"/>
          <w:szCs w:val="24"/>
        </w:rPr>
        <w:t xml:space="preserve"> av høringssvarene) argumenterte i hovedsak prinsipielt eller ved kun å vise til utvalget. Høringsinstansene som gikk mot utvalgets forslag (nær 60 p</w:t>
      </w:r>
      <w:r w:rsidR="00F45F6E">
        <w:rPr>
          <w:rFonts w:cs="Times New Roman"/>
          <w:szCs w:val="24"/>
        </w:rPr>
        <w:t>st.</w:t>
      </w:r>
      <w:r>
        <w:rPr>
          <w:rFonts w:cs="Times New Roman"/>
          <w:szCs w:val="24"/>
        </w:rPr>
        <w:t xml:space="preserve"> av høringssvarene totalt og over 90 p</w:t>
      </w:r>
      <w:r w:rsidR="00F45F6E">
        <w:rPr>
          <w:rFonts w:cs="Times New Roman"/>
          <w:szCs w:val="24"/>
        </w:rPr>
        <w:t>st.</w:t>
      </w:r>
      <w:r>
        <w:rPr>
          <w:rFonts w:cs="Times New Roman"/>
          <w:szCs w:val="24"/>
        </w:rPr>
        <w:t xml:space="preserve"> av høringssvarene fra Den norske kirke) viste til at ordningen fungerte godt og at en ikke</w:t>
      </w:r>
      <w:r w:rsidRPr="0066080F">
        <w:rPr>
          <w:rFonts w:cs="Times New Roman"/>
          <w:szCs w:val="24"/>
        </w:rPr>
        <w:t xml:space="preserve"> </w:t>
      </w:r>
      <w:r>
        <w:rPr>
          <w:rFonts w:cs="Times New Roman"/>
          <w:szCs w:val="24"/>
        </w:rPr>
        <w:t>av rent prinsipp burde forandre noe som fungerte. I tillegg ble det pekt på at dagens ordning ga tilstrekkelig og viktig fleksibilitet, slik at kommunene helt eller delvis kunne overta ansvaret der dette var hensiktsmessig. Kommunesektorens organisasjon (KS) støtte</w:t>
      </w:r>
      <w:r w:rsidR="00723BCC">
        <w:rPr>
          <w:rFonts w:cs="Times New Roman"/>
          <w:szCs w:val="24"/>
        </w:rPr>
        <w:t>t</w:t>
      </w:r>
      <w:r>
        <w:rPr>
          <w:rFonts w:cs="Times New Roman"/>
          <w:szCs w:val="24"/>
        </w:rPr>
        <w:t xml:space="preserve"> utvalget i at kommu</w:t>
      </w:r>
      <w:r w:rsidR="00363BD1">
        <w:rPr>
          <w:rFonts w:cs="Times New Roman"/>
          <w:szCs w:val="24"/>
        </w:rPr>
        <w:t>n</w:t>
      </w:r>
      <w:r>
        <w:rPr>
          <w:rFonts w:cs="Times New Roman"/>
          <w:szCs w:val="24"/>
        </w:rPr>
        <w:t>ene som hovedregel burde ha forvaltningsansvaret, men kun dersom det innebar lokal avtalefrihet ("speilvending" av dagens § 23). Kommunene elle</w:t>
      </w:r>
      <w:r w:rsidR="00363BD1">
        <w:rPr>
          <w:rFonts w:cs="Times New Roman"/>
          <w:szCs w:val="24"/>
        </w:rPr>
        <w:t xml:space="preserve">rs var delt i sine uttalelser. </w:t>
      </w:r>
    </w:p>
    <w:p w:rsidR="007459A0" w:rsidRDefault="007459A0" w:rsidP="007459A0">
      <w:pPr>
        <w:pStyle w:val="Overskrift4"/>
      </w:pPr>
      <w:r>
        <w:t>Eiendomsretten til gravplassene</w:t>
      </w:r>
    </w:p>
    <w:p w:rsidR="007459A0" w:rsidRDefault="007459A0" w:rsidP="007459A0">
      <w:pPr>
        <w:rPr>
          <w:rFonts w:cs="Times New Roman"/>
          <w:szCs w:val="24"/>
        </w:rPr>
      </w:pPr>
      <w:r>
        <w:rPr>
          <w:rFonts w:cs="Times New Roman"/>
          <w:szCs w:val="24"/>
        </w:rPr>
        <w:t xml:space="preserve">Som nevnt mente </w:t>
      </w:r>
      <w:r w:rsidR="00785D2F">
        <w:rPr>
          <w:rFonts w:cs="Times New Roman"/>
          <w:szCs w:val="24"/>
        </w:rPr>
        <w:t>Stålsett-utvalget</w:t>
      </w:r>
      <w:r>
        <w:rPr>
          <w:rFonts w:cs="Times New Roman"/>
          <w:szCs w:val="24"/>
        </w:rPr>
        <w:t xml:space="preserve"> at det måtte utarbeides en juridisk vurdering av eiendomsforholdenes betydning før det ble besluttet endringer i forvaltningsansvaret. Det burde også utredes om det var hensiktsmessig å overføre eiendomsretten til kommunen. </w:t>
      </w:r>
    </w:p>
    <w:p w:rsidR="007459A0" w:rsidRPr="00C96BC7" w:rsidRDefault="007459A0" w:rsidP="007459A0">
      <w:pPr>
        <w:rPr>
          <w:rFonts w:cs="Times New Roman"/>
          <w:szCs w:val="24"/>
        </w:rPr>
      </w:pPr>
      <w:r w:rsidRPr="00C96BC7">
        <w:rPr>
          <w:rFonts w:cs="Times New Roman"/>
          <w:szCs w:val="24"/>
        </w:rPr>
        <w:t xml:space="preserve">Mange steder er gravplassene anlagt rundt kirkebyggene, med felles adkomst, parkeringsarealer etc. Historisk var det normalordningen at kirkegrunn var kirkegårdsgrunn. Eiendomsforholdene går ofte flere hundre år tilbake i tid. Hovedregelen er at gravplassen er i soknets eie med mindre annet følger av særskilt rettsgrunnlag. Det innebærer at det ved en eventuell </w:t>
      </w:r>
      <w:r>
        <w:rPr>
          <w:rFonts w:cs="Times New Roman"/>
          <w:szCs w:val="24"/>
        </w:rPr>
        <w:t>overføring av eiendomsrett må</w:t>
      </w:r>
      <w:r w:rsidRPr="00C96BC7">
        <w:rPr>
          <w:rFonts w:cs="Times New Roman"/>
          <w:szCs w:val="24"/>
        </w:rPr>
        <w:t xml:space="preserve"> avklares i hvert enkelt tilfelle om det foreligger et slikt særskilt rettsgrunnlag som tilsier at hele eller deler av den aktuelle gravplassen tilhører kommunen, lokale kirkefond, Opplysningsvesenets fond, state</w:t>
      </w:r>
      <w:r>
        <w:rPr>
          <w:rFonts w:cs="Times New Roman"/>
          <w:szCs w:val="24"/>
        </w:rPr>
        <w:t>n eller private. I tillegg må</w:t>
      </w:r>
      <w:r w:rsidRPr="00C96BC7">
        <w:rPr>
          <w:rFonts w:cs="Times New Roman"/>
          <w:szCs w:val="24"/>
        </w:rPr>
        <w:t xml:space="preserve"> det i tilfeller der gravplassen </w:t>
      </w:r>
      <w:r>
        <w:rPr>
          <w:rFonts w:cs="Times New Roman"/>
          <w:szCs w:val="24"/>
        </w:rPr>
        <w:t>ligger rundt kirkebygget,</w:t>
      </w:r>
      <w:r w:rsidRPr="00C96BC7">
        <w:rPr>
          <w:rFonts w:cs="Times New Roman"/>
          <w:szCs w:val="24"/>
        </w:rPr>
        <w:t xml:space="preserve"> avklares hvor grensen skal gå mellom gravplassareal og kirkegrunn.</w:t>
      </w:r>
    </w:p>
    <w:p w:rsidR="007459A0" w:rsidRDefault="007459A0" w:rsidP="007459A0">
      <w:pPr>
        <w:rPr>
          <w:rFonts w:cs="Times New Roman"/>
          <w:szCs w:val="24"/>
        </w:rPr>
      </w:pPr>
      <w:r>
        <w:rPr>
          <w:rFonts w:cs="Times New Roman"/>
          <w:szCs w:val="24"/>
        </w:rPr>
        <w:t xml:space="preserve">I NOU </w:t>
      </w:r>
      <w:r w:rsidRPr="00C96BC7">
        <w:rPr>
          <w:rFonts w:cs="Times New Roman"/>
          <w:szCs w:val="24"/>
        </w:rPr>
        <w:t>1989:</w:t>
      </w:r>
      <w:r>
        <w:rPr>
          <w:rFonts w:cs="Times New Roman"/>
          <w:szCs w:val="24"/>
        </w:rPr>
        <w:t xml:space="preserve"> </w:t>
      </w:r>
      <w:r w:rsidRPr="00C96BC7">
        <w:rPr>
          <w:rFonts w:cs="Times New Roman"/>
          <w:szCs w:val="24"/>
        </w:rPr>
        <w:t xml:space="preserve">7 </w:t>
      </w:r>
      <w:r w:rsidRPr="00420A73">
        <w:rPr>
          <w:rFonts w:cs="Times New Roman"/>
          <w:i/>
          <w:szCs w:val="24"/>
        </w:rPr>
        <w:t>Den lokale kirkes ordning</w:t>
      </w:r>
      <w:r>
        <w:rPr>
          <w:rFonts w:cs="Times New Roman"/>
          <w:i/>
          <w:szCs w:val="24"/>
        </w:rPr>
        <w:t xml:space="preserve">, </w:t>
      </w:r>
      <w:r w:rsidR="00D251E9">
        <w:t xml:space="preserve">og NOU 2006: 2 </w:t>
      </w:r>
      <w:r w:rsidR="00D251E9" w:rsidRPr="00D251E9">
        <w:rPr>
          <w:i/>
        </w:rPr>
        <w:t>Staten og Den norske kirke</w:t>
      </w:r>
      <w:r w:rsidR="00D251E9">
        <w:t xml:space="preserve">, </w:t>
      </w:r>
      <w:r>
        <w:rPr>
          <w:rFonts w:cs="Times New Roman"/>
          <w:szCs w:val="24"/>
        </w:rPr>
        <w:t xml:space="preserve">som </w:t>
      </w:r>
      <w:r w:rsidR="00D251E9">
        <w:t>begge</w:t>
      </w:r>
      <w:r>
        <w:rPr>
          <w:rFonts w:cs="Times New Roman"/>
          <w:szCs w:val="24"/>
        </w:rPr>
        <w:t xml:space="preserve"> anbefalte at forvaltningsansvaret ble overført til kommunen, ble det lagt </w:t>
      </w:r>
      <w:r w:rsidRPr="00C96BC7">
        <w:rPr>
          <w:rFonts w:cs="Times New Roman"/>
          <w:szCs w:val="24"/>
        </w:rPr>
        <w:t xml:space="preserve">til grunn at forvaltningen av gravplassene </w:t>
      </w:r>
      <w:r>
        <w:rPr>
          <w:rFonts w:cs="Times New Roman"/>
          <w:szCs w:val="24"/>
        </w:rPr>
        <w:t>va</w:t>
      </w:r>
      <w:r w:rsidRPr="00C96BC7">
        <w:rPr>
          <w:rFonts w:cs="Times New Roman"/>
          <w:szCs w:val="24"/>
        </w:rPr>
        <w:t>r så gjennomreg</w:t>
      </w:r>
      <w:r>
        <w:rPr>
          <w:rFonts w:cs="Times New Roman"/>
          <w:szCs w:val="24"/>
        </w:rPr>
        <w:t>ulert at eiendomsspørsmålene kunne</w:t>
      </w:r>
      <w:r w:rsidRPr="00C96BC7">
        <w:rPr>
          <w:rFonts w:cs="Times New Roman"/>
          <w:szCs w:val="24"/>
        </w:rPr>
        <w:t xml:space="preserve"> hevdes å være av mindre betydning</w:t>
      </w:r>
      <w:r>
        <w:rPr>
          <w:rFonts w:cs="Times New Roman"/>
          <w:szCs w:val="24"/>
        </w:rPr>
        <w:t xml:space="preserve"> (</w:t>
      </w:r>
      <w:r w:rsidR="00D251E9">
        <w:t>NOU 1989: 7</w:t>
      </w:r>
      <w:r>
        <w:rPr>
          <w:rFonts w:cs="Times New Roman"/>
          <w:szCs w:val="24"/>
        </w:rPr>
        <w:t xml:space="preserve"> s. </w:t>
      </w:r>
      <w:r w:rsidR="00D251E9">
        <w:t>232 og NOU 2006: 2 s. 155</w:t>
      </w:r>
      <w:r>
        <w:t>).</w:t>
      </w:r>
      <w:r>
        <w:rPr>
          <w:rFonts w:cs="Times New Roman"/>
          <w:szCs w:val="24"/>
        </w:rPr>
        <w:t xml:space="preserve"> </w:t>
      </w:r>
      <w:r w:rsidRPr="00C96BC7">
        <w:rPr>
          <w:rFonts w:cs="Times New Roman"/>
          <w:szCs w:val="24"/>
        </w:rPr>
        <w:t xml:space="preserve">Det kan imidlertid reises tvil om denne forutsetningen fortsatt vil </w:t>
      </w:r>
      <w:r>
        <w:rPr>
          <w:rFonts w:cs="Times New Roman"/>
          <w:szCs w:val="24"/>
        </w:rPr>
        <w:t xml:space="preserve">kunne </w:t>
      </w:r>
      <w:r w:rsidRPr="00C96BC7">
        <w:rPr>
          <w:rFonts w:cs="Times New Roman"/>
          <w:szCs w:val="24"/>
        </w:rPr>
        <w:t>gjelde</w:t>
      </w:r>
      <w:r>
        <w:rPr>
          <w:rFonts w:cs="Times New Roman"/>
          <w:szCs w:val="24"/>
        </w:rPr>
        <w:t xml:space="preserve">. Det henger sammen med at statens adgang til å innskrenke eiendomsretten gjennom lovgivning og på annen måte ikke er ubegrenset. I tillegg vil adgangen til særlig regulering av kirkelig eiendom og eiendomsrett kunne være mer begrenset enn før som følge av at kirken er </w:t>
      </w:r>
      <w:r w:rsidRPr="00C96BC7">
        <w:rPr>
          <w:rFonts w:cs="Times New Roman"/>
          <w:szCs w:val="24"/>
        </w:rPr>
        <w:t>rettslig selvstendiggjort</w:t>
      </w:r>
      <w:r>
        <w:rPr>
          <w:rFonts w:cs="Times New Roman"/>
          <w:szCs w:val="24"/>
        </w:rPr>
        <w:t xml:space="preserve"> fra staten.  </w:t>
      </w:r>
    </w:p>
    <w:p w:rsidR="007459A0" w:rsidRDefault="007459A0" w:rsidP="007459A0">
      <w:pPr>
        <w:pStyle w:val="Overskrift5"/>
      </w:pPr>
      <w:r>
        <w:lastRenderedPageBreak/>
        <w:t>Departementets vurdering</w:t>
      </w:r>
    </w:p>
    <w:p w:rsidR="007459A0" w:rsidRPr="00C96BC7" w:rsidRDefault="007459A0" w:rsidP="007459A0">
      <w:pPr>
        <w:rPr>
          <w:rFonts w:cs="Times New Roman"/>
          <w:szCs w:val="24"/>
        </w:rPr>
      </w:pPr>
      <w:r w:rsidRPr="00C96BC7">
        <w:rPr>
          <w:rFonts w:cs="Times New Roman"/>
          <w:szCs w:val="24"/>
        </w:rPr>
        <w:t xml:space="preserve">Departementet er i tvil om det er mulig å utrede på generelt grunnlag de rettslige og økonomiske </w:t>
      </w:r>
      <w:r>
        <w:rPr>
          <w:rFonts w:cs="Times New Roman"/>
          <w:szCs w:val="24"/>
        </w:rPr>
        <w:t>konsekvensene</w:t>
      </w:r>
      <w:r w:rsidRPr="00C96BC7">
        <w:rPr>
          <w:rFonts w:cs="Times New Roman"/>
          <w:szCs w:val="24"/>
        </w:rPr>
        <w:t xml:space="preserve"> av å overføre eiendomsretten</w:t>
      </w:r>
      <w:r>
        <w:rPr>
          <w:rFonts w:cs="Times New Roman"/>
          <w:szCs w:val="24"/>
        </w:rPr>
        <w:t>,</w:t>
      </w:r>
      <w:r w:rsidRPr="00C96BC7">
        <w:rPr>
          <w:rFonts w:cs="Times New Roman"/>
          <w:szCs w:val="24"/>
        </w:rPr>
        <w:t xml:space="preserve"> sammen med forvaltningsansvaret for gravplassene</w:t>
      </w:r>
      <w:r>
        <w:rPr>
          <w:rFonts w:cs="Times New Roman"/>
          <w:szCs w:val="24"/>
        </w:rPr>
        <w:t>,</w:t>
      </w:r>
      <w:r w:rsidRPr="00C96BC7">
        <w:rPr>
          <w:rFonts w:cs="Times New Roman"/>
          <w:szCs w:val="24"/>
        </w:rPr>
        <w:t xml:space="preserve"> fra soknene til kommunene. De spørsmålene som aktualiseres ved gjennomføringen av et slikt forslag, blant annet vedrørende eiendomsrett til grunn og bygninger, fastlegging av tomtegrenser, økonomisk vederlag, bruksrett til veier og parkeringsareal med mer vil </w:t>
      </w:r>
      <w:r>
        <w:rPr>
          <w:rFonts w:cs="Times New Roman"/>
          <w:szCs w:val="24"/>
        </w:rPr>
        <w:t xml:space="preserve">etter departementets syn </w:t>
      </w:r>
      <w:r w:rsidRPr="00C96BC7">
        <w:rPr>
          <w:rFonts w:cs="Times New Roman"/>
          <w:szCs w:val="24"/>
        </w:rPr>
        <w:t>måtte løses konkret i det enkelte tilfelle</w:t>
      </w:r>
      <w:r>
        <w:rPr>
          <w:rFonts w:cs="Times New Roman"/>
          <w:szCs w:val="24"/>
        </w:rPr>
        <w:t>t, noe som vil være en svært omfattende og tidkrevende prosess</w:t>
      </w:r>
      <w:r w:rsidRPr="00C96BC7">
        <w:rPr>
          <w:rFonts w:cs="Times New Roman"/>
          <w:szCs w:val="24"/>
        </w:rPr>
        <w:t>.</w:t>
      </w:r>
    </w:p>
    <w:p w:rsidR="007459A0" w:rsidRDefault="007459A0" w:rsidP="007459A0">
      <w:pPr>
        <w:rPr>
          <w:rFonts w:cs="Times New Roman"/>
          <w:szCs w:val="24"/>
        </w:rPr>
      </w:pPr>
      <w:r w:rsidRPr="00C96BC7">
        <w:rPr>
          <w:rFonts w:cs="Times New Roman"/>
          <w:szCs w:val="24"/>
        </w:rPr>
        <w:t xml:space="preserve">Departementet mener det er lite aktuelt å overføre ansvaret for gravplassforvaltningen med </w:t>
      </w:r>
      <w:r>
        <w:rPr>
          <w:rFonts w:cs="Times New Roman"/>
          <w:szCs w:val="24"/>
        </w:rPr>
        <w:t>f</w:t>
      </w:r>
      <w:r w:rsidRPr="00C96BC7">
        <w:rPr>
          <w:rFonts w:cs="Times New Roman"/>
          <w:szCs w:val="24"/>
        </w:rPr>
        <w:t>orutsetning</w:t>
      </w:r>
      <w:r>
        <w:rPr>
          <w:rFonts w:cs="Times New Roman"/>
          <w:szCs w:val="24"/>
        </w:rPr>
        <w:t xml:space="preserve"> om</w:t>
      </w:r>
      <w:r w:rsidRPr="00C96BC7">
        <w:rPr>
          <w:rFonts w:cs="Times New Roman"/>
          <w:szCs w:val="24"/>
        </w:rPr>
        <w:t xml:space="preserve"> at også eiendomsretten til gravplassene skal overføres fra soknet til kommunen. </w:t>
      </w:r>
      <w:r>
        <w:rPr>
          <w:rFonts w:cs="Times New Roman"/>
          <w:szCs w:val="24"/>
        </w:rPr>
        <w:t>Eiendomsretten ligger som nevnt i de fleste tilfeller til soknet og vil derfor ikke på generelt grunnlag være aktuell å overføre til kommunen. Når det da også kan være problematisk å legge</w:t>
      </w:r>
      <w:r w:rsidRPr="00C96BC7">
        <w:rPr>
          <w:rFonts w:cs="Times New Roman"/>
          <w:szCs w:val="24"/>
        </w:rPr>
        <w:t xml:space="preserve"> til grunn at forvaltningen av gravplassene er så gjennomregulert at eiendomsspørsmålene </w:t>
      </w:r>
      <w:r>
        <w:rPr>
          <w:rFonts w:cs="Times New Roman"/>
          <w:szCs w:val="24"/>
        </w:rPr>
        <w:t>er</w:t>
      </w:r>
      <w:r w:rsidRPr="00C96BC7">
        <w:rPr>
          <w:rFonts w:cs="Times New Roman"/>
          <w:szCs w:val="24"/>
        </w:rPr>
        <w:t xml:space="preserve"> av mindre betydning, </w:t>
      </w:r>
      <w:r>
        <w:rPr>
          <w:rFonts w:cs="Times New Roman"/>
          <w:szCs w:val="24"/>
        </w:rPr>
        <w:t xml:space="preserve">mener departementet en eventuell overføring av forvaltningsansvaret til kommunen fortrinnsvis bør gjøres ved å gjennomgå eiendomsforholdene i hvert enkelt tilfelle. </w:t>
      </w:r>
    </w:p>
    <w:p w:rsidR="007459A0" w:rsidRPr="00EF062D" w:rsidRDefault="007459A0" w:rsidP="007459A0">
      <w:pPr>
        <w:pStyle w:val="Overskrift4"/>
      </w:pPr>
      <w:r>
        <w:t>Anskaffels</w:t>
      </w:r>
      <w:r w:rsidR="000F7B83">
        <w:t>es</w:t>
      </w:r>
      <w:r>
        <w:t>regelverkets betydning for lokal avtalefrihet</w:t>
      </w:r>
    </w:p>
    <w:p w:rsidR="007459A0" w:rsidRPr="00A43639" w:rsidRDefault="007459A0" w:rsidP="007459A0">
      <w:pPr>
        <w:rPr>
          <w:rFonts w:cs="Times New Roman"/>
          <w:szCs w:val="24"/>
        </w:rPr>
      </w:pPr>
      <w:r>
        <w:rPr>
          <w:rFonts w:cs="Times New Roman"/>
          <w:szCs w:val="24"/>
        </w:rPr>
        <w:t>Normalordningen</w:t>
      </w:r>
      <w:r w:rsidRPr="00A43639">
        <w:rPr>
          <w:rFonts w:cs="Times New Roman"/>
          <w:szCs w:val="24"/>
        </w:rPr>
        <w:t xml:space="preserve"> i gjeldende </w:t>
      </w:r>
      <w:r>
        <w:rPr>
          <w:rFonts w:cs="Times New Roman"/>
          <w:szCs w:val="24"/>
        </w:rPr>
        <w:t>rett er som sagt at forvaltningsansvaret ligger til kirkelig fellesråd, og at kommunen har finansieringsansvaret. De</w:t>
      </w:r>
      <w:r w:rsidR="001158DB">
        <w:rPr>
          <w:rFonts w:cs="Times New Roman"/>
          <w:szCs w:val="24"/>
        </w:rPr>
        <w:t xml:space="preserve">partementet legger til grunn at denne </w:t>
      </w:r>
      <w:r>
        <w:rPr>
          <w:rFonts w:cs="Times New Roman"/>
          <w:szCs w:val="24"/>
        </w:rPr>
        <w:t xml:space="preserve">ordningen ikke </w:t>
      </w:r>
      <w:r w:rsidR="001158DB">
        <w:rPr>
          <w:rFonts w:cs="Times New Roman"/>
          <w:szCs w:val="24"/>
        </w:rPr>
        <w:t xml:space="preserve">er </w:t>
      </w:r>
      <w:r>
        <w:rPr>
          <w:rFonts w:cs="Times New Roman"/>
          <w:szCs w:val="24"/>
        </w:rPr>
        <w:t xml:space="preserve">problematisk ut fra et anskaffelsesrettslig perspektiv. </w:t>
      </w:r>
      <w:r w:rsidRPr="00A43639">
        <w:rPr>
          <w:rFonts w:cs="Times New Roman"/>
          <w:szCs w:val="24"/>
        </w:rPr>
        <w:t xml:space="preserve">Det </w:t>
      </w:r>
      <w:r w:rsidR="001158DB">
        <w:rPr>
          <w:rFonts w:cs="Times New Roman"/>
          <w:szCs w:val="24"/>
        </w:rPr>
        <w:t>er etter departementets vurdering heller ikke</w:t>
      </w:r>
      <w:r>
        <w:rPr>
          <w:rFonts w:cs="Times New Roman"/>
          <w:szCs w:val="24"/>
        </w:rPr>
        <w:t xml:space="preserve"> </w:t>
      </w:r>
      <w:r w:rsidR="00C654F2">
        <w:rPr>
          <w:rFonts w:cs="Times New Roman"/>
          <w:szCs w:val="24"/>
        </w:rPr>
        <w:t xml:space="preserve">åpenbare </w:t>
      </w:r>
      <w:r>
        <w:rPr>
          <w:rFonts w:cs="Times New Roman"/>
          <w:szCs w:val="24"/>
        </w:rPr>
        <w:t>anskaffel</w:t>
      </w:r>
      <w:r w:rsidRPr="00A43639">
        <w:rPr>
          <w:rFonts w:cs="Times New Roman"/>
          <w:szCs w:val="24"/>
        </w:rPr>
        <w:t>sesrettslige problemer forbundet med å legge ansvaret for gravplassforvaltningen til kommunen</w:t>
      </w:r>
      <w:r>
        <w:rPr>
          <w:rFonts w:cs="Times New Roman"/>
          <w:szCs w:val="24"/>
        </w:rPr>
        <w:t xml:space="preserve"> i lov. De anskaffelsesrettslige u</w:t>
      </w:r>
      <w:r w:rsidRPr="00A43639">
        <w:rPr>
          <w:rFonts w:cs="Times New Roman"/>
          <w:szCs w:val="24"/>
        </w:rPr>
        <w:t>tfordringene er knyttet til reglene som gir mulighet for lokale avtaler som fraviker den valgte normalordningen.</w:t>
      </w:r>
    </w:p>
    <w:p w:rsidR="007459A0" w:rsidRPr="00A43639" w:rsidRDefault="007459A0" w:rsidP="007459A0">
      <w:pPr>
        <w:rPr>
          <w:rFonts w:cs="Times New Roman"/>
          <w:szCs w:val="24"/>
        </w:rPr>
      </w:pPr>
      <w:r w:rsidRPr="00A43639">
        <w:rPr>
          <w:rFonts w:cs="Times New Roman"/>
          <w:szCs w:val="24"/>
        </w:rPr>
        <w:t xml:space="preserve">Kulturdepartementet har tatt disse spørsmålene opp med Nærings- og fiskeridepartementet </w:t>
      </w:r>
      <w:r>
        <w:rPr>
          <w:rFonts w:cs="Times New Roman"/>
          <w:szCs w:val="24"/>
        </w:rPr>
        <w:t xml:space="preserve">(NFD) </w:t>
      </w:r>
      <w:r w:rsidRPr="00A43639">
        <w:rPr>
          <w:rFonts w:cs="Times New Roman"/>
          <w:szCs w:val="24"/>
        </w:rPr>
        <w:t>som ansvarlig fagdepartement p</w:t>
      </w:r>
      <w:r>
        <w:rPr>
          <w:rFonts w:cs="Times New Roman"/>
          <w:szCs w:val="24"/>
        </w:rPr>
        <w:t>å området. NFDs</w:t>
      </w:r>
      <w:r w:rsidRPr="00A43639">
        <w:rPr>
          <w:rFonts w:cs="Times New Roman"/>
          <w:szCs w:val="24"/>
        </w:rPr>
        <w:t xml:space="preserve"> konkurransepolitiske avdeling ga uttrykk for sin vurdering i brev 16. februar 2017</w:t>
      </w:r>
      <w:r>
        <w:rPr>
          <w:rFonts w:cs="Times New Roman"/>
          <w:szCs w:val="24"/>
        </w:rPr>
        <w:t>. Brevet er å finne i sin helhet på departementets nettside</w:t>
      </w:r>
      <w:r w:rsidRPr="00A43639">
        <w:rPr>
          <w:rFonts w:cs="Times New Roman"/>
          <w:szCs w:val="24"/>
        </w:rPr>
        <w:t xml:space="preserve">. Framstillingen her </w:t>
      </w:r>
      <w:r>
        <w:rPr>
          <w:rFonts w:cs="Times New Roman"/>
          <w:szCs w:val="24"/>
        </w:rPr>
        <w:t>gjengir hov</w:t>
      </w:r>
      <w:r w:rsidR="00363BD1">
        <w:rPr>
          <w:rFonts w:cs="Times New Roman"/>
          <w:szCs w:val="24"/>
        </w:rPr>
        <w:t>e</w:t>
      </w:r>
      <w:r>
        <w:rPr>
          <w:rFonts w:cs="Times New Roman"/>
          <w:szCs w:val="24"/>
        </w:rPr>
        <w:t xml:space="preserve">dkonklusjonene i brevet. </w:t>
      </w:r>
    </w:p>
    <w:p w:rsidR="007459A0" w:rsidRDefault="007459A0" w:rsidP="007459A0">
      <w:pPr>
        <w:rPr>
          <w:rFonts w:cs="Times New Roman"/>
          <w:szCs w:val="24"/>
        </w:rPr>
      </w:pPr>
      <w:r>
        <w:rPr>
          <w:rFonts w:cs="Times New Roman"/>
          <w:szCs w:val="24"/>
        </w:rPr>
        <w:t xml:space="preserve">NFD bekrefter i sitt brev at det ikke er anskaffelsesrettslige hinder for at forvaltningsansvaret for gravplassene ved lovendring kan overføres fra soknet til kommunen, så lenge kommunene får det hele og fulle ansvaret, uten lokal avtalefrihet. </w:t>
      </w:r>
    </w:p>
    <w:p w:rsidR="007459A0" w:rsidRDefault="007459A0" w:rsidP="007459A0">
      <w:pPr>
        <w:rPr>
          <w:rFonts w:cs="Times New Roman"/>
          <w:szCs w:val="24"/>
        </w:rPr>
      </w:pPr>
      <w:r>
        <w:rPr>
          <w:rFonts w:cs="Times New Roman"/>
          <w:szCs w:val="24"/>
        </w:rPr>
        <w:t>Anskaffels</w:t>
      </w:r>
      <w:r w:rsidR="000F7B83">
        <w:rPr>
          <w:rFonts w:cs="Times New Roman"/>
          <w:szCs w:val="24"/>
        </w:rPr>
        <w:t>es</w:t>
      </w:r>
      <w:r>
        <w:rPr>
          <w:rFonts w:cs="Times New Roman"/>
          <w:szCs w:val="24"/>
        </w:rPr>
        <w:t>reglementet åpner imidlertid</w:t>
      </w:r>
      <w:r w:rsidR="00C654F2">
        <w:rPr>
          <w:rFonts w:cs="Times New Roman"/>
          <w:szCs w:val="24"/>
        </w:rPr>
        <w:t xml:space="preserve"> trolig</w:t>
      </w:r>
      <w:r>
        <w:rPr>
          <w:rFonts w:cs="Times New Roman"/>
          <w:szCs w:val="24"/>
        </w:rPr>
        <w:t xml:space="preserve"> ikke for å speilvende gjeldende bestemmelse i gravferdsloven § 23 annet ledd. Dersom kommunen som normalordning etter loven hadde ansvar for gravplassvirksomheten, og en kommune ønsket å overføre dette til soknet, så ville den etter en slik lokalt avtalt overføring fortsatt sitte igjen med finansieringsansvaret. Så lenge finansieringsansvaret ligger igjen i kommunen, </w:t>
      </w:r>
      <w:r w:rsidR="00C654F2">
        <w:rPr>
          <w:rFonts w:cs="Times New Roman"/>
          <w:szCs w:val="24"/>
        </w:rPr>
        <w:t>er det vanskelig å betrakte dette som en</w:t>
      </w:r>
      <w:r>
        <w:rPr>
          <w:rFonts w:cs="Times New Roman"/>
          <w:szCs w:val="24"/>
        </w:rPr>
        <w:t xml:space="preserve"> "organisering av offentlig forvaltning", som det offentlige i utgangspunktet står fritt til å gjennomføre. </w:t>
      </w:r>
      <w:r w:rsidR="00C654F2">
        <w:rPr>
          <w:rFonts w:cs="Times New Roman"/>
          <w:szCs w:val="24"/>
        </w:rPr>
        <w:t xml:space="preserve">Snarere vil det måtte sees som </w:t>
      </w:r>
      <w:r>
        <w:rPr>
          <w:rFonts w:cs="Times New Roman"/>
          <w:szCs w:val="24"/>
        </w:rPr>
        <w:t>en "gjensidig bebyrdende kontrakt"</w:t>
      </w:r>
      <w:r w:rsidR="00C654F2">
        <w:rPr>
          <w:rFonts w:cs="Times New Roman"/>
          <w:szCs w:val="24"/>
        </w:rPr>
        <w:t>, slik at a</w:t>
      </w:r>
      <w:r>
        <w:rPr>
          <w:rFonts w:cs="Times New Roman"/>
          <w:szCs w:val="24"/>
        </w:rPr>
        <w:t xml:space="preserve">nskaffelsesregelverket vil gjelde. </w:t>
      </w:r>
    </w:p>
    <w:p w:rsidR="007459A0" w:rsidRDefault="007459A0" w:rsidP="007459A0">
      <w:pPr>
        <w:rPr>
          <w:rFonts w:cs="Times New Roman"/>
          <w:szCs w:val="24"/>
        </w:rPr>
      </w:pPr>
      <w:r>
        <w:rPr>
          <w:rFonts w:cs="Times New Roman"/>
          <w:szCs w:val="24"/>
        </w:rPr>
        <w:t xml:space="preserve">For at anskaffelsesreglementet ikke skulle komme til anvendelse, måtte den lokale avtalefriheten bestå i at ansvaret kunne overføres til soknet </w:t>
      </w:r>
      <w:r w:rsidRPr="00DB3F35">
        <w:rPr>
          <w:rFonts w:cs="Times New Roman"/>
          <w:i/>
          <w:szCs w:val="24"/>
        </w:rPr>
        <w:t>i sin helhet</w:t>
      </w:r>
      <w:r w:rsidR="002043B9">
        <w:rPr>
          <w:rFonts w:cs="Times New Roman"/>
          <w:i/>
          <w:szCs w:val="24"/>
        </w:rPr>
        <w:t>.</w:t>
      </w:r>
      <w:r>
        <w:rPr>
          <w:rFonts w:cs="Times New Roman"/>
          <w:szCs w:val="24"/>
        </w:rPr>
        <w:t xml:space="preserve"> At forvaltningsansvaret som normalordning skulle ligge til kommunen, mens det lokalt skulle være mulig å avtale at soknet tok ansvaret for både å drifte og finansiere gravplassene, er verken realistisk eller lovmessig mulig. Det ville også stride mot gravplassenes karakter av å være al</w:t>
      </w:r>
      <w:r w:rsidR="00363BD1">
        <w:rPr>
          <w:rFonts w:cs="Times New Roman"/>
          <w:szCs w:val="24"/>
        </w:rPr>
        <w:t>l</w:t>
      </w:r>
      <w:r>
        <w:rPr>
          <w:rFonts w:cs="Times New Roman"/>
          <w:szCs w:val="24"/>
        </w:rPr>
        <w:t xml:space="preserve">menne. </w:t>
      </w:r>
      <w:r w:rsidR="002043B9">
        <w:rPr>
          <w:rFonts w:cs="Times New Roman"/>
          <w:szCs w:val="24"/>
        </w:rPr>
        <w:t xml:space="preserve">Det er rettslig uklart om det er mulig å etablere noen form for </w:t>
      </w:r>
      <w:r w:rsidR="002043B9">
        <w:rPr>
          <w:rFonts w:cs="Times New Roman"/>
          <w:szCs w:val="24"/>
        </w:rPr>
        <w:lastRenderedPageBreak/>
        <w:t>finansieringsordning som ikke i realiteten ville innebære inngåelsen av en gjensidig bebyrdende kontrakt.</w:t>
      </w:r>
    </w:p>
    <w:p w:rsidR="007459A0" w:rsidRDefault="00785D2F" w:rsidP="007459A0">
      <w:pPr>
        <w:rPr>
          <w:rFonts w:cs="Times New Roman"/>
          <w:szCs w:val="24"/>
        </w:rPr>
      </w:pPr>
      <w:r>
        <w:rPr>
          <w:rFonts w:cs="Times New Roman"/>
          <w:szCs w:val="24"/>
        </w:rPr>
        <w:t>Stålsett-utvalget</w:t>
      </w:r>
      <w:r w:rsidR="007459A0">
        <w:rPr>
          <w:rFonts w:cs="Times New Roman"/>
          <w:szCs w:val="24"/>
        </w:rPr>
        <w:t xml:space="preserve"> for</w:t>
      </w:r>
      <w:r w:rsidR="00B2100C">
        <w:rPr>
          <w:rFonts w:cs="Times New Roman"/>
          <w:szCs w:val="24"/>
        </w:rPr>
        <w:t>e</w:t>
      </w:r>
      <w:r w:rsidR="007459A0">
        <w:rPr>
          <w:rFonts w:cs="Times New Roman"/>
          <w:szCs w:val="24"/>
        </w:rPr>
        <w:t xml:space="preserve">slo som nevnt at det skulle være "begrenset lokal avtalefrihet", der oppgaver som gressklipping og graving mv. kunne avtales fortsatt å ligge til kirkelig fellesråd (utredningen, s. </w:t>
      </w:r>
      <w:r w:rsidR="00C171AC">
        <w:rPr>
          <w:rFonts w:cs="Times New Roman"/>
          <w:szCs w:val="24"/>
        </w:rPr>
        <w:t>225</w:t>
      </w:r>
      <w:r w:rsidR="00EA274E">
        <w:rPr>
          <w:rFonts w:cs="Times New Roman"/>
          <w:szCs w:val="24"/>
        </w:rPr>
        <w:t xml:space="preserve"> </w:t>
      </w:r>
      <w:r w:rsidR="00C171AC">
        <w:rPr>
          <w:rFonts w:cs="Times New Roman"/>
          <w:szCs w:val="24"/>
        </w:rPr>
        <w:t>f</w:t>
      </w:r>
      <w:r w:rsidR="007459A0">
        <w:rPr>
          <w:rFonts w:cs="Times New Roman"/>
          <w:szCs w:val="24"/>
        </w:rPr>
        <w:t>). NFDs brev klargjør at heller ikke dette vil være mulig uten at anskaffelsesreglementet kommer til anvendelse. Det vil være en gjensidig bebyrdende kontrakt om kjøp av tjeneste, og kjøpet</w:t>
      </w:r>
      <w:r w:rsidR="007459A0" w:rsidRPr="00A43639">
        <w:rPr>
          <w:rFonts w:cs="Times New Roman"/>
          <w:szCs w:val="24"/>
        </w:rPr>
        <w:t xml:space="preserve"> vil være underlagt anskaffelsesforskriften </w:t>
      </w:r>
      <w:r w:rsidR="007459A0">
        <w:rPr>
          <w:rFonts w:cs="Times New Roman"/>
          <w:szCs w:val="24"/>
        </w:rPr>
        <w:t>hvis</w:t>
      </w:r>
      <w:r w:rsidR="007459A0" w:rsidRPr="00A43639">
        <w:rPr>
          <w:rFonts w:cs="Times New Roman"/>
          <w:szCs w:val="24"/>
        </w:rPr>
        <w:t xml:space="preserve"> verdien er 100 000 kroner e</w:t>
      </w:r>
      <w:r w:rsidR="007459A0">
        <w:rPr>
          <w:rFonts w:cs="Times New Roman"/>
          <w:szCs w:val="24"/>
        </w:rPr>
        <w:t>ller mer. Det vil med andre ord heller ikke være</w:t>
      </w:r>
      <w:r w:rsidR="007459A0" w:rsidRPr="00A43639">
        <w:rPr>
          <w:rFonts w:cs="Times New Roman"/>
          <w:szCs w:val="24"/>
        </w:rPr>
        <w:t xml:space="preserve"> adgang til å lovfeste </w:t>
      </w:r>
      <w:r w:rsidR="007459A0">
        <w:rPr>
          <w:rFonts w:cs="Times New Roman"/>
          <w:szCs w:val="24"/>
        </w:rPr>
        <w:t xml:space="preserve">"speilvendt tjenesteyting", jf. kirkeloven § 15, dvs. </w:t>
      </w:r>
      <w:r w:rsidR="007459A0" w:rsidRPr="00A43639">
        <w:rPr>
          <w:rFonts w:cs="Times New Roman"/>
          <w:szCs w:val="24"/>
        </w:rPr>
        <w:t>eksklusiv rett for soknet til å ivareta deler av tjenesteproduksjonen ved gravplassdriften etter avtale med kommunen.</w:t>
      </w:r>
    </w:p>
    <w:p w:rsidR="007459A0" w:rsidRDefault="007459A0" w:rsidP="007459A0">
      <w:pPr>
        <w:rPr>
          <w:rFonts w:cs="Times New Roman"/>
          <w:szCs w:val="24"/>
        </w:rPr>
      </w:pPr>
      <w:r w:rsidRPr="00A43639">
        <w:rPr>
          <w:rFonts w:cs="Times New Roman"/>
          <w:szCs w:val="24"/>
        </w:rPr>
        <w:t>N</w:t>
      </w:r>
      <w:r>
        <w:rPr>
          <w:rFonts w:cs="Times New Roman"/>
          <w:szCs w:val="24"/>
        </w:rPr>
        <w:t xml:space="preserve">FD </w:t>
      </w:r>
      <w:r w:rsidRPr="00A43639">
        <w:rPr>
          <w:rFonts w:cs="Times New Roman"/>
          <w:szCs w:val="24"/>
        </w:rPr>
        <w:t xml:space="preserve">har også vurdert om det kan tenkes aktuelle unntak fra anskaffelsesregelverket begrunnet i en argumentasjon om at gravplassforvaltning </w:t>
      </w:r>
      <w:r>
        <w:rPr>
          <w:rFonts w:cs="Times New Roman"/>
          <w:szCs w:val="24"/>
        </w:rPr>
        <w:t>i regi av</w:t>
      </w:r>
      <w:r w:rsidRPr="00A43639">
        <w:rPr>
          <w:rFonts w:cs="Times New Roman"/>
          <w:szCs w:val="24"/>
        </w:rPr>
        <w:t xml:space="preserve"> kirkelig fellesråd er et ledd i samarbeid i offentlig sektor. De aktuelle temaene for vurdering er </w:t>
      </w:r>
      <w:r>
        <w:rPr>
          <w:rFonts w:cs="Times New Roman"/>
          <w:szCs w:val="24"/>
        </w:rPr>
        <w:t>unntakene for såkalt</w:t>
      </w:r>
      <w:r w:rsidRPr="00A43639">
        <w:rPr>
          <w:rFonts w:cs="Times New Roman"/>
          <w:szCs w:val="24"/>
        </w:rPr>
        <w:t xml:space="preserve"> "utvidet egenregi"</w:t>
      </w:r>
      <w:r>
        <w:rPr>
          <w:rFonts w:cs="Times New Roman"/>
          <w:szCs w:val="24"/>
        </w:rPr>
        <w:t xml:space="preserve"> </w:t>
      </w:r>
      <w:r w:rsidRPr="00A43639">
        <w:rPr>
          <w:rFonts w:cs="Times New Roman"/>
          <w:szCs w:val="24"/>
        </w:rPr>
        <w:t xml:space="preserve">og </w:t>
      </w:r>
      <w:r>
        <w:rPr>
          <w:rFonts w:cs="Times New Roman"/>
          <w:szCs w:val="24"/>
        </w:rPr>
        <w:t>såkalt "</w:t>
      </w:r>
      <w:r w:rsidRPr="00A43639">
        <w:rPr>
          <w:rFonts w:cs="Times New Roman"/>
          <w:szCs w:val="24"/>
        </w:rPr>
        <w:t>enerett</w:t>
      </w:r>
      <w:r>
        <w:rPr>
          <w:rFonts w:cs="Times New Roman"/>
          <w:szCs w:val="24"/>
        </w:rPr>
        <w:t>"</w:t>
      </w:r>
      <w:r w:rsidRPr="00A43639">
        <w:rPr>
          <w:rFonts w:cs="Times New Roman"/>
          <w:szCs w:val="24"/>
        </w:rPr>
        <w:t xml:space="preserve">. </w:t>
      </w:r>
      <w:r>
        <w:rPr>
          <w:rFonts w:cs="Times New Roman"/>
          <w:szCs w:val="24"/>
        </w:rPr>
        <w:t xml:space="preserve">På bakgrunn av NFDs uttalelse mener departementet </w:t>
      </w:r>
      <w:r w:rsidRPr="00A43639">
        <w:rPr>
          <w:rFonts w:cs="Times New Roman"/>
          <w:szCs w:val="24"/>
        </w:rPr>
        <w:t xml:space="preserve">det </w:t>
      </w:r>
      <w:r>
        <w:rPr>
          <w:rFonts w:cs="Times New Roman"/>
          <w:szCs w:val="24"/>
        </w:rPr>
        <w:t>framstår som</w:t>
      </w:r>
      <w:r w:rsidRPr="00A43639">
        <w:rPr>
          <w:rFonts w:cs="Times New Roman"/>
          <w:szCs w:val="24"/>
        </w:rPr>
        <w:t xml:space="preserve"> ganske klart at ingen av disse unntaksordningene </w:t>
      </w:r>
      <w:r>
        <w:rPr>
          <w:rFonts w:cs="Times New Roman"/>
          <w:szCs w:val="24"/>
        </w:rPr>
        <w:t xml:space="preserve">kan komme til anvendelse i vår sammenheng. Departementet ser derfor ikke grunn til å gå nærmere inn </w:t>
      </w:r>
      <w:r w:rsidRPr="00A43639">
        <w:rPr>
          <w:rFonts w:cs="Times New Roman"/>
          <w:szCs w:val="24"/>
        </w:rPr>
        <w:t>på dette</w:t>
      </w:r>
      <w:r>
        <w:rPr>
          <w:rFonts w:cs="Times New Roman"/>
          <w:szCs w:val="24"/>
        </w:rPr>
        <w:t xml:space="preserve"> her</w:t>
      </w:r>
      <w:r w:rsidRPr="00A43639">
        <w:rPr>
          <w:rFonts w:cs="Times New Roman"/>
          <w:szCs w:val="24"/>
        </w:rPr>
        <w:t>.</w:t>
      </w:r>
    </w:p>
    <w:p w:rsidR="007459A0" w:rsidRDefault="007459A0" w:rsidP="007459A0">
      <w:pPr>
        <w:pStyle w:val="Overskrift5"/>
      </w:pPr>
      <w:r>
        <w:t>Departementets vurdering</w:t>
      </w:r>
    </w:p>
    <w:p w:rsidR="007459A0" w:rsidRDefault="007459A0" w:rsidP="007459A0">
      <w:pPr>
        <w:rPr>
          <w:rFonts w:cs="Times New Roman"/>
          <w:szCs w:val="24"/>
        </w:rPr>
      </w:pPr>
      <w:r>
        <w:rPr>
          <w:rFonts w:cs="Times New Roman"/>
          <w:szCs w:val="24"/>
        </w:rPr>
        <w:t xml:space="preserve">Departementet viser til NFDs vurdering og at denne klargjør at det ikke vil være mulig å moderere en eventuell ny, lovregulert normalordning med unntaksbestemmelser som </w:t>
      </w:r>
      <w:r w:rsidRPr="00A43639">
        <w:rPr>
          <w:rFonts w:cs="Times New Roman"/>
          <w:szCs w:val="24"/>
        </w:rPr>
        <w:t>speilvend</w:t>
      </w:r>
      <w:r>
        <w:rPr>
          <w:rFonts w:cs="Times New Roman"/>
          <w:szCs w:val="24"/>
        </w:rPr>
        <w:t>er</w:t>
      </w:r>
      <w:r w:rsidRPr="00A43639">
        <w:rPr>
          <w:rFonts w:cs="Times New Roman"/>
          <w:szCs w:val="24"/>
        </w:rPr>
        <w:t xml:space="preserve"> dagens regler (kirkeloven § 15 fjerde ledd og gravplassloven § 23 annet ledd).</w:t>
      </w:r>
      <w:r>
        <w:rPr>
          <w:rFonts w:cs="Times New Roman"/>
          <w:szCs w:val="24"/>
        </w:rPr>
        <w:t xml:space="preserve"> En overføring av forvaltningsansvaret til kommunen innebærer med andre ord at det lokalt</w:t>
      </w:r>
      <w:r w:rsidRPr="00B20419">
        <w:rPr>
          <w:rFonts w:cs="Times New Roman"/>
          <w:szCs w:val="24"/>
        </w:rPr>
        <w:t xml:space="preserve"> </w:t>
      </w:r>
      <w:r>
        <w:rPr>
          <w:rFonts w:cs="Times New Roman"/>
          <w:szCs w:val="24"/>
        </w:rPr>
        <w:t>ikke kan avtales fortsatt kirkelig gravplassforvaltning. Og dersom kommunen ikke ønsker å utføre "tjenesteytingoppgavene" selv, må disse ut på anbud.</w:t>
      </w:r>
    </w:p>
    <w:p w:rsidR="007459A0" w:rsidRDefault="007459A0" w:rsidP="007459A0">
      <w:pPr>
        <w:rPr>
          <w:rFonts w:cs="Times New Roman"/>
          <w:szCs w:val="24"/>
        </w:rPr>
      </w:pPr>
      <w:r>
        <w:rPr>
          <w:rFonts w:cs="Times New Roman"/>
          <w:szCs w:val="24"/>
        </w:rPr>
        <w:t>Slik departementet ser det, vil dette medføre at det blir et betraktelig mindre rom enn nå for lokale tilpasninger i form av avtaler mellom kirke og kommune. Selv om departementet ser at det vil være naturlig at gravplassene mange steder etter hvert forvaltes av kommunene, mener departementet det er viktig at lovverket legger til rette for lokale tilpasninger og praktiske løsninger som kan understøtte utviklingen på en god måte. Dette oppnås etter departementets syn ikke om man overfører forvaltningsansvaret til kommunen uten adgang til å avtale at fellesrådet beholder ansvaret eller utfører enkelte oppgaver på vegne av kommunen.</w:t>
      </w:r>
    </w:p>
    <w:p w:rsidR="007459A0" w:rsidRDefault="007459A0" w:rsidP="007459A0">
      <w:pPr>
        <w:rPr>
          <w:rFonts w:cs="Times New Roman"/>
          <w:szCs w:val="24"/>
        </w:rPr>
      </w:pPr>
      <w:r>
        <w:rPr>
          <w:rFonts w:cs="Times New Roman"/>
          <w:szCs w:val="24"/>
        </w:rPr>
        <w:t>I høringen til NOU 2013:</w:t>
      </w:r>
      <w:r w:rsidR="00C171AC">
        <w:rPr>
          <w:rFonts w:cs="Times New Roman"/>
          <w:szCs w:val="24"/>
        </w:rPr>
        <w:t xml:space="preserve"> </w:t>
      </w:r>
      <w:r>
        <w:rPr>
          <w:rFonts w:cs="Times New Roman"/>
          <w:szCs w:val="24"/>
        </w:rPr>
        <w:t xml:space="preserve">1 var det også liten støtte </w:t>
      </w:r>
      <w:r w:rsidR="00C42EE0">
        <w:rPr>
          <w:rFonts w:cs="Times New Roman"/>
          <w:szCs w:val="24"/>
        </w:rPr>
        <w:t xml:space="preserve">til </w:t>
      </w:r>
      <w:r>
        <w:rPr>
          <w:rFonts w:cs="Times New Roman"/>
          <w:szCs w:val="24"/>
        </w:rPr>
        <w:t>utvalgets forslag om at forvaltningsansvaret skulle overføres til kommunen med begrenset lokal avtalefrihet. Flere åpnet for at kommunene som hovedregel kunne ha ansvaret, men da med den forutsetning at det lokalt var mulig å avtale dette annerledes. Dette gjaldt også kommunes</w:t>
      </w:r>
      <w:r w:rsidR="00742C50">
        <w:rPr>
          <w:rFonts w:cs="Times New Roman"/>
          <w:szCs w:val="24"/>
        </w:rPr>
        <w:t>e</w:t>
      </w:r>
      <w:r>
        <w:rPr>
          <w:rFonts w:cs="Times New Roman"/>
          <w:szCs w:val="24"/>
        </w:rPr>
        <w:t xml:space="preserve">ktoren selv, jf. høringsuttalelse fra KS. Departementet mener høringssvarene tydelig indikerer at det er behov for lokale variasjoner og tid til å la dette utvikle seg i takt med ønskene og behovene lokalt. </w:t>
      </w:r>
    </w:p>
    <w:p w:rsidR="007459A0" w:rsidRPr="00363BD1" w:rsidRDefault="007459A0" w:rsidP="007459A0">
      <w:pPr>
        <w:rPr>
          <w:rFonts w:cs="Times New Roman"/>
          <w:szCs w:val="24"/>
        </w:rPr>
      </w:pPr>
      <w:r>
        <w:rPr>
          <w:rFonts w:cs="Times New Roman"/>
          <w:szCs w:val="24"/>
        </w:rPr>
        <w:t xml:space="preserve">Med sikte på dette mener </w:t>
      </w:r>
      <w:r w:rsidRPr="001670A5">
        <w:rPr>
          <w:rFonts w:cs="Times New Roman"/>
          <w:szCs w:val="24"/>
        </w:rPr>
        <w:t>departementet det bør åpnes for at det kan treffes vedtak om overføring av gravplassansvaret til kommunen også uten at soknet har gitt sin tilslutning til det. Departementet mener fylkesmannen bør kunne treffe beslutning om dette etter initiativ fra kommunen. Avgjørelsen bør ikke kunne påklages.</w:t>
      </w:r>
      <w:r w:rsidR="00363BD1">
        <w:rPr>
          <w:rFonts w:cs="Times New Roman"/>
          <w:szCs w:val="24"/>
        </w:rPr>
        <w:t xml:space="preserve"> </w:t>
      </w:r>
    </w:p>
    <w:p w:rsidR="007459A0" w:rsidRDefault="007459A0" w:rsidP="007459A0">
      <w:pPr>
        <w:pStyle w:val="Overskrift4"/>
      </w:pPr>
      <w:r>
        <w:lastRenderedPageBreak/>
        <w:t>Forvaltningsansvar og virksomhetsoverdragelse</w:t>
      </w:r>
    </w:p>
    <w:p w:rsidR="007459A0" w:rsidRPr="00C96BC7" w:rsidRDefault="007459A0" w:rsidP="007459A0">
      <w:pPr>
        <w:rPr>
          <w:rFonts w:cs="Times New Roman"/>
          <w:szCs w:val="24"/>
        </w:rPr>
      </w:pPr>
      <w:r w:rsidRPr="00C96BC7">
        <w:rPr>
          <w:rFonts w:cs="Times New Roman"/>
          <w:szCs w:val="24"/>
        </w:rPr>
        <w:t xml:space="preserve">De tilsatte på gravplassene har normalt kirkelig fellesråd som arbeidsgiver. Ifølge en rapport fra </w:t>
      </w:r>
      <w:r>
        <w:rPr>
          <w:rFonts w:cs="Times New Roman"/>
          <w:szCs w:val="24"/>
        </w:rPr>
        <w:t xml:space="preserve">KA </w:t>
      </w:r>
      <w:r w:rsidRPr="00C96BC7">
        <w:rPr>
          <w:rFonts w:cs="Times New Roman"/>
          <w:szCs w:val="24"/>
        </w:rPr>
        <w:t xml:space="preserve">Arbeidsgiverorganisasjon </w:t>
      </w:r>
      <w:r>
        <w:rPr>
          <w:rFonts w:cs="Times New Roman"/>
          <w:szCs w:val="24"/>
        </w:rPr>
        <w:t>for kirkelige virksomheter</w:t>
      </w:r>
      <w:r w:rsidRPr="00C96BC7">
        <w:rPr>
          <w:rFonts w:cs="Times New Roman"/>
          <w:szCs w:val="24"/>
        </w:rPr>
        <w:t xml:space="preserve"> (</w:t>
      </w:r>
      <w:r w:rsidRPr="00736A84">
        <w:rPr>
          <w:rFonts w:cs="Times New Roman"/>
          <w:i/>
          <w:szCs w:val="24"/>
        </w:rPr>
        <w:t>Kvalitet og verdighet</w:t>
      </w:r>
      <w:r w:rsidRPr="00C96BC7">
        <w:rPr>
          <w:rFonts w:cs="Times New Roman"/>
          <w:szCs w:val="24"/>
        </w:rPr>
        <w:t>, KA 2003) var det i 2001 om lag 1700 ansatte som utførte om lag 1050 årsverk knyttet til praktisk gravplassarbeid. 250 av årsverkene var knyttet til kommunal tjenesteyting, mens 800 årsverk var knyttet til de kirkelige fellesrådene. Av dem som var ansatt av fellesrådene var det vel 60</w:t>
      </w:r>
      <w:r>
        <w:rPr>
          <w:rFonts w:cs="Times New Roman"/>
          <w:szCs w:val="24"/>
        </w:rPr>
        <w:t xml:space="preserve"> </w:t>
      </w:r>
      <w:r w:rsidR="004B4097">
        <w:rPr>
          <w:rFonts w:cs="Times New Roman"/>
          <w:szCs w:val="24"/>
        </w:rPr>
        <w:t>pst.</w:t>
      </w:r>
      <w:r w:rsidRPr="00C96BC7">
        <w:rPr>
          <w:rFonts w:cs="Times New Roman"/>
          <w:szCs w:val="24"/>
        </w:rPr>
        <w:t xml:space="preserve"> som kombinerte gravplassarbeid med andre oppgaver for fellesrådet.</w:t>
      </w:r>
    </w:p>
    <w:p w:rsidR="007459A0" w:rsidRPr="00A43639" w:rsidRDefault="007459A0" w:rsidP="007459A0">
      <w:pPr>
        <w:rPr>
          <w:rFonts w:cs="Times New Roman"/>
          <w:szCs w:val="24"/>
        </w:rPr>
      </w:pPr>
      <w:r w:rsidRPr="00A43639">
        <w:rPr>
          <w:rFonts w:cs="Times New Roman"/>
          <w:szCs w:val="24"/>
        </w:rPr>
        <w:t>En lovregulert overføring av ansvaret for drift og forvaltning av gravplassene fra kirkelig fellesråd til kommunen vil innebære et pålegg om at det g</w:t>
      </w:r>
      <w:r>
        <w:rPr>
          <w:rFonts w:cs="Times New Roman"/>
          <w:szCs w:val="24"/>
        </w:rPr>
        <w:t xml:space="preserve">jennomføres </w:t>
      </w:r>
      <w:r w:rsidRPr="00A43639">
        <w:rPr>
          <w:rFonts w:cs="Times New Roman"/>
          <w:szCs w:val="24"/>
        </w:rPr>
        <w:t xml:space="preserve">virksomhetsoverdragelse etter arbeidsmiljøloven § 16. </w:t>
      </w:r>
      <w:r>
        <w:rPr>
          <w:rFonts w:cs="Times New Roman"/>
          <w:szCs w:val="24"/>
        </w:rPr>
        <w:t xml:space="preserve">En premiss for dette er at </w:t>
      </w:r>
      <w:r w:rsidRPr="00A43639">
        <w:rPr>
          <w:rFonts w:cs="Times New Roman"/>
          <w:szCs w:val="24"/>
        </w:rPr>
        <w:t xml:space="preserve">endringen </w:t>
      </w:r>
      <w:r>
        <w:rPr>
          <w:rFonts w:cs="Times New Roman"/>
          <w:szCs w:val="24"/>
        </w:rPr>
        <w:t>vurderes</w:t>
      </w:r>
      <w:r w:rsidRPr="00A43639">
        <w:rPr>
          <w:rFonts w:cs="Times New Roman"/>
          <w:szCs w:val="24"/>
        </w:rPr>
        <w:t xml:space="preserve"> som en overføring av "en selvstendig enhet som beholder sin identitet etter overføringen" (arbeidsmiljøloven § 16-1). Det innebærer en rett for de tilsatte i soknet som arbeider innenfor enheten gravplassdrift og -forvaltning å følge med over til kommunen, og at deres rettigheter og plikter i arbeidsforholdet overføres til kommunen som ny arbeidsgiver.</w:t>
      </w:r>
    </w:p>
    <w:p w:rsidR="007459A0" w:rsidRDefault="007459A0" w:rsidP="007459A0">
      <w:pPr>
        <w:rPr>
          <w:rFonts w:cs="Times New Roman"/>
          <w:szCs w:val="24"/>
        </w:rPr>
      </w:pPr>
      <w:r>
        <w:rPr>
          <w:rFonts w:cs="Times New Roman"/>
          <w:szCs w:val="24"/>
        </w:rPr>
        <w:t>Departementet antar at m</w:t>
      </w:r>
      <w:r w:rsidRPr="00A43639">
        <w:rPr>
          <w:rFonts w:cs="Times New Roman"/>
          <w:szCs w:val="24"/>
        </w:rPr>
        <w:t xml:space="preserve">ange av </w:t>
      </w:r>
      <w:r>
        <w:rPr>
          <w:rFonts w:cs="Times New Roman"/>
          <w:szCs w:val="24"/>
        </w:rPr>
        <w:t xml:space="preserve">de kirkelige </w:t>
      </w:r>
      <w:r w:rsidRPr="00A43639">
        <w:rPr>
          <w:rFonts w:cs="Times New Roman"/>
          <w:szCs w:val="24"/>
        </w:rPr>
        <w:t xml:space="preserve">stillingene </w:t>
      </w:r>
      <w:r>
        <w:rPr>
          <w:rFonts w:cs="Times New Roman"/>
          <w:szCs w:val="24"/>
        </w:rPr>
        <w:t>som har gravplassoppgaver,</w:t>
      </w:r>
      <w:r w:rsidRPr="00A43639">
        <w:rPr>
          <w:rFonts w:cs="Times New Roman"/>
          <w:szCs w:val="24"/>
        </w:rPr>
        <w:t xml:space="preserve"> også har oppgaver innenfor kirkefeltet. Dette vil typisk omfatte kirketjenere som har vaktmesteroppgaver i kirkene og praktiske oppgaver ved gudstjenester og kirkelige handlinger</w:t>
      </w:r>
      <w:r>
        <w:rPr>
          <w:rFonts w:cs="Times New Roman"/>
          <w:szCs w:val="24"/>
        </w:rPr>
        <w:t>,</w:t>
      </w:r>
      <w:r w:rsidRPr="00A43639">
        <w:rPr>
          <w:rFonts w:cs="Times New Roman"/>
          <w:szCs w:val="24"/>
        </w:rPr>
        <w:t xml:space="preserve"> </w:t>
      </w:r>
      <w:r>
        <w:rPr>
          <w:rFonts w:cs="Times New Roman"/>
          <w:szCs w:val="24"/>
        </w:rPr>
        <w:t>og i tillegg utfører</w:t>
      </w:r>
      <w:r w:rsidRPr="00A43639">
        <w:rPr>
          <w:rFonts w:cs="Times New Roman"/>
          <w:szCs w:val="24"/>
        </w:rPr>
        <w:t xml:space="preserve"> oppgaver </w:t>
      </w:r>
      <w:r>
        <w:rPr>
          <w:rFonts w:cs="Times New Roman"/>
          <w:szCs w:val="24"/>
        </w:rPr>
        <w:t>på gravplassen</w:t>
      </w:r>
      <w:r w:rsidRPr="00A43639">
        <w:rPr>
          <w:rFonts w:cs="Times New Roman"/>
          <w:szCs w:val="24"/>
        </w:rPr>
        <w:t xml:space="preserve">. Det vil </w:t>
      </w:r>
      <w:r>
        <w:rPr>
          <w:rFonts w:cs="Times New Roman"/>
          <w:szCs w:val="24"/>
        </w:rPr>
        <w:t>også</w:t>
      </w:r>
      <w:r w:rsidRPr="00A43639">
        <w:rPr>
          <w:rFonts w:cs="Times New Roman"/>
          <w:szCs w:val="24"/>
        </w:rPr>
        <w:t xml:space="preserve"> gjelde ansatte innenfor administrasjon, personalforvaltning og økonomistyring som har oppgaver for kirkelig fellesråd på tvers av skillet mellom kirke- og gravplassdrift, </w:t>
      </w:r>
      <w:r>
        <w:rPr>
          <w:rFonts w:cs="Times New Roman"/>
          <w:szCs w:val="24"/>
        </w:rPr>
        <w:t>for eksempel kirkevergen</w:t>
      </w:r>
      <w:r w:rsidRPr="00A43639">
        <w:rPr>
          <w:rFonts w:cs="Times New Roman"/>
          <w:szCs w:val="24"/>
        </w:rPr>
        <w:t>.</w:t>
      </w:r>
      <w:r>
        <w:rPr>
          <w:rFonts w:cs="Times New Roman"/>
          <w:szCs w:val="24"/>
        </w:rPr>
        <w:t xml:space="preserve"> Konsekvensen vil kunne bli at et stort antall heltidsstillinger blir omgjort til deltidsstillinger, og at ansatte kan gå fra å ha én arbeidsgiver til å få to. </w:t>
      </w:r>
    </w:p>
    <w:p w:rsidR="007459A0" w:rsidRPr="00A43639" w:rsidRDefault="007459A0" w:rsidP="007459A0">
      <w:pPr>
        <w:pStyle w:val="Overskrift5"/>
      </w:pPr>
      <w:r>
        <w:t>Departementets vurdering</w:t>
      </w:r>
    </w:p>
    <w:p w:rsidR="007459A0" w:rsidRDefault="007459A0" w:rsidP="007459A0">
      <w:pPr>
        <w:rPr>
          <w:rFonts w:cs="Times New Roman"/>
          <w:szCs w:val="24"/>
        </w:rPr>
      </w:pPr>
      <w:r>
        <w:rPr>
          <w:rFonts w:cs="Times New Roman"/>
          <w:szCs w:val="24"/>
        </w:rPr>
        <w:t>Overføring av fo</w:t>
      </w:r>
      <w:r w:rsidR="00F45F6E">
        <w:rPr>
          <w:rFonts w:cs="Times New Roman"/>
          <w:szCs w:val="24"/>
        </w:rPr>
        <w:t>rvaltningsansvaret fra kirkelig</w:t>
      </w:r>
      <w:r>
        <w:rPr>
          <w:rFonts w:cs="Times New Roman"/>
          <w:szCs w:val="24"/>
        </w:rPr>
        <w:t xml:space="preserve"> fellesråd til kommunen vil innebære at det må gjennomføres over 400 til dels omfattende og kompliserte virksomhetsoverdragelser, som vil berøre om lag 1000 ansatte. Om lag 60 </w:t>
      </w:r>
      <w:r w:rsidR="004B4097">
        <w:rPr>
          <w:rFonts w:cs="Times New Roman"/>
          <w:szCs w:val="24"/>
        </w:rPr>
        <w:t>pst.</w:t>
      </w:r>
      <w:r>
        <w:rPr>
          <w:rFonts w:cs="Times New Roman"/>
          <w:szCs w:val="24"/>
        </w:rPr>
        <w:t xml:space="preserve"> av de ansatte har både kirkelige og gravplasstilknyttede oppgaver, noe som vil komplisere en felles virksomhetsoverdragelse ytterligere. </w:t>
      </w:r>
    </w:p>
    <w:p w:rsidR="007459A0" w:rsidRDefault="007459A0" w:rsidP="00A112F9">
      <w:pPr>
        <w:rPr>
          <w:rFonts w:cs="Times New Roman"/>
          <w:szCs w:val="24"/>
        </w:rPr>
      </w:pPr>
      <w:r>
        <w:rPr>
          <w:rFonts w:cs="Times New Roman"/>
          <w:szCs w:val="24"/>
        </w:rPr>
        <w:t>Departementet mener at dette er forhold som taler for at det vil være mest hensiktsmessig å fortsatt ha åpninger i loven som gir fleksibilitet og valgfrihet i forvaltnings- og driftsoppgavene ved gravplassene. Dette gir mulighet for lokalt å foreta virksomhetsoverdragelser i helt konkrete tilfeller, eventuelt at det gjøres avtaler om at kommunene overtar driftsansvaret for gravplassene uten at det foretas en formell overføring av forvaltningsansvaret til kommunen. Sistnevnte bør etter departementets syn ikke være førstevalget.</w:t>
      </w:r>
    </w:p>
    <w:p w:rsidR="007459A0" w:rsidRDefault="00742C50" w:rsidP="007459A0">
      <w:pPr>
        <w:pStyle w:val="Overskrift4"/>
      </w:pPr>
      <w:r>
        <w:t xml:space="preserve">Spørsmålet om </w:t>
      </w:r>
      <w:r w:rsidR="00437361">
        <w:t xml:space="preserve">regnskapsføring av utgifter og inntekter vedrørende </w:t>
      </w:r>
      <w:r>
        <w:t>gravplassforva</w:t>
      </w:r>
      <w:r w:rsidR="00437361">
        <w:t>l</w:t>
      </w:r>
      <w:r>
        <w:t>tningen</w:t>
      </w:r>
    </w:p>
    <w:p w:rsidR="00BB380B" w:rsidRDefault="00BB380B" w:rsidP="00BB380B">
      <w:r>
        <w:t xml:space="preserve">Det kommunale finansieringsansvaret for forvaltningen av de offentlige gravplassene følger av gravferdsloven § 3, jf. også kirkeloven § 15. Departementet foreslår ingen endring i dette, heller ikke </w:t>
      </w:r>
      <w:r w:rsidR="00462E6E">
        <w:t>ders</w:t>
      </w:r>
      <w:r>
        <w:t xml:space="preserve">om staten tar over det fulle finansieringsansvaret for Den norske kirke, jf. kapittel 9. </w:t>
      </w:r>
    </w:p>
    <w:p w:rsidR="00BB380B" w:rsidRDefault="00BB380B" w:rsidP="00BB380B">
      <w:r>
        <w:t xml:space="preserve">Som nevnt mener departementet at oppgaven med å forvalte gravplassene fortsatt bør ivaretas av Den norske kirke lokalt, og at dette bør være lovens hovedregel. I tråd med departementets øvrige forslag vil forvaltningsoppgaven ligge til soknene og det organet som utpekes av Kirkemøtet til å representere soknene på området. </w:t>
      </w:r>
    </w:p>
    <w:p w:rsidR="00BB380B" w:rsidRDefault="00BB380B" w:rsidP="00BB380B">
      <w:r>
        <w:lastRenderedPageBreak/>
        <w:t xml:space="preserve">Forvaltningen av gravplassene er en oppgave kirken lokalt utfører på vegne av det norske samfunnet, dvs. på vegne av alle innbyggere. Den kommunale finansieringen av kirkens oppgaver på dette området inngår i dag ofte som en del av rammefinansieringen av kommunenes lovplagte oppgaver overfor kirken, uten en nærmere spesifikasjon. Det er de kirkelige fellesrådene som i dag disponerer de kommunale rammebevilgningene. </w:t>
      </w:r>
    </w:p>
    <w:p w:rsidR="00BB380B" w:rsidRDefault="00BB380B" w:rsidP="00BB380B">
      <w:r>
        <w:t>Det har til nå vært sett som mest hensiktsmessig at kirken lokalt har frihet i disponeringen av de kommunale rammebevilgningene på de ulike formålene, enten dette er til kirkebyggenes drift og vedlikehold, til gravplassforvaltningen</w:t>
      </w:r>
      <w:r w:rsidRPr="001B3AFD">
        <w:t xml:space="preserve"> </w:t>
      </w:r>
      <w:r>
        <w:t xml:space="preserve">eller til de lokale kirkelige stillingene. </w:t>
      </w:r>
      <w:r w:rsidR="009D56E6">
        <w:t>Et særskilt kjenn</w:t>
      </w:r>
      <w:r w:rsidR="00462E6E">
        <w:t>e</w:t>
      </w:r>
      <w:r w:rsidR="009D56E6">
        <w:t xml:space="preserve">tegn ved gravplassforvaltningen, som kan tilsi frihet i disponeringsadgangen, er at </w:t>
      </w:r>
      <w:r>
        <w:t>dette forvaltningsområdet</w:t>
      </w:r>
      <w:r w:rsidR="009D56E6">
        <w:t xml:space="preserve"> i stor grad er selvfinansierende</w:t>
      </w:r>
      <w:r>
        <w:t>, blant annet gjennom inntektene fra gravfeste. Nær halvparten av utgiftene til gravplassforvaltningen dekkes av inntektene.</w:t>
      </w:r>
    </w:p>
    <w:p w:rsidR="00BB380B" w:rsidRDefault="00BB380B" w:rsidP="007459A0">
      <w:r>
        <w:t xml:space="preserve">Gjennom fellesrådenes regnskaper skal det hvert år framgå hvor mye som utgiftsføres til gravplassforvaltningen. Hvordan inntektssiden korresponderer med utgiftssiden, </w:t>
      </w:r>
      <w:r w:rsidR="0095374D">
        <w:t xml:space="preserve">framgår mindre tydelig </w:t>
      </w:r>
      <w:r w:rsidR="00082B04">
        <w:t>av</w:t>
      </w:r>
      <w:r w:rsidR="0095374D">
        <w:t xml:space="preserve"> regnskapene. </w:t>
      </w:r>
    </w:p>
    <w:p w:rsidR="007459A0" w:rsidRDefault="00BB380B" w:rsidP="007459A0">
      <w:r>
        <w:t xml:space="preserve">Så lenge oppgavene innen gravplassforvaltningen er en integrert del av kirkens øvrige oppgaver, vil det mange steder være vanskelig å estimere eksakt hvor stor andel av lokalkirkens utgifter som entydig kan henføres til gravplassforvaltningen. Ofte er de lokale kirkelige stillingene kombinasjonsstillinger, tillagt oppgaver både innen gravplassforvaltningen og innen andre av kirkens oppgavefelt. Regnskapsføringen av gravplassutgiftene kan i praksis også variere noe fellesrådene imellom. Dette betyr ikke at fellesrådenes </w:t>
      </w:r>
      <w:r w:rsidR="00462E6E">
        <w:t>utgifts</w:t>
      </w:r>
      <w:r>
        <w:t>regnskap for gravplassforvaltningen inneholder ve</w:t>
      </w:r>
      <w:r w:rsidR="0095374D">
        <w:t>s</w:t>
      </w:r>
      <w:r>
        <w:t xml:space="preserve">entlige feil, men det hefter en viss usikkerhet om hvor nøyaktige de er.   </w:t>
      </w:r>
    </w:p>
    <w:p w:rsidR="00786467" w:rsidRDefault="00786467" w:rsidP="00786467">
      <w:r>
        <w:t xml:space="preserve">Fra tid til annen reises det spørsmål om den kommunale finansieringen av den kirkelige gravplassforvaltningen bør spesifiseres og tildeles kirken lokalt som en øremerket bevilgning. Bakgrunnen er at kirkens forvaltningsoppgave på dette området er en samfunnsoppgave, ikke en ren kirkelig oppgave, og at kommunene på dette området bør bestemme ressursinnsatsen og føre kontroll med kirkens bruk av </w:t>
      </w:r>
      <w:r w:rsidR="009D56E6">
        <w:t xml:space="preserve">festeinntekter m.m. og av de kommunale </w:t>
      </w:r>
      <w:r>
        <w:t xml:space="preserve">bevilgningene. </w:t>
      </w:r>
    </w:p>
    <w:p w:rsidR="007459A0" w:rsidRDefault="007459A0" w:rsidP="007459A0">
      <w:pPr>
        <w:pStyle w:val="Overskrift5"/>
      </w:pPr>
      <w:r>
        <w:t>Departementets vurdering</w:t>
      </w:r>
    </w:p>
    <w:p w:rsidR="00BB380B" w:rsidRDefault="00BB380B" w:rsidP="00BB380B">
      <w:r>
        <w:t xml:space="preserve">Kirkens oppgave som forvalter av de offentlige gravplassene er en samfunnsoppgave som kirken lokalt ivaretar på vegne av samfunnet. Departementet mener det er viktig at det offentlige har innsyn i og god oversikt </w:t>
      </w:r>
      <w:r w:rsidR="00462E6E">
        <w:t xml:space="preserve">ikke bare </w:t>
      </w:r>
      <w:r>
        <w:t>over de utgiftene som medgår til kirkens utførelse av denne samfunnsoppgaven</w:t>
      </w:r>
      <w:r w:rsidR="00462E6E">
        <w:t>, men også hvilke inntekter som er knyttet til gravplassdriften</w:t>
      </w:r>
      <w:r>
        <w:t>.</w:t>
      </w:r>
    </w:p>
    <w:p w:rsidR="00F04799" w:rsidRDefault="00BB380B" w:rsidP="00BB380B">
      <w:r>
        <w:t xml:space="preserve">Departementet mener det kan være grunn til å </w:t>
      </w:r>
      <w:r w:rsidR="009D56E6">
        <w:t xml:space="preserve">presisere overfor kommunene at </w:t>
      </w:r>
      <w:r>
        <w:t xml:space="preserve">de kommunale bevilgningene til kirkens gravplassforvaltning heretter </w:t>
      </w:r>
      <w:r w:rsidR="00462E6E">
        <w:t xml:space="preserve">skal </w:t>
      </w:r>
      <w:r>
        <w:t xml:space="preserve">spesifiseres </w:t>
      </w:r>
      <w:r w:rsidR="009D56E6">
        <w:t xml:space="preserve">og entydig </w:t>
      </w:r>
      <w:r w:rsidR="0095374D">
        <w:t xml:space="preserve">føres på </w:t>
      </w:r>
      <w:r w:rsidR="00F04799">
        <w:t>d</w:t>
      </w:r>
      <w:r w:rsidR="0095374D">
        <w:t xml:space="preserve">en </w:t>
      </w:r>
      <w:r w:rsidR="00F04799">
        <w:t xml:space="preserve">særskilte </w:t>
      </w:r>
      <w:r w:rsidR="0095374D">
        <w:t>funksjon</w:t>
      </w:r>
      <w:r w:rsidR="00F04799">
        <w:t>en for dette</w:t>
      </w:r>
      <w:r w:rsidR="0095374D">
        <w:t xml:space="preserve"> i kommuneregnskape</w:t>
      </w:r>
      <w:r w:rsidR="00F04799">
        <w:t>ne</w:t>
      </w:r>
      <w:r w:rsidR="0095374D" w:rsidRPr="0095374D">
        <w:t xml:space="preserve"> </w:t>
      </w:r>
      <w:r w:rsidR="0095374D">
        <w:t>(funksjon 393, som er regnskapskoden for gravplassfeltet</w:t>
      </w:r>
      <w:r w:rsidR="009D56E6">
        <w:t>)</w:t>
      </w:r>
      <w:r w:rsidR="0095374D">
        <w:t>. En slik obligat</w:t>
      </w:r>
      <w:r w:rsidR="00992A1B">
        <w:t>o</w:t>
      </w:r>
      <w:r w:rsidR="0095374D">
        <w:t>risk</w:t>
      </w:r>
      <w:r w:rsidR="00F04799">
        <w:t xml:space="preserve">, gjennomgående og konsekvent </w:t>
      </w:r>
      <w:r w:rsidR="0095374D">
        <w:t>funksjon</w:t>
      </w:r>
      <w:r w:rsidR="00992A1B">
        <w:t>s</w:t>
      </w:r>
      <w:r w:rsidR="0095374D">
        <w:t xml:space="preserve">føring vil gjøre det mulig å hente ut regnskapstall for gravplassektoren gjennom KOSTRA </w:t>
      </w:r>
      <w:r w:rsidR="00992A1B">
        <w:t>(</w:t>
      </w:r>
      <w:r w:rsidR="0095374D">
        <w:t>Kommune-</w:t>
      </w:r>
      <w:r w:rsidR="00992A1B">
        <w:t>S</w:t>
      </w:r>
      <w:r w:rsidR="0095374D">
        <w:t>tat-</w:t>
      </w:r>
      <w:r w:rsidR="00992A1B">
        <w:t>R</w:t>
      </w:r>
      <w:r w:rsidR="0095374D">
        <w:t>apportering</w:t>
      </w:r>
      <w:r w:rsidR="00992A1B">
        <w:t xml:space="preserve">) og </w:t>
      </w:r>
      <w:r w:rsidR="0095374D">
        <w:t>sammenlikne kommunene</w:t>
      </w:r>
      <w:r w:rsidR="00992A1B">
        <w:t xml:space="preserve"> med hverandre</w:t>
      </w:r>
      <w:r w:rsidR="0095374D">
        <w:t xml:space="preserve">. </w:t>
      </w:r>
    </w:p>
    <w:p w:rsidR="0095374D" w:rsidRDefault="0095374D" w:rsidP="00BB380B">
      <w:r>
        <w:t>Hva som faktisk brukes på gravplassforva</w:t>
      </w:r>
      <w:r w:rsidR="00462E6E">
        <w:t>l</w:t>
      </w:r>
      <w:r>
        <w:t>tningen vil imidlertid ikke framgå av kommuneregnskapene</w:t>
      </w:r>
      <w:r w:rsidR="00F04799">
        <w:t xml:space="preserve"> </w:t>
      </w:r>
      <w:r w:rsidR="00462E6E">
        <w:t xml:space="preserve">selv </w:t>
      </w:r>
      <w:r w:rsidR="00F04799">
        <w:t>ved konsekvent og riktig bruk av funksjon 393</w:t>
      </w:r>
      <w:r>
        <w:t xml:space="preserve">, men av </w:t>
      </w:r>
      <w:r w:rsidR="00F04799">
        <w:t xml:space="preserve">kirkens </w:t>
      </w:r>
      <w:r>
        <w:t xml:space="preserve">regnskaper. For å få et bedre grunnlag for å kunne sammenstille </w:t>
      </w:r>
      <w:r w:rsidR="00F04799">
        <w:t xml:space="preserve">de faktiske </w:t>
      </w:r>
      <w:r>
        <w:t xml:space="preserve">inntektene og </w:t>
      </w:r>
      <w:r>
        <w:lastRenderedPageBreak/>
        <w:t>utgift</w:t>
      </w:r>
      <w:r w:rsidR="00F04799">
        <w:t>e</w:t>
      </w:r>
      <w:r>
        <w:t>ne på om</w:t>
      </w:r>
      <w:r w:rsidR="00992A1B">
        <w:t>r</w:t>
      </w:r>
      <w:r>
        <w:t>ådet, vil departementet vurdere å stille strengere og mer presise krav til kirkens regnskapsføring</w:t>
      </w:r>
      <w:r w:rsidR="00F04799">
        <w:t xml:space="preserve">, </w:t>
      </w:r>
      <w:r>
        <w:t xml:space="preserve">både </w:t>
      </w:r>
      <w:r w:rsidR="00F04799">
        <w:t xml:space="preserve">av </w:t>
      </w:r>
      <w:r>
        <w:t xml:space="preserve">inntektene og utgiftene til gravplassforvaltningen. </w:t>
      </w:r>
    </w:p>
    <w:p w:rsidR="00BB380B" w:rsidRDefault="00574694" w:rsidP="00BB380B">
      <w:r>
        <w:t xml:space="preserve">Med forutsetningen om </w:t>
      </w:r>
      <w:r w:rsidR="009973E7">
        <w:t>at kommunene spesifiserer sine bevilgninger til gravplassforvaltningen</w:t>
      </w:r>
      <w:r w:rsidR="009C75E3">
        <w:t xml:space="preserve"> </w:t>
      </w:r>
      <w:r w:rsidR="009973E7">
        <w:t xml:space="preserve">og </w:t>
      </w:r>
      <w:r>
        <w:t xml:space="preserve">ved å </w:t>
      </w:r>
      <w:r w:rsidR="009973E7">
        <w:t>stille kl</w:t>
      </w:r>
      <w:r w:rsidR="003E5033">
        <w:t>a</w:t>
      </w:r>
      <w:r w:rsidR="009973E7">
        <w:t>rere og mer pre</w:t>
      </w:r>
      <w:r w:rsidR="003E5033">
        <w:t>s</w:t>
      </w:r>
      <w:r w:rsidR="009973E7">
        <w:t xml:space="preserve">ise krav </w:t>
      </w:r>
      <w:r>
        <w:t xml:space="preserve">til kirken </w:t>
      </w:r>
      <w:r w:rsidR="009973E7">
        <w:t xml:space="preserve">om </w:t>
      </w:r>
      <w:r w:rsidR="009C75E3">
        <w:t>regnskapsfør</w:t>
      </w:r>
      <w:r>
        <w:t xml:space="preserve">ing av </w:t>
      </w:r>
      <w:r w:rsidR="009973E7">
        <w:t>inntekte</w:t>
      </w:r>
      <w:r w:rsidR="009C75E3">
        <w:t>r</w:t>
      </w:r>
      <w:r w:rsidR="009973E7">
        <w:t xml:space="preserve"> og utgifte</w:t>
      </w:r>
      <w:r w:rsidR="009C75E3">
        <w:t>r</w:t>
      </w:r>
      <w:r>
        <w:t xml:space="preserve"> på området, regner departementet med at behovet for en </w:t>
      </w:r>
      <w:r w:rsidR="009973E7">
        <w:t>tilfred</w:t>
      </w:r>
      <w:r w:rsidR="0081202C">
        <w:t>s</w:t>
      </w:r>
      <w:r w:rsidR="009973E7">
        <w:t>stillende oversikt</w:t>
      </w:r>
      <w:r>
        <w:t xml:space="preserve"> over de økonomiske sidene ved </w:t>
      </w:r>
      <w:r w:rsidR="009973E7">
        <w:t>gravplassforva</w:t>
      </w:r>
      <w:r w:rsidR="003E5033">
        <w:t>l</w:t>
      </w:r>
      <w:r w:rsidR="009973E7">
        <w:t>tningen</w:t>
      </w:r>
      <w:r>
        <w:t xml:space="preserve"> vil være ivaretatt.</w:t>
      </w:r>
      <w:r w:rsidR="009973E7">
        <w:t xml:space="preserve">  </w:t>
      </w:r>
    </w:p>
    <w:p w:rsidR="00BB380B" w:rsidRDefault="00BB380B" w:rsidP="00BB380B">
      <w:r>
        <w:t>Dersom staten tar over det fulle finans</w:t>
      </w:r>
      <w:r w:rsidR="000A1D14">
        <w:t>i</w:t>
      </w:r>
      <w:r>
        <w:t xml:space="preserve">eringsansvaret for Den norske kirke, vil det ikke være annet enn det økonomiske ansvaret for gravplassforvaltningen som blir igjen som lovpålagt ansvar for kommunene på det kirkelige området. Kommunene vil imidlertid fortsatt </w:t>
      </w:r>
      <w:r w:rsidR="008D516A">
        <w:t xml:space="preserve">stå </w:t>
      </w:r>
      <w:r>
        <w:t xml:space="preserve">fritt </w:t>
      </w:r>
      <w:r w:rsidR="008D516A">
        <w:t xml:space="preserve">til å </w:t>
      </w:r>
      <w:r>
        <w:t>bevil</w:t>
      </w:r>
      <w:r w:rsidR="003E5033">
        <w:t>g</w:t>
      </w:r>
      <w:r>
        <w:t xml:space="preserve">e midler til </w:t>
      </w:r>
      <w:r w:rsidR="008D516A">
        <w:t xml:space="preserve">andre deler av </w:t>
      </w:r>
      <w:r>
        <w:t xml:space="preserve">kirkens virksomhet. Departementet antar derfor at det også i en slik </w:t>
      </w:r>
      <w:proofErr w:type="gramStart"/>
      <w:r>
        <w:t xml:space="preserve">situasjon </w:t>
      </w:r>
      <w:r w:rsidR="00574694">
        <w:t xml:space="preserve"> –</w:t>
      </w:r>
      <w:proofErr w:type="gramEnd"/>
      <w:r w:rsidR="00574694">
        <w:t xml:space="preserve"> og </w:t>
      </w:r>
      <w:r w:rsidR="00DE4574">
        <w:t xml:space="preserve">i </w:t>
      </w:r>
      <w:r w:rsidR="00574694">
        <w:t xml:space="preserve">tilfeller der </w:t>
      </w:r>
      <w:r w:rsidR="00DE4574">
        <w:t xml:space="preserve">den kirkelige gravplassforvaltningen eventuelt legges på et annet forvaltningsnivå enn kommunenivået – </w:t>
      </w:r>
      <w:r>
        <w:t xml:space="preserve">vil være aktuelt å </w:t>
      </w:r>
      <w:r w:rsidR="003E5033">
        <w:t>gi nærmere bestemmelser om regnska</w:t>
      </w:r>
      <w:r w:rsidR="0081202C">
        <w:t>p</w:t>
      </w:r>
      <w:r w:rsidR="003E5033">
        <w:t xml:space="preserve">sføring av de kommunale bevilgningene </w:t>
      </w:r>
      <w:r w:rsidR="0081202C">
        <w:t>(</w:t>
      </w:r>
      <w:r w:rsidR="00ED7262">
        <w:t>i kom</w:t>
      </w:r>
      <w:r w:rsidR="0081202C">
        <w:t>m</w:t>
      </w:r>
      <w:r w:rsidR="00ED7262">
        <w:t>uneregnskapene</w:t>
      </w:r>
      <w:r w:rsidR="0081202C">
        <w:t>)</w:t>
      </w:r>
      <w:r w:rsidR="00ED7262">
        <w:t xml:space="preserve"> og </w:t>
      </w:r>
      <w:r w:rsidR="0081202C">
        <w:t>for den kirkelige regnskapsføringen på området.</w:t>
      </w:r>
    </w:p>
    <w:p w:rsidR="008F70F2" w:rsidRDefault="0081202C" w:rsidP="007459A0">
      <w:r>
        <w:t>Departementet vil i tilfelle komme tilbake til oppfølging av d</w:t>
      </w:r>
      <w:r w:rsidR="00437361">
        <w:t>e omtalte end</w:t>
      </w:r>
      <w:r w:rsidR="00C171AC">
        <w:t>r</w:t>
      </w:r>
      <w:r w:rsidR="00437361">
        <w:t xml:space="preserve">ingene </w:t>
      </w:r>
      <w:r>
        <w:t xml:space="preserve">gjennom forskriftsarbeid senere.  </w:t>
      </w:r>
      <w:r w:rsidR="008F70F2">
        <w:t xml:space="preserve"> </w:t>
      </w:r>
    </w:p>
    <w:p w:rsidR="007459A0" w:rsidRPr="001C17F9" w:rsidRDefault="007459A0" w:rsidP="007459A0">
      <w:pPr>
        <w:pStyle w:val="Overskrift4"/>
      </w:pPr>
      <w:r>
        <w:t>Oppsummeringer og lovforslag</w:t>
      </w:r>
    </w:p>
    <w:p w:rsidR="008A7983" w:rsidRDefault="007459A0" w:rsidP="007459A0">
      <w:pPr>
        <w:rPr>
          <w:rFonts w:cs="Times New Roman"/>
          <w:szCs w:val="24"/>
        </w:rPr>
      </w:pPr>
      <w:r>
        <w:rPr>
          <w:rFonts w:cs="Times New Roman"/>
          <w:szCs w:val="24"/>
        </w:rPr>
        <w:t>Etter en samlet vurdering har departementet kommet til at gjeldende ordning i hovedsak bør videreføres</w:t>
      </w:r>
      <w:r w:rsidR="008A7983">
        <w:rPr>
          <w:rFonts w:cs="Times New Roman"/>
          <w:szCs w:val="24"/>
        </w:rPr>
        <w:t>, dvs. at</w:t>
      </w:r>
      <w:r w:rsidR="008A7983" w:rsidRPr="008A7983">
        <w:t xml:space="preserve"> </w:t>
      </w:r>
      <w:r w:rsidR="008A7983">
        <w:t>oppgaven med å forvalte gravplassene fortsatt bør ivaretas av Den norske kirke lokalt som lovens normalordning</w:t>
      </w:r>
      <w:r>
        <w:rPr>
          <w:rFonts w:cs="Times New Roman"/>
          <w:szCs w:val="24"/>
        </w:rPr>
        <w:t>. Departementet mener imidlertid at det bør gis et tydeligere rettslig grunnlag for at kommunen kan overta drifts- og forvaltningsansvaret når kommunen</w:t>
      </w:r>
      <w:r w:rsidR="008A7983">
        <w:rPr>
          <w:rFonts w:cs="Times New Roman"/>
          <w:szCs w:val="24"/>
        </w:rPr>
        <w:t xml:space="preserve"> </w:t>
      </w:r>
      <w:r>
        <w:rPr>
          <w:rFonts w:cs="Times New Roman"/>
          <w:szCs w:val="24"/>
        </w:rPr>
        <w:t xml:space="preserve">ønsker det, og forholdene ligger til rette for det. </w:t>
      </w:r>
    </w:p>
    <w:p w:rsidR="007459A0" w:rsidRDefault="008A7983" w:rsidP="007459A0">
      <w:pPr>
        <w:rPr>
          <w:rFonts w:cs="Times New Roman"/>
          <w:szCs w:val="24"/>
        </w:rPr>
      </w:pPr>
      <w:r>
        <w:rPr>
          <w:rFonts w:cs="Times New Roman"/>
          <w:szCs w:val="24"/>
        </w:rPr>
        <w:t>Depart</w:t>
      </w:r>
      <w:r w:rsidR="000A1D14">
        <w:rPr>
          <w:rFonts w:cs="Times New Roman"/>
          <w:szCs w:val="24"/>
        </w:rPr>
        <w:t>e</w:t>
      </w:r>
      <w:r>
        <w:rPr>
          <w:rFonts w:cs="Times New Roman"/>
          <w:szCs w:val="24"/>
        </w:rPr>
        <w:t xml:space="preserve">mentet mener </w:t>
      </w:r>
      <w:r w:rsidR="007459A0">
        <w:rPr>
          <w:rFonts w:cs="Times New Roman"/>
          <w:szCs w:val="24"/>
        </w:rPr>
        <w:t xml:space="preserve">det </w:t>
      </w:r>
      <w:r>
        <w:rPr>
          <w:rFonts w:cs="Times New Roman"/>
          <w:szCs w:val="24"/>
        </w:rPr>
        <w:t xml:space="preserve">bør presiseres </w:t>
      </w:r>
      <w:r w:rsidR="0081202C">
        <w:rPr>
          <w:rFonts w:cs="Times New Roman"/>
          <w:szCs w:val="24"/>
        </w:rPr>
        <w:t>at</w:t>
      </w:r>
      <w:r w:rsidR="007459A0">
        <w:rPr>
          <w:rFonts w:cs="Times New Roman"/>
          <w:szCs w:val="24"/>
        </w:rPr>
        <w:t xml:space="preserve"> kommunene </w:t>
      </w:r>
      <w:r>
        <w:rPr>
          <w:rFonts w:cs="Times New Roman"/>
          <w:szCs w:val="24"/>
        </w:rPr>
        <w:t xml:space="preserve">skal </w:t>
      </w:r>
      <w:r w:rsidR="007459A0">
        <w:rPr>
          <w:rFonts w:cs="Times New Roman"/>
          <w:szCs w:val="24"/>
        </w:rPr>
        <w:t>konte</w:t>
      </w:r>
      <w:r w:rsidR="0081202C">
        <w:rPr>
          <w:rFonts w:cs="Times New Roman"/>
          <w:szCs w:val="24"/>
        </w:rPr>
        <w:t xml:space="preserve">re bevilgninger </w:t>
      </w:r>
      <w:r w:rsidR="007459A0">
        <w:rPr>
          <w:rFonts w:cs="Times New Roman"/>
          <w:szCs w:val="24"/>
        </w:rPr>
        <w:t xml:space="preserve">til gravplassforvaltningen på funksjon 393, og tilsvarende </w:t>
      </w:r>
      <w:r>
        <w:rPr>
          <w:rFonts w:cs="Times New Roman"/>
          <w:szCs w:val="24"/>
        </w:rPr>
        <w:t xml:space="preserve">at det bør kreves at </w:t>
      </w:r>
      <w:r w:rsidR="0081202C">
        <w:rPr>
          <w:rFonts w:cs="Times New Roman"/>
          <w:szCs w:val="24"/>
        </w:rPr>
        <w:t xml:space="preserve">kirkens organer </w:t>
      </w:r>
      <w:r>
        <w:rPr>
          <w:rFonts w:cs="Times New Roman"/>
          <w:szCs w:val="24"/>
        </w:rPr>
        <w:t xml:space="preserve">fører </w:t>
      </w:r>
      <w:r w:rsidR="0081202C">
        <w:rPr>
          <w:rFonts w:cs="Times New Roman"/>
          <w:szCs w:val="24"/>
        </w:rPr>
        <w:t xml:space="preserve">en mer </w:t>
      </w:r>
      <w:r w:rsidR="000D4F26">
        <w:rPr>
          <w:rFonts w:cs="Times New Roman"/>
          <w:szCs w:val="24"/>
        </w:rPr>
        <w:t>presis kontering av inntekter o</w:t>
      </w:r>
      <w:r w:rsidR="0081202C">
        <w:rPr>
          <w:rFonts w:cs="Times New Roman"/>
          <w:szCs w:val="24"/>
        </w:rPr>
        <w:t xml:space="preserve">g </w:t>
      </w:r>
      <w:r w:rsidR="000D4F26">
        <w:rPr>
          <w:rFonts w:cs="Times New Roman"/>
          <w:szCs w:val="24"/>
        </w:rPr>
        <w:t xml:space="preserve">utgifter </w:t>
      </w:r>
      <w:r w:rsidR="0081202C">
        <w:rPr>
          <w:rFonts w:cs="Times New Roman"/>
          <w:szCs w:val="24"/>
        </w:rPr>
        <w:t>som gjelder gravplassforvaltningen.</w:t>
      </w:r>
    </w:p>
    <w:p w:rsidR="007459A0" w:rsidRDefault="007459A0" w:rsidP="007459A0">
      <w:pPr>
        <w:rPr>
          <w:rFonts w:cs="Times New Roman"/>
          <w:szCs w:val="24"/>
        </w:rPr>
      </w:pPr>
      <w:r>
        <w:rPr>
          <w:rFonts w:cs="Times New Roman"/>
          <w:szCs w:val="24"/>
        </w:rPr>
        <w:t>Departementet foreslår på denne bakgrunn at gravferdsloven § 23 endres, slik at drifts- og forvaltningsansvaret for gravplassene,</w:t>
      </w:r>
      <w:r w:rsidRPr="00767FEA">
        <w:rPr>
          <w:rFonts w:cs="Times New Roman"/>
          <w:szCs w:val="24"/>
        </w:rPr>
        <w:t xml:space="preserve"> som i </w:t>
      </w:r>
      <w:r>
        <w:rPr>
          <w:rFonts w:cs="Times New Roman"/>
          <w:szCs w:val="24"/>
        </w:rPr>
        <w:t xml:space="preserve">utgangspunktet </w:t>
      </w:r>
      <w:r w:rsidRPr="00767FEA">
        <w:rPr>
          <w:rFonts w:cs="Times New Roman"/>
          <w:szCs w:val="24"/>
        </w:rPr>
        <w:t xml:space="preserve">er lagt til soknet, ved vedtak av </w:t>
      </w:r>
      <w:r>
        <w:rPr>
          <w:rFonts w:cs="Times New Roman"/>
          <w:szCs w:val="24"/>
        </w:rPr>
        <w:t>F</w:t>
      </w:r>
      <w:r w:rsidRPr="00767FEA">
        <w:rPr>
          <w:rFonts w:cs="Times New Roman"/>
          <w:szCs w:val="24"/>
        </w:rPr>
        <w:t xml:space="preserve">ylkesmannen </w:t>
      </w:r>
      <w:r>
        <w:rPr>
          <w:rFonts w:cs="Times New Roman"/>
          <w:szCs w:val="24"/>
        </w:rPr>
        <w:t>kan overføres til kommunen, d</w:t>
      </w:r>
      <w:r w:rsidRPr="00767FEA">
        <w:rPr>
          <w:rFonts w:cs="Times New Roman"/>
          <w:szCs w:val="24"/>
        </w:rPr>
        <w:t xml:space="preserve">ersom </w:t>
      </w:r>
      <w:r>
        <w:rPr>
          <w:rFonts w:cs="Times New Roman"/>
          <w:szCs w:val="24"/>
        </w:rPr>
        <w:t xml:space="preserve">kommunen ønsker det: </w:t>
      </w:r>
    </w:p>
    <w:p w:rsidR="00950A53" w:rsidRPr="00950A53" w:rsidRDefault="00950A53" w:rsidP="00950A53">
      <w:pPr>
        <w:pStyle w:val="Sitattbhj"/>
        <w:rPr>
          <w:rFonts w:cs="Times New Roman"/>
          <w:szCs w:val="24"/>
        </w:rPr>
      </w:pPr>
      <w:r w:rsidRPr="00950A53">
        <w:rPr>
          <w:rFonts w:cs="Times New Roman"/>
          <w:szCs w:val="24"/>
        </w:rPr>
        <w:t xml:space="preserve">Det organet som etter Kirkemøtets beslutning opptrer på soknets vegne i saker vedrørende drift og forvaltning av gravplass, er lokal gravplassmyndighet etter loven her. </w:t>
      </w:r>
    </w:p>
    <w:p w:rsidR="007459A0" w:rsidRPr="00950A53" w:rsidRDefault="00950A53" w:rsidP="00950A53">
      <w:pPr>
        <w:pStyle w:val="Sitattbhj"/>
        <w:rPr>
          <w:rFonts w:cs="Times New Roman"/>
          <w:szCs w:val="24"/>
        </w:rPr>
      </w:pPr>
      <w:r w:rsidRPr="00950A53">
        <w:rPr>
          <w:rFonts w:cs="Times New Roman"/>
          <w:szCs w:val="24"/>
        </w:rPr>
        <w:t>Etter søknad fra kommunen kan fylkesmannen ved forskrift treffe vedtak om at ansvaret som lokal gravplassmyndighet etter loven h</w:t>
      </w:r>
      <w:r>
        <w:rPr>
          <w:rFonts w:cs="Times New Roman"/>
          <w:szCs w:val="24"/>
        </w:rPr>
        <w:t>er skal overføres til kommunen.</w:t>
      </w:r>
      <w:r w:rsidR="007459A0" w:rsidRPr="006A74CB">
        <w:t xml:space="preserve"> </w:t>
      </w:r>
    </w:p>
    <w:p w:rsidR="007459A0" w:rsidRDefault="007459A0" w:rsidP="007459A0">
      <w:r>
        <w:t>Departementet</w:t>
      </w:r>
      <w:r w:rsidR="00DC5BDE">
        <w:t>s forslag innebærer at</w:t>
      </w:r>
      <w:r>
        <w:t xml:space="preserve"> </w:t>
      </w:r>
      <w:r w:rsidR="00DC5BDE">
        <w:t>bare</w:t>
      </w:r>
      <w:r>
        <w:t xml:space="preserve"> kommunen </w:t>
      </w:r>
      <w:r w:rsidR="00DC5BDE">
        <w:t>vil</w:t>
      </w:r>
      <w:r>
        <w:t xml:space="preserve"> kunne bringe en sak om overføring inn for Fylkesmannen. Det forutsettes altså ikke lokal enighet om overføring</w:t>
      </w:r>
      <w:r w:rsidR="00DC5BDE">
        <w:t>, men overføring kan ikke skje uten at kommunen ønsker det</w:t>
      </w:r>
      <w:r>
        <w:t xml:space="preserve">. Fylkesmannen skal treffe vedtak ved forskrift. Dette vil gi vedtaket notoritet, og det vil dessuten avskjære forvaltningsrettslig klage. </w:t>
      </w:r>
    </w:p>
    <w:p w:rsidR="007459A0" w:rsidRPr="00767FEA" w:rsidRDefault="007459A0" w:rsidP="007459A0">
      <w:pPr>
        <w:pStyle w:val="Overskrift4"/>
      </w:pPr>
      <w:r w:rsidRPr="00767FEA">
        <w:t>Lovtekniske endringer</w:t>
      </w:r>
    </w:p>
    <w:p w:rsidR="007459A0" w:rsidRPr="00C96BC7" w:rsidRDefault="007459A0" w:rsidP="007459A0">
      <w:pPr>
        <w:rPr>
          <w:rFonts w:cs="Times New Roman"/>
          <w:szCs w:val="24"/>
        </w:rPr>
      </w:pPr>
      <w:r w:rsidRPr="00C96BC7">
        <w:rPr>
          <w:rFonts w:cs="Times New Roman"/>
          <w:szCs w:val="24"/>
        </w:rPr>
        <w:t xml:space="preserve">Departementet </w:t>
      </w:r>
      <w:r>
        <w:rPr>
          <w:rFonts w:cs="Times New Roman"/>
          <w:szCs w:val="24"/>
        </w:rPr>
        <w:t xml:space="preserve">ser også </w:t>
      </w:r>
      <w:r w:rsidRPr="00C96BC7">
        <w:rPr>
          <w:rFonts w:cs="Times New Roman"/>
          <w:szCs w:val="24"/>
        </w:rPr>
        <w:t>behov for å gjøre visse endringer</w:t>
      </w:r>
      <w:r>
        <w:rPr>
          <w:rFonts w:cs="Times New Roman"/>
          <w:szCs w:val="24"/>
        </w:rPr>
        <w:t xml:space="preserve"> </w:t>
      </w:r>
      <w:r w:rsidRPr="00C96BC7">
        <w:rPr>
          <w:rFonts w:cs="Times New Roman"/>
          <w:szCs w:val="24"/>
        </w:rPr>
        <w:t>av mer lovteknisk karakter</w:t>
      </w:r>
      <w:r>
        <w:rPr>
          <w:rFonts w:cs="Times New Roman"/>
          <w:szCs w:val="24"/>
        </w:rPr>
        <w:t xml:space="preserve"> i bestemmelsene om forvaltningsansvar i gravferdsloven</w:t>
      </w:r>
      <w:r w:rsidRPr="00C96BC7">
        <w:rPr>
          <w:rFonts w:cs="Times New Roman"/>
          <w:szCs w:val="24"/>
        </w:rPr>
        <w:t>. Dette henger sammen med at kirkelig fellesråd etter forslaget til ny rammelovgivning for Den norske kirke ikke lenger vil være et lovbestemt kirkelig organ. Det vil være opp til Kirkemøtet å avgjøre om soknet</w:t>
      </w:r>
      <w:r>
        <w:rPr>
          <w:rFonts w:cs="Times New Roman"/>
          <w:szCs w:val="24"/>
        </w:rPr>
        <w:t>,</w:t>
      </w:r>
      <w:r w:rsidRPr="00C96BC7">
        <w:rPr>
          <w:rFonts w:cs="Times New Roman"/>
          <w:szCs w:val="24"/>
        </w:rPr>
        <w:t xml:space="preserve"> i tillegg til menighetsrådet</w:t>
      </w:r>
      <w:r>
        <w:rPr>
          <w:rFonts w:cs="Times New Roman"/>
          <w:szCs w:val="24"/>
        </w:rPr>
        <w:t>,</w:t>
      </w:r>
      <w:r w:rsidRPr="00C96BC7">
        <w:rPr>
          <w:rFonts w:cs="Times New Roman"/>
          <w:szCs w:val="24"/>
        </w:rPr>
        <w:t xml:space="preserve"> skal ha andre organer som for eksempel kirkelig fellesråd.</w:t>
      </w:r>
    </w:p>
    <w:p w:rsidR="007459A0" w:rsidRPr="00C96BC7" w:rsidRDefault="007459A0" w:rsidP="007459A0">
      <w:pPr>
        <w:rPr>
          <w:rFonts w:cs="Times New Roman"/>
          <w:szCs w:val="24"/>
        </w:rPr>
      </w:pPr>
      <w:r w:rsidRPr="00C96BC7">
        <w:rPr>
          <w:rFonts w:cs="Times New Roman"/>
          <w:szCs w:val="24"/>
        </w:rPr>
        <w:lastRenderedPageBreak/>
        <w:t xml:space="preserve">Departementet vil derfor foreslå at gravferdslovens språkbruk endres slik at den gjennomgående betegner det organet som har </w:t>
      </w:r>
      <w:r>
        <w:rPr>
          <w:rFonts w:cs="Times New Roman"/>
          <w:szCs w:val="24"/>
        </w:rPr>
        <w:t xml:space="preserve">lokalt </w:t>
      </w:r>
      <w:r w:rsidRPr="00C96BC7">
        <w:rPr>
          <w:rFonts w:cs="Times New Roman"/>
          <w:szCs w:val="24"/>
        </w:rPr>
        <w:t>ansvar for grav</w:t>
      </w:r>
      <w:r w:rsidR="00297556">
        <w:rPr>
          <w:rFonts w:cs="Times New Roman"/>
          <w:szCs w:val="24"/>
        </w:rPr>
        <w:t>plass</w:t>
      </w:r>
      <w:r w:rsidRPr="00C96BC7">
        <w:rPr>
          <w:rFonts w:cs="Times New Roman"/>
          <w:szCs w:val="24"/>
        </w:rPr>
        <w:t>forvaltningen</w:t>
      </w:r>
      <w:r>
        <w:rPr>
          <w:rFonts w:cs="Times New Roman"/>
          <w:szCs w:val="24"/>
        </w:rPr>
        <w:t>,</w:t>
      </w:r>
      <w:r w:rsidRPr="00C96BC7">
        <w:rPr>
          <w:rFonts w:cs="Times New Roman"/>
          <w:szCs w:val="24"/>
        </w:rPr>
        <w:t xml:space="preserve"> for den lokale </w:t>
      </w:r>
      <w:r w:rsidRPr="00C96BC7">
        <w:rPr>
          <w:rFonts w:cs="Times New Roman"/>
          <w:i/>
          <w:szCs w:val="24"/>
        </w:rPr>
        <w:t xml:space="preserve">gravplassmyndigheten. </w:t>
      </w:r>
      <w:r w:rsidRPr="00C96BC7">
        <w:rPr>
          <w:rFonts w:cs="Times New Roman"/>
          <w:szCs w:val="24"/>
        </w:rPr>
        <w:t xml:space="preserve">Bestemmelser om hvem som etter loven, eller </w:t>
      </w:r>
      <w:r w:rsidR="000F7B83">
        <w:rPr>
          <w:rFonts w:cs="Times New Roman"/>
          <w:szCs w:val="24"/>
        </w:rPr>
        <w:t>etter vedtak av fylkesmannen</w:t>
      </w:r>
      <w:r w:rsidRPr="00C96BC7">
        <w:rPr>
          <w:rFonts w:cs="Times New Roman"/>
          <w:szCs w:val="24"/>
        </w:rPr>
        <w:t xml:space="preserve">, </w:t>
      </w:r>
      <w:r>
        <w:rPr>
          <w:rFonts w:cs="Times New Roman"/>
          <w:szCs w:val="24"/>
        </w:rPr>
        <w:t>er lokal gravplass</w:t>
      </w:r>
      <w:r w:rsidRPr="00C96BC7">
        <w:rPr>
          <w:rFonts w:cs="Times New Roman"/>
          <w:szCs w:val="24"/>
        </w:rPr>
        <w:t xml:space="preserve">myndighet foreslås inntatt i en egen bestemmelse i gravferdsloven. Dette </w:t>
      </w:r>
      <w:r>
        <w:rPr>
          <w:rFonts w:cs="Times New Roman"/>
          <w:szCs w:val="24"/>
        </w:rPr>
        <w:t>er</w:t>
      </w:r>
      <w:r w:rsidRPr="00C96BC7">
        <w:rPr>
          <w:rFonts w:cs="Times New Roman"/>
          <w:szCs w:val="24"/>
        </w:rPr>
        <w:t xml:space="preserve"> ivareta</w:t>
      </w:r>
      <w:r>
        <w:rPr>
          <w:rFonts w:cs="Times New Roman"/>
          <w:szCs w:val="24"/>
        </w:rPr>
        <w:t xml:space="preserve">tt i forslaget til ny ordlyd i § </w:t>
      </w:r>
      <w:r w:rsidRPr="00C96BC7">
        <w:rPr>
          <w:rFonts w:cs="Times New Roman"/>
          <w:szCs w:val="24"/>
        </w:rPr>
        <w:t>23 første og annet ledd</w:t>
      </w:r>
      <w:r>
        <w:rPr>
          <w:rFonts w:cs="Times New Roman"/>
          <w:szCs w:val="24"/>
        </w:rPr>
        <w:t xml:space="preserve">, som er tatt inn i punktet ovenfor. </w:t>
      </w:r>
    </w:p>
    <w:p w:rsidR="00975E0F" w:rsidRPr="00C96BC7" w:rsidRDefault="00975E0F" w:rsidP="007459A0">
      <w:pPr>
        <w:rPr>
          <w:rFonts w:cs="Times New Roman"/>
          <w:szCs w:val="24"/>
        </w:rPr>
      </w:pPr>
      <w:r>
        <w:rPr>
          <w:rFonts w:cs="Times New Roman"/>
          <w:szCs w:val="24"/>
        </w:rPr>
        <w:t>Departementet foreslår også at kortnavnet på loven, nå gravferdsloven, endres til</w:t>
      </w:r>
      <w:r w:rsidRPr="00975E0F">
        <w:rPr>
          <w:rFonts w:cs="Times New Roman"/>
          <w:i/>
          <w:szCs w:val="24"/>
        </w:rPr>
        <w:t xml:space="preserve"> gravplassloven</w:t>
      </w:r>
      <w:r>
        <w:rPr>
          <w:rFonts w:cs="Times New Roman"/>
          <w:szCs w:val="24"/>
        </w:rPr>
        <w:t>. Begrunnelsen for forslaget er at begrepet gravferd gjennomgående benyttes for å betegne den rituelle handlingen</w:t>
      </w:r>
      <w:r w:rsidR="00CA1D91">
        <w:rPr>
          <w:rFonts w:cs="Times New Roman"/>
          <w:szCs w:val="24"/>
        </w:rPr>
        <w:t>, kirkelig eller annen,</w:t>
      </w:r>
      <w:r>
        <w:rPr>
          <w:rFonts w:cs="Times New Roman"/>
          <w:szCs w:val="24"/>
        </w:rPr>
        <w:t xml:space="preserve"> som gjerne ledsager gravleggingen. Med enkelte unntak</w:t>
      </w:r>
      <w:r w:rsidR="00CA1D91">
        <w:rPr>
          <w:rFonts w:cs="Times New Roman"/>
          <w:szCs w:val="24"/>
        </w:rPr>
        <w:t xml:space="preserve"> (§ 9) regulerer loven ikke gjennomføringen av gravferden, men begrenser seg til å gi regler om gravleggingen.</w:t>
      </w:r>
    </w:p>
    <w:p w:rsidR="007459A0" w:rsidRPr="00C96BC7" w:rsidRDefault="007459A0" w:rsidP="007459A0">
      <w:pPr>
        <w:rPr>
          <w:rFonts w:cs="Times New Roman"/>
          <w:szCs w:val="24"/>
        </w:rPr>
      </w:pPr>
      <w:r w:rsidRPr="00C96BC7">
        <w:rPr>
          <w:rFonts w:cs="Times New Roman"/>
          <w:szCs w:val="24"/>
        </w:rPr>
        <w:t xml:space="preserve">Når gjeldende § 15 </w:t>
      </w:r>
      <w:r>
        <w:rPr>
          <w:rFonts w:cs="Times New Roman"/>
          <w:szCs w:val="24"/>
        </w:rPr>
        <w:t xml:space="preserve">i kirkeloven </w:t>
      </w:r>
      <w:r w:rsidRPr="00C96BC7">
        <w:rPr>
          <w:rFonts w:cs="Times New Roman"/>
          <w:szCs w:val="24"/>
        </w:rPr>
        <w:t>oppheves</w:t>
      </w:r>
      <w:r>
        <w:rPr>
          <w:rFonts w:cs="Times New Roman"/>
          <w:szCs w:val="24"/>
        </w:rPr>
        <w:t>,</w:t>
      </w:r>
      <w:r w:rsidRPr="00C96BC7">
        <w:rPr>
          <w:rFonts w:cs="Times New Roman"/>
          <w:szCs w:val="24"/>
        </w:rPr>
        <w:t xml:space="preserve"> bør regulering</w:t>
      </w:r>
      <w:r>
        <w:rPr>
          <w:rFonts w:cs="Times New Roman"/>
          <w:szCs w:val="24"/>
        </w:rPr>
        <w:t>en</w:t>
      </w:r>
      <w:r w:rsidRPr="00C96BC7">
        <w:rPr>
          <w:rFonts w:cs="Times New Roman"/>
          <w:szCs w:val="24"/>
        </w:rPr>
        <w:t xml:space="preserve"> av finansieringsansvaret for den lokale </w:t>
      </w:r>
      <w:r w:rsidR="00C171AC">
        <w:rPr>
          <w:rFonts w:cs="Times New Roman"/>
          <w:szCs w:val="24"/>
        </w:rPr>
        <w:t>gravplass</w:t>
      </w:r>
      <w:r w:rsidRPr="00C96BC7">
        <w:rPr>
          <w:rFonts w:cs="Times New Roman"/>
          <w:szCs w:val="24"/>
        </w:rPr>
        <w:t>forvaltningen gis i gravferdsloven, og bare der. Adgangen til å la kommunal tjenesteyting tre i stedet for særskilt bevilgning til grav</w:t>
      </w:r>
      <w:r w:rsidR="00297556">
        <w:rPr>
          <w:rFonts w:cs="Times New Roman"/>
          <w:szCs w:val="24"/>
        </w:rPr>
        <w:t>plassf</w:t>
      </w:r>
      <w:r w:rsidRPr="00C96BC7">
        <w:rPr>
          <w:rFonts w:cs="Times New Roman"/>
          <w:szCs w:val="24"/>
        </w:rPr>
        <w:t>ormål bør da også reguleres her. Dette kan ivaretas ved at gravferdsloven § 3 annet ledd gi</w:t>
      </w:r>
      <w:r>
        <w:rPr>
          <w:rFonts w:cs="Times New Roman"/>
          <w:szCs w:val="24"/>
        </w:rPr>
        <w:t>s</w:t>
      </w:r>
      <w:r w:rsidRPr="00C96BC7">
        <w:rPr>
          <w:rFonts w:cs="Times New Roman"/>
          <w:szCs w:val="24"/>
        </w:rPr>
        <w:t xml:space="preserve"> følgende </w:t>
      </w:r>
      <w:r>
        <w:rPr>
          <w:rFonts w:cs="Times New Roman"/>
          <w:szCs w:val="24"/>
        </w:rPr>
        <w:t>ordlyd</w:t>
      </w:r>
      <w:r w:rsidRPr="00C96BC7">
        <w:rPr>
          <w:rFonts w:cs="Times New Roman"/>
          <w:szCs w:val="24"/>
        </w:rPr>
        <w:t>:</w:t>
      </w:r>
    </w:p>
    <w:p w:rsidR="007459A0" w:rsidRPr="00DC4134" w:rsidRDefault="007459A0" w:rsidP="00DC4134">
      <w:pPr>
        <w:pStyle w:val="blokksit"/>
        <w:rPr>
          <w:rStyle w:val="kursiv"/>
        </w:rPr>
      </w:pPr>
      <w:r w:rsidRPr="00DC4134">
        <w:rPr>
          <w:rStyle w:val="kursiv"/>
        </w:rPr>
        <w:t>Utgifter til anlegg, drift og forvaltning av gravplasser utredes av kommunen etter budsjettforslag fra soknet. Etter avtale med soknet kan kommunal tjenesteyting tre i stedet for særskilt bevilgning til dette formålet.</w:t>
      </w:r>
    </w:p>
    <w:p w:rsidR="007459A0" w:rsidRPr="001A51D5" w:rsidRDefault="007459A0" w:rsidP="007459A0">
      <w:pPr>
        <w:pStyle w:val="Overskrift2"/>
      </w:pPr>
      <w:bookmarkStart w:id="3762" w:name="_Toc477705457"/>
      <w:bookmarkStart w:id="3763" w:name="_Toc477882113"/>
      <w:bookmarkStart w:id="3764" w:name="_Toc477886575"/>
      <w:bookmarkStart w:id="3765" w:name="_Toc478131520"/>
      <w:bookmarkStart w:id="3766" w:name="_Toc478138890"/>
      <w:bookmarkStart w:id="3767" w:name="_Toc478232414"/>
      <w:bookmarkStart w:id="3768" w:name="_Toc478237399"/>
      <w:bookmarkStart w:id="3769" w:name="_Toc481761943"/>
      <w:bookmarkStart w:id="3770" w:name="_Toc492900595"/>
      <w:r w:rsidRPr="001A51D5">
        <w:t>Brukerbetaling på gravferdslovens område</w:t>
      </w:r>
      <w:bookmarkEnd w:id="3762"/>
      <w:bookmarkEnd w:id="3763"/>
      <w:bookmarkEnd w:id="3764"/>
      <w:bookmarkEnd w:id="3765"/>
      <w:bookmarkEnd w:id="3766"/>
      <w:bookmarkEnd w:id="3767"/>
      <w:bookmarkEnd w:id="3768"/>
      <w:bookmarkEnd w:id="3769"/>
      <w:bookmarkEnd w:id="3770"/>
    </w:p>
    <w:p w:rsidR="007459A0" w:rsidRDefault="007459A0" w:rsidP="007459A0">
      <w:pPr>
        <w:rPr>
          <w:rFonts w:cs="Times New Roman"/>
          <w:szCs w:val="24"/>
        </w:rPr>
      </w:pPr>
      <w:r w:rsidRPr="00C96BC7">
        <w:rPr>
          <w:rFonts w:cs="Times New Roman"/>
          <w:szCs w:val="24"/>
        </w:rPr>
        <w:t>Lae-utvalget foreslo å oppheve en rekke hjemler knyttet til brukerbetaling på gravferdslovens områd</w:t>
      </w:r>
      <w:r>
        <w:rPr>
          <w:rFonts w:cs="Times New Roman"/>
          <w:szCs w:val="24"/>
        </w:rPr>
        <w:t>e</w:t>
      </w:r>
      <w:r w:rsidRPr="00C96BC7">
        <w:rPr>
          <w:rFonts w:cs="Times New Roman"/>
          <w:szCs w:val="24"/>
        </w:rPr>
        <w:t>. Blant annet foreslo utvalget å oppheve adgangen til å kreve kremasjonsavgift</w:t>
      </w:r>
      <w:r>
        <w:rPr>
          <w:rFonts w:cs="Times New Roman"/>
          <w:szCs w:val="24"/>
        </w:rPr>
        <w:t xml:space="preserve">, </w:t>
      </w:r>
      <w:r w:rsidRPr="00C96BC7">
        <w:rPr>
          <w:rFonts w:cs="Times New Roman"/>
          <w:szCs w:val="24"/>
        </w:rPr>
        <w:t xml:space="preserve">samt å oppheve adgangen til å kreve festeavgift de første 20 årene etter en gravlegging. I tillegg foreslo utvalget å innføre en rett til fri grav også utenfor bostedskommunen. Utvalget foreslo at gravplassforvaltningen skulle kompenseres for inntektstapene gjennom rammeoverføringer til kommunene. Årlig ville det samlede behovet utgjøre 104,3 mill. kroner. </w:t>
      </w:r>
    </w:p>
    <w:p w:rsidR="007459A0" w:rsidRPr="00C96BC7" w:rsidRDefault="007459A0" w:rsidP="007459A0">
      <w:pPr>
        <w:rPr>
          <w:rFonts w:cs="Times New Roman"/>
          <w:szCs w:val="24"/>
        </w:rPr>
      </w:pPr>
      <w:r>
        <w:rPr>
          <w:rFonts w:cs="Times New Roman"/>
          <w:szCs w:val="24"/>
        </w:rPr>
        <w:t xml:space="preserve">Nedenfor gjennomgås disse tre hovedforslagene fra Lae-utvalget knyttet til brukerbetaling på gravferdslovens område. I tillegg gjennomgås utvalgets forslag om å overføre oppgavene som i dag ligger til bispedømmerådene til fylkesmannen, samt å samle oppgavene hos ett fylkesmannsembete. Utvalgets forslag om å gi en egen statistikkhjemmel behandles også. </w:t>
      </w:r>
    </w:p>
    <w:p w:rsidR="007459A0" w:rsidRPr="001A51D5" w:rsidRDefault="007459A0" w:rsidP="007459A0">
      <w:pPr>
        <w:pStyle w:val="Overskrift3"/>
      </w:pPr>
      <w:bookmarkStart w:id="3771" w:name="_Toc477882114"/>
      <w:bookmarkStart w:id="3772" w:name="_Toc477886576"/>
      <w:bookmarkStart w:id="3773" w:name="_Toc478131521"/>
      <w:bookmarkStart w:id="3774" w:name="_Toc478138891"/>
      <w:bookmarkStart w:id="3775" w:name="_Toc478232415"/>
      <w:bookmarkStart w:id="3776" w:name="_Toc478237400"/>
      <w:bookmarkStart w:id="3777" w:name="_Toc481761944"/>
      <w:bookmarkStart w:id="3778" w:name="_Toc492900596"/>
      <w:r w:rsidRPr="001A51D5">
        <w:t>Fjerning av kremasjonsavgiften</w:t>
      </w:r>
      <w:bookmarkEnd w:id="3771"/>
      <w:bookmarkEnd w:id="3772"/>
      <w:bookmarkEnd w:id="3773"/>
      <w:bookmarkEnd w:id="3774"/>
      <w:bookmarkEnd w:id="3775"/>
      <w:bookmarkEnd w:id="3776"/>
      <w:bookmarkEnd w:id="3777"/>
      <w:bookmarkEnd w:id="3778"/>
    </w:p>
    <w:p w:rsidR="007459A0" w:rsidRPr="00C96BC7" w:rsidRDefault="007459A0" w:rsidP="007459A0">
      <w:pPr>
        <w:rPr>
          <w:rFonts w:cs="Times New Roman"/>
          <w:szCs w:val="24"/>
        </w:rPr>
      </w:pPr>
      <w:r w:rsidRPr="00C96BC7">
        <w:rPr>
          <w:rFonts w:cs="Times New Roman"/>
          <w:szCs w:val="24"/>
        </w:rPr>
        <w:t xml:space="preserve">Etter gjeldende rett er kistegravlegging kostnadsfritt for de etterlatte, mens det er kommunal frihet til å kreve avgift for kremasjon, jf. gravferdsloven § 10 åttende ledd. </w:t>
      </w:r>
    </w:p>
    <w:p w:rsidR="007459A0" w:rsidRPr="00C96BC7" w:rsidRDefault="007459A0" w:rsidP="007459A0">
      <w:pPr>
        <w:rPr>
          <w:rFonts w:cs="Times New Roman"/>
          <w:szCs w:val="24"/>
        </w:rPr>
      </w:pPr>
      <w:r>
        <w:rPr>
          <w:rFonts w:cs="Times New Roman"/>
          <w:szCs w:val="24"/>
        </w:rPr>
        <w:t xml:space="preserve">Begrunnelsen for </w:t>
      </w:r>
      <w:r w:rsidRPr="00C96BC7">
        <w:rPr>
          <w:rFonts w:cs="Times New Roman"/>
          <w:szCs w:val="24"/>
        </w:rPr>
        <w:t>Lae-</w:t>
      </w:r>
      <w:r w:rsidR="000F7B83" w:rsidRPr="00C96BC7">
        <w:rPr>
          <w:rFonts w:cs="Times New Roman"/>
          <w:szCs w:val="24"/>
        </w:rPr>
        <w:t>utvalgets</w:t>
      </w:r>
      <w:r w:rsidRPr="00C96BC7">
        <w:rPr>
          <w:rFonts w:cs="Times New Roman"/>
          <w:szCs w:val="24"/>
        </w:rPr>
        <w:t xml:space="preserve"> </w:t>
      </w:r>
      <w:r>
        <w:rPr>
          <w:rFonts w:cs="Times New Roman"/>
          <w:szCs w:val="24"/>
        </w:rPr>
        <w:t>forslag om</w:t>
      </w:r>
      <w:r w:rsidRPr="00C96BC7">
        <w:rPr>
          <w:rFonts w:cs="Times New Roman"/>
          <w:szCs w:val="24"/>
        </w:rPr>
        <w:t xml:space="preserve"> å oppheve hjemmelen til å kreve kremasjonsavgift </w:t>
      </w:r>
      <w:r>
        <w:rPr>
          <w:rFonts w:cs="Times New Roman"/>
          <w:szCs w:val="24"/>
        </w:rPr>
        <w:t xml:space="preserve">var at de to gravferdsformene kremasjon og kistegravlegging burde likebehandles. </w:t>
      </w:r>
    </w:p>
    <w:p w:rsidR="007459A0" w:rsidRPr="00C96BC7" w:rsidRDefault="007459A0" w:rsidP="007459A0">
      <w:pPr>
        <w:rPr>
          <w:rFonts w:cs="Times New Roman"/>
          <w:szCs w:val="24"/>
        </w:rPr>
      </w:pPr>
      <w:r w:rsidRPr="00C96BC7">
        <w:rPr>
          <w:rFonts w:cs="Times New Roman"/>
          <w:szCs w:val="24"/>
        </w:rPr>
        <w:t>I høringsrunden var det et klart flertall for utvalgets forslag. 66 p</w:t>
      </w:r>
      <w:r w:rsidR="00297556">
        <w:rPr>
          <w:rFonts w:cs="Times New Roman"/>
          <w:szCs w:val="24"/>
        </w:rPr>
        <w:t xml:space="preserve">st. </w:t>
      </w:r>
      <w:r w:rsidRPr="00C96BC7">
        <w:rPr>
          <w:rFonts w:cs="Times New Roman"/>
          <w:szCs w:val="24"/>
        </w:rPr>
        <w:t>av høringsinstansene samlet sett, og 78 p</w:t>
      </w:r>
      <w:r w:rsidR="00297556">
        <w:rPr>
          <w:rFonts w:cs="Times New Roman"/>
          <w:szCs w:val="24"/>
        </w:rPr>
        <w:t xml:space="preserve">st. </w:t>
      </w:r>
      <w:r w:rsidRPr="00C96BC7">
        <w:rPr>
          <w:rFonts w:cs="Times New Roman"/>
          <w:szCs w:val="24"/>
        </w:rPr>
        <w:t>av fellesrådene, mente adgangen til å kreve kremasjonsavgift burde fjernes. Bare litt over 1 p</w:t>
      </w:r>
      <w:r w:rsidR="00297556">
        <w:rPr>
          <w:rFonts w:cs="Times New Roman"/>
          <w:szCs w:val="24"/>
        </w:rPr>
        <w:t xml:space="preserve">st. </w:t>
      </w:r>
      <w:r w:rsidRPr="00C96BC7">
        <w:rPr>
          <w:rFonts w:cs="Times New Roman"/>
          <w:szCs w:val="24"/>
        </w:rPr>
        <w:t xml:space="preserve">av høringsinstansene gikk imot utvalgets forslag. De øvrige kommenterte ikke spørsmålet. </w:t>
      </w:r>
    </w:p>
    <w:p w:rsidR="007459A0" w:rsidRPr="00C96BC7" w:rsidRDefault="007459A0" w:rsidP="007459A0">
      <w:pPr>
        <w:rPr>
          <w:rFonts w:cs="Times New Roman"/>
          <w:szCs w:val="24"/>
        </w:rPr>
      </w:pPr>
      <w:r w:rsidRPr="00C96BC7">
        <w:rPr>
          <w:rFonts w:cs="Times New Roman"/>
          <w:szCs w:val="24"/>
        </w:rPr>
        <w:t xml:space="preserve">Hovedargumentene fra de som støttet utvalgets forslag, </w:t>
      </w:r>
      <w:r>
        <w:rPr>
          <w:rFonts w:cs="Times New Roman"/>
          <w:szCs w:val="24"/>
        </w:rPr>
        <w:t>var</w:t>
      </w:r>
      <w:r w:rsidRPr="00C96BC7">
        <w:rPr>
          <w:rFonts w:cs="Times New Roman"/>
          <w:szCs w:val="24"/>
        </w:rPr>
        <w:t xml:space="preserve"> likebehandlingsprinsippet og at en fjerning av kremasjonsavgiften ville kunne føre til at flere velger kremasjon framfor kistegravlegging. Mange av fellesrådene var imidlertid tydelige på at man ikke kunne fjerne </w:t>
      </w:r>
      <w:r w:rsidRPr="00C96BC7">
        <w:rPr>
          <w:rFonts w:cs="Times New Roman"/>
          <w:szCs w:val="24"/>
        </w:rPr>
        <w:lastRenderedPageBreak/>
        <w:t>adgangen til å kreve kremasjonsavgift uten at det fulgte tilstrekkelige midler til å dekke fellesrådenes tap av inntekter.</w:t>
      </w:r>
    </w:p>
    <w:p w:rsidR="007459A0" w:rsidRPr="00C96BC7" w:rsidRDefault="007459A0" w:rsidP="007459A0">
      <w:pPr>
        <w:pStyle w:val="Overskrift4"/>
      </w:pPr>
      <w:r w:rsidRPr="00C96BC7">
        <w:t>Økonomiske og administrative konsekvenser</w:t>
      </w:r>
    </w:p>
    <w:p w:rsidR="007459A0" w:rsidRDefault="007459A0" w:rsidP="007459A0">
      <w:pPr>
        <w:rPr>
          <w:rFonts w:cs="Times New Roman"/>
          <w:szCs w:val="24"/>
        </w:rPr>
      </w:pPr>
      <w:r w:rsidRPr="00C96BC7">
        <w:rPr>
          <w:rFonts w:cs="Times New Roman"/>
          <w:szCs w:val="24"/>
        </w:rPr>
        <w:t xml:space="preserve">Gjennomsnittlig kremasjonsavgift var på </w:t>
      </w:r>
      <w:r w:rsidR="00297556">
        <w:rPr>
          <w:rFonts w:cs="Times New Roman"/>
          <w:szCs w:val="24"/>
        </w:rPr>
        <w:t xml:space="preserve">kr </w:t>
      </w:r>
      <w:r w:rsidRPr="00C96BC7">
        <w:rPr>
          <w:rFonts w:cs="Times New Roman"/>
          <w:szCs w:val="24"/>
        </w:rPr>
        <w:t>3</w:t>
      </w:r>
      <w:r w:rsidR="00297556">
        <w:rPr>
          <w:rFonts w:cs="Times New Roman"/>
          <w:szCs w:val="24"/>
        </w:rPr>
        <w:t xml:space="preserve"> </w:t>
      </w:r>
      <w:r w:rsidRPr="00C96BC7">
        <w:rPr>
          <w:rFonts w:cs="Times New Roman"/>
          <w:szCs w:val="24"/>
        </w:rPr>
        <w:t xml:space="preserve">000 i 2012 </w:t>
      </w:r>
      <w:r>
        <w:rPr>
          <w:rFonts w:cs="Times New Roman"/>
          <w:szCs w:val="24"/>
        </w:rPr>
        <w:t>dersom</w:t>
      </w:r>
      <w:r w:rsidRPr="00C96BC7">
        <w:rPr>
          <w:rFonts w:cs="Times New Roman"/>
          <w:szCs w:val="24"/>
        </w:rPr>
        <w:t xml:space="preserve"> man tok utgangspunkt i alle landets 24 krematorier</w:t>
      </w:r>
      <w:r>
        <w:rPr>
          <w:rFonts w:cs="Times New Roman"/>
          <w:szCs w:val="24"/>
        </w:rPr>
        <w:t xml:space="preserve">. </w:t>
      </w:r>
      <w:r w:rsidRPr="00C96BC7">
        <w:rPr>
          <w:rFonts w:cs="Times New Roman"/>
          <w:szCs w:val="24"/>
        </w:rPr>
        <w:t xml:space="preserve">Samlet utgjorde avgiften 40 mill. kroner. Bortfall av brukerbetaling ble foreslått kompensert gjennom økning i rammetilskuddet til kommunene etter objektive kriterier. </w:t>
      </w:r>
    </w:p>
    <w:p w:rsidR="007459A0" w:rsidRPr="00C96BC7" w:rsidRDefault="007459A0" w:rsidP="007459A0">
      <w:pPr>
        <w:rPr>
          <w:rFonts w:cs="Times New Roman"/>
          <w:szCs w:val="24"/>
        </w:rPr>
      </w:pPr>
      <w:r w:rsidRPr="00C96BC7">
        <w:rPr>
          <w:rFonts w:cs="Times New Roman"/>
          <w:szCs w:val="24"/>
        </w:rPr>
        <w:t>Utvalget viste at den samlede ledige kapasiteten ved krematoriene var på 50 pst.</w:t>
      </w:r>
      <w:r>
        <w:rPr>
          <w:rFonts w:cs="Times New Roman"/>
          <w:szCs w:val="24"/>
        </w:rPr>
        <w:t>, og at kapasitetsgrensen ville være nådd</w:t>
      </w:r>
      <w:r w:rsidRPr="00C96BC7">
        <w:rPr>
          <w:rFonts w:cs="Times New Roman"/>
          <w:szCs w:val="24"/>
        </w:rPr>
        <w:t xml:space="preserve"> i 2032 dersom kremasjonsandelen øker med et halvt prosentpoeng hvert år</w:t>
      </w:r>
      <w:r>
        <w:rPr>
          <w:rFonts w:cs="Times New Roman"/>
          <w:szCs w:val="24"/>
        </w:rPr>
        <w:t>.</w:t>
      </w:r>
      <w:r w:rsidRPr="00C96BC7">
        <w:rPr>
          <w:rFonts w:cs="Times New Roman"/>
          <w:szCs w:val="24"/>
        </w:rPr>
        <w:t xml:space="preserve"> </w:t>
      </w:r>
    </w:p>
    <w:p w:rsidR="007459A0" w:rsidRPr="00C96BC7" w:rsidRDefault="007459A0" w:rsidP="007459A0">
      <w:pPr>
        <w:rPr>
          <w:rFonts w:cs="Times New Roman"/>
          <w:szCs w:val="24"/>
        </w:rPr>
      </w:pPr>
      <w:r w:rsidRPr="00C96BC7">
        <w:rPr>
          <w:rFonts w:cs="Times New Roman"/>
          <w:szCs w:val="24"/>
        </w:rPr>
        <w:t xml:space="preserve">Utvalget gjorde ikke tilsvarende kapasitetsvurderinger knyttet til kistegravlegging. </w:t>
      </w:r>
      <w:r>
        <w:rPr>
          <w:rFonts w:cs="Times New Roman"/>
          <w:szCs w:val="24"/>
        </w:rPr>
        <w:t xml:space="preserve">Gravferdsloven pålegger hver kommune at det til enhver tid skal være ledige graver for minst 3 pst. av befolkningen. Utvalget konstaterte at </w:t>
      </w:r>
      <w:r w:rsidRPr="00C96BC7">
        <w:rPr>
          <w:rFonts w:cs="Times New Roman"/>
          <w:szCs w:val="24"/>
        </w:rPr>
        <w:t>en høy kremasjonsprosent ville "føre til lågare arealbehov på gravplassane og dermed utsetje behovet for å utvide gravplassane i kommunen" (s. 71)</w:t>
      </w:r>
      <w:r>
        <w:rPr>
          <w:rFonts w:cs="Times New Roman"/>
          <w:szCs w:val="24"/>
        </w:rPr>
        <w:t xml:space="preserve">. </w:t>
      </w:r>
    </w:p>
    <w:p w:rsidR="007459A0" w:rsidRPr="00C96BC7" w:rsidRDefault="007459A0" w:rsidP="007459A0">
      <w:pPr>
        <w:rPr>
          <w:rFonts w:cs="Times New Roman"/>
          <w:szCs w:val="24"/>
        </w:rPr>
      </w:pPr>
      <w:r w:rsidRPr="00C96BC7">
        <w:rPr>
          <w:rFonts w:cs="Times New Roman"/>
          <w:szCs w:val="24"/>
        </w:rPr>
        <w:t xml:space="preserve">Forut for </w:t>
      </w:r>
      <w:r>
        <w:rPr>
          <w:rFonts w:cs="Times New Roman"/>
          <w:szCs w:val="24"/>
        </w:rPr>
        <w:t xml:space="preserve">at </w:t>
      </w:r>
      <w:r w:rsidRPr="00C96BC7">
        <w:rPr>
          <w:rFonts w:cs="Times New Roman"/>
          <w:szCs w:val="24"/>
        </w:rPr>
        <w:t>Lae-utvalget</w:t>
      </w:r>
      <w:r>
        <w:rPr>
          <w:rFonts w:cs="Times New Roman"/>
          <w:szCs w:val="24"/>
        </w:rPr>
        <w:t xml:space="preserve"> ble oppnevnt, </w:t>
      </w:r>
      <w:r w:rsidRPr="00C96BC7">
        <w:rPr>
          <w:rFonts w:cs="Times New Roman"/>
          <w:szCs w:val="24"/>
        </w:rPr>
        <w:t xml:space="preserve">hadde </w:t>
      </w:r>
      <w:r>
        <w:rPr>
          <w:rFonts w:cs="Times New Roman"/>
          <w:szCs w:val="24"/>
        </w:rPr>
        <w:t xml:space="preserve">den rådende antakelsen </w:t>
      </w:r>
      <w:r w:rsidRPr="00C96BC7">
        <w:rPr>
          <w:rFonts w:cs="Times New Roman"/>
          <w:szCs w:val="24"/>
        </w:rPr>
        <w:t xml:space="preserve">vært </w:t>
      </w:r>
      <w:r>
        <w:rPr>
          <w:rFonts w:cs="Times New Roman"/>
          <w:szCs w:val="24"/>
        </w:rPr>
        <w:t xml:space="preserve">at </w:t>
      </w:r>
      <w:r w:rsidRPr="00C96BC7">
        <w:rPr>
          <w:rFonts w:cs="Times New Roman"/>
          <w:szCs w:val="24"/>
        </w:rPr>
        <w:t xml:space="preserve">kremasjon </w:t>
      </w:r>
      <w:r>
        <w:rPr>
          <w:rFonts w:cs="Times New Roman"/>
          <w:szCs w:val="24"/>
        </w:rPr>
        <w:t>med urnenedsettelse eller askespredning</w:t>
      </w:r>
      <w:r w:rsidRPr="00C96BC7">
        <w:rPr>
          <w:rFonts w:cs="Times New Roman"/>
          <w:szCs w:val="24"/>
        </w:rPr>
        <w:t xml:space="preserve"> </w:t>
      </w:r>
      <w:r>
        <w:rPr>
          <w:rFonts w:cs="Times New Roman"/>
          <w:szCs w:val="24"/>
        </w:rPr>
        <w:t>var en</w:t>
      </w:r>
      <w:r w:rsidRPr="00C96BC7">
        <w:rPr>
          <w:rFonts w:cs="Times New Roman"/>
          <w:szCs w:val="24"/>
        </w:rPr>
        <w:t xml:space="preserve"> mer miljøvennlig </w:t>
      </w:r>
      <w:r>
        <w:rPr>
          <w:rFonts w:cs="Times New Roman"/>
          <w:szCs w:val="24"/>
        </w:rPr>
        <w:t xml:space="preserve">gravleggingsform </w:t>
      </w:r>
      <w:r w:rsidRPr="00C96BC7">
        <w:rPr>
          <w:rFonts w:cs="Times New Roman"/>
          <w:szCs w:val="24"/>
        </w:rPr>
        <w:t xml:space="preserve">enn kistegravlegging, og at en økning i andelen kremasjoner ville føre til mindre plassmangel og være samfunnsøkonomisk lønnsomt. </w:t>
      </w:r>
      <w:r>
        <w:rPr>
          <w:rFonts w:cs="Times New Roman"/>
          <w:szCs w:val="24"/>
        </w:rPr>
        <w:t>Dette fremgår bla</w:t>
      </w:r>
      <w:r w:rsidR="00611C75">
        <w:rPr>
          <w:rFonts w:cs="Times New Roman"/>
          <w:szCs w:val="24"/>
        </w:rPr>
        <w:t>nt annet</w:t>
      </w:r>
      <w:r>
        <w:rPr>
          <w:rFonts w:cs="Times New Roman"/>
          <w:szCs w:val="24"/>
        </w:rPr>
        <w:t xml:space="preserve"> av både stortingskomiteens innstilling</w:t>
      </w:r>
      <w:r w:rsidRPr="00C96BC7">
        <w:rPr>
          <w:rFonts w:cs="Times New Roman"/>
          <w:szCs w:val="24"/>
        </w:rPr>
        <w:t xml:space="preserve"> </w:t>
      </w:r>
      <w:r>
        <w:rPr>
          <w:rFonts w:cs="Times New Roman"/>
          <w:szCs w:val="24"/>
        </w:rPr>
        <w:t>(</w:t>
      </w:r>
      <w:r w:rsidRPr="00C96BC7">
        <w:rPr>
          <w:rFonts w:cs="Times New Roman"/>
          <w:szCs w:val="24"/>
        </w:rPr>
        <w:t>Innst. 393 L (2010</w:t>
      </w:r>
      <w:r>
        <w:rPr>
          <w:rFonts w:cs="Times New Roman"/>
          <w:szCs w:val="24"/>
        </w:rPr>
        <w:t>–</w:t>
      </w:r>
      <w:r w:rsidRPr="00C96BC7">
        <w:rPr>
          <w:rFonts w:cs="Times New Roman"/>
          <w:szCs w:val="24"/>
        </w:rPr>
        <w:t>2011)</w:t>
      </w:r>
      <w:r>
        <w:rPr>
          <w:rFonts w:cs="Times New Roman"/>
          <w:szCs w:val="24"/>
        </w:rPr>
        <w:t xml:space="preserve">) og utvalgets mandat. </w:t>
      </w:r>
      <w:r w:rsidRPr="00C96BC7">
        <w:rPr>
          <w:rFonts w:cs="Times New Roman"/>
          <w:szCs w:val="24"/>
        </w:rPr>
        <w:t xml:space="preserve"> </w:t>
      </w:r>
    </w:p>
    <w:p w:rsidR="007459A0" w:rsidRDefault="007459A0" w:rsidP="007459A0">
      <w:pPr>
        <w:rPr>
          <w:rFonts w:cs="Times New Roman"/>
          <w:szCs w:val="24"/>
        </w:rPr>
      </w:pPr>
      <w:r w:rsidRPr="00C96BC7">
        <w:rPr>
          <w:rFonts w:cs="Times New Roman"/>
          <w:szCs w:val="24"/>
        </w:rPr>
        <w:t xml:space="preserve">Utvalgets undersøkelser viste at det kunne være samfunnsøkonomisk lønnsomt </w:t>
      </w:r>
      <w:r>
        <w:rPr>
          <w:rFonts w:cs="Times New Roman"/>
          <w:szCs w:val="24"/>
        </w:rPr>
        <w:t>om</w:t>
      </w:r>
      <w:r w:rsidRPr="00C96BC7">
        <w:rPr>
          <w:rFonts w:cs="Times New Roman"/>
          <w:szCs w:val="24"/>
        </w:rPr>
        <w:t xml:space="preserve"> andelen kremasjoner </w:t>
      </w:r>
      <w:r>
        <w:rPr>
          <w:rFonts w:cs="Times New Roman"/>
          <w:szCs w:val="24"/>
        </w:rPr>
        <w:t xml:space="preserve">økte </w:t>
      </w:r>
      <w:r w:rsidRPr="00C96BC7">
        <w:rPr>
          <w:rFonts w:cs="Times New Roman"/>
          <w:szCs w:val="24"/>
        </w:rPr>
        <w:t xml:space="preserve">rundt de større byene, men at det tvert imot ville være ulønnsomt i mer grisgrendte strøk med lang avstand til nærmeste krematorium </w:t>
      </w:r>
      <w:r>
        <w:rPr>
          <w:rFonts w:cs="Times New Roman"/>
          <w:szCs w:val="24"/>
        </w:rPr>
        <w:t>(</w:t>
      </w:r>
      <w:r w:rsidRPr="00C96BC7">
        <w:rPr>
          <w:rFonts w:cs="Times New Roman"/>
          <w:szCs w:val="24"/>
        </w:rPr>
        <w:t>44 pst.</w:t>
      </w:r>
      <w:r w:rsidR="00210110">
        <w:rPr>
          <w:rFonts w:cs="Times New Roman"/>
          <w:szCs w:val="24"/>
        </w:rPr>
        <w:t xml:space="preserve"> </w:t>
      </w:r>
      <w:r>
        <w:rPr>
          <w:rFonts w:cs="Times New Roman"/>
          <w:szCs w:val="24"/>
        </w:rPr>
        <w:t xml:space="preserve">av </w:t>
      </w:r>
      <w:r w:rsidR="00C171AC">
        <w:rPr>
          <w:rFonts w:cs="Times New Roman"/>
          <w:szCs w:val="24"/>
        </w:rPr>
        <w:t>befolk</w:t>
      </w:r>
      <w:r>
        <w:rPr>
          <w:rFonts w:cs="Times New Roman"/>
          <w:szCs w:val="24"/>
        </w:rPr>
        <w:t>ningen</w:t>
      </w:r>
      <w:r w:rsidRPr="00C96BC7">
        <w:rPr>
          <w:rFonts w:cs="Times New Roman"/>
          <w:szCs w:val="24"/>
        </w:rPr>
        <w:t xml:space="preserve"> har mer enn 25 km til nærmeste krematorium).</w:t>
      </w:r>
      <w:r w:rsidRPr="006A03D3">
        <w:rPr>
          <w:rFonts w:cs="Times New Roman"/>
          <w:szCs w:val="24"/>
        </w:rPr>
        <w:t xml:space="preserve"> </w:t>
      </w:r>
      <w:r w:rsidRPr="00C96BC7">
        <w:rPr>
          <w:rFonts w:cs="Times New Roman"/>
          <w:szCs w:val="24"/>
        </w:rPr>
        <w:t>Utvalget mente o</w:t>
      </w:r>
      <w:r>
        <w:rPr>
          <w:rFonts w:cs="Times New Roman"/>
          <w:szCs w:val="24"/>
        </w:rPr>
        <w:t>gså at miljøkostnadene var så be</w:t>
      </w:r>
      <w:r w:rsidRPr="00C96BC7">
        <w:rPr>
          <w:rFonts w:cs="Times New Roman"/>
          <w:szCs w:val="24"/>
        </w:rPr>
        <w:t xml:space="preserve">grenset at </w:t>
      </w:r>
      <w:r w:rsidR="00611C75">
        <w:rPr>
          <w:rFonts w:cs="Times New Roman"/>
          <w:szCs w:val="24"/>
        </w:rPr>
        <w:t xml:space="preserve">utvalget </w:t>
      </w:r>
      <w:r w:rsidRPr="00C96BC7">
        <w:rPr>
          <w:rFonts w:cs="Times New Roman"/>
          <w:szCs w:val="24"/>
        </w:rPr>
        <w:t>valgte å se bort fra dem som faktor i beregningene</w:t>
      </w:r>
      <w:r>
        <w:rPr>
          <w:rFonts w:cs="Times New Roman"/>
          <w:szCs w:val="24"/>
        </w:rPr>
        <w:t xml:space="preserve">. </w:t>
      </w:r>
      <w:r w:rsidRPr="00C96BC7">
        <w:rPr>
          <w:rFonts w:cs="Times New Roman"/>
          <w:szCs w:val="24"/>
        </w:rPr>
        <w:t xml:space="preserve"> </w:t>
      </w:r>
    </w:p>
    <w:p w:rsidR="007459A0" w:rsidRPr="00C96BC7" w:rsidRDefault="007459A0" w:rsidP="007459A0">
      <w:pPr>
        <w:rPr>
          <w:rFonts w:cs="Times New Roman"/>
          <w:szCs w:val="24"/>
        </w:rPr>
      </w:pPr>
      <w:r>
        <w:rPr>
          <w:rFonts w:cs="Times New Roman"/>
          <w:szCs w:val="24"/>
        </w:rPr>
        <w:t>Utvalget begrunnet derfor ikke forslaget i verken samfunnsøkonomisk lønnsomhet eller miljøfordeler, men i prinsippet om likebehandling mellom gravferdsformene</w:t>
      </w:r>
      <w:r w:rsidR="00C171AC">
        <w:rPr>
          <w:rFonts w:cs="Times New Roman"/>
          <w:szCs w:val="24"/>
        </w:rPr>
        <w:t>.</w:t>
      </w:r>
      <w:r>
        <w:rPr>
          <w:rFonts w:cs="Times New Roman"/>
          <w:szCs w:val="24"/>
        </w:rPr>
        <w:t xml:space="preserve"> Kremasjon skulle ikke medføre</w:t>
      </w:r>
      <w:r w:rsidRPr="00C96BC7">
        <w:rPr>
          <w:rFonts w:cs="Times New Roman"/>
          <w:szCs w:val="24"/>
        </w:rPr>
        <w:t xml:space="preserve"> en </w:t>
      </w:r>
      <w:r>
        <w:rPr>
          <w:rFonts w:cs="Times New Roman"/>
          <w:szCs w:val="24"/>
        </w:rPr>
        <w:t>merkostnad for de etterlatte. Særlig med tanke på de</w:t>
      </w:r>
      <w:r w:rsidRPr="00C96BC7">
        <w:rPr>
          <w:rFonts w:cs="Times New Roman"/>
          <w:szCs w:val="24"/>
        </w:rPr>
        <w:t xml:space="preserve"> som foretrekker kremasjon ut fra et livssynsmessig ståsted, </w:t>
      </w:r>
      <w:r>
        <w:rPr>
          <w:rFonts w:cs="Times New Roman"/>
          <w:szCs w:val="24"/>
        </w:rPr>
        <w:t>burde</w:t>
      </w:r>
      <w:r w:rsidRPr="00C96BC7">
        <w:rPr>
          <w:rFonts w:cs="Times New Roman"/>
          <w:szCs w:val="24"/>
        </w:rPr>
        <w:t xml:space="preserve"> ikke kremasjon </w:t>
      </w:r>
      <w:r>
        <w:rPr>
          <w:rFonts w:cs="Times New Roman"/>
          <w:szCs w:val="24"/>
        </w:rPr>
        <w:t>utløse</w:t>
      </w:r>
      <w:r w:rsidRPr="00C96BC7">
        <w:rPr>
          <w:rFonts w:cs="Times New Roman"/>
          <w:szCs w:val="24"/>
        </w:rPr>
        <w:t xml:space="preserve"> en merkostnad som annerledes</w:t>
      </w:r>
      <w:r>
        <w:rPr>
          <w:rFonts w:cs="Times New Roman"/>
          <w:szCs w:val="24"/>
        </w:rPr>
        <w:t>-</w:t>
      </w:r>
      <w:r w:rsidRPr="00C96BC7">
        <w:rPr>
          <w:rFonts w:cs="Times New Roman"/>
          <w:szCs w:val="24"/>
        </w:rPr>
        <w:t>troende slapp.</w:t>
      </w:r>
    </w:p>
    <w:p w:rsidR="007459A0" w:rsidRPr="00C96BC7" w:rsidRDefault="007459A0" w:rsidP="007459A0">
      <w:pPr>
        <w:pStyle w:val="Overskrift4"/>
      </w:pPr>
      <w:r>
        <w:t>Departementets vurdering</w:t>
      </w:r>
    </w:p>
    <w:p w:rsidR="007459A0" w:rsidRPr="00C96BC7" w:rsidRDefault="007459A0" w:rsidP="007459A0">
      <w:pPr>
        <w:rPr>
          <w:rFonts w:cs="Times New Roman"/>
          <w:szCs w:val="24"/>
        </w:rPr>
      </w:pPr>
      <w:r w:rsidRPr="00C96BC7">
        <w:rPr>
          <w:rFonts w:cs="Times New Roman"/>
          <w:szCs w:val="24"/>
        </w:rPr>
        <w:t xml:space="preserve">Slik departementet vurderer det, har utredningen fra Lae-utvalget pekt på en rekke forhold av både økonomisk og ikke-økonomisk karakter som gjør at </w:t>
      </w:r>
      <w:r>
        <w:rPr>
          <w:rFonts w:cs="Times New Roman"/>
          <w:szCs w:val="24"/>
        </w:rPr>
        <w:t xml:space="preserve">det </w:t>
      </w:r>
      <w:r w:rsidRPr="00C96BC7">
        <w:rPr>
          <w:rFonts w:cs="Times New Roman"/>
          <w:szCs w:val="24"/>
        </w:rPr>
        <w:t xml:space="preserve">ikke uten videre er tilrådelig å avvikle hjemmelen til å kreve kremasjonsavgift. </w:t>
      </w:r>
    </w:p>
    <w:p w:rsidR="007459A0" w:rsidRPr="00C96BC7" w:rsidRDefault="007459A0" w:rsidP="007459A0">
      <w:pPr>
        <w:rPr>
          <w:rFonts w:cs="Times New Roman"/>
          <w:szCs w:val="24"/>
        </w:rPr>
      </w:pPr>
      <w:r w:rsidRPr="00C96BC7">
        <w:rPr>
          <w:rFonts w:cs="Times New Roman"/>
          <w:szCs w:val="24"/>
        </w:rPr>
        <w:t>For det første har utredningen vist at de samfunnsøkonomiske gevinstene ved kremasjon er vanskelige å realisere tatt i betraktning landets demografi, geografi og allerede eksisterende krematori</w:t>
      </w:r>
      <w:r w:rsidR="00611C75">
        <w:rPr>
          <w:rFonts w:cs="Times New Roman"/>
          <w:szCs w:val="24"/>
        </w:rPr>
        <w:t>ete</w:t>
      </w:r>
      <w:r w:rsidRPr="00C96BC7">
        <w:rPr>
          <w:rFonts w:cs="Times New Roman"/>
          <w:szCs w:val="24"/>
        </w:rPr>
        <w:t>tthet. I de store byene</w:t>
      </w:r>
      <w:r>
        <w:rPr>
          <w:rFonts w:cs="Times New Roman"/>
          <w:szCs w:val="24"/>
        </w:rPr>
        <w:t>,</w:t>
      </w:r>
      <w:r w:rsidRPr="00C96BC7">
        <w:rPr>
          <w:rFonts w:cs="Times New Roman"/>
          <w:szCs w:val="24"/>
        </w:rPr>
        <w:t xml:space="preserve"> hvor kremasjon kan være samfunnsøkonomisk lønnsomt, og også virke plassbesparende, er kremasjonsandelen allerede høy (i Oslo er den over 70 pst., i Bærum over 80 pst.)</w:t>
      </w:r>
      <w:r>
        <w:rPr>
          <w:rFonts w:cs="Times New Roman"/>
          <w:szCs w:val="24"/>
        </w:rPr>
        <w:t>,</w:t>
      </w:r>
      <w:r w:rsidRPr="00C96BC7">
        <w:rPr>
          <w:rFonts w:cs="Times New Roman"/>
          <w:szCs w:val="24"/>
        </w:rPr>
        <w:t xml:space="preserve"> og potensialet for økning </w:t>
      </w:r>
      <w:r>
        <w:rPr>
          <w:rFonts w:cs="Times New Roman"/>
          <w:szCs w:val="24"/>
        </w:rPr>
        <w:t xml:space="preserve">er </w:t>
      </w:r>
      <w:r w:rsidRPr="00C96BC7">
        <w:rPr>
          <w:rFonts w:cs="Times New Roman"/>
          <w:szCs w:val="24"/>
        </w:rPr>
        <w:t xml:space="preserve">dermed begrenset. Dersom en i områdene rundt disse byene (eller andre steder) ønsker å få opp andelen kremasjoner, står kommunene fritt til å redusere eller avvikle kremasjonsavgiften eller innføre andre tiltak som kan gjøre det attraktivt å velge kremasjon. </w:t>
      </w:r>
    </w:p>
    <w:p w:rsidR="007459A0" w:rsidRPr="00C96BC7" w:rsidRDefault="007459A0" w:rsidP="007459A0">
      <w:pPr>
        <w:rPr>
          <w:rFonts w:cs="Times New Roman"/>
          <w:szCs w:val="24"/>
        </w:rPr>
      </w:pPr>
      <w:r w:rsidRPr="00C96BC7">
        <w:rPr>
          <w:rFonts w:cs="Times New Roman"/>
          <w:szCs w:val="24"/>
        </w:rPr>
        <w:t xml:space="preserve">For det andre har utredningen vist at det relativt fort vil bli kapasitetsproblemer ved flere av landets krematorier dersom kremasjonsandelen øker ut over dagens nivå. I flere kommuner </w:t>
      </w:r>
      <w:r w:rsidRPr="00C96BC7">
        <w:rPr>
          <w:rFonts w:cs="Times New Roman"/>
          <w:szCs w:val="24"/>
        </w:rPr>
        <w:lastRenderedPageBreak/>
        <w:t xml:space="preserve">utgjør kremasjonsavgiften en vesentlig del av krematorienes driftsinntekter. Da nye rensekrav kom i 2002, ble disse også i samtlige kommuner finansiert gjennom avgiften. Uten inntekten fra avgiften er det sannsynlig at flere kommuner ville hatt problemer med å finansiere de nye rensekravene, med nedlegging av krematorier som resultat. </w:t>
      </w:r>
    </w:p>
    <w:p w:rsidR="007459A0" w:rsidRPr="00C96BC7" w:rsidRDefault="007459A0" w:rsidP="007459A0">
      <w:pPr>
        <w:rPr>
          <w:rFonts w:cs="Times New Roman"/>
          <w:szCs w:val="24"/>
        </w:rPr>
      </w:pPr>
      <w:r w:rsidRPr="00C96BC7">
        <w:rPr>
          <w:rFonts w:cs="Times New Roman"/>
          <w:szCs w:val="24"/>
        </w:rPr>
        <w:t xml:space="preserve">Departementet er avventende til å avvikle ordninger som gjør det vanskeligere for kommunene å finansiere bygging av nye krematorier eller sørge for fortsatt drift av allerede eksisterende krematorier. Uten miljøfordelen eller </w:t>
      </w:r>
      <w:r>
        <w:rPr>
          <w:rFonts w:cs="Times New Roman"/>
          <w:szCs w:val="24"/>
        </w:rPr>
        <w:t>klare</w:t>
      </w:r>
      <w:r w:rsidRPr="00C96BC7">
        <w:rPr>
          <w:rFonts w:cs="Times New Roman"/>
          <w:szCs w:val="24"/>
        </w:rPr>
        <w:t xml:space="preserve"> samfunnsøkonomiske gevinster kan departementet vanskelig se det som realistisk at staten skal kompensere kommunenes inntektstap gjennom økninger i rammetilskuddet, jf. utvalgets forslag. Departementet mener det ut fra den informasjon </w:t>
      </w:r>
      <w:r>
        <w:rPr>
          <w:rFonts w:cs="Times New Roman"/>
          <w:szCs w:val="24"/>
        </w:rPr>
        <w:t>som foreligger</w:t>
      </w:r>
      <w:r w:rsidRPr="00C96BC7">
        <w:rPr>
          <w:rFonts w:cs="Times New Roman"/>
          <w:szCs w:val="24"/>
        </w:rPr>
        <w:t xml:space="preserve">, ikke er grunnlag for å gå videre med forslaget. </w:t>
      </w:r>
    </w:p>
    <w:p w:rsidR="007459A0" w:rsidRPr="00C96BC7" w:rsidRDefault="007459A0" w:rsidP="007459A0">
      <w:pPr>
        <w:pStyle w:val="Overskrift3"/>
      </w:pPr>
      <w:bookmarkStart w:id="3779" w:name="_Toc477882115"/>
      <w:bookmarkStart w:id="3780" w:name="_Toc477886577"/>
      <w:bookmarkStart w:id="3781" w:name="_Toc478131522"/>
      <w:bookmarkStart w:id="3782" w:name="_Toc478138892"/>
      <w:bookmarkStart w:id="3783" w:name="_Toc478232416"/>
      <w:bookmarkStart w:id="3784" w:name="_Toc478237401"/>
      <w:bookmarkStart w:id="3785" w:name="_Toc481761945"/>
      <w:bookmarkStart w:id="3786" w:name="_Toc492900597"/>
      <w:r w:rsidRPr="00C96BC7">
        <w:t>Innføring av 20 års fri grav for alle</w:t>
      </w:r>
      <w:bookmarkEnd w:id="3779"/>
      <w:bookmarkEnd w:id="3780"/>
      <w:bookmarkEnd w:id="3781"/>
      <w:bookmarkEnd w:id="3782"/>
      <w:bookmarkEnd w:id="3783"/>
      <w:bookmarkEnd w:id="3784"/>
      <w:bookmarkEnd w:id="3785"/>
      <w:bookmarkEnd w:id="3786"/>
    </w:p>
    <w:p w:rsidR="007459A0" w:rsidRPr="00C96BC7" w:rsidRDefault="007459A0" w:rsidP="007459A0">
      <w:pPr>
        <w:rPr>
          <w:rFonts w:cs="Times New Roman"/>
          <w:szCs w:val="24"/>
        </w:rPr>
      </w:pPr>
      <w:r w:rsidRPr="00C96BC7">
        <w:rPr>
          <w:rFonts w:cs="Times New Roman"/>
          <w:szCs w:val="24"/>
        </w:rPr>
        <w:t xml:space="preserve">Etter gjeldende rett vil en tilvist grav fra gravplassforvaltningen utløse 20 betalingsfrie år. Når en kistegrav blir tatt i bruk, er det normalt anledning til å feste (leie) en grav ved siden av, for eksempel for ektefelle. Etter gjeldende rett betales da festeavgift fra første dag, som en betaling for </w:t>
      </w:r>
      <w:r>
        <w:rPr>
          <w:rFonts w:cs="Times New Roman"/>
          <w:szCs w:val="24"/>
        </w:rPr>
        <w:t xml:space="preserve">å </w:t>
      </w:r>
      <w:r w:rsidRPr="00C96BC7">
        <w:rPr>
          <w:rFonts w:cs="Times New Roman"/>
          <w:szCs w:val="24"/>
        </w:rPr>
        <w:t xml:space="preserve">holde av gravareal som ellers kunne vært brukt til gravlegging. Gravlegging i denne festede graven utløser ikke 20 betalingsfrie år. Festeavgiften fastsettes av kommunen etter forslag fra gravplassmyndighet. </w:t>
      </w:r>
    </w:p>
    <w:p w:rsidR="007459A0" w:rsidRPr="00C96BC7" w:rsidRDefault="007459A0" w:rsidP="007459A0">
      <w:pPr>
        <w:rPr>
          <w:rFonts w:cs="Times New Roman"/>
          <w:szCs w:val="24"/>
        </w:rPr>
      </w:pPr>
      <w:r w:rsidRPr="00C96BC7">
        <w:rPr>
          <w:rFonts w:cs="Times New Roman"/>
          <w:szCs w:val="24"/>
        </w:rPr>
        <w:t xml:space="preserve">Lae-utvalget foreslo 20 betalingsfrie år ved alle gravlegginger, uavhengig av bostedskommune og type grav (festet eller tilvist). Etter utløpet av frigravsperioden skulle festeavtale kunne inngås for fem år av gangen. Det skulle fortsatt være frihet til å fastsette prisene lokalt. </w:t>
      </w:r>
    </w:p>
    <w:p w:rsidR="007459A0" w:rsidRPr="00C96BC7" w:rsidRDefault="007459A0" w:rsidP="007459A0">
      <w:pPr>
        <w:rPr>
          <w:rFonts w:cs="Times New Roman"/>
          <w:szCs w:val="24"/>
        </w:rPr>
      </w:pPr>
      <w:r w:rsidRPr="00C96BC7">
        <w:rPr>
          <w:rFonts w:cs="Times New Roman"/>
          <w:szCs w:val="24"/>
        </w:rPr>
        <w:t>Utvalget viste til at regelen oppleves som urimelig</w:t>
      </w:r>
      <w:r>
        <w:rPr>
          <w:rFonts w:cs="Times New Roman"/>
          <w:szCs w:val="24"/>
        </w:rPr>
        <w:t>,</w:t>
      </w:r>
      <w:r w:rsidRPr="00C96BC7">
        <w:rPr>
          <w:rFonts w:cs="Times New Roman"/>
          <w:szCs w:val="24"/>
        </w:rPr>
        <w:t xml:space="preserve"> og den er vanskelig å forklare for de som skal betale. Utvalget mente også at avgiften bryter med prinsippet om likebehandling</w:t>
      </w:r>
      <w:r>
        <w:rPr>
          <w:rFonts w:cs="Times New Roman"/>
          <w:szCs w:val="24"/>
        </w:rPr>
        <w:t>,</w:t>
      </w:r>
      <w:r w:rsidRPr="00C96BC7">
        <w:rPr>
          <w:rFonts w:cs="Times New Roman"/>
          <w:szCs w:val="24"/>
        </w:rPr>
        <w:t xml:space="preserve"> og at gravlegging skal være en offentlig tjeneste som er uten kostnad for alle etterlatte, ikke bare de som velger tilvist grav.</w:t>
      </w:r>
    </w:p>
    <w:p w:rsidR="007459A0" w:rsidRPr="00C96BC7" w:rsidRDefault="007459A0" w:rsidP="007459A0">
      <w:pPr>
        <w:rPr>
          <w:rFonts w:cs="Times New Roman"/>
          <w:szCs w:val="24"/>
        </w:rPr>
      </w:pPr>
      <w:r w:rsidRPr="00C96BC7">
        <w:rPr>
          <w:rFonts w:cs="Times New Roman"/>
          <w:szCs w:val="24"/>
        </w:rPr>
        <w:t xml:space="preserve">I høringsrunden fikk forslaget bred støtte. Nærmere 70 pst. av fellesrådene og 60 pst. av alle høringsinstansene svarte at de støttet forslaget. Hovedargumentene fra de som støttet forslaget, var knyttet til at dette er en avgift folk finner urimelig og ikke forstår. </w:t>
      </w:r>
    </w:p>
    <w:p w:rsidR="007459A0" w:rsidRPr="00C96BC7" w:rsidRDefault="007459A0" w:rsidP="007459A0">
      <w:pPr>
        <w:rPr>
          <w:rFonts w:cs="Times New Roman"/>
          <w:szCs w:val="24"/>
        </w:rPr>
      </w:pPr>
      <w:r w:rsidRPr="00C96BC7">
        <w:rPr>
          <w:rFonts w:cs="Times New Roman"/>
          <w:szCs w:val="24"/>
        </w:rPr>
        <w:t>For langt de fleste fellesråd</w:t>
      </w:r>
      <w:r>
        <w:rPr>
          <w:rFonts w:cs="Times New Roman"/>
          <w:szCs w:val="24"/>
        </w:rPr>
        <w:t>ene</w:t>
      </w:r>
      <w:r w:rsidRPr="00C96BC7">
        <w:rPr>
          <w:rFonts w:cs="Times New Roman"/>
          <w:szCs w:val="24"/>
        </w:rPr>
        <w:t xml:space="preserve"> som støttet utvalgets forslag, var imidlertid økonomisk kompensasjon en forutsetning for støtten. Festeavgiften er den viktigste inntektskilden til mange fellesråd, og flere av høringssvarene bar preg av en frykt for hvordan de skulle klare å opprettholde en god forvaltning av gravplassene uten denne inntektskilden. </w:t>
      </w:r>
    </w:p>
    <w:p w:rsidR="007459A0" w:rsidRPr="009758E9" w:rsidRDefault="007459A0" w:rsidP="007459A0">
      <w:pPr>
        <w:pStyle w:val="Overskrift4"/>
      </w:pPr>
      <w:r w:rsidRPr="009758E9">
        <w:t>Økonomiske og administrative konsekvenser</w:t>
      </w:r>
    </w:p>
    <w:p w:rsidR="007459A0" w:rsidRPr="00C96BC7" w:rsidRDefault="007459A0" w:rsidP="007459A0">
      <w:pPr>
        <w:rPr>
          <w:rFonts w:cs="Times New Roman"/>
          <w:szCs w:val="24"/>
        </w:rPr>
      </w:pPr>
      <w:r w:rsidRPr="00C96BC7">
        <w:rPr>
          <w:rFonts w:cs="Times New Roman"/>
          <w:szCs w:val="24"/>
        </w:rPr>
        <w:t>Ifølge utvalget var gjennomsnittlig festeavgift for kistegraver 177 kroner p</w:t>
      </w:r>
      <w:r w:rsidR="00E57CBC">
        <w:rPr>
          <w:rFonts w:cs="Times New Roman"/>
          <w:szCs w:val="24"/>
        </w:rPr>
        <w:t>er</w:t>
      </w:r>
      <w:r w:rsidRPr="00C96BC7">
        <w:rPr>
          <w:rFonts w:cs="Times New Roman"/>
          <w:szCs w:val="24"/>
        </w:rPr>
        <w:t xml:space="preserve"> år i 2013. Den foreslåtte endringen ville dermed utgjøre et årlig tap av festeavgift på 47 mill. kroner. Dersom retten til fri grav ble utvidet til å gjelde også utenfor bostedskommunen, se omtale </w:t>
      </w:r>
      <w:r>
        <w:rPr>
          <w:rFonts w:cs="Times New Roman"/>
          <w:szCs w:val="24"/>
        </w:rPr>
        <w:t>nedenfor</w:t>
      </w:r>
      <w:r w:rsidRPr="00C96BC7">
        <w:rPr>
          <w:rFonts w:cs="Times New Roman"/>
          <w:szCs w:val="24"/>
        </w:rPr>
        <w:t>, vil det i tillegg utgjøre et tap av festeavgift på 5,2 mill. kroner, totalt 52,2 mill. kroner. Som en forutsetning for denne beregningen har utvalget lagt til grunn at vel halvparten av alle gravlegginger skjer i graver som de etterlatte allerede betaler festeavgift for.</w:t>
      </w:r>
    </w:p>
    <w:p w:rsidR="007459A0" w:rsidRPr="00C96BC7" w:rsidRDefault="007459A0" w:rsidP="007459A0">
      <w:pPr>
        <w:rPr>
          <w:rFonts w:cs="Times New Roman"/>
          <w:szCs w:val="24"/>
        </w:rPr>
      </w:pPr>
      <w:r w:rsidRPr="00C96BC7">
        <w:rPr>
          <w:rFonts w:cs="Times New Roman"/>
          <w:szCs w:val="24"/>
        </w:rPr>
        <w:t>Festeavgiften er en viktig inntektskilde for fellesrådene. Lae-utvalgets nettbaserte undersøkelse sommeren 2013 viste at 94 pst</w:t>
      </w:r>
      <w:r w:rsidR="00E57CBC">
        <w:rPr>
          <w:rFonts w:cs="Times New Roman"/>
          <w:szCs w:val="24"/>
        </w:rPr>
        <w:t>.</w:t>
      </w:r>
      <w:r w:rsidRPr="00C96BC7">
        <w:rPr>
          <w:rFonts w:cs="Times New Roman"/>
          <w:szCs w:val="24"/>
        </w:rPr>
        <w:t xml:space="preserve"> krevde festeavgift for kistegraver og 87 p</w:t>
      </w:r>
      <w:r w:rsidR="00E57CBC">
        <w:rPr>
          <w:rFonts w:cs="Times New Roman"/>
          <w:szCs w:val="24"/>
        </w:rPr>
        <w:t xml:space="preserve">st. </w:t>
      </w:r>
      <w:r w:rsidRPr="00C96BC7">
        <w:rPr>
          <w:rFonts w:cs="Times New Roman"/>
          <w:szCs w:val="24"/>
        </w:rPr>
        <w:t xml:space="preserve">for urnegraver. Videre la utvalget ut fra sine undersøkelser til grunn at om lag halvparten av alle gravlegginger skjer i graver de etterlatte allerede betaler festeavgift for. I 2013 var det rundt 2,4 mill. graver som var tatt i bruk og 1,3 mill. avtaler om festeavgift, med en gjennomsnittlig </w:t>
      </w:r>
      <w:r w:rsidRPr="00C96BC7">
        <w:rPr>
          <w:rFonts w:cs="Times New Roman"/>
          <w:szCs w:val="24"/>
        </w:rPr>
        <w:lastRenderedPageBreak/>
        <w:t>festeavgift for kistegraver på 177 kroner p</w:t>
      </w:r>
      <w:r w:rsidR="00597C07">
        <w:rPr>
          <w:rFonts w:cs="Times New Roman"/>
          <w:szCs w:val="24"/>
        </w:rPr>
        <w:t>e</w:t>
      </w:r>
      <w:r w:rsidRPr="00C96BC7">
        <w:rPr>
          <w:rFonts w:cs="Times New Roman"/>
          <w:szCs w:val="24"/>
        </w:rPr>
        <w:t>r år. Satsene for hva som kreves i festeavgift varierer</w:t>
      </w:r>
      <w:r>
        <w:rPr>
          <w:rFonts w:cs="Times New Roman"/>
          <w:szCs w:val="24"/>
        </w:rPr>
        <w:t xml:space="preserve"> betydelig</w:t>
      </w:r>
      <w:r w:rsidRPr="00C96BC7">
        <w:rPr>
          <w:rFonts w:cs="Times New Roman"/>
          <w:szCs w:val="24"/>
        </w:rPr>
        <w:t>, i likhet med lengden på festeperioden.</w:t>
      </w:r>
    </w:p>
    <w:p w:rsidR="007459A0" w:rsidRPr="00C96BC7" w:rsidRDefault="007459A0" w:rsidP="007459A0">
      <w:pPr>
        <w:rPr>
          <w:rFonts w:cs="Times New Roman"/>
          <w:szCs w:val="24"/>
        </w:rPr>
      </w:pPr>
      <w:r w:rsidRPr="00C96BC7">
        <w:rPr>
          <w:rFonts w:cs="Times New Roman"/>
          <w:szCs w:val="24"/>
        </w:rPr>
        <w:t xml:space="preserve">Festeavgiften er en inntektskilde for gravplassforvaltningen som gir kommunen mulighet til å ta lokale hensyn ved fastsetting av nivået </w:t>
      </w:r>
      <w:r>
        <w:rPr>
          <w:rFonts w:cs="Times New Roman"/>
          <w:szCs w:val="24"/>
        </w:rPr>
        <w:t xml:space="preserve">på </w:t>
      </w:r>
      <w:r w:rsidRPr="00C96BC7">
        <w:rPr>
          <w:rFonts w:cs="Times New Roman"/>
          <w:szCs w:val="24"/>
        </w:rPr>
        <w:t xml:space="preserve">avgiften. Det er ingen rettslige grenser for hva festeavgiften skal dekke. I Bergen har en for eksempel lagt til grunn at festeavgiften skal dekke en stor del av utgiftene i </w:t>
      </w:r>
      <w:r>
        <w:rPr>
          <w:rFonts w:cs="Times New Roman"/>
          <w:szCs w:val="24"/>
        </w:rPr>
        <w:t>forbindelse med graven</w:t>
      </w:r>
      <w:r w:rsidRPr="00C96BC7">
        <w:rPr>
          <w:rFonts w:cs="Times New Roman"/>
          <w:szCs w:val="24"/>
        </w:rPr>
        <w:t>; etablering, vedlikehold og administrasjon</w:t>
      </w:r>
      <w:r>
        <w:rPr>
          <w:rFonts w:cs="Times New Roman"/>
          <w:szCs w:val="24"/>
        </w:rPr>
        <w:t xml:space="preserve"> (15 pst</w:t>
      </w:r>
      <w:r w:rsidR="00597C07">
        <w:rPr>
          <w:rFonts w:cs="Times New Roman"/>
          <w:szCs w:val="24"/>
        </w:rPr>
        <w:t>.</w:t>
      </w:r>
      <w:r>
        <w:rPr>
          <w:rFonts w:cs="Times New Roman"/>
          <w:szCs w:val="24"/>
        </w:rPr>
        <w:t>)</w:t>
      </w:r>
      <w:r w:rsidRPr="00C96BC7">
        <w:rPr>
          <w:rFonts w:cs="Times New Roman"/>
          <w:szCs w:val="24"/>
        </w:rPr>
        <w:t xml:space="preserve">. </w:t>
      </w:r>
    </w:p>
    <w:p w:rsidR="007459A0" w:rsidRPr="00C96BC7" w:rsidRDefault="007459A0" w:rsidP="007459A0">
      <w:pPr>
        <w:rPr>
          <w:rFonts w:cs="Times New Roman"/>
          <w:szCs w:val="24"/>
        </w:rPr>
      </w:pPr>
      <w:r w:rsidRPr="00C96BC7">
        <w:rPr>
          <w:rFonts w:cs="Times New Roman"/>
          <w:szCs w:val="24"/>
        </w:rPr>
        <w:t>Ved å ta bort adgangen til å kreve festeavgift de første 20 årene etter a</w:t>
      </w:r>
      <w:r w:rsidR="00A23634">
        <w:rPr>
          <w:rFonts w:cs="Times New Roman"/>
          <w:szCs w:val="24"/>
        </w:rPr>
        <w:t>t</w:t>
      </w:r>
      <w:r w:rsidRPr="00C96BC7">
        <w:rPr>
          <w:rFonts w:cs="Times New Roman"/>
          <w:szCs w:val="24"/>
        </w:rPr>
        <w:t xml:space="preserve"> graven er tatt i bruk, vil kommunene og gravplassforvalter få mindre rom til å justere inntektene etter lokale behov. Dette kan imidlertid til en viss grad kompenseres ved for eksempel å øke festeavgiften for ubrukte graver og for graver der det er mer enn 20 år siden siste gravlegging. </w:t>
      </w:r>
    </w:p>
    <w:p w:rsidR="007459A0" w:rsidRPr="009758E9" w:rsidRDefault="007459A0" w:rsidP="007459A0">
      <w:pPr>
        <w:pStyle w:val="Overskrift4"/>
      </w:pPr>
      <w:r w:rsidRPr="009758E9">
        <w:t>Departementets vurdering</w:t>
      </w:r>
    </w:p>
    <w:p w:rsidR="00947AEA" w:rsidRDefault="007459A0" w:rsidP="007459A0">
      <w:pPr>
        <w:rPr>
          <w:rFonts w:cs="Times New Roman"/>
          <w:szCs w:val="24"/>
        </w:rPr>
      </w:pPr>
      <w:r w:rsidRPr="00C96BC7">
        <w:rPr>
          <w:rFonts w:cs="Times New Roman"/>
          <w:szCs w:val="24"/>
        </w:rPr>
        <w:t xml:space="preserve">I dagens lovgivning er det </w:t>
      </w:r>
      <w:r w:rsidR="00597C07">
        <w:rPr>
          <w:rFonts w:cs="Times New Roman"/>
          <w:szCs w:val="24"/>
        </w:rPr>
        <w:t xml:space="preserve">som nevnt </w:t>
      </w:r>
      <w:r w:rsidRPr="00C96BC7">
        <w:rPr>
          <w:rFonts w:cs="Times New Roman"/>
          <w:szCs w:val="24"/>
        </w:rPr>
        <w:t xml:space="preserve">anledning til å kreve festeavgift fra første dag </w:t>
      </w:r>
      <w:r w:rsidR="00C878EC">
        <w:rPr>
          <w:rFonts w:cs="Times New Roman"/>
          <w:szCs w:val="24"/>
        </w:rPr>
        <w:t xml:space="preserve">en grav reserveres for senere bruk. </w:t>
      </w:r>
      <w:r w:rsidRPr="00C96BC7">
        <w:rPr>
          <w:rFonts w:cs="Times New Roman"/>
          <w:szCs w:val="24"/>
        </w:rPr>
        <w:t>Festeavgiften synliggjør kostnadene ved å la graven stå ubrukt</w:t>
      </w:r>
      <w:r w:rsidR="00C878EC">
        <w:rPr>
          <w:rFonts w:cs="Times New Roman"/>
          <w:szCs w:val="24"/>
        </w:rPr>
        <w:t>.</w:t>
      </w:r>
      <w:r w:rsidRPr="00C96BC7">
        <w:rPr>
          <w:rFonts w:cs="Times New Roman"/>
          <w:szCs w:val="24"/>
        </w:rPr>
        <w:t xml:space="preserve"> </w:t>
      </w:r>
      <w:r w:rsidR="00947AEA">
        <w:rPr>
          <w:rFonts w:cs="Times New Roman"/>
          <w:szCs w:val="24"/>
        </w:rPr>
        <w:t xml:space="preserve">Forslaget fra Lae-utvalget om at det ikke skal kunne kreves festavgift for </w:t>
      </w:r>
      <w:r w:rsidR="00C878EC">
        <w:rPr>
          <w:rFonts w:cs="Times New Roman"/>
          <w:szCs w:val="24"/>
        </w:rPr>
        <w:t xml:space="preserve">den </w:t>
      </w:r>
      <w:r w:rsidR="00947AEA">
        <w:rPr>
          <w:rFonts w:cs="Times New Roman"/>
          <w:szCs w:val="24"/>
        </w:rPr>
        <w:t>res</w:t>
      </w:r>
      <w:r w:rsidR="00C878EC">
        <w:rPr>
          <w:rFonts w:cs="Times New Roman"/>
          <w:szCs w:val="24"/>
        </w:rPr>
        <w:t>e</w:t>
      </w:r>
      <w:r w:rsidR="00947AEA">
        <w:rPr>
          <w:rFonts w:cs="Times New Roman"/>
          <w:szCs w:val="24"/>
        </w:rPr>
        <w:t xml:space="preserve">rverte graven </w:t>
      </w:r>
      <w:r w:rsidR="00C878EC">
        <w:rPr>
          <w:rFonts w:cs="Times New Roman"/>
          <w:szCs w:val="24"/>
        </w:rPr>
        <w:t xml:space="preserve">når den tas i bruk, men at regelen om 20 års fri grav bør gjøres gjeldende også i dette tilfellet, fikk stor oppslutning i høringen. </w:t>
      </w:r>
    </w:p>
    <w:p w:rsidR="00292C30" w:rsidRPr="004D0FF0" w:rsidRDefault="00C878EC" w:rsidP="00292C30">
      <w:r>
        <w:rPr>
          <w:rFonts w:cs="Times New Roman"/>
          <w:szCs w:val="24"/>
        </w:rPr>
        <w:t xml:space="preserve">Departementet </w:t>
      </w:r>
      <w:r w:rsidR="00B51CDD">
        <w:rPr>
          <w:rFonts w:cs="Times New Roman"/>
          <w:szCs w:val="24"/>
        </w:rPr>
        <w:t xml:space="preserve">mener det er gode grunner for fortsatt å kunne kreve betaling for feste av grav som ikke er tilvist av gravplassmyndigheten, men valgt og utpekt av gravfester. </w:t>
      </w:r>
      <w:r w:rsidR="00292C30">
        <w:rPr>
          <w:rFonts w:cs="Times New Roman"/>
          <w:szCs w:val="24"/>
        </w:rPr>
        <w:t>Festeren betaler for en rettighet</w:t>
      </w:r>
      <w:r w:rsidR="00597C07">
        <w:rPr>
          <w:rFonts w:cs="Times New Roman"/>
          <w:szCs w:val="24"/>
        </w:rPr>
        <w:t xml:space="preserve">, dvs. </w:t>
      </w:r>
      <w:r w:rsidR="00292C30">
        <w:rPr>
          <w:rFonts w:cs="Times New Roman"/>
          <w:szCs w:val="24"/>
        </w:rPr>
        <w:t>gravens plassering</w:t>
      </w:r>
      <w:r w:rsidR="00597C07">
        <w:rPr>
          <w:rFonts w:cs="Times New Roman"/>
          <w:szCs w:val="24"/>
        </w:rPr>
        <w:t xml:space="preserve"> på gravplassen</w:t>
      </w:r>
      <w:r w:rsidR="00292C30">
        <w:rPr>
          <w:rFonts w:cs="Times New Roman"/>
          <w:szCs w:val="24"/>
        </w:rPr>
        <w:t xml:space="preserve">. </w:t>
      </w:r>
      <w:r w:rsidR="00AC0A72">
        <w:rPr>
          <w:rFonts w:cs="Times New Roman"/>
          <w:szCs w:val="24"/>
        </w:rPr>
        <w:t>Etter departementets syn kan det ikke i dette spørsmålet være avgjørende om graven er tatt i bruk eller ikke. Lovgivningen stiller ellers ikke krav om betaling i disse tilfellene, men åpner for fleksibilitet og lokale avgjørelser i spørsmålet.</w:t>
      </w:r>
      <w:r w:rsidR="00A83811">
        <w:rPr>
          <w:rFonts w:cs="Times New Roman"/>
          <w:szCs w:val="24"/>
        </w:rPr>
        <w:t xml:space="preserve"> Om lokal gravplassmyndighet velger å gjennomføre forslaget</w:t>
      </w:r>
      <w:r w:rsidR="00C0701F" w:rsidRPr="00C0701F">
        <w:rPr>
          <w:rFonts w:cs="Times New Roman"/>
          <w:szCs w:val="24"/>
        </w:rPr>
        <w:t xml:space="preserve"> </w:t>
      </w:r>
      <w:r w:rsidR="00C0701F">
        <w:rPr>
          <w:rFonts w:cs="Times New Roman"/>
          <w:szCs w:val="24"/>
        </w:rPr>
        <w:t xml:space="preserve">fra Lae-utvalget om ikke å kreve festeavgift (i 20 år) for reservert grav når denne tas i bruk, vil det </w:t>
      </w:r>
      <w:r w:rsidR="00A83811">
        <w:rPr>
          <w:rFonts w:cs="Times New Roman"/>
          <w:szCs w:val="24"/>
        </w:rPr>
        <w:t xml:space="preserve">være et lokalt ansvar å utrede de økonomiske </w:t>
      </w:r>
      <w:r w:rsidR="00C0701F">
        <w:rPr>
          <w:rFonts w:cs="Times New Roman"/>
          <w:szCs w:val="24"/>
        </w:rPr>
        <w:t xml:space="preserve">konsekvensene. </w:t>
      </w:r>
      <w:r w:rsidR="00E57CBC">
        <w:rPr>
          <w:rFonts w:cs="Times New Roman"/>
          <w:szCs w:val="24"/>
        </w:rPr>
        <w:t>Etter d</w:t>
      </w:r>
      <w:r w:rsidR="00C0701F">
        <w:rPr>
          <w:rFonts w:cs="Times New Roman"/>
          <w:szCs w:val="24"/>
        </w:rPr>
        <w:t>epartementet</w:t>
      </w:r>
      <w:r w:rsidR="00E57CBC">
        <w:rPr>
          <w:rFonts w:cs="Times New Roman"/>
          <w:szCs w:val="24"/>
        </w:rPr>
        <w:t>s syn er</w:t>
      </w:r>
      <w:r w:rsidR="00C0701F">
        <w:rPr>
          <w:rFonts w:cs="Times New Roman"/>
          <w:szCs w:val="24"/>
        </w:rPr>
        <w:t xml:space="preserve"> </w:t>
      </w:r>
      <w:r w:rsidR="00292C30">
        <w:rPr>
          <w:rFonts w:cs="Times New Roman"/>
          <w:szCs w:val="24"/>
        </w:rPr>
        <w:t xml:space="preserve">denne typen </w:t>
      </w:r>
      <w:r w:rsidR="00C0701F">
        <w:rPr>
          <w:rFonts w:cs="Times New Roman"/>
          <w:szCs w:val="24"/>
        </w:rPr>
        <w:t xml:space="preserve">spørsmål </w:t>
      </w:r>
      <w:r w:rsidR="00E57CBC">
        <w:rPr>
          <w:rFonts w:cs="Times New Roman"/>
          <w:szCs w:val="24"/>
        </w:rPr>
        <w:t xml:space="preserve">godt </w:t>
      </w:r>
      <w:r w:rsidR="00C0701F">
        <w:rPr>
          <w:rFonts w:cs="Times New Roman"/>
          <w:szCs w:val="24"/>
        </w:rPr>
        <w:t>egnet for lokal</w:t>
      </w:r>
      <w:r w:rsidR="00292C30">
        <w:rPr>
          <w:rFonts w:cs="Times New Roman"/>
          <w:szCs w:val="24"/>
        </w:rPr>
        <w:t>e vurderinger og vedtak</w:t>
      </w:r>
      <w:r w:rsidR="00E57CBC">
        <w:rPr>
          <w:rFonts w:cs="Times New Roman"/>
          <w:szCs w:val="24"/>
        </w:rPr>
        <w:t xml:space="preserve">, og ser ikke grunn til å foreslå forbud mot å kreve festeavgift i disse tilfellene. </w:t>
      </w:r>
      <w:bookmarkStart w:id="3787" w:name="_Toc477882116"/>
      <w:bookmarkStart w:id="3788" w:name="_Toc477886578"/>
      <w:bookmarkStart w:id="3789" w:name="_Toc478131523"/>
      <w:bookmarkStart w:id="3790" w:name="_Toc478138893"/>
    </w:p>
    <w:p w:rsidR="007459A0" w:rsidRPr="00C96BC7" w:rsidRDefault="007459A0" w:rsidP="007459A0">
      <w:pPr>
        <w:pStyle w:val="Overskrift3"/>
      </w:pPr>
      <w:bookmarkStart w:id="3791" w:name="_Toc478232417"/>
      <w:bookmarkStart w:id="3792" w:name="_Toc478237402"/>
      <w:bookmarkStart w:id="3793" w:name="_Toc481761946"/>
      <w:bookmarkStart w:id="3794" w:name="_Toc492900598"/>
      <w:r w:rsidRPr="00C96BC7">
        <w:t>Rett til fri grav utenfor bostedskommunen</w:t>
      </w:r>
      <w:bookmarkEnd w:id="3787"/>
      <w:bookmarkEnd w:id="3788"/>
      <w:bookmarkEnd w:id="3789"/>
      <w:bookmarkEnd w:id="3790"/>
      <w:bookmarkEnd w:id="3791"/>
      <w:bookmarkEnd w:id="3792"/>
      <w:bookmarkEnd w:id="3793"/>
      <w:bookmarkEnd w:id="3794"/>
    </w:p>
    <w:p w:rsidR="007459A0" w:rsidRPr="00C96BC7" w:rsidRDefault="007459A0" w:rsidP="007459A0">
      <w:pPr>
        <w:rPr>
          <w:rFonts w:cs="Times New Roman"/>
          <w:szCs w:val="24"/>
        </w:rPr>
      </w:pPr>
      <w:r w:rsidRPr="00C96BC7">
        <w:rPr>
          <w:rFonts w:cs="Times New Roman"/>
          <w:szCs w:val="24"/>
        </w:rPr>
        <w:t xml:space="preserve">Det fremgår av gravferdsloven § 6 at alle har rett til fri grav på gravplass i den kommunen der de er bosatt. </w:t>
      </w:r>
      <w:r>
        <w:rPr>
          <w:rFonts w:cs="Times New Roman"/>
          <w:szCs w:val="24"/>
        </w:rPr>
        <w:t>Gravplass</w:t>
      </w:r>
      <w:r w:rsidRPr="00C96BC7">
        <w:rPr>
          <w:rFonts w:cs="Times New Roman"/>
          <w:szCs w:val="24"/>
        </w:rPr>
        <w:t>myndigheten kan i dag gi tillatelse til at også personer som ikke er bosatt i kommunen, gravlegges på gravplass i kommunen. Det kan da kreves at de etterlatte dekker kostnadene</w:t>
      </w:r>
      <w:r>
        <w:rPr>
          <w:rFonts w:cs="Times New Roman"/>
          <w:szCs w:val="24"/>
        </w:rPr>
        <w:t>,</w:t>
      </w:r>
      <w:r w:rsidRPr="00C96BC7">
        <w:rPr>
          <w:rFonts w:cs="Times New Roman"/>
          <w:szCs w:val="24"/>
        </w:rPr>
        <w:t xml:space="preserve"> og det kan kreves festeavgift fra første dag. </w:t>
      </w:r>
    </w:p>
    <w:p w:rsidR="007459A0" w:rsidRPr="00C96BC7" w:rsidRDefault="007459A0" w:rsidP="007459A0">
      <w:pPr>
        <w:rPr>
          <w:rFonts w:cs="Times New Roman"/>
          <w:szCs w:val="24"/>
        </w:rPr>
      </w:pPr>
      <w:r w:rsidRPr="00C96BC7">
        <w:rPr>
          <w:rFonts w:cs="Times New Roman"/>
          <w:szCs w:val="24"/>
        </w:rPr>
        <w:t>Utvalget foreslo at retten til fri grav skulle gjøres uavhengig av bosted</w:t>
      </w:r>
      <w:r>
        <w:rPr>
          <w:rFonts w:cs="Times New Roman"/>
          <w:szCs w:val="24"/>
        </w:rPr>
        <w:t>,</w:t>
      </w:r>
      <w:r w:rsidRPr="00C96BC7">
        <w:rPr>
          <w:rFonts w:cs="Times New Roman"/>
          <w:szCs w:val="24"/>
        </w:rPr>
        <w:t xml:space="preserve"> og at kommunene skulle være pliktige til å ta imot gravlegging av personer som ikke var bosatt i kommunen. </w:t>
      </w:r>
    </w:p>
    <w:p w:rsidR="007459A0" w:rsidRPr="00C96BC7" w:rsidRDefault="007459A0" w:rsidP="007459A0">
      <w:pPr>
        <w:rPr>
          <w:rFonts w:cs="Times New Roman"/>
          <w:szCs w:val="24"/>
        </w:rPr>
      </w:pPr>
      <w:r w:rsidRPr="00C96BC7">
        <w:rPr>
          <w:rFonts w:cs="Times New Roman"/>
          <w:szCs w:val="24"/>
        </w:rPr>
        <w:t xml:space="preserve">I høringsrunden møtte </w:t>
      </w:r>
      <w:r>
        <w:rPr>
          <w:rFonts w:cs="Times New Roman"/>
          <w:szCs w:val="24"/>
        </w:rPr>
        <w:t xml:space="preserve">dette </w:t>
      </w:r>
      <w:r w:rsidRPr="00C96BC7">
        <w:rPr>
          <w:rFonts w:cs="Times New Roman"/>
          <w:szCs w:val="24"/>
        </w:rPr>
        <w:t>forslag</w:t>
      </w:r>
      <w:r>
        <w:rPr>
          <w:rFonts w:cs="Times New Roman"/>
          <w:szCs w:val="24"/>
        </w:rPr>
        <w:t>et</w:t>
      </w:r>
      <w:r w:rsidRPr="00C96BC7">
        <w:rPr>
          <w:rFonts w:cs="Times New Roman"/>
          <w:szCs w:val="24"/>
        </w:rPr>
        <w:t xml:space="preserve"> større motstand enn de øvrige forslagene.</w:t>
      </w:r>
      <w:r>
        <w:rPr>
          <w:rFonts w:cs="Times New Roman"/>
          <w:szCs w:val="24"/>
        </w:rPr>
        <w:t xml:space="preserve"> Argumentene gikk da først og fremst på at en ikke hadde plass til å ta imot utenbygds gravlegging</w:t>
      </w:r>
      <w:r w:rsidRPr="00C96BC7">
        <w:rPr>
          <w:rFonts w:cs="Times New Roman"/>
          <w:szCs w:val="24"/>
        </w:rPr>
        <w:t xml:space="preserve"> </w:t>
      </w:r>
      <w:r>
        <w:rPr>
          <w:rFonts w:cs="Times New Roman"/>
          <w:szCs w:val="24"/>
        </w:rPr>
        <w:t>og at det var</w:t>
      </w:r>
      <w:r w:rsidRPr="00C96BC7">
        <w:rPr>
          <w:rFonts w:cs="Times New Roman"/>
          <w:szCs w:val="24"/>
        </w:rPr>
        <w:t xml:space="preserve"> utfordringer knyttet til planlegging og budsjettering av en slik ordning</w:t>
      </w:r>
      <w:r>
        <w:rPr>
          <w:rFonts w:cs="Times New Roman"/>
          <w:szCs w:val="24"/>
        </w:rPr>
        <w:t>. Flere</w:t>
      </w:r>
      <w:r w:rsidRPr="00C96BC7">
        <w:rPr>
          <w:rFonts w:cs="Times New Roman"/>
          <w:szCs w:val="24"/>
        </w:rPr>
        <w:t xml:space="preserve"> viste også til at rettighetsregelverket på andre områder er knyttet til bostedskommune, og at det ikke bur</w:t>
      </w:r>
      <w:r>
        <w:rPr>
          <w:rFonts w:cs="Times New Roman"/>
          <w:szCs w:val="24"/>
        </w:rPr>
        <w:t>de gjelde noe annet for gravpla</w:t>
      </w:r>
      <w:r w:rsidRPr="00C96BC7">
        <w:rPr>
          <w:rFonts w:cs="Times New Roman"/>
          <w:szCs w:val="24"/>
        </w:rPr>
        <w:t xml:space="preserve">ssektoren. I Oslo ble det særlig pekt på plassutfordringer </w:t>
      </w:r>
      <w:r>
        <w:rPr>
          <w:rFonts w:cs="Times New Roman"/>
          <w:szCs w:val="24"/>
        </w:rPr>
        <w:t>på</w:t>
      </w:r>
      <w:r w:rsidRPr="00C96BC7">
        <w:rPr>
          <w:rFonts w:cs="Times New Roman"/>
          <w:szCs w:val="24"/>
        </w:rPr>
        <w:t xml:space="preserve"> muslimske grav</w:t>
      </w:r>
      <w:r>
        <w:rPr>
          <w:rFonts w:cs="Times New Roman"/>
          <w:szCs w:val="24"/>
        </w:rPr>
        <w:t>felt,</w:t>
      </w:r>
      <w:r w:rsidRPr="00C96BC7">
        <w:rPr>
          <w:rFonts w:cs="Times New Roman"/>
          <w:szCs w:val="24"/>
        </w:rPr>
        <w:t xml:space="preserve"> og at utvalgets forslag ville gjøre det vanskelig å ha tilstrekkelig areal, forutse behov og drive langsiktig arbeid.</w:t>
      </w:r>
    </w:p>
    <w:p w:rsidR="007459A0" w:rsidRPr="009758E9" w:rsidRDefault="007459A0" w:rsidP="007459A0">
      <w:pPr>
        <w:pStyle w:val="Overskrift4"/>
      </w:pPr>
      <w:r w:rsidRPr="009758E9">
        <w:lastRenderedPageBreak/>
        <w:t>Økonomiske og administrative konsekvenser</w:t>
      </w:r>
    </w:p>
    <w:p w:rsidR="007459A0" w:rsidRPr="00C96BC7" w:rsidRDefault="007459A0" w:rsidP="007459A0">
      <w:pPr>
        <w:rPr>
          <w:rFonts w:cs="Times New Roman"/>
          <w:szCs w:val="24"/>
        </w:rPr>
      </w:pPr>
      <w:r w:rsidRPr="00C96BC7">
        <w:rPr>
          <w:rFonts w:cs="Times New Roman"/>
          <w:szCs w:val="24"/>
        </w:rPr>
        <w:t>Ifølge utvalget utgjorde kostnadsdekning ved utenbygds gravlegging 12,1 mill. kroner i 2013, hvorav Oslo alene tok inn over 2,7 mill. kroner. I tillegg la utvalget til grunn at 56 prosent av gravplassforvaltningene tar festeavgift fra første dag ved utenbygds gravlegging. Slik festeavgift utgjorde 5,2 mill. kroner i 2012, se NOU 2014:</w:t>
      </w:r>
      <w:r>
        <w:rPr>
          <w:rFonts w:cs="Times New Roman"/>
          <w:szCs w:val="24"/>
        </w:rPr>
        <w:t xml:space="preserve"> </w:t>
      </w:r>
      <w:r w:rsidRPr="00C96BC7">
        <w:rPr>
          <w:rFonts w:cs="Times New Roman"/>
          <w:szCs w:val="24"/>
        </w:rPr>
        <w:t xml:space="preserve">2 s. 118f.  </w:t>
      </w:r>
    </w:p>
    <w:p w:rsidR="007459A0" w:rsidRDefault="007459A0" w:rsidP="007459A0">
      <w:pPr>
        <w:rPr>
          <w:rFonts w:cs="Times New Roman"/>
          <w:szCs w:val="24"/>
        </w:rPr>
      </w:pPr>
      <w:r w:rsidRPr="00C96BC7">
        <w:rPr>
          <w:rFonts w:cs="Times New Roman"/>
          <w:szCs w:val="24"/>
        </w:rPr>
        <w:t>Utvalget</w:t>
      </w:r>
      <w:r>
        <w:rPr>
          <w:rFonts w:cs="Times New Roman"/>
          <w:szCs w:val="24"/>
        </w:rPr>
        <w:t xml:space="preserve"> </w:t>
      </w:r>
      <w:r w:rsidRPr="00C96BC7">
        <w:rPr>
          <w:rFonts w:cs="Times New Roman"/>
          <w:szCs w:val="24"/>
        </w:rPr>
        <w:t>for</w:t>
      </w:r>
      <w:r w:rsidR="00950A53">
        <w:rPr>
          <w:rFonts w:cs="Times New Roman"/>
          <w:szCs w:val="24"/>
        </w:rPr>
        <w:t>e</w:t>
      </w:r>
      <w:r w:rsidRPr="00C96BC7">
        <w:rPr>
          <w:rFonts w:cs="Times New Roman"/>
          <w:szCs w:val="24"/>
        </w:rPr>
        <w:t>sl</w:t>
      </w:r>
      <w:r>
        <w:rPr>
          <w:rFonts w:cs="Times New Roman"/>
          <w:szCs w:val="24"/>
        </w:rPr>
        <w:t>o</w:t>
      </w:r>
      <w:r w:rsidRPr="00C96BC7">
        <w:rPr>
          <w:rFonts w:cs="Times New Roman"/>
          <w:szCs w:val="24"/>
        </w:rPr>
        <w:t xml:space="preserve"> </w:t>
      </w:r>
      <w:r>
        <w:rPr>
          <w:rFonts w:cs="Times New Roman"/>
          <w:szCs w:val="24"/>
        </w:rPr>
        <w:t xml:space="preserve">en oppgjørsordning mellom kommunene som skulle fastsettes av departementet i forskrift etter tre ulike satser. Ordningen skulle være basert på at kommunene sendte regning. Utvalget foreslo </w:t>
      </w:r>
      <w:r w:rsidRPr="00C96BC7">
        <w:rPr>
          <w:rFonts w:cs="Times New Roman"/>
          <w:szCs w:val="24"/>
        </w:rPr>
        <w:t xml:space="preserve">at tapte inntekter fra brukerbetaling skulle kompenseres kommunene gjennom økninger i </w:t>
      </w:r>
      <w:r>
        <w:rPr>
          <w:rFonts w:cs="Times New Roman"/>
          <w:szCs w:val="24"/>
        </w:rPr>
        <w:t xml:space="preserve">det statlige </w:t>
      </w:r>
      <w:r w:rsidRPr="00C96BC7">
        <w:rPr>
          <w:rFonts w:cs="Times New Roman"/>
          <w:szCs w:val="24"/>
        </w:rPr>
        <w:t>rammetilskuddet</w:t>
      </w:r>
      <w:r>
        <w:rPr>
          <w:rFonts w:cs="Times New Roman"/>
          <w:szCs w:val="24"/>
        </w:rPr>
        <w:t>.</w:t>
      </w:r>
      <w:r w:rsidRPr="00C96BC7">
        <w:rPr>
          <w:rFonts w:cs="Times New Roman"/>
          <w:szCs w:val="24"/>
        </w:rPr>
        <w:t xml:space="preserve"> </w:t>
      </w:r>
    </w:p>
    <w:p w:rsidR="007459A0" w:rsidRPr="00C96BC7" w:rsidRDefault="007459A0" w:rsidP="007459A0">
      <w:pPr>
        <w:pStyle w:val="Overskrift4"/>
      </w:pPr>
      <w:r>
        <w:t>Departementets vurdering</w:t>
      </w:r>
    </w:p>
    <w:p w:rsidR="007459A0" w:rsidRPr="00C96BC7" w:rsidRDefault="007459A0" w:rsidP="007459A0">
      <w:pPr>
        <w:rPr>
          <w:rFonts w:cs="Times New Roman"/>
          <w:szCs w:val="24"/>
        </w:rPr>
      </w:pPr>
      <w:r w:rsidRPr="00C96BC7">
        <w:rPr>
          <w:rFonts w:cs="Times New Roman"/>
          <w:szCs w:val="24"/>
        </w:rPr>
        <w:t>Departementet ser at det i pressområder kan bli problematisk med en rett til fri grav i den kommunen man selv ønsker og at disse kommunene kan bli utsatt for plassutfordringer som de ikke har anledning til å møte, jf. bla</w:t>
      </w:r>
      <w:r w:rsidR="00A23634">
        <w:rPr>
          <w:rFonts w:cs="Times New Roman"/>
          <w:szCs w:val="24"/>
        </w:rPr>
        <w:t xml:space="preserve">nt annet </w:t>
      </w:r>
      <w:r w:rsidRPr="00C96BC7">
        <w:rPr>
          <w:rFonts w:cs="Times New Roman"/>
          <w:szCs w:val="24"/>
        </w:rPr>
        <w:t xml:space="preserve">høringssvar fra Oslo kommune. Å innføre en slik plikt for kommunene, ser departementet derfor som lite aktuelt. Departementet er også enig med flere av høringsinstansene som pekte på at det rettighetsbaserte systemet i Norge er knyttet til bosted (folkeregistrering), og at det skal svært gode grunner til for å utvide denne retten for gravplassektoren. </w:t>
      </w:r>
    </w:p>
    <w:p w:rsidR="007459A0" w:rsidRPr="00C96BC7" w:rsidRDefault="007459A0" w:rsidP="007459A0">
      <w:pPr>
        <w:rPr>
          <w:rFonts w:cs="Times New Roman"/>
          <w:szCs w:val="24"/>
        </w:rPr>
      </w:pPr>
      <w:r w:rsidRPr="00C96BC7">
        <w:rPr>
          <w:rFonts w:cs="Times New Roman"/>
          <w:szCs w:val="24"/>
        </w:rPr>
        <w:t xml:space="preserve">Departementet mener videre </w:t>
      </w:r>
      <w:r>
        <w:rPr>
          <w:rFonts w:cs="Times New Roman"/>
          <w:szCs w:val="24"/>
        </w:rPr>
        <w:t xml:space="preserve">det ikke er påvist gode nok grunner til å etablere </w:t>
      </w:r>
      <w:r w:rsidRPr="00C96BC7">
        <w:rPr>
          <w:rFonts w:cs="Times New Roman"/>
          <w:szCs w:val="24"/>
        </w:rPr>
        <w:t xml:space="preserve">en </w:t>
      </w:r>
      <w:r>
        <w:rPr>
          <w:rFonts w:cs="Times New Roman"/>
          <w:szCs w:val="24"/>
        </w:rPr>
        <w:t xml:space="preserve">slik </w:t>
      </w:r>
      <w:r w:rsidRPr="00C96BC7">
        <w:rPr>
          <w:rFonts w:cs="Times New Roman"/>
          <w:szCs w:val="24"/>
        </w:rPr>
        <w:t>kompliser</w:t>
      </w:r>
      <w:r>
        <w:rPr>
          <w:rFonts w:cs="Times New Roman"/>
          <w:szCs w:val="24"/>
        </w:rPr>
        <w:t>t</w:t>
      </w:r>
      <w:r w:rsidRPr="00C96BC7">
        <w:rPr>
          <w:rFonts w:cs="Times New Roman"/>
          <w:szCs w:val="24"/>
        </w:rPr>
        <w:t xml:space="preserve"> og detaljert oppgjørsordning mellom kommunene </w:t>
      </w:r>
      <w:r>
        <w:rPr>
          <w:rFonts w:cs="Times New Roman"/>
          <w:szCs w:val="24"/>
        </w:rPr>
        <w:t>som en avvikling av</w:t>
      </w:r>
      <w:r w:rsidRPr="00C96BC7">
        <w:rPr>
          <w:rFonts w:cs="Times New Roman"/>
          <w:szCs w:val="24"/>
        </w:rPr>
        <w:t xml:space="preserve"> brukerbetalingen</w:t>
      </w:r>
      <w:r>
        <w:rPr>
          <w:rFonts w:cs="Times New Roman"/>
          <w:szCs w:val="24"/>
        </w:rPr>
        <w:t xml:space="preserve"> vil kreve.</w:t>
      </w:r>
      <w:r w:rsidRPr="005B59B3">
        <w:rPr>
          <w:rFonts w:cs="Times New Roman"/>
          <w:szCs w:val="24"/>
        </w:rPr>
        <w:t xml:space="preserve"> </w:t>
      </w:r>
      <w:r w:rsidRPr="00C96BC7">
        <w:rPr>
          <w:rFonts w:cs="Times New Roman"/>
          <w:szCs w:val="24"/>
        </w:rPr>
        <w:t>Dersom det ska</w:t>
      </w:r>
      <w:r>
        <w:rPr>
          <w:rFonts w:cs="Times New Roman"/>
          <w:szCs w:val="24"/>
        </w:rPr>
        <w:t>l gjøres endringer i regelverk</w:t>
      </w:r>
      <w:r w:rsidRPr="00C96BC7">
        <w:rPr>
          <w:rFonts w:cs="Times New Roman"/>
          <w:szCs w:val="24"/>
        </w:rPr>
        <w:t>, bør det være et mål for det offentlige å sørge for forenkling.</w:t>
      </w:r>
      <w:r>
        <w:rPr>
          <w:rFonts w:cs="Times New Roman"/>
          <w:szCs w:val="24"/>
        </w:rPr>
        <w:t xml:space="preserve"> E</w:t>
      </w:r>
      <w:r w:rsidRPr="00C96BC7">
        <w:rPr>
          <w:rFonts w:cs="Times New Roman"/>
          <w:szCs w:val="24"/>
        </w:rPr>
        <w:t>n oppgjørsordning</w:t>
      </w:r>
      <w:r>
        <w:rPr>
          <w:rFonts w:cs="Times New Roman"/>
          <w:szCs w:val="24"/>
        </w:rPr>
        <w:t xml:space="preserve"> vil</w:t>
      </w:r>
      <w:r w:rsidRPr="00C96BC7">
        <w:rPr>
          <w:rFonts w:cs="Times New Roman"/>
          <w:szCs w:val="24"/>
        </w:rPr>
        <w:t xml:space="preserve"> innebære et merarbeid for kommunene og et detalj</w:t>
      </w:r>
      <w:r w:rsidR="00A23634">
        <w:rPr>
          <w:rFonts w:cs="Times New Roman"/>
          <w:szCs w:val="24"/>
        </w:rPr>
        <w:t>ert</w:t>
      </w:r>
      <w:r w:rsidRPr="00C96BC7">
        <w:rPr>
          <w:rFonts w:cs="Times New Roman"/>
          <w:szCs w:val="24"/>
        </w:rPr>
        <w:t xml:space="preserve"> regelverk som må endres ofte for å regulere satsene i tråd med lønns- og prisvekst. Departementet ser en slik løsning som unødvendig byråkratiserende og lite hensiktsmessig. </w:t>
      </w:r>
    </w:p>
    <w:p w:rsidR="007459A0" w:rsidRDefault="007459A0" w:rsidP="001D146F">
      <w:pPr>
        <w:rPr>
          <w:rFonts w:cs="Times New Roman"/>
          <w:szCs w:val="24"/>
        </w:rPr>
      </w:pPr>
      <w:r w:rsidRPr="00C96BC7">
        <w:rPr>
          <w:rFonts w:cs="Times New Roman"/>
          <w:szCs w:val="24"/>
        </w:rPr>
        <w:t>Departementet</w:t>
      </w:r>
      <w:r>
        <w:rPr>
          <w:rFonts w:cs="Times New Roman"/>
          <w:szCs w:val="24"/>
        </w:rPr>
        <w:t xml:space="preserve"> vil derfor ikke foreslå at retten til fri grav de første 20 årene etter hver gravlegging</w:t>
      </w:r>
      <w:r w:rsidRPr="00C96BC7">
        <w:rPr>
          <w:rFonts w:cs="Times New Roman"/>
          <w:szCs w:val="24"/>
        </w:rPr>
        <w:t xml:space="preserve"> gjøres uavhengig av bostedskommune, slik utvalget foreslo. </w:t>
      </w:r>
    </w:p>
    <w:p w:rsidR="007459A0" w:rsidRPr="001A51D5" w:rsidRDefault="007459A0" w:rsidP="007459A0">
      <w:pPr>
        <w:pStyle w:val="Overskrift3"/>
      </w:pPr>
      <w:bookmarkStart w:id="3795" w:name="_Toc477882117"/>
      <w:bookmarkStart w:id="3796" w:name="_Toc477886579"/>
      <w:bookmarkStart w:id="3797" w:name="_Toc478131524"/>
      <w:bookmarkStart w:id="3798" w:name="_Toc478138894"/>
      <w:bookmarkStart w:id="3799" w:name="_Toc478232418"/>
      <w:bookmarkStart w:id="3800" w:name="_Toc478237403"/>
      <w:bookmarkStart w:id="3801" w:name="_Toc481761947"/>
      <w:bookmarkStart w:id="3802" w:name="_Toc492900599"/>
      <w:r w:rsidRPr="001A51D5">
        <w:t>Fylkesmannen som regional gravplassmyndighet</w:t>
      </w:r>
      <w:bookmarkEnd w:id="3795"/>
      <w:bookmarkEnd w:id="3796"/>
      <w:bookmarkEnd w:id="3797"/>
      <w:bookmarkEnd w:id="3798"/>
      <w:bookmarkEnd w:id="3799"/>
      <w:bookmarkEnd w:id="3800"/>
      <w:bookmarkEnd w:id="3801"/>
      <w:bookmarkEnd w:id="3802"/>
    </w:p>
    <w:p w:rsidR="007459A0" w:rsidRDefault="007459A0" w:rsidP="007459A0">
      <w:pPr>
        <w:rPr>
          <w:rFonts w:cs="Times New Roman"/>
          <w:szCs w:val="24"/>
        </w:rPr>
      </w:pPr>
      <w:r>
        <w:rPr>
          <w:rFonts w:cs="Times New Roman"/>
          <w:szCs w:val="24"/>
        </w:rPr>
        <w:t xml:space="preserve">Lae-utvalget drøftet det gjeldende </w:t>
      </w:r>
      <w:r w:rsidRPr="00C96BC7">
        <w:rPr>
          <w:rFonts w:cs="Times New Roman"/>
          <w:szCs w:val="24"/>
        </w:rPr>
        <w:t>forvaltningssystemet og foresl</w:t>
      </w:r>
      <w:r>
        <w:rPr>
          <w:rFonts w:cs="Times New Roman"/>
          <w:szCs w:val="24"/>
        </w:rPr>
        <w:t>o</w:t>
      </w:r>
      <w:r w:rsidRPr="00C96BC7">
        <w:rPr>
          <w:rFonts w:cs="Times New Roman"/>
          <w:szCs w:val="24"/>
        </w:rPr>
        <w:t xml:space="preserve"> blant annet en overføring av bispedømmerådenes oppgaver på gravferdsområdet til </w:t>
      </w:r>
      <w:r>
        <w:rPr>
          <w:rFonts w:cs="Times New Roman"/>
          <w:szCs w:val="24"/>
        </w:rPr>
        <w:t>F</w:t>
      </w:r>
      <w:r w:rsidRPr="00C96BC7">
        <w:rPr>
          <w:rFonts w:cs="Times New Roman"/>
          <w:szCs w:val="24"/>
        </w:rPr>
        <w:t>ylkesmannen</w:t>
      </w:r>
      <w:r>
        <w:rPr>
          <w:rFonts w:cs="Times New Roman"/>
          <w:szCs w:val="24"/>
        </w:rPr>
        <w:t xml:space="preserve"> (utredningen s. </w:t>
      </w:r>
      <w:r w:rsidR="00DE4126">
        <w:rPr>
          <w:rFonts w:cs="Times New Roman"/>
          <w:szCs w:val="24"/>
        </w:rPr>
        <w:t>139f</w:t>
      </w:r>
      <w:r>
        <w:rPr>
          <w:rFonts w:cs="Times New Roman"/>
          <w:szCs w:val="24"/>
        </w:rPr>
        <w:t>)</w:t>
      </w:r>
      <w:r w:rsidRPr="00C96BC7">
        <w:rPr>
          <w:rFonts w:cs="Times New Roman"/>
          <w:szCs w:val="24"/>
        </w:rPr>
        <w:t xml:space="preserve">. Utvalget viste til at det i dag bare er </w:t>
      </w:r>
      <w:r w:rsidR="008776D8">
        <w:rPr>
          <w:rFonts w:cs="Times New Roman"/>
          <w:szCs w:val="24"/>
        </w:rPr>
        <w:t xml:space="preserve">på </w:t>
      </w:r>
      <w:r w:rsidRPr="00C96BC7">
        <w:rPr>
          <w:rFonts w:cs="Times New Roman"/>
          <w:szCs w:val="24"/>
        </w:rPr>
        <w:t>gravferdsloven</w:t>
      </w:r>
      <w:r w:rsidR="008776D8">
        <w:rPr>
          <w:rFonts w:cs="Times New Roman"/>
          <w:szCs w:val="24"/>
        </w:rPr>
        <w:t>s</w:t>
      </w:r>
      <w:r w:rsidRPr="00C96BC7">
        <w:rPr>
          <w:rFonts w:cs="Times New Roman"/>
          <w:szCs w:val="24"/>
        </w:rPr>
        <w:t xml:space="preserve"> </w:t>
      </w:r>
      <w:r w:rsidR="008776D8" w:rsidRPr="00C96BC7">
        <w:rPr>
          <w:rFonts w:cs="Times New Roman"/>
          <w:szCs w:val="24"/>
        </w:rPr>
        <w:t xml:space="preserve">område </w:t>
      </w:r>
      <w:r w:rsidRPr="00C96BC7">
        <w:rPr>
          <w:rFonts w:cs="Times New Roman"/>
          <w:szCs w:val="24"/>
        </w:rPr>
        <w:t xml:space="preserve">at bispedømmerådene generelt er overordnet de kirkelige fellesrådene. En overføring av disse oppgavene til </w:t>
      </w:r>
      <w:r>
        <w:rPr>
          <w:rFonts w:cs="Times New Roman"/>
          <w:szCs w:val="24"/>
        </w:rPr>
        <w:t>F</w:t>
      </w:r>
      <w:r w:rsidRPr="00C96BC7">
        <w:rPr>
          <w:rFonts w:cs="Times New Roman"/>
          <w:szCs w:val="24"/>
        </w:rPr>
        <w:t xml:space="preserve">ylkesmannen vil dermed ikke bryte med en gjennomgående kirkelig forvaltningsstruktur. Utvalget viste videre til at forslaget ville gjøre det lettere å samle inn og analysere statistikk og styringsinformasjon som en ikke uten videre har tilgjengelig i dag, og det ville gjøre det mulig å se krematorium og gravplassforvaltning i en nærmere sammenheng siden fylkesmennene allerede fører tilsyn med krematoriene. </w:t>
      </w:r>
    </w:p>
    <w:p w:rsidR="007459A0" w:rsidRPr="00C96BC7" w:rsidRDefault="007459A0" w:rsidP="007459A0">
      <w:r w:rsidRPr="00C96BC7">
        <w:rPr>
          <w:rFonts w:cs="Times New Roman"/>
          <w:szCs w:val="24"/>
        </w:rPr>
        <w:t>Lae-utvalget foresl</w:t>
      </w:r>
      <w:r>
        <w:rPr>
          <w:rFonts w:cs="Times New Roman"/>
          <w:szCs w:val="24"/>
        </w:rPr>
        <w:t>o dessuten</w:t>
      </w:r>
      <w:r w:rsidRPr="00C96BC7">
        <w:rPr>
          <w:rFonts w:cs="Times New Roman"/>
          <w:szCs w:val="24"/>
        </w:rPr>
        <w:t xml:space="preserve"> sentralisering av oppgaver på gravferdslovens område til ett fylkesmannsembete. Utvalget viste bl</w:t>
      </w:r>
      <w:r w:rsidR="00611C75">
        <w:rPr>
          <w:rFonts w:cs="Times New Roman"/>
          <w:szCs w:val="24"/>
        </w:rPr>
        <w:t xml:space="preserve">ant annet </w:t>
      </w:r>
      <w:r w:rsidRPr="00C96BC7">
        <w:rPr>
          <w:rFonts w:cs="Times New Roman"/>
          <w:szCs w:val="24"/>
        </w:rPr>
        <w:t xml:space="preserve">til at Fornyings- og administrasjonsdepartementet (FAD), som </w:t>
      </w:r>
      <w:r>
        <w:rPr>
          <w:rFonts w:cs="Times New Roman"/>
          <w:szCs w:val="24"/>
        </w:rPr>
        <w:t xml:space="preserve">tidligere hadde ansvaret for </w:t>
      </w:r>
      <w:r w:rsidRPr="00C96BC7">
        <w:rPr>
          <w:rFonts w:cs="Times New Roman"/>
          <w:szCs w:val="24"/>
        </w:rPr>
        <w:t>etatsstyr</w:t>
      </w:r>
      <w:r>
        <w:rPr>
          <w:rFonts w:cs="Times New Roman"/>
          <w:szCs w:val="24"/>
        </w:rPr>
        <w:t>ing av</w:t>
      </w:r>
      <w:r w:rsidRPr="00C96BC7">
        <w:rPr>
          <w:rFonts w:cs="Times New Roman"/>
          <w:szCs w:val="24"/>
        </w:rPr>
        <w:t xml:space="preserve"> fylkesmannsembetene</w:t>
      </w:r>
      <w:r>
        <w:rPr>
          <w:rFonts w:cs="Times New Roman"/>
          <w:szCs w:val="24"/>
        </w:rPr>
        <w:t xml:space="preserve"> (nå Kommunal- og moderniseringsdepartementet, KMD)</w:t>
      </w:r>
      <w:r w:rsidRPr="00C96BC7">
        <w:rPr>
          <w:rFonts w:cs="Times New Roman"/>
          <w:szCs w:val="24"/>
        </w:rPr>
        <w:t xml:space="preserve">, hadde støttet </w:t>
      </w:r>
      <w:r w:rsidR="00785D2F">
        <w:rPr>
          <w:rFonts w:cs="Times New Roman"/>
          <w:szCs w:val="24"/>
        </w:rPr>
        <w:t>Stålsett-utvalget</w:t>
      </w:r>
      <w:r w:rsidRPr="00C96BC7">
        <w:rPr>
          <w:rFonts w:cs="Times New Roman"/>
          <w:szCs w:val="24"/>
        </w:rPr>
        <w:t xml:space="preserve">s tilsvarende forslag i høringen, </w:t>
      </w:r>
      <w:r>
        <w:rPr>
          <w:rFonts w:cs="Times New Roman"/>
          <w:szCs w:val="24"/>
        </w:rPr>
        <w:t>bl</w:t>
      </w:r>
      <w:r w:rsidR="00611C75">
        <w:rPr>
          <w:rFonts w:cs="Times New Roman"/>
          <w:szCs w:val="24"/>
        </w:rPr>
        <w:t xml:space="preserve">ant annet </w:t>
      </w:r>
      <w:r>
        <w:rPr>
          <w:rFonts w:cs="Times New Roman"/>
          <w:szCs w:val="24"/>
        </w:rPr>
        <w:t xml:space="preserve">ut fra hensynet til at en økt profesjonalisering av marginale saksområder hvor embetene behandler få saker hvert år, kan bidra til å øke, sikre og mer effektivt gjøre bruk av viktig fagkompetanse som det kan </w:t>
      </w:r>
      <w:r>
        <w:rPr>
          <w:rFonts w:cs="Times New Roman"/>
          <w:szCs w:val="24"/>
        </w:rPr>
        <w:lastRenderedPageBreak/>
        <w:t xml:space="preserve">være mangelvare på. Dette kunne igjen bidra til bedre kvalitet på avgjørelser og raskere saksbehandling (heftet </w:t>
      </w:r>
      <w:r w:rsidRPr="00C96BC7">
        <w:rPr>
          <w:rFonts w:cs="Times New Roman"/>
          <w:i/>
          <w:szCs w:val="24"/>
        </w:rPr>
        <w:t>Fylkesmanns</w:t>
      </w:r>
      <w:r>
        <w:rPr>
          <w:rFonts w:cs="Times New Roman"/>
          <w:i/>
          <w:szCs w:val="24"/>
        </w:rPr>
        <w:t>rollen. Utvikling og utfordring,</w:t>
      </w:r>
      <w:r>
        <w:rPr>
          <w:rFonts w:cs="Times New Roman"/>
          <w:szCs w:val="24"/>
        </w:rPr>
        <w:t xml:space="preserve"> FAD</w:t>
      </w:r>
      <w:r w:rsidRPr="00C96BC7">
        <w:rPr>
          <w:rFonts w:cs="Times New Roman"/>
          <w:szCs w:val="24"/>
        </w:rPr>
        <w:t xml:space="preserve"> 6. mars 2012</w:t>
      </w:r>
      <w:r>
        <w:rPr>
          <w:rFonts w:cs="Times New Roman"/>
          <w:szCs w:val="24"/>
        </w:rPr>
        <w:t xml:space="preserve">). </w:t>
      </w:r>
    </w:p>
    <w:p w:rsidR="007459A0" w:rsidRPr="00C96BC7" w:rsidRDefault="007459A0" w:rsidP="007459A0">
      <w:pPr>
        <w:rPr>
          <w:rFonts w:cs="Times New Roman"/>
          <w:szCs w:val="24"/>
        </w:rPr>
      </w:pPr>
      <w:r w:rsidRPr="00C96BC7">
        <w:rPr>
          <w:rFonts w:cs="Times New Roman"/>
          <w:szCs w:val="24"/>
        </w:rPr>
        <w:t>Ifølge utvalget var gravferdsloven et godt eksempel på et slik</w:t>
      </w:r>
      <w:r>
        <w:rPr>
          <w:rFonts w:cs="Times New Roman"/>
          <w:szCs w:val="24"/>
        </w:rPr>
        <w:t>t</w:t>
      </w:r>
      <w:r w:rsidRPr="00C96BC7">
        <w:rPr>
          <w:rFonts w:cs="Times New Roman"/>
          <w:szCs w:val="24"/>
        </w:rPr>
        <w:t xml:space="preserve"> mindre saksområde med særlige kompetansekrav, der embetene ikke behandler så mange saker hvert år. En sentralisering ville gi ett fagmiljø og ett arkiv og </w:t>
      </w:r>
      <w:r>
        <w:rPr>
          <w:rFonts w:cs="Times New Roman"/>
          <w:szCs w:val="24"/>
        </w:rPr>
        <w:t xml:space="preserve">kunne </w:t>
      </w:r>
      <w:r w:rsidRPr="00C96BC7">
        <w:rPr>
          <w:rFonts w:cs="Times New Roman"/>
          <w:szCs w:val="24"/>
        </w:rPr>
        <w:t xml:space="preserve">bidra til økt fagkunnskap og rettslikhet. I tillegg ville det bli enklere å systematisere data og en kunne utarbeide generell veiledning til innbyggerne. </w:t>
      </w:r>
      <w:r>
        <w:rPr>
          <w:rFonts w:cs="Times New Roman"/>
          <w:szCs w:val="24"/>
        </w:rPr>
        <w:t xml:space="preserve">Sentralisering av oppgaveløsning ville ikke hindre at de enkelte embetene blir trukket inn i enkeltsaker eller at de får ansvar for å arrangere regionale opplæringstiltak mv. </w:t>
      </w:r>
    </w:p>
    <w:p w:rsidR="007459A0" w:rsidRPr="00C96BC7" w:rsidRDefault="007459A0" w:rsidP="007459A0">
      <w:pPr>
        <w:pStyle w:val="Overskrift4"/>
      </w:pPr>
      <w:r>
        <w:t>Departementets vurdering</w:t>
      </w:r>
    </w:p>
    <w:p w:rsidR="007459A0" w:rsidRPr="00C96BC7" w:rsidRDefault="007459A0" w:rsidP="007459A0">
      <w:pPr>
        <w:rPr>
          <w:rFonts w:cs="Times New Roman"/>
          <w:szCs w:val="24"/>
        </w:rPr>
      </w:pPr>
      <w:r>
        <w:rPr>
          <w:rFonts w:cs="Times New Roman"/>
          <w:szCs w:val="24"/>
        </w:rPr>
        <w:t>E</w:t>
      </w:r>
      <w:r w:rsidRPr="00C96BC7">
        <w:rPr>
          <w:rFonts w:cs="Times New Roman"/>
          <w:szCs w:val="24"/>
        </w:rPr>
        <w:t>tter den foreslåtte rammelovgivning</w:t>
      </w:r>
      <w:r>
        <w:rPr>
          <w:rFonts w:cs="Times New Roman"/>
          <w:szCs w:val="24"/>
        </w:rPr>
        <w:t>en for Den norske kirke vil ikke bispedømmerådet lenger være et lovpålagt</w:t>
      </w:r>
      <w:r w:rsidRPr="00C96BC7">
        <w:rPr>
          <w:rFonts w:cs="Times New Roman"/>
          <w:szCs w:val="24"/>
        </w:rPr>
        <w:t xml:space="preserve"> organ. Det er i seg selv en grunn til å vurdere om bispedømmerådet fortsatt </w:t>
      </w:r>
      <w:r>
        <w:rPr>
          <w:rFonts w:cs="Times New Roman"/>
          <w:szCs w:val="24"/>
        </w:rPr>
        <w:t>kan</w:t>
      </w:r>
      <w:r w:rsidRPr="00C96BC7">
        <w:rPr>
          <w:rFonts w:cs="Times New Roman"/>
          <w:szCs w:val="24"/>
        </w:rPr>
        <w:t xml:space="preserve"> ha ansvaret som klageinstans og regional gravplassmyndighet etter gravferdsloven.</w:t>
      </w:r>
    </w:p>
    <w:p w:rsidR="007459A0" w:rsidRPr="00C96BC7" w:rsidRDefault="007459A0" w:rsidP="007459A0">
      <w:pPr>
        <w:rPr>
          <w:rFonts w:cs="Times New Roman"/>
          <w:szCs w:val="24"/>
        </w:rPr>
      </w:pPr>
      <w:r>
        <w:rPr>
          <w:rFonts w:cs="Times New Roman"/>
          <w:szCs w:val="24"/>
        </w:rPr>
        <w:t>I tillegg deler d</w:t>
      </w:r>
      <w:r w:rsidRPr="00C96BC7">
        <w:rPr>
          <w:rFonts w:cs="Times New Roman"/>
          <w:szCs w:val="24"/>
        </w:rPr>
        <w:t>epartementet Lae-utvalgets vurderinger av dette</w:t>
      </w:r>
      <w:r>
        <w:rPr>
          <w:rFonts w:cs="Times New Roman"/>
          <w:szCs w:val="24"/>
        </w:rPr>
        <w:t xml:space="preserve"> spørsmålet. Etter departementets syn vil en </w:t>
      </w:r>
      <w:r w:rsidR="00210110">
        <w:rPr>
          <w:rFonts w:cs="Times New Roman"/>
          <w:szCs w:val="24"/>
        </w:rPr>
        <w:t>overføring av regional gravplas</w:t>
      </w:r>
      <w:r w:rsidRPr="00C96BC7">
        <w:rPr>
          <w:rFonts w:cs="Times New Roman"/>
          <w:szCs w:val="24"/>
        </w:rPr>
        <w:t xml:space="preserve">smyndighet til </w:t>
      </w:r>
      <w:r>
        <w:rPr>
          <w:rFonts w:cs="Times New Roman"/>
          <w:szCs w:val="24"/>
        </w:rPr>
        <w:t>F</w:t>
      </w:r>
      <w:r w:rsidRPr="00C96BC7">
        <w:rPr>
          <w:rFonts w:cs="Times New Roman"/>
          <w:szCs w:val="24"/>
        </w:rPr>
        <w:t xml:space="preserve">ylkesmannen på sikt </w:t>
      </w:r>
      <w:r>
        <w:rPr>
          <w:rFonts w:cs="Times New Roman"/>
          <w:szCs w:val="24"/>
        </w:rPr>
        <w:t xml:space="preserve">kunne </w:t>
      </w:r>
      <w:r w:rsidRPr="00C96BC7">
        <w:rPr>
          <w:rFonts w:cs="Times New Roman"/>
          <w:szCs w:val="24"/>
        </w:rPr>
        <w:t xml:space="preserve">bidra både til å styrke kvaliteten i utøvelsen av forvaltningsmyndighet etter gravferdsloven og også styrke legitimiteten til </w:t>
      </w:r>
      <w:r>
        <w:rPr>
          <w:rFonts w:cs="Times New Roman"/>
          <w:szCs w:val="24"/>
        </w:rPr>
        <w:t>et kirkelig organ</w:t>
      </w:r>
      <w:r w:rsidRPr="00C96BC7">
        <w:rPr>
          <w:rFonts w:cs="Times New Roman"/>
          <w:szCs w:val="24"/>
        </w:rPr>
        <w:t xml:space="preserve"> som </w:t>
      </w:r>
      <w:r>
        <w:rPr>
          <w:rFonts w:cs="Times New Roman"/>
          <w:szCs w:val="24"/>
        </w:rPr>
        <w:t xml:space="preserve">lokal </w:t>
      </w:r>
      <w:r w:rsidRPr="00C96BC7">
        <w:rPr>
          <w:rFonts w:cs="Times New Roman"/>
          <w:szCs w:val="24"/>
        </w:rPr>
        <w:t>grav</w:t>
      </w:r>
      <w:r>
        <w:rPr>
          <w:rFonts w:cs="Times New Roman"/>
          <w:szCs w:val="24"/>
        </w:rPr>
        <w:t>plas</w:t>
      </w:r>
      <w:r w:rsidRPr="00C96BC7">
        <w:rPr>
          <w:rFonts w:cs="Times New Roman"/>
          <w:szCs w:val="24"/>
        </w:rPr>
        <w:t>smyndighet</w:t>
      </w:r>
      <w:r>
        <w:rPr>
          <w:rFonts w:cs="Times New Roman"/>
          <w:szCs w:val="24"/>
        </w:rPr>
        <w:t xml:space="preserve"> med oppgaver som utføres på vegne av det offentlige</w:t>
      </w:r>
      <w:r w:rsidRPr="00C96BC7">
        <w:rPr>
          <w:rFonts w:cs="Times New Roman"/>
          <w:szCs w:val="24"/>
        </w:rPr>
        <w:t>.</w:t>
      </w:r>
      <w:r>
        <w:rPr>
          <w:rFonts w:cs="Times New Roman"/>
          <w:szCs w:val="24"/>
        </w:rPr>
        <w:t xml:space="preserve"> Dette var forhold som fellesrådene selv var opptatt av å understreke i høringsrunden. I tillegg går det en direkte styringslinje fra departementet til fylkesmannsembetene, og dette muliggjør et arbeid for erfaringsdeling og kompetanseoverføring begge veier, som blant annet kan være med på å legge til rette for likebehandling.  </w:t>
      </w:r>
    </w:p>
    <w:p w:rsidR="007459A0" w:rsidRDefault="007459A0" w:rsidP="007459A0">
      <w:pPr>
        <w:rPr>
          <w:rFonts w:cs="Times New Roman"/>
          <w:szCs w:val="24"/>
        </w:rPr>
      </w:pPr>
      <w:r w:rsidRPr="00C96BC7">
        <w:rPr>
          <w:rFonts w:cs="Times New Roman"/>
          <w:szCs w:val="24"/>
        </w:rPr>
        <w:t xml:space="preserve">Departementet vil framholde at sentralisering </w:t>
      </w:r>
      <w:r>
        <w:rPr>
          <w:rFonts w:cs="Times New Roman"/>
          <w:szCs w:val="24"/>
        </w:rPr>
        <w:t xml:space="preserve">av oppgavene til ett fylkesmannsembete </w:t>
      </w:r>
      <w:r w:rsidRPr="00C96BC7">
        <w:rPr>
          <w:rFonts w:cs="Times New Roman"/>
          <w:szCs w:val="24"/>
        </w:rPr>
        <w:t xml:space="preserve">vil føre </w:t>
      </w:r>
      <w:r>
        <w:rPr>
          <w:rFonts w:cs="Times New Roman"/>
          <w:szCs w:val="24"/>
        </w:rPr>
        <w:t xml:space="preserve">til </w:t>
      </w:r>
      <w:r w:rsidRPr="00C96BC7">
        <w:rPr>
          <w:rFonts w:cs="Times New Roman"/>
          <w:szCs w:val="24"/>
        </w:rPr>
        <w:t>at avstanden til gravplassforvaltningen lokalt bli</w:t>
      </w:r>
      <w:r>
        <w:rPr>
          <w:rFonts w:cs="Times New Roman"/>
          <w:szCs w:val="24"/>
        </w:rPr>
        <w:t>r</w:t>
      </w:r>
      <w:r w:rsidRPr="00C96BC7">
        <w:rPr>
          <w:rFonts w:cs="Times New Roman"/>
          <w:szCs w:val="24"/>
        </w:rPr>
        <w:t xml:space="preserve"> større. Gravplassforvaltningen er preget av lokale forhold og tradisjoner, ofte forbundet med sterke følelser. </w:t>
      </w:r>
      <w:r>
        <w:rPr>
          <w:rFonts w:cs="Times New Roman"/>
          <w:szCs w:val="24"/>
        </w:rPr>
        <w:t xml:space="preserve">Etter departementets syn vil det </w:t>
      </w:r>
      <w:r w:rsidRPr="00C96BC7">
        <w:rPr>
          <w:rFonts w:cs="Times New Roman"/>
          <w:szCs w:val="24"/>
        </w:rPr>
        <w:t xml:space="preserve">derfor være viktig at en overordnet klage- og godkjenningsmyndighet kan utøves med tilstrekkelig innsikt i lokale forhold. Departementet mener erfaringene med fylkesmennenes oppgaver i saker </w:t>
      </w:r>
      <w:r>
        <w:rPr>
          <w:rFonts w:cs="Times New Roman"/>
          <w:szCs w:val="24"/>
        </w:rPr>
        <w:t xml:space="preserve">på gravplassområdet, for eksempel </w:t>
      </w:r>
      <w:r w:rsidRPr="00C96BC7">
        <w:rPr>
          <w:rFonts w:cs="Times New Roman"/>
          <w:szCs w:val="24"/>
        </w:rPr>
        <w:t>vedrørende spredning av aske</w:t>
      </w:r>
      <w:r>
        <w:rPr>
          <w:rFonts w:cs="Times New Roman"/>
          <w:szCs w:val="24"/>
        </w:rPr>
        <w:t>,</w:t>
      </w:r>
      <w:r w:rsidRPr="00C96BC7">
        <w:rPr>
          <w:rFonts w:cs="Times New Roman"/>
          <w:szCs w:val="24"/>
        </w:rPr>
        <w:t xml:space="preserve"> er gode</w:t>
      </w:r>
      <w:r>
        <w:rPr>
          <w:rFonts w:cs="Times New Roman"/>
          <w:szCs w:val="24"/>
        </w:rPr>
        <w:t>.</w:t>
      </w:r>
    </w:p>
    <w:p w:rsidR="007459A0" w:rsidRDefault="007459A0" w:rsidP="007459A0">
      <w:pPr>
        <w:rPr>
          <w:rFonts w:cs="Times New Roman"/>
          <w:szCs w:val="24"/>
        </w:rPr>
      </w:pPr>
      <w:r>
        <w:rPr>
          <w:rFonts w:cs="Times New Roman"/>
          <w:szCs w:val="24"/>
        </w:rPr>
        <w:t>Departementet anerkjenner likevel at det innenfor et lite fagfelt kan være en fordel om oppgavene sentraliseres og det bygges opp et sterkt fagmiljø, som bla</w:t>
      </w:r>
      <w:r w:rsidR="00611C75">
        <w:rPr>
          <w:rFonts w:cs="Times New Roman"/>
          <w:szCs w:val="24"/>
        </w:rPr>
        <w:t xml:space="preserve">nt annet </w:t>
      </w:r>
      <w:r>
        <w:rPr>
          <w:rFonts w:cs="Times New Roman"/>
          <w:szCs w:val="24"/>
        </w:rPr>
        <w:t>har større mulighet til å drive kunnskapsutvikling, se bl</w:t>
      </w:r>
      <w:r w:rsidR="00611C75">
        <w:rPr>
          <w:rFonts w:cs="Times New Roman"/>
          <w:szCs w:val="24"/>
        </w:rPr>
        <w:t xml:space="preserve">ant annet </w:t>
      </w:r>
      <w:r>
        <w:rPr>
          <w:rFonts w:cs="Times New Roman"/>
          <w:szCs w:val="24"/>
        </w:rPr>
        <w:t xml:space="preserve">forslag nedenfor om behovet for mer statistikk på gravplassenes område. I tillegg vil de pågående prosesser om sammenslåing av kommuner og større regioner også spille inn på hvordan dette spørsmålet bør vurderes. Departementet har derfor ikke konkludert i dette spørsmålet og ber om høringsinstansenes synspunkter. </w:t>
      </w:r>
    </w:p>
    <w:p w:rsidR="007459A0" w:rsidRPr="0008328A" w:rsidRDefault="007459A0" w:rsidP="007459A0">
      <w:pPr>
        <w:pStyle w:val="Overskrift3"/>
        <w:rPr>
          <w:szCs w:val="24"/>
        </w:rPr>
      </w:pPr>
      <w:bookmarkStart w:id="3803" w:name="_Toc477882118"/>
      <w:bookmarkStart w:id="3804" w:name="_Toc477886580"/>
      <w:bookmarkStart w:id="3805" w:name="_Toc478131525"/>
      <w:bookmarkStart w:id="3806" w:name="_Toc478138895"/>
      <w:bookmarkStart w:id="3807" w:name="_Toc478232419"/>
      <w:bookmarkStart w:id="3808" w:name="_Toc478237404"/>
      <w:bookmarkStart w:id="3809" w:name="_Toc481761948"/>
      <w:bookmarkStart w:id="3810" w:name="_Toc492900600"/>
      <w:r>
        <w:t>Lovhjemmel for statistikkopplysninger</w:t>
      </w:r>
      <w:bookmarkEnd w:id="3803"/>
      <w:bookmarkEnd w:id="3804"/>
      <w:bookmarkEnd w:id="3805"/>
      <w:bookmarkEnd w:id="3806"/>
      <w:bookmarkEnd w:id="3807"/>
      <w:bookmarkEnd w:id="3808"/>
      <w:bookmarkEnd w:id="3809"/>
      <w:bookmarkEnd w:id="3810"/>
    </w:p>
    <w:p w:rsidR="007459A0" w:rsidRDefault="007459A0" w:rsidP="001D146F">
      <w:r>
        <w:t xml:space="preserve">Kirkeloven og kommuneloven gir i dag god nok hjemmel til å kreve inn økonomisk informasjon fra de kirkelige fellesrådene og fra kommunene, jf. også over om regnskapsføring og KOSTRA-tall. Lae-utvalget foreslo imidlertid at det burde tas inn en hjemmel i gravferdsloven som åpnet for å innhente også annen informasjon om gravplassene og virksomheten knyttet til disse. Dette bl.a. basert på erfaringer om mangelfull informasjon i utvalgets arbeid. I høringen var det ikke mange som uttalte seg spesifikt om en </w:t>
      </w:r>
      <w:r>
        <w:lastRenderedPageBreak/>
        <w:t xml:space="preserve">slik statistikkhjemmel, men det var bred støtte til ulike "tiltak for å få bedre statistikk og mer forskning på gravferdsområdet". </w:t>
      </w:r>
    </w:p>
    <w:p w:rsidR="007459A0" w:rsidRPr="0058425C" w:rsidRDefault="007459A0" w:rsidP="007459A0">
      <w:pPr>
        <w:pStyle w:val="Overskrift4"/>
      </w:pPr>
      <w:r>
        <w:t>Departementets vurdering</w:t>
      </w:r>
    </w:p>
    <w:p w:rsidR="007459A0" w:rsidRDefault="007459A0" w:rsidP="001D146F">
      <w:r>
        <w:t>Departementet er enig med utvalget i at det være aktuelt å kreve annen rapportering for å få bedre kunnskap om gravferdsfeltet, og at det da trengs hjemmel i lov. Departementet foreslår derfor et nytt fjerde ledd i gravferdsloven § 23 som skal lyde:</w:t>
      </w:r>
    </w:p>
    <w:p w:rsidR="007459A0" w:rsidRPr="00DC4134" w:rsidRDefault="007459A0" w:rsidP="00DC4134">
      <w:pPr>
        <w:pStyle w:val="blokksit"/>
        <w:rPr>
          <w:rStyle w:val="kursiv"/>
        </w:rPr>
      </w:pPr>
      <w:r w:rsidRPr="00DC4134">
        <w:rPr>
          <w:rStyle w:val="kursiv"/>
        </w:rPr>
        <w:t>Lokal gravplassforvaltning, krematorium eller i særlige tilfeller annen virksomhet med oppgaver etter loven her</w:t>
      </w:r>
      <w:r w:rsidR="0040658D" w:rsidRPr="00DC4134">
        <w:rPr>
          <w:rStyle w:val="kursiv"/>
        </w:rPr>
        <w:t>,</w:t>
      </w:r>
      <w:r w:rsidRPr="00DC4134">
        <w:rPr>
          <w:rStyle w:val="kursiv"/>
        </w:rPr>
        <w:t xml:space="preserve"> skal skaffe til veie opplysninger og gi slik uttalelse som departementet ber om.</w:t>
      </w:r>
    </w:p>
    <w:p w:rsidR="007459A0" w:rsidRDefault="007459A0" w:rsidP="007459A0">
      <w:pPr>
        <w:pStyle w:val="Overskrift3"/>
      </w:pPr>
      <w:bookmarkStart w:id="3811" w:name="_Toc477882120"/>
      <w:bookmarkStart w:id="3812" w:name="_Toc477886582"/>
      <w:bookmarkStart w:id="3813" w:name="_Toc478131527"/>
      <w:bookmarkStart w:id="3814" w:name="_Toc478138897"/>
      <w:bookmarkStart w:id="3815" w:name="_Toc478232421"/>
      <w:bookmarkStart w:id="3816" w:name="_Toc478237406"/>
      <w:bookmarkStart w:id="3817" w:name="_Toc481761949"/>
      <w:bookmarkStart w:id="3818" w:name="_Toc492900601"/>
      <w:r>
        <w:t>Trossamfunn og egne gravplasser</w:t>
      </w:r>
      <w:bookmarkEnd w:id="3811"/>
      <w:bookmarkEnd w:id="3812"/>
      <w:bookmarkEnd w:id="3813"/>
      <w:bookmarkEnd w:id="3814"/>
      <w:bookmarkEnd w:id="3815"/>
      <w:bookmarkEnd w:id="3816"/>
      <w:bookmarkEnd w:id="3817"/>
      <w:bookmarkEnd w:id="3818"/>
      <w:r>
        <w:t xml:space="preserve"> </w:t>
      </w:r>
    </w:p>
    <w:p w:rsidR="0096789F" w:rsidRDefault="0096789F" w:rsidP="007459A0">
      <w:r>
        <w:t xml:space="preserve">Etter trossamfunnsloven § 18 kan </w:t>
      </w:r>
      <w:r w:rsidR="00821263">
        <w:t>"</w:t>
      </w:r>
      <w:r>
        <w:t>Kongen eller den han gjev fullmakt, (-) samtykkja i at registerført trudomssamfunn får ha eigen gravp</w:t>
      </w:r>
      <w:r w:rsidR="00821263">
        <w:t xml:space="preserve">lass og setja vilkår for dette. </w:t>
      </w:r>
      <w:r>
        <w:t>Lov om gravplass, kremasjon og gravferd gjeld på tilsvarande måte</w:t>
      </w:r>
      <w:r w:rsidR="00821263">
        <w:t xml:space="preserve"> så langt den passar."</w:t>
      </w:r>
    </w:p>
    <w:p w:rsidR="007459A0" w:rsidRPr="008E0B62" w:rsidRDefault="00821263" w:rsidP="007459A0">
      <w:r>
        <w:t xml:space="preserve">Adgangen er lite benyttet i praksis, blant annet fordi den ikke er understøttet av noen offentlig finansieringsordning. </w:t>
      </w:r>
      <w:r w:rsidR="00075A08">
        <w:t>E</w:t>
      </w:r>
      <w:r>
        <w:t xml:space="preserve">tter gravferdsloven § 1 første ledd </w:t>
      </w:r>
      <w:r w:rsidR="00075A08">
        <w:t xml:space="preserve">skal </w:t>
      </w:r>
      <w:r>
        <w:t xml:space="preserve">gravlegging skje </w:t>
      </w:r>
      <w:r w:rsidR="00075A08">
        <w:t>"</w:t>
      </w:r>
      <w:r>
        <w:t>med respekt for avdødes religion eller livssyn</w:t>
      </w:r>
      <w:r w:rsidR="00075A08">
        <w:t>"</w:t>
      </w:r>
      <w:r>
        <w:t>.</w:t>
      </w:r>
    </w:p>
    <w:p w:rsidR="00075A08" w:rsidRDefault="00075A08" w:rsidP="007459A0">
      <w:r>
        <w:t>Den særlige bestemmelsen om adgang til å anlegge egen gravplass kan derfor sees som en sikringsbestemmelse for de særskilte tilfeller der religiøse eller livssynsmessige ønsker for gravferden ikke lar seg imøtekomme innenfor rammen av den felles gravplassforvaltningen.</w:t>
      </w:r>
    </w:p>
    <w:p w:rsidR="00075A08" w:rsidRDefault="00075A08" w:rsidP="007459A0">
      <w:r>
        <w:t>Selv om behovet er lite, for</w:t>
      </w:r>
      <w:r w:rsidR="00DD0AD0">
        <w:t>e</w:t>
      </w:r>
      <w:r>
        <w:t>slår departementet derfor at lovbestemmelsen videreføres.</w:t>
      </w:r>
      <w:r w:rsidR="00010C86">
        <w:t xml:space="preserve"> Den bør etter departementets mening omfatte </w:t>
      </w:r>
      <w:r w:rsidR="008B15E2">
        <w:t>alle</w:t>
      </w:r>
      <w:r w:rsidR="00010C86">
        <w:t xml:space="preserve"> tros- eller livssynssamfunn.</w:t>
      </w:r>
      <w:r>
        <w:t xml:space="preserve"> </w:t>
      </w:r>
      <w:r w:rsidR="00010C86">
        <w:t>Følgende f</w:t>
      </w:r>
      <w:r>
        <w:t>orslag er inntatt i</w:t>
      </w:r>
      <w:r w:rsidR="008B15E2">
        <w:t xml:space="preserve"> lovforslaget § 20</w:t>
      </w:r>
      <w:r w:rsidR="00010C86">
        <w:t>:</w:t>
      </w:r>
    </w:p>
    <w:p w:rsidR="00B35EEC" w:rsidRPr="00DC4134" w:rsidRDefault="00010C86" w:rsidP="00DC4134">
      <w:pPr>
        <w:pStyle w:val="blokksit"/>
        <w:rPr>
          <w:rStyle w:val="kursiv"/>
        </w:rPr>
      </w:pPr>
      <w:r w:rsidRPr="00DC4134">
        <w:rPr>
          <w:rStyle w:val="kursiv"/>
        </w:rPr>
        <w:t>Kongen kan tillate at tros</w:t>
      </w:r>
      <w:r w:rsidR="00DD0AD0" w:rsidRPr="00DC4134">
        <w:rPr>
          <w:rStyle w:val="kursiv"/>
        </w:rPr>
        <w:t>- eller livssynssam</w:t>
      </w:r>
      <w:r w:rsidRPr="00DC4134">
        <w:rPr>
          <w:rStyle w:val="kursiv"/>
        </w:rPr>
        <w:t>funn får ha eg</w:t>
      </w:r>
      <w:r w:rsidR="00DD0AD0" w:rsidRPr="00DC4134">
        <w:rPr>
          <w:rStyle w:val="kursiv"/>
        </w:rPr>
        <w:t>en gravplass og sette vilkår fo</w:t>
      </w:r>
      <w:r w:rsidRPr="00DC4134">
        <w:rPr>
          <w:rStyle w:val="kursiv"/>
        </w:rPr>
        <w:t>r dette.</w:t>
      </w:r>
      <w:r w:rsidR="00DD0AD0" w:rsidRPr="00DC4134">
        <w:rPr>
          <w:rStyle w:val="kursiv"/>
        </w:rPr>
        <w:t xml:space="preserve"> </w:t>
      </w:r>
      <w:r w:rsidR="00B303AF" w:rsidRPr="00DC4134">
        <w:rPr>
          <w:rStyle w:val="kursiv"/>
        </w:rPr>
        <w:t>G</w:t>
      </w:r>
      <w:r w:rsidRPr="00DC4134">
        <w:rPr>
          <w:rStyle w:val="kursiv"/>
        </w:rPr>
        <w:t>ravplass</w:t>
      </w:r>
      <w:r w:rsidR="00B303AF" w:rsidRPr="00DC4134">
        <w:rPr>
          <w:rStyle w:val="kursiv"/>
        </w:rPr>
        <w:t>loven</w:t>
      </w:r>
      <w:r w:rsidRPr="00DC4134">
        <w:rPr>
          <w:rStyle w:val="kursiv"/>
        </w:rPr>
        <w:t xml:space="preserve"> </w:t>
      </w:r>
      <w:r w:rsidR="00DD0AD0" w:rsidRPr="00DC4134">
        <w:rPr>
          <w:rStyle w:val="kursiv"/>
        </w:rPr>
        <w:t>gjelder da tilsvarende så langt den passer.</w:t>
      </w:r>
      <w:r w:rsidR="007459A0" w:rsidRPr="00DC4134">
        <w:rPr>
          <w:rStyle w:val="kursiv"/>
        </w:rPr>
        <w:t xml:space="preserve"> </w:t>
      </w:r>
    </w:p>
    <w:p w:rsidR="00B35EEC" w:rsidRPr="00150737" w:rsidRDefault="00B35EEC">
      <w:pPr>
        <w:spacing w:after="0" w:line="240" w:lineRule="auto"/>
        <w:rPr>
          <w:rStyle w:val="halvfet"/>
          <w:rFonts w:eastAsiaTheme="minorEastAsia"/>
        </w:rPr>
      </w:pPr>
      <w:r w:rsidRPr="00150737">
        <w:rPr>
          <w:rStyle w:val="halvfet"/>
          <w:rFonts w:eastAsiaTheme="minorEastAsia"/>
        </w:rPr>
        <w:br w:type="page"/>
      </w:r>
    </w:p>
    <w:p w:rsidR="00944062" w:rsidRDefault="00944062" w:rsidP="00D93AC6">
      <w:pPr>
        <w:pStyle w:val="Overskrift1"/>
        <w:rPr>
          <w:rFonts w:eastAsiaTheme="minorEastAsia"/>
        </w:rPr>
      </w:pPr>
      <w:bookmarkStart w:id="3819" w:name="_Toc476320983"/>
      <w:bookmarkStart w:id="3820" w:name="_Toc477277400"/>
      <w:bookmarkStart w:id="3821" w:name="_Toc477536220"/>
      <w:bookmarkStart w:id="3822" w:name="_Toc477631350"/>
      <w:bookmarkStart w:id="3823" w:name="_Toc477694316"/>
      <w:bookmarkStart w:id="3824" w:name="_Toc477704742"/>
      <w:bookmarkStart w:id="3825" w:name="_Toc477799985"/>
      <w:bookmarkStart w:id="3826" w:name="_Toc477806586"/>
      <w:bookmarkStart w:id="3827" w:name="_Toc477872246"/>
      <w:bookmarkStart w:id="3828" w:name="_Toc477878854"/>
      <w:bookmarkStart w:id="3829" w:name="_Toc477882265"/>
      <w:bookmarkStart w:id="3830" w:name="_Toc477886727"/>
      <w:bookmarkStart w:id="3831" w:name="_Toc478131528"/>
      <w:bookmarkStart w:id="3832" w:name="_Toc478138898"/>
      <w:bookmarkStart w:id="3833" w:name="_Toc478232422"/>
      <w:bookmarkStart w:id="3834" w:name="_Toc478237407"/>
      <w:bookmarkStart w:id="3835" w:name="_Toc481761950"/>
      <w:bookmarkStart w:id="3836" w:name="_Toc492900602"/>
      <w:bookmarkEnd w:id="3237"/>
      <w:bookmarkEnd w:id="3734"/>
      <w:bookmarkEnd w:id="3735"/>
      <w:r w:rsidRPr="000F5CA8">
        <w:rPr>
          <w:rFonts w:eastAsiaTheme="minorEastAsia"/>
        </w:rPr>
        <w:lastRenderedPageBreak/>
        <w:t>Økonomiske og administrative konsekvenser</w:t>
      </w:r>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p>
    <w:p w:rsidR="00944062" w:rsidRPr="000F5CA8" w:rsidRDefault="00944062" w:rsidP="00D203D9">
      <w:pPr>
        <w:pStyle w:val="Overskrift2"/>
        <w:rPr>
          <w:rFonts w:eastAsiaTheme="minorEastAsia"/>
        </w:rPr>
      </w:pPr>
      <w:bookmarkStart w:id="3837" w:name="_Toc477277401"/>
      <w:bookmarkStart w:id="3838" w:name="_Toc477536221"/>
      <w:bookmarkStart w:id="3839" w:name="_Toc477631351"/>
      <w:bookmarkStart w:id="3840" w:name="_Toc477694317"/>
      <w:bookmarkStart w:id="3841" w:name="_Toc477704743"/>
      <w:bookmarkStart w:id="3842" w:name="_Toc477799986"/>
      <w:bookmarkStart w:id="3843" w:name="_Toc477806587"/>
      <w:bookmarkStart w:id="3844" w:name="_Toc477872247"/>
      <w:bookmarkStart w:id="3845" w:name="_Toc477878855"/>
      <w:bookmarkStart w:id="3846" w:name="_Toc477882266"/>
      <w:bookmarkStart w:id="3847" w:name="_Toc477886728"/>
      <w:bookmarkStart w:id="3848" w:name="_Toc478131529"/>
      <w:bookmarkStart w:id="3849" w:name="_Toc478138899"/>
      <w:bookmarkStart w:id="3850" w:name="_Toc478232423"/>
      <w:bookmarkStart w:id="3851" w:name="_Toc478237408"/>
      <w:bookmarkStart w:id="3852" w:name="_Toc481761951"/>
      <w:bookmarkStart w:id="3853" w:name="_Toc492900603"/>
      <w:r w:rsidRPr="000F5CA8">
        <w:rPr>
          <w:rFonts w:eastAsiaTheme="minorEastAsia"/>
        </w:rPr>
        <w:t>Innledning</w:t>
      </w:r>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p>
    <w:p w:rsidR="00944062" w:rsidRPr="000F5CA8" w:rsidRDefault="00944062" w:rsidP="00BC664C">
      <w:r w:rsidRPr="000F5CA8">
        <w:t xml:space="preserve">De økonomiske og administrative konsekvensene av forslagene i høringsnotatet er for en stor del gjennomgått i kapitlene foran. Departementet vil i dette kapitlet oppsummere og utdype konsekvensene. </w:t>
      </w:r>
    </w:p>
    <w:p w:rsidR="00944062" w:rsidRPr="000F5CA8" w:rsidRDefault="00944062" w:rsidP="00D203D9">
      <w:pPr>
        <w:pStyle w:val="Overskrift2"/>
        <w:rPr>
          <w:rFonts w:eastAsiaTheme="minorEastAsia"/>
          <w:szCs w:val="24"/>
        </w:rPr>
      </w:pPr>
      <w:bookmarkStart w:id="3854" w:name="_Toc476320984"/>
      <w:bookmarkStart w:id="3855" w:name="_Toc477277402"/>
      <w:bookmarkStart w:id="3856" w:name="_Toc477536222"/>
      <w:bookmarkStart w:id="3857" w:name="_Toc477631352"/>
      <w:bookmarkStart w:id="3858" w:name="_Toc477694318"/>
      <w:bookmarkStart w:id="3859" w:name="_Toc477704744"/>
      <w:bookmarkStart w:id="3860" w:name="_Toc477799987"/>
      <w:bookmarkStart w:id="3861" w:name="_Toc477806588"/>
      <w:bookmarkStart w:id="3862" w:name="_Toc477872248"/>
      <w:bookmarkStart w:id="3863" w:name="_Toc477878856"/>
      <w:bookmarkStart w:id="3864" w:name="_Toc477882267"/>
      <w:bookmarkStart w:id="3865" w:name="_Toc477886729"/>
      <w:bookmarkStart w:id="3866" w:name="_Toc478131530"/>
      <w:bookmarkStart w:id="3867" w:name="_Toc478138900"/>
      <w:bookmarkStart w:id="3868" w:name="_Toc478232424"/>
      <w:bookmarkStart w:id="3869" w:name="_Toc478237409"/>
      <w:bookmarkStart w:id="3870" w:name="_Toc481761952"/>
      <w:bookmarkStart w:id="3871" w:name="_Toc492900604"/>
      <w:r w:rsidRPr="000F5CA8">
        <w:rPr>
          <w:rFonts w:eastAsiaTheme="minorEastAsia"/>
        </w:rPr>
        <w:t>Den norske kirke</w:t>
      </w:r>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r w:rsidRPr="000F5CA8">
        <w:rPr>
          <w:rFonts w:eastAsiaTheme="minorEastAsia"/>
        </w:rPr>
        <w:t xml:space="preserve"> </w:t>
      </w:r>
    </w:p>
    <w:p w:rsidR="00944062" w:rsidRPr="000F5CA8" w:rsidRDefault="00944062" w:rsidP="00BC664C">
      <w:r w:rsidRPr="000F5CA8">
        <w:t>I kap</w:t>
      </w:r>
      <w:r w:rsidR="00520264">
        <w:t xml:space="preserve">ittel </w:t>
      </w:r>
      <w:r w:rsidR="005F0DE6">
        <w:t xml:space="preserve">9 </w:t>
      </w:r>
      <w:r w:rsidRPr="000F5CA8">
        <w:t>drøftes spørsmålet om den offentlige finansieringen av Den norske kirke bør overtas av staten eller om dagens oppgavefordeling mellom staten og kommunene bør føres videre. Departementet har ikke tatt stilling til spørsmålet. Begge alternativene bygger på at de samlede offentlige overføringene til Den norske kirke skal være budsjettmessig nøytral.</w:t>
      </w:r>
      <w:r w:rsidR="005F0DE6" w:rsidRPr="005F0DE6">
        <w:t xml:space="preserve"> </w:t>
      </w:r>
    </w:p>
    <w:p w:rsidR="005F0DE6" w:rsidRPr="000F5CA8" w:rsidRDefault="005F0DE6" w:rsidP="005F0DE6">
      <w:r w:rsidRPr="000F5CA8">
        <w:t>Ved en videreføring av dagens ansvarsdeling mellom staten og kommunene oppstår ingen budsjettmessige konsekvenser for staten eller kommunene. Reguleringen av det kommunale ansvaret i lov foreslås utformet noe annerledes enn i dag</w:t>
      </w:r>
      <w:r w:rsidR="005F5507">
        <w:t>.</w:t>
      </w:r>
      <w:r w:rsidRPr="000F5CA8">
        <w:t xml:space="preserve"> Fortsatt vil det i lov angis hvilke kirkelige formål som kommunenes ansvar retter seg mot, men mindre detaljregulert. Departementet ser lovforslaget som en tilpasning til den budsjettstyrte rammefinansieringen av kirken som i stor grad praktiseres i kommunene i dag. </w:t>
      </w:r>
    </w:p>
    <w:p w:rsidR="00944062" w:rsidRDefault="00944062" w:rsidP="00280D2A">
      <w:r w:rsidRPr="000F5CA8">
        <w:t xml:space="preserve">Ved statlig overtakelse av finansieringsansvaret </w:t>
      </w:r>
      <w:r w:rsidR="005F0DE6">
        <w:t xml:space="preserve">for Den norske kirke </w:t>
      </w:r>
      <w:r w:rsidRPr="000F5CA8">
        <w:t xml:space="preserve">er utgangspunktet at statens rammeoverføring til kommunene </w:t>
      </w:r>
      <w:r w:rsidR="005F0DE6">
        <w:t xml:space="preserve">skal </w:t>
      </w:r>
      <w:r w:rsidRPr="000F5CA8">
        <w:t>reduseres tilsvarende økningen i statens rammeoverføring til kirken. Ved statlig overtakelse av finansieringsansvaret må det på nasjonalt nivå i Den norske kirke bygges opp en noe større administrasjon enn i dag. Det er særlig oppgavene som knytter seg til fordelingen av de statlige overføringene til soknene og forvaltningsnivåene i kirken, som vil kreve økte ressurser. Dette ressursbehovet må ses i sammenheng med den administrative besparelsen som kommer i kommunesektoren ved bortfallet av kommunenes lovregulerte ansvar overfor kirken.</w:t>
      </w:r>
      <w:r w:rsidR="00567BC5">
        <w:t xml:space="preserve"> </w:t>
      </w:r>
      <w:r w:rsidR="005F5507">
        <w:t>Grunnlaget for dagens</w:t>
      </w:r>
      <w:r w:rsidR="00567BC5">
        <w:t xml:space="preserve"> kommunale tjenesteyting </w:t>
      </w:r>
      <w:r w:rsidR="005F5507">
        <w:t xml:space="preserve">til kirken </w:t>
      </w:r>
      <w:r w:rsidR="00191163">
        <w:t xml:space="preserve">innen </w:t>
      </w:r>
      <w:r w:rsidR="00280D2A">
        <w:t xml:space="preserve">regnskaps- og </w:t>
      </w:r>
      <w:r w:rsidR="00191163">
        <w:t xml:space="preserve">IKT-tjenester </w:t>
      </w:r>
      <w:r w:rsidR="00280D2A">
        <w:t xml:space="preserve">m.m. </w:t>
      </w:r>
      <w:r w:rsidR="005F5507">
        <w:t xml:space="preserve">vil </w:t>
      </w:r>
      <w:r w:rsidR="00191163">
        <w:t xml:space="preserve">bortfalle. </w:t>
      </w:r>
      <w:r w:rsidRPr="000F5CA8">
        <w:t xml:space="preserve">Besparelsen vil på vanlig måte bli medregnet i uttrekket av statens rammetilskudd til kommunene. Full finansiering av Den norske kirke over statsbudsjettet gir ellers kirken muligheter for en </w:t>
      </w:r>
      <w:r w:rsidR="00280D2A">
        <w:t>mer rasjonell ressursutnytting.</w:t>
      </w:r>
      <w:bookmarkStart w:id="3872" w:name="_Toc477277404"/>
      <w:bookmarkStart w:id="3873" w:name="_Toc477536224"/>
      <w:bookmarkStart w:id="3874" w:name="_Toc477631354"/>
      <w:bookmarkStart w:id="3875" w:name="_Toc477694320"/>
      <w:bookmarkStart w:id="3876" w:name="_Toc477704746"/>
      <w:bookmarkStart w:id="3877" w:name="_Toc477799989"/>
      <w:bookmarkStart w:id="3878" w:name="_Toc477806590"/>
      <w:bookmarkStart w:id="3879" w:name="_Toc477872250"/>
      <w:bookmarkStart w:id="3880" w:name="_Toc477878858"/>
      <w:bookmarkStart w:id="3881" w:name="_Toc477882269"/>
      <w:bookmarkStart w:id="3882" w:name="_Toc477886731"/>
      <w:bookmarkStart w:id="3883" w:name="_Toc478131532"/>
      <w:bookmarkStart w:id="3884" w:name="_Toc478138902"/>
      <w:bookmarkStart w:id="3885" w:name="_Toc478232426"/>
      <w:bookmarkStart w:id="3886" w:name="_Toc47823741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p>
    <w:p w:rsidR="00944062" w:rsidRPr="00BC664C" w:rsidRDefault="00944062" w:rsidP="00BC664C">
      <w:pPr>
        <w:pStyle w:val="Overskrift2"/>
        <w:rPr>
          <w:rFonts w:eastAsiaTheme="minorEastAsia"/>
        </w:rPr>
      </w:pPr>
      <w:bookmarkStart w:id="3887" w:name="_Toc476320985"/>
      <w:bookmarkStart w:id="3888" w:name="_Toc477277406"/>
      <w:bookmarkStart w:id="3889" w:name="_Toc477536226"/>
      <w:bookmarkStart w:id="3890" w:name="_Toc477631356"/>
      <w:bookmarkStart w:id="3891" w:name="_Toc477694322"/>
      <w:bookmarkStart w:id="3892" w:name="_Toc477704748"/>
      <w:bookmarkStart w:id="3893" w:name="_Toc477799991"/>
      <w:bookmarkStart w:id="3894" w:name="_Toc477806592"/>
      <w:bookmarkStart w:id="3895" w:name="_Toc477872252"/>
      <w:bookmarkStart w:id="3896" w:name="_Toc477878861"/>
      <w:bookmarkStart w:id="3897" w:name="_Toc477882272"/>
      <w:bookmarkStart w:id="3898" w:name="_Toc477886734"/>
      <w:bookmarkStart w:id="3899" w:name="_Toc478131535"/>
      <w:bookmarkStart w:id="3900" w:name="_Toc478138905"/>
      <w:bookmarkStart w:id="3901" w:name="_Toc478232429"/>
      <w:bookmarkStart w:id="3902" w:name="_Toc478237414"/>
      <w:bookmarkStart w:id="3903" w:name="_Toc481761955"/>
      <w:bookmarkStart w:id="3904" w:name="_Toc492900605"/>
      <w:r w:rsidRPr="00BC664C">
        <w:rPr>
          <w:rFonts w:eastAsiaTheme="minorEastAsia"/>
        </w:rPr>
        <w:t>Finansieringen av tros- og livssynssamfunn utenom Den norske kirke</w:t>
      </w:r>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p>
    <w:p w:rsidR="00944062" w:rsidRPr="00BC664C" w:rsidRDefault="00BC664C" w:rsidP="00BC664C">
      <w:pPr>
        <w:pStyle w:val="Overskrift3"/>
        <w:rPr>
          <w:rFonts w:eastAsiaTheme="minorEastAsia"/>
        </w:rPr>
      </w:pPr>
      <w:bookmarkStart w:id="3905" w:name="_Toc477277407"/>
      <w:bookmarkStart w:id="3906" w:name="_Toc477536227"/>
      <w:bookmarkStart w:id="3907" w:name="_Toc477631357"/>
      <w:bookmarkStart w:id="3908" w:name="_Toc477694323"/>
      <w:bookmarkStart w:id="3909" w:name="_Toc477704749"/>
      <w:bookmarkStart w:id="3910" w:name="_Toc477799992"/>
      <w:bookmarkStart w:id="3911" w:name="_Toc477806593"/>
      <w:bookmarkStart w:id="3912" w:name="_Toc477872253"/>
      <w:bookmarkStart w:id="3913" w:name="_Toc477878862"/>
      <w:bookmarkStart w:id="3914" w:name="_Toc477882273"/>
      <w:bookmarkStart w:id="3915" w:name="_Toc477886735"/>
      <w:bookmarkStart w:id="3916" w:name="_Toc478131536"/>
      <w:bookmarkStart w:id="3917" w:name="_Toc478138906"/>
      <w:bookmarkStart w:id="3918" w:name="_Toc478232430"/>
      <w:bookmarkStart w:id="3919" w:name="_Toc478237415"/>
      <w:bookmarkStart w:id="3920" w:name="_Toc481761956"/>
      <w:bookmarkStart w:id="3921" w:name="_Toc492900606"/>
      <w:r>
        <w:rPr>
          <w:rFonts w:eastAsiaTheme="minorEastAsia"/>
        </w:rPr>
        <w:t>Statens overtakelse av fin</w:t>
      </w:r>
      <w:r w:rsidR="00944062" w:rsidRPr="00BC664C">
        <w:rPr>
          <w:rFonts w:eastAsiaTheme="minorEastAsia"/>
        </w:rPr>
        <w:t>ansieringsansvaret</w:t>
      </w:r>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p>
    <w:p w:rsidR="00944062" w:rsidRPr="000F5CA8" w:rsidRDefault="00944062" w:rsidP="00BC664C">
      <w:r w:rsidRPr="000F5CA8">
        <w:t>En statlig overtakelse av finansieringsansvaret for de offentlige tilskuddene til tros- og livssynssamfunn utenom Den norske kirke, slik som foreslått i kap</w:t>
      </w:r>
      <w:r w:rsidR="00520264">
        <w:t>ittel</w:t>
      </w:r>
      <w:r w:rsidRPr="000F5CA8">
        <w:t xml:space="preserve"> 1</w:t>
      </w:r>
      <w:r w:rsidR="00171FBD">
        <w:t>3</w:t>
      </w:r>
      <w:r w:rsidRPr="000F5CA8">
        <w:t xml:space="preserve">, innebærer en omfordeling av oppgaver mellom staten og kommunene. Kommunenes utgiftsforpliktelser faller bort og overtas av staten. I tråd med det som ellers er vanlig ved oppgave- eller funksjonsendringer mellom staten og kommunene, foreslås det at dagens kommunale bevilgninger til samfunnene trekkes ut av statens rammetilskudd til kommunene, slik at den samlede effekten for staten og kommunesektoren er budsjettmessig nøytral. </w:t>
      </w:r>
      <w:r w:rsidR="00280D2A">
        <w:t>D</w:t>
      </w:r>
      <w:r w:rsidRPr="000F5CA8">
        <w:t xml:space="preserve">ette </w:t>
      </w:r>
      <w:r w:rsidR="00280D2A">
        <w:t xml:space="preserve">kan </w:t>
      </w:r>
      <w:r w:rsidRPr="000F5CA8">
        <w:t xml:space="preserve">gjennomføres ved at summen av kommunenes bevilgninger til samfunnene det siste året før </w:t>
      </w:r>
      <w:r w:rsidRPr="000F5CA8">
        <w:lastRenderedPageBreak/>
        <w:t>omleggingen, deles på det samlede innbyggertallet i hele landet, og at beløpet per innbygger som framkommer, danner grunnlaget for uttrekket i rammetilskuddet til kommunene. I uttrekket bør også de administrative besparelsene for kommunene medregnes.</w:t>
      </w:r>
    </w:p>
    <w:p w:rsidR="00944062" w:rsidRPr="000F5CA8" w:rsidRDefault="00944062" w:rsidP="00BC664C">
      <w:r w:rsidRPr="000F5CA8">
        <w:t>De administrative besparelsene som oppnås ved en slik omlegging, vil være betydelige</w:t>
      </w:r>
      <w:r w:rsidR="00171FBD">
        <w:t>,</w:t>
      </w:r>
      <w:r w:rsidRPr="000F5CA8">
        <w:t xml:space="preserve"> også for </w:t>
      </w:r>
      <w:r w:rsidR="00171FBD">
        <w:t>tros- og livssyns</w:t>
      </w:r>
      <w:r w:rsidRPr="000F5CA8">
        <w:t>samfunnene</w:t>
      </w:r>
      <w:r w:rsidR="00171FBD">
        <w:t xml:space="preserve">, jf. </w:t>
      </w:r>
      <w:r w:rsidRPr="000F5CA8">
        <w:t>omtalen i kap</w:t>
      </w:r>
      <w:r w:rsidR="00520264">
        <w:t>ittel</w:t>
      </w:r>
      <w:r w:rsidRPr="000F5CA8">
        <w:t xml:space="preserve"> 1</w:t>
      </w:r>
      <w:r w:rsidR="00171FBD">
        <w:t>3</w:t>
      </w:r>
      <w:r w:rsidRPr="000F5CA8">
        <w:t>. Når det gjelder de administrative meroppgavene som faller på staten</w:t>
      </w:r>
      <w:r w:rsidR="00171FBD">
        <w:t xml:space="preserve"> som følge av endrede vilkår og behovet for en tettere oppfølging av samfunnene</w:t>
      </w:r>
      <w:r w:rsidRPr="000F5CA8">
        <w:t xml:space="preserve">, vises til omtalen nedenfor </w:t>
      </w:r>
      <w:r w:rsidR="00280D2A">
        <w:t xml:space="preserve">under </w:t>
      </w:r>
      <w:r w:rsidR="005F5507">
        <w:t>punkt</w:t>
      </w:r>
      <w:r w:rsidR="00520264">
        <w:t xml:space="preserve"> 23.3.3.</w:t>
      </w:r>
    </w:p>
    <w:p w:rsidR="009F1E80" w:rsidRDefault="00BC664C" w:rsidP="001D146F">
      <w:pPr>
        <w:pStyle w:val="Overskrift3"/>
      </w:pPr>
      <w:bookmarkStart w:id="3922" w:name="_Toc477277408"/>
      <w:bookmarkStart w:id="3923" w:name="_Toc477536228"/>
      <w:bookmarkStart w:id="3924" w:name="_Toc477631358"/>
      <w:bookmarkStart w:id="3925" w:name="_Toc477694324"/>
      <w:bookmarkStart w:id="3926" w:name="_Toc477704750"/>
      <w:bookmarkStart w:id="3927" w:name="_Toc477799993"/>
      <w:bookmarkStart w:id="3928" w:name="_Toc477806594"/>
      <w:bookmarkStart w:id="3929" w:name="_Toc477872254"/>
      <w:bookmarkStart w:id="3930" w:name="_Toc477878863"/>
      <w:bookmarkStart w:id="3931" w:name="_Toc477882274"/>
      <w:bookmarkStart w:id="3932" w:name="_Toc477886736"/>
      <w:bookmarkStart w:id="3933" w:name="_Toc478131537"/>
      <w:bookmarkStart w:id="3934" w:name="_Toc478138907"/>
      <w:bookmarkStart w:id="3935" w:name="_Toc478232431"/>
      <w:bookmarkStart w:id="3936" w:name="_Toc478237416"/>
      <w:bookmarkStart w:id="3937" w:name="_Toc481761957"/>
      <w:bookmarkStart w:id="3938" w:name="_Toc492900607"/>
      <w:r>
        <w:rPr>
          <w:rFonts w:eastAsiaTheme="minorEastAsia"/>
        </w:rPr>
        <w:t>T</w:t>
      </w:r>
      <w:r w:rsidR="00944062" w:rsidRPr="000F5CA8">
        <w:rPr>
          <w:rFonts w:eastAsiaTheme="minorEastAsia"/>
        </w:rPr>
        <w:t>ilskuddsordningen</w:t>
      </w:r>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r w:rsidR="00944062" w:rsidRPr="000F5CA8">
        <w:rPr>
          <w:rFonts w:eastAsiaTheme="minorEastAsia"/>
        </w:rPr>
        <w:t xml:space="preserve"> </w:t>
      </w:r>
      <w:bookmarkStart w:id="3939" w:name="_Toc477872255"/>
      <w:bookmarkStart w:id="3940" w:name="_Toc477878864"/>
      <w:bookmarkStart w:id="3941" w:name="_Toc477882275"/>
      <w:bookmarkStart w:id="3942" w:name="_Toc477886737"/>
      <w:bookmarkEnd w:id="3939"/>
      <w:bookmarkEnd w:id="3940"/>
      <w:bookmarkEnd w:id="3941"/>
      <w:bookmarkEnd w:id="3942"/>
    </w:p>
    <w:p w:rsidR="009F1E80" w:rsidRDefault="009F1E80" w:rsidP="001D146F">
      <w:pPr>
        <w:pStyle w:val="Overskrift4"/>
      </w:pPr>
      <w:r>
        <w:t xml:space="preserve">Utmåling </w:t>
      </w:r>
      <w:r w:rsidR="0026570F">
        <w:t xml:space="preserve">og regulering </w:t>
      </w:r>
      <w:r>
        <w:t>av støtten</w:t>
      </w:r>
    </w:p>
    <w:p w:rsidR="00944062" w:rsidRPr="000F5CA8" w:rsidRDefault="00944062" w:rsidP="00BC664C">
      <w:r w:rsidRPr="000F5CA8">
        <w:t>I kap</w:t>
      </w:r>
      <w:r w:rsidR="00520264">
        <w:t xml:space="preserve">itlene </w:t>
      </w:r>
      <w:r w:rsidR="00171FBD">
        <w:t xml:space="preserve">7 og </w:t>
      </w:r>
      <w:r w:rsidRPr="000F5CA8">
        <w:t>1</w:t>
      </w:r>
      <w:r w:rsidR="00171FBD">
        <w:t>4</w:t>
      </w:r>
      <w:r w:rsidRPr="000F5CA8">
        <w:t xml:space="preserve"> er drøftet forslag til visse endringer i det regelverket som i dag gjelder for </w:t>
      </w:r>
      <w:r w:rsidR="00171FBD">
        <w:t xml:space="preserve">utmålingen </w:t>
      </w:r>
      <w:r w:rsidR="00F23702">
        <w:t xml:space="preserve">av </w:t>
      </w:r>
      <w:r w:rsidRPr="000F5CA8">
        <w:t>tilskudd til tros- og livssynssamfunn utenom Den norske kirke. Alle samfunnene vil etter forslaget være omfattet av samme tilskuddsordning. I seg selv er dette en forenkling. Dagens tre tilskuddsordninger har imidlertid store likhetstrekk, slik at de administrative besparelsene i praksis vil være beskjedne.</w:t>
      </w:r>
    </w:p>
    <w:p w:rsidR="00944062" w:rsidRPr="000F5CA8" w:rsidRDefault="00944062" w:rsidP="00BC664C">
      <w:r w:rsidRPr="000F5CA8">
        <w:t>Forslagene vedrørende tilskuddsordning</w:t>
      </w:r>
      <w:r w:rsidR="00171FBD">
        <w:t>en</w:t>
      </w:r>
      <w:r w:rsidRPr="000F5CA8">
        <w:t xml:space="preserve"> kan summeres opp slik:</w:t>
      </w:r>
    </w:p>
    <w:p w:rsidR="00280D2A" w:rsidRPr="00C2146B" w:rsidRDefault="00280D2A" w:rsidP="00DC4134">
      <w:pPr>
        <w:pStyle w:val="Liste2"/>
      </w:pPr>
      <w:r w:rsidRPr="00294C84">
        <w:t xml:space="preserve">Et samfunn må ha minst 500 medlemmer over 15 år for å kunne motta støtte. </w:t>
      </w:r>
    </w:p>
    <w:p w:rsidR="00C2146B" w:rsidRPr="00363BD1" w:rsidRDefault="00C2146B" w:rsidP="00DC4134">
      <w:pPr>
        <w:pStyle w:val="Liste2"/>
      </w:pPr>
      <w:r>
        <w:t xml:space="preserve">Støtten utmåles </w:t>
      </w:r>
      <w:r w:rsidR="00ED31DC">
        <w:t xml:space="preserve">som et kronebeløp per medlem (tilskuddssats), </w:t>
      </w:r>
      <w:r>
        <w:t>med krav om medlemslister påført fødselsnummer for hvert medlem.</w:t>
      </w:r>
    </w:p>
    <w:p w:rsidR="00977A2F" w:rsidRDefault="00977A2F" w:rsidP="00DC4134">
      <w:pPr>
        <w:pStyle w:val="Liste2"/>
      </w:pPr>
      <w:r>
        <w:t>Reguleringsg</w:t>
      </w:r>
      <w:r w:rsidRPr="003820CA">
        <w:t xml:space="preserve">runnlaget </w:t>
      </w:r>
      <w:r>
        <w:t>for tilskuddssatsen er</w:t>
      </w:r>
      <w:r w:rsidRPr="003820CA">
        <w:t xml:space="preserve"> statens bevilgninger til Den norske kirke.</w:t>
      </w:r>
    </w:p>
    <w:p w:rsidR="00AC7C08" w:rsidRDefault="00C2146B" w:rsidP="00ED31DC">
      <w:r w:rsidRPr="001D146F">
        <w:rPr>
          <w:i/>
        </w:rPr>
        <w:t>F</w:t>
      </w:r>
      <w:r>
        <w:rPr>
          <w:i/>
        </w:rPr>
        <w:t xml:space="preserve">ørste </w:t>
      </w:r>
      <w:r w:rsidR="00AC7C08" w:rsidRPr="00AC7C08">
        <w:rPr>
          <w:i/>
        </w:rPr>
        <w:t>strekpunkt</w:t>
      </w:r>
      <w:r w:rsidR="00AC7C08">
        <w:t xml:space="preserve"> </w:t>
      </w:r>
      <w:r>
        <w:t xml:space="preserve">er nærmere omtalt nedenfor. </w:t>
      </w:r>
    </w:p>
    <w:p w:rsidR="00977A2F" w:rsidRDefault="00ED31DC" w:rsidP="00ED31DC">
      <w:r w:rsidRPr="00AC7C08">
        <w:rPr>
          <w:i/>
        </w:rPr>
        <w:t xml:space="preserve">Andre </w:t>
      </w:r>
      <w:r w:rsidR="00977A2F" w:rsidRPr="00AC7C08">
        <w:rPr>
          <w:i/>
        </w:rPr>
        <w:t xml:space="preserve">strekpunkt </w:t>
      </w:r>
      <w:r w:rsidR="00977A2F">
        <w:t>fører videre dagens regler om utmåling av støtte etter medlemstall</w:t>
      </w:r>
      <w:r>
        <w:t>, men kirkens medlemstall vil ikke lenger inngå som reguleringsfaktor</w:t>
      </w:r>
      <w:r w:rsidR="00AC7C08">
        <w:t>, jf. kapittel 4.2.2</w:t>
      </w:r>
      <w:r w:rsidR="00977A2F">
        <w:t>.</w:t>
      </w:r>
    </w:p>
    <w:p w:rsidR="005F5507" w:rsidRDefault="00977A2F" w:rsidP="00BC664C">
      <w:r>
        <w:rPr>
          <w:i/>
        </w:rPr>
        <w:t>Tredje strekpunkt</w:t>
      </w:r>
      <w:r w:rsidR="009F1E80">
        <w:rPr>
          <w:i/>
        </w:rPr>
        <w:t xml:space="preserve"> </w:t>
      </w:r>
      <w:r w:rsidR="00944062" w:rsidRPr="000F5CA8">
        <w:t xml:space="preserve">innebærer </w:t>
      </w:r>
      <w:r w:rsidR="00ED31DC">
        <w:t xml:space="preserve">at kommunale tilskudd til Den norske kirke ikke lenger skal inngå i reguleringsgrunnlaget for tilskuddssatsen. Ellers innebærer </w:t>
      </w:r>
      <w:r w:rsidR="00CE6446">
        <w:t xml:space="preserve">forslaget </w:t>
      </w:r>
      <w:r w:rsidR="00944062" w:rsidRPr="000F5CA8">
        <w:t xml:space="preserve">i det vesentlige en videreføring av </w:t>
      </w:r>
      <w:r w:rsidR="005F5507">
        <w:t xml:space="preserve">gjeldende rett. </w:t>
      </w:r>
      <w:r w:rsidR="00944062" w:rsidRPr="000F5CA8">
        <w:t xml:space="preserve">Fortsatt skal </w:t>
      </w:r>
      <w:r w:rsidR="00520264">
        <w:t xml:space="preserve">tilskudd </w:t>
      </w:r>
      <w:r w:rsidR="00944062" w:rsidRPr="000F5CA8">
        <w:t xml:space="preserve">til </w:t>
      </w:r>
      <w:r w:rsidR="00520264">
        <w:t xml:space="preserve">utgiftsformål som </w:t>
      </w:r>
      <w:r w:rsidR="00944062" w:rsidRPr="000F5CA8">
        <w:t xml:space="preserve">gjelder alle innbyggere, </w:t>
      </w:r>
      <w:r w:rsidR="00514CAE">
        <w:t xml:space="preserve">så som </w:t>
      </w:r>
      <w:r w:rsidR="005B7D16">
        <w:t xml:space="preserve">gravplassforvaltningen, </w:t>
      </w:r>
      <w:r w:rsidR="00514CAE">
        <w:t xml:space="preserve">eller </w:t>
      </w:r>
      <w:r w:rsidR="005B7D16" w:rsidRPr="000F5CA8">
        <w:t>som ikke egentlig er til kirkelige formål</w:t>
      </w:r>
      <w:r w:rsidR="005B7D16">
        <w:t xml:space="preserve">, </w:t>
      </w:r>
      <w:r w:rsidR="00514CAE">
        <w:t xml:space="preserve">så som </w:t>
      </w:r>
      <w:r w:rsidR="005B7D16">
        <w:t xml:space="preserve">bevaring av eldre kirkebygg ut fra kulturminnehensyn, </w:t>
      </w:r>
      <w:r w:rsidR="00520264">
        <w:t xml:space="preserve">holdes utenom. </w:t>
      </w:r>
      <w:r w:rsidR="0049569E">
        <w:t xml:space="preserve">Også tilskudd til </w:t>
      </w:r>
      <w:r w:rsidR="00520264">
        <w:t>utgiftsformå</w:t>
      </w:r>
      <w:r w:rsidR="0049569E">
        <w:t>l som følger av Den norske kirk</w:t>
      </w:r>
      <w:r w:rsidR="00520264">
        <w:t>es sæ</w:t>
      </w:r>
      <w:r w:rsidR="0049569E">
        <w:t>r</w:t>
      </w:r>
      <w:r w:rsidR="00520264">
        <w:t>lige stilling</w:t>
      </w:r>
      <w:r w:rsidR="0049569E">
        <w:t xml:space="preserve"> skal holdes utenom, blant annet tilskudd til kirkevalg, tilskudd som gis som følge av opphevingen av prestenes boplikt og tilskudd som skal dekke deler av kirkens pensjonspremie, jf. kapittel</w:t>
      </w:r>
      <w:r w:rsidR="005F5507">
        <w:t xml:space="preserve"> 14.3.</w:t>
      </w:r>
    </w:p>
    <w:p w:rsidR="00223CB4" w:rsidRDefault="00223CB4" w:rsidP="00BC664C">
      <w:r>
        <w:t xml:space="preserve">Ved innføringstidspunktet for regulering </w:t>
      </w:r>
      <w:r w:rsidR="00CE6446">
        <w:t xml:space="preserve">som nevnt, </w:t>
      </w:r>
      <w:r>
        <w:t>vil det være den da gjeldende tilskuddssatsen</w:t>
      </w:r>
      <w:r w:rsidR="00977A2F">
        <w:t xml:space="preserve">, oppjustert som følge av at medlemmer under 15 år ikke lenger skal medregnes, </w:t>
      </w:r>
      <w:r>
        <w:t xml:space="preserve">som undergis </w:t>
      </w:r>
      <w:r w:rsidR="009F1E80">
        <w:t xml:space="preserve">den nye </w:t>
      </w:r>
      <w:r>
        <w:t>reguleringsbestemmelsen.</w:t>
      </w:r>
    </w:p>
    <w:p w:rsidR="009F1E80" w:rsidRDefault="00A44570" w:rsidP="001D146F">
      <w:pPr>
        <w:pStyle w:val="Overskrift4"/>
      </w:pPr>
      <w:r w:rsidRPr="00DC6B8F">
        <w:t>Nærmere om kravet</w:t>
      </w:r>
      <w:r w:rsidR="00CB4EAA">
        <w:t xml:space="preserve"> </w:t>
      </w:r>
      <w:r w:rsidR="00294C84">
        <w:t xml:space="preserve">om minst </w:t>
      </w:r>
      <w:r w:rsidR="00CB4EAA">
        <w:t>500</w:t>
      </w:r>
      <w:r w:rsidR="00294C84">
        <w:t xml:space="preserve"> medlemmer over 15 år</w:t>
      </w:r>
    </w:p>
    <w:p w:rsidR="00360F51" w:rsidRDefault="00360F51" w:rsidP="00360F51">
      <w:r w:rsidRPr="000F5CA8">
        <w:t>Tabellen nedenfor viser antallet samfunn som ifølge Brønnøysundregistrene har 2 000 eller færre medlemmer</w:t>
      </w:r>
      <w:r>
        <w:t xml:space="preserve"> over 15 år og</w:t>
      </w:r>
      <w:r w:rsidRPr="000F5CA8">
        <w:t xml:space="preserve"> hvordan disse fordeler seg på ulike intervaller (100 medlemmer, 200 medlemmer osv.)</w:t>
      </w:r>
      <w:r>
        <w:t>. Tabellen viser virkningen for disse av forslaget om at det stilles krav om minst 500 medlemmer over 15 år for å få tildelt støtte.</w:t>
      </w:r>
    </w:p>
    <w:p w:rsidR="000D4A19" w:rsidRDefault="000D4A19" w:rsidP="00360F51"/>
    <w:p w:rsidR="000D4A19" w:rsidRDefault="000D4A19" w:rsidP="00360F51"/>
    <w:p w:rsidR="00360F51" w:rsidRPr="00360F51" w:rsidRDefault="00360F51" w:rsidP="00360F51">
      <w:pPr>
        <w:rPr>
          <w:rFonts w:cs="Times New Roman"/>
          <w:i/>
        </w:rPr>
      </w:pPr>
      <w:r w:rsidRPr="00081ACC">
        <w:rPr>
          <w:rFonts w:cs="Times New Roman"/>
          <w:i/>
        </w:rPr>
        <w:lastRenderedPageBreak/>
        <w:t>Tabell 1. Oversikt fra Brønnøysundregistrene over antall tros- og livssynssamfunn med færre enn N tilskuddstellende medlemmer over 15 år og virkningene av antallskrav om tilskudd.</w:t>
      </w:r>
    </w:p>
    <w:tbl>
      <w:tblPr>
        <w:tblStyle w:val="StandardTabell"/>
        <w:tblW w:w="9010" w:type="dxa"/>
        <w:tblLook w:val="04A0" w:firstRow="1" w:lastRow="0" w:firstColumn="1" w:lastColumn="0" w:noHBand="0" w:noVBand="1"/>
      </w:tblPr>
      <w:tblGrid>
        <w:gridCol w:w="1817"/>
        <w:gridCol w:w="959"/>
        <w:gridCol w:w="1727"/>
        <w:gridCol w:w="1013"/>
        <w:gridCol w:w="1888"/>
        <w:gridCol w:w="1658"/>
      </w:tblGrid>
      <w:tr w:rsidR="00522AA3" w:rsidRPr="00A44843" w:rsidTr="00522AA3">
        <w:trPr>
          <w:trHeight w:val="288"/>
        </w:trPr>
        <w:tc>
          <w:tcPr>
            <w:tcW w:w="1820" w:type="dxa"/>
            <w:noWrap/>
          </w:tcPr>
          <w:p w:rsidR="00522AA3" w:rsidRPr="00A44843" w:rsidRDefault="00522AA3" w:rsidP="00E37A6B">
            <w:pPr>
              <w:spacing w:line="240" w:lineRule="auto"/>
              <w:rPr>
                <w:rFonts w:cs="Times New Roman"/>
                <w:color w:val="000000"/>
              </w:rPr>
            </w:pPr>
            <w:r w:rsidRPr="00150737">
              <w:rPr>
                <w:rStyle w:val="halvfet"/>
              </w:rPr>
              <w:t>Færre enn N tilskudds-tellende medlemmer over 15 år 2016</w:t>
            </w:r>
          </w:p>
        </w:tc>
        <w:tc>
          <w:tcPr>
            <w:tcW w:w="960" w:type="dxa"/>
            <w:noWrap/>
          </w:tcPr>
          <w:p w:rsidR="00522AA3" w:rsidRPr="00A44843" w:rsidRDefault="00522AA3" w:rsidP="00E37A6B">
            <w:pPr>
              <w:spacing w:line="240" w:lineRule="auto"/>
              <w:jc w:val="center"/>
              <w:rPr>
                <w:rFonts w:cs="Times New Roman"/>
                <w:color w:val="000000"/>
              </w:rPr>
            </w:pPr>
            <w:r w:rsidRPr="00150737">
              <w:rPr>
                <w:rStyle w:val="halvfet"/>
              </w:rPr>
              <w:t>Antall sam-funn</w:t>
            </w:r>
          </w:p>
        </w:tc>
        <w:tc>
          <w:tcPr>
            <w:tcW w:w="1730" w:type="dxa"/>
            <w:noWrap/>
          </w:tcPr>
          <w:p w:rsidR="00522AA3" w:rsidRPr="00A44843" w:rsidRDefault="00522AA3" w:rsidP="00E37A6B">
            <w:pPr>
              <w:spacing w:line="240" w:lineRule="auto"/>
              <w:jc w:val="center"/>
              <w:rPr>
                <w:rFonts w:cs="Times New Roman"/>
                <w:color w:val="000000"/>
              </w:rPr>
            </w:pPr>
            <w:r w:rsidRPr="00150737">
              <w:rPr>
                <w:rStyle w:val="halvfet"/>
              </w:rPr>
              <w:t>Antall tilskudds-tellende medlemmer</w:t>
            </w:r>
          </w:p>
        </w:tc>
        <w:tc>
          <w:tcPr>
            <w:tcW w:w="1014" w:type="dxa"/>
            <w:noWrap/>
          </w:tcPr>
          <w:p w:rsidR="00522AA3" w:rsidRPr="00A44843" w:rsidRDefault="00522AA3" w:rsidP="00E37A6B">
            <w:pPr>
              <w:spacing w:line="240" w:lineRule="auto"/>
              <w:jc w:val="center"/>
              <w:rPr>
                <w:rFonts w:cs="Times New Roman"/>
                <w:color w:val="000000"/>
              </w:rPr>
            </w:pPr>
            <w:r w:rsidRPr="00150737">
              <w:rPr>
                <w:rStyle w:val="halvfet"/>
              </w:rPr>
              <w:t>Statlig sats 2016*</w:t>
            </w:r>
          </w:p>
        </w:tc>
        <w:tc>
          <w:tcPr>
            <w:tcW w:w="1826" w:type="dxa"/>
            <w:noWrap/>
          </w:tcPr>
          <w:p w:rsidR="00522AA3" w:rsidRPr="00A44843" w:rsidRDefault="00522AA3" w:rsidP="00E37A6B">
            <w:pPr>
              <w:spacing w:line="240" w:lineRule="auto"/>
              <w:jc w:val="center"/>
              <w:rPr>
                <w:rFonts w:cs="Times New Roman"/>
                <w:color w:val="000000"/>
              </w:rPr>
            </w:pPr>
            <w:r w:rsidRPr="00150737">
              <w:rPr>
                <w:rStyle w:val="halvfet"/>
              </w:rPr>
              <w:t>Gjennomsnittlig kommunal sats 2016**</w:t>
            </w:r>
          </w:p>
        </w:tc>
        <w:tc>
          <w:tcPr>
            <w:tcW w:w="1660" w:type="dxa"/>
            <w:noWrap/>
          </w:tcPr>
          <w:p w:rsidR="00522AA3" w:rsidRPr="00A44843" w:rsidRDefault="00522AA3" w:rsidP="00E37A6B">
            <w:pPr>
              <w:spacing w:line="240" w:lineRule="auto"/>
              <w:jc w:val="right"/>
              <w:rPr>
                <w:rFonts w:cs="Times New Roman"/>
                <w:color w:val="000000"/>
              </w:rPr>
            </w:pPr>
            <w:r w:rsidRPr="00150737">
              <w:rPr>
                <w:rStyle w:val="halvfet"/>
              </w:rPr>
              <w:t>Reduserte off. tilskudd</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100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381</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17 026</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 xml:space="preserve">561 </w:t>
            </w:r>
            <w:r w:rsidRPr="00E30C79">
              <w:rPr>
                <w:rFonts w:cs="Times New Roman"/>
                <w:color w:val="000000"/>
              </w:rPr>
              <w:t>kr</w:t>
            </w:r>
          </w:p>
        </w:tc>
        <w:tc>
          <w:tcPr>
            <w:tcW w:w="1826"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 xml:space="preserve">20 499 304 </w:t>
            </w:r>
            <w:r w:rsidRPr="00E30C79">
              <w:rPr>
                <w:rFonts w:cs="Times New Roman"/>
                <w:color w:val="000000"/>
              </w:rPr>
              <w:t>kr</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200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515</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35 904</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561</w:t>
            </w:r>
            <w:r w:rsidRPr="00E30C79">
              <w:rPr>
                <w:rFonts w:cs="Times New Roman"/>
                <w:color w:val="000000"/>
              </w:rPr>
              <w:t xml:space="preserve"> kr</w:t>
            </w:r>
          </w:p>
        </w:tc>
        <w:tc>
          <w:tcPr>
            <w:tcW w:w="1826"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 xml:space="preserve">43 228 416 </w:t>
            </w:r>
            <w:r w:rsidRPr="00E30C79">
              <w:rPr>
                <w:rFonts w:cs="Times New Roman"/>
                <w:color w:val="000000"/>
              </w:rPr>
              <w:t>kr</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300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591</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54 576</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561</w:t>
            </w:r>
            <w:r w:rsidRPr="00E30C79">
              <w:rPr>
                <w:rFonts w:cs="Times New Roman"/>
                <w:color w:val="000000"/>
              </w:rPr>
              <w:t xml:space="preserve"> kr</w:t>
            </w:r>
          </w:p>
        </w:tc>
        <w:tc>
          <w:tcPr>
            <w:tcW w:w="1826" w:type="dxa"/>
            <w:noWrap/>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65 709 504</w:t>
            </w:r>
            <w:r w:rsidRPr="00E30C79">
              <w:rPr>
                <w:rFonts w:cs="Times New Roman"/>
                <w:color w:val="000000"/>
              </w:rPr>
              <w:t xml:space="preserve"> kr</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400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631</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68 472</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561</w:t>
            </w:r>
            <w:r w:rsidRPr="00E30C79">
              <w:rPr>
                <w:rFonts w:cs="Times New Roman"/>
                <w:color w:val="000000"/>
              </w:rPr>
              <w:t xml:space="preserve"> kr</w:t>
            </w:r>
          </w:p>
        </w:tc>
        <w:tc>
          <w:tcPr>
            <w:tcW w:w="1826" w:type="dxa"/>
            <w:noWrap/>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82 440 288</w:t>
            </w:r>
            <w:r w:rsidRPr="00E30C79">
              <w:rPr>
                <w:rFonts w:cs="Times New Roman"/>
                <w:color w:val="000000"/>
              </w:rPr>
              <w:t xml:space="preserve"> kr</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500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660</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81 377</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561</w:t>
            </w:r>
            <w:r w:rsidRPr="00E30C79">
              <w:rPr>
                <w:rFonts w:cs="Times New Roman"/>
                <w:color w:val="000000"/>
              </w:rPr>
              <w:t xml:space="preserve"> kr</w:t>
            </w:r>
          </w:p>
        </w:tc>
        <w:tc>
          <w:tcPr>
            <w:tcW w:w="1826" w:type="dxa"/>
            <w:noWrap/>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97 977 908</w:t>
            </w:r>
            <w:r w:rsidRPr="00E30C79">
              <w:rPr>
                <w:rFonts w:cs="Times New Roman"/>
                <w:color w:val="000000"/>
              </w:rPr>
              <w:t xml:space="preserve"> kr</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1 000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728</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129 422</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561</w:t>
            </w:r>
            <w:r w:rsidRPr="00E30C79">
              <w:rPr>
                <w:rFonts w:cs="Times New Roman"/>
                <w:color w:val="000000"/>
              </w:rPr>
              <w:t xml:space="preserve"> kr</w:t>
            </w:r>
          </w:p>
        </w:tc>
        <w:tc>
          <w:tcPr>
            <w:tcW w:w="1826" w:type="dxa"/>
            <w:noWrap/>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155 824 088</w:t>
            </w:r>
            <w:r w:rsidRPr="00E30C79">
              <w:rPr>
                <w:rFonts w:cs="Times New Roman"/>
                <w:color w:val="000000"/>
              </w:rPr>
              <w:t xml:space="preserve"> kr</w:t>
            </w:r>
          </w:p>
        </w:tc>
      </w:tr>
      <w:tr w:rsidR="00360F51" w:rsidRPr="00A44843" w:rsidTr="00522AA3">
        <w:trPr>
          <w:trHeight w:val="288"/>
        </w:trPr>
        <w:tc>
          <w:tcPr>
            <w:tcW w:w="1820" w:type="dxa"/>
            <w:noWrap/>
            <w:hideMark/>
          </w:tcPr>
          <w:p w:rsidR="00360F51" w:rsidRPr="00A44843" w:rsidRDefault="00360F51" w:rsidP="00E37A6B">
            <w:pPr>
              <w:spacing w:line="240" w:lineRule="auto"/>
              <w:rPr>
                <w:rFonts w:cs="Times New Roman"/>
                <w:color w:val="000000"/>
              </w:rPr>
            </w:pPr>
            <w:r w:rsidRPr="00A44843">
              <w:rPr>
                <w:rFonts w:cs="Times New Roman"/>
                <w:color w:val="000000"/>
              </w:rPr>
              <w:t>Færrre enn 2 000</w:t>
            </w:r>
          </w:p>
        </w:tc>
        <w:tc>
          <w:tcPr>
            <w:tcW w:w="96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749</w:t>
            </w:r>
          </w:p>
        </w:tc>
        <w:tc>
          <w:tcPr>
            <w:tcW w:w="1730"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158 911</w:t>
            </w:r>
          </w:p>
        </w:tc>
        <w:tc>
          <w:tcPr>
            <w:tcW w:w="1014" w:type="dxa"/>
            <w:noWrap/>
            <w:hideMark/>
          </w:tcPr>
          <w:p w:rsidR="00360F51" w:rsidRPr="00A44843" w:rsidRDefault="00360F51" w:rsidP="00E37A6B">
            <w:pPr>
              <w:spacing w:line="240" w:lineRule="auto"/>
              <w:jc w:val="center"/>
              <w:rPr>
                <w:rFonts w:cs="Times New Roman"/>
                <w:color w:val="000000"/>
              </w:rPr>
            </w:pPr>
            <w:r w:rsidRPr="00A44843">
              <w:rPr>
                <w:rFonts w:cs="Times New Roman"/>
                <w:color w:val="000000"/>
              </w:rPr>
              <w:t>561</w:t>
            </w:r>
            <w:r w:rsidRPr="00E30C79">
              <w:rPr>
                <w:rFonts w:cs="Times New Roman"/>
                <w:color w:val="000000"/>
              </w:rPr>
              <w:t xml:space="preserve"> kr</w:t>
            </w:r>
          </w:p>
        </w:tc>
        <w:tc>
          <w:tcPr>
            <w:tcW w:w="1826" w:type="dxa"/>
            <w:noWrap/>
          </w:tcPr>
          <w:p w:rsidR="00360F51" w:rsidRPr="00A44843" w:rsidRDefault="00360F51" w:rsidP="00E37A6B">
            <w:pPr>
              <w:spacing w:line="240" w:lineRule="auto"/>
              <w:jc w:val="center"/>
              <w:rPr>
                <w:rFonts w:cs="Times New Roman"/>
                <w:color w:val="000000"/>
              </w:rPr>
            </w:pPr>
            <w:r w:rsidRPr="00A44843">
              <w:rPr>
                <w:rFonts w:cs="Times New Roman"/>
                <w:color w:val="000000"/>
              </w:rPr>
              <w:t>643</w:t>
            </w:r>
            <w:r w:rsidRPr="00E30C79">
              <w:rPr>
                <w:rFonts w:cs="Times New Roman"/>
                <w:color w:val="000000"/>
              </w:rPr>
              <w:t xml:space="preserve"> kr</w:t>
            </w:r>
          </w:p>
        </w:tc>
        <w:tc>
          <w:tcPr>
            <w:tcW w:w="1660" w:type="dxa"/>
            <w:noWrap/>
            <w:hideMark/>
          </w:tcPr>
          <w:p w:rsidR="00360F51" w:rsidRPr="00A44843" w:rsidRDefault="00360F51" w:rsidP="00E37A6B">
            <w:pPr>
              <w:spacing w:line="240" w:lineRule="auto"/>
              <w:jc w:val="right"/>
              <w:rPr>
                <w:rFonts w:cs="Times New Roman"/>
                <w:color w:val="000000"/>
              </w:rPr>
            </w:pPr>
            <w:r w:rsidRPr="00A44843">
              <w:rPr>
                <w:rFonts w:cs="Times New Roman"/>
                <w:color w:val="000000"/>
              </w:rPr>
              <w:t>191 328 844</w:t>
            </w:r>
            <w:r w:rsidRPr="00E30C79">
              <w:rPr>
                <w:rFonts w:cs="Times New Roman"/>
                <w:color w:val="000000"/>
              </w:rPr>
              <w:t xml:space="preserve"> kr</w:t>
            </w:r>
          </w:p>
        </w:tc>
      </w:tr>
    </w:tbl>
    <w:p w:rsidR="00360F51" w:rsidRPr="00E30C79" w:rsidRDefault="00360F51" w:rsidP="00360F51">
      <w:pPr>
        <w:rPr>
          <w:rFonts w:cs="Times New Roman"/>
        </w:rPr>
      </w:pPr>
    </w:p>
    <w:p w:rsidR="00360F51" w:rsidRPr="002964CD" w:rsidRDefault="00360F51" w:rsidP="00360F51">
      <w:pPr>
        <w:rPr>
          <w:rFonts w:cs="Times New Roman"/>
          <w:sz w:val="20"/>
          <w:szCs w:val="20"/>
        </w:rPr>
      </w:pPr>
      <w:r w:rsidRPr="00E30C79">
        <w:rPr>
          <w:rFonts w:cs="Times New Roman"/>
          <w:sz w:val="18"/>
          <w:szCs w:val="18"/>
        </w:rPr>
        <w:t xml:space="preserve">* </w:t>
      </w:r>
      <w:r w:rsidRPr="002964CD">
        <w:rPr>
          <w:rFonts w:cs="Times New Roman"/>
          <w:sz w:val="20"/>
          <w:szCs w:val="20"/>
        </w:rPr>
        <w:t>I beregningen av beløpet inngår et skjønnsmessig fastsatt tall på medlemmer og tilhørige over 15 år i Den norske kirke. Tallet utgjør 84 pst</w:t>
      </w:r>
      <w:r w:rsidR="000D4A19">
        <w:rPr>
          <w:rFonts w:cs="Times New Roman"/>
          <w:sz w:val="20"/>
          <w:szCs w:val="20"/>
        </w:rPr>
        <w:t>.</w:t>
      </w:r>
      <w:r w:rsidRPr="002964CD">
        <w:rPr>
          <w:rFonts w:cs="Times New Roman"/>
          <w:sz w:val="20"/>
          <w:szCs w:val="20"/>
        </w:rPr>
        <w:t xml:space="preserve"> av medlemstallet som inngikk i fastsettingen av satsen for 2016. Regnestykket blir: 1 826 206 000/3 252 892= 561 kr</w:t>
      </w:r>
      <w:r w:rsidR="000D4A19">
        <w:rPr>
          <w:rFonts w:cs="Times New Roman"/>
          <w:sz w:val="20"/>
          <w:szCs w:val="20"/>
        </w:rPr>
        <w:t>oner</w:t>
      </w:r>
      <w:r w:rsidRPr="002964CD">
        <w:rPr>
          <w:rFonts w:cs="Times New Roman"/>
          <w:sz w:val="20"/>
          <w:szCs w:val="20"/>
        </w:rPr>
        <w:t xml:space="preserve"> per medlem</w:t>
      </w:r>
      <w:r w:rsidR="000D4A19">
        <w:rPr>
          <w:rFonts w:cs="Times New Roman"/>
          <w:sz w:val="20"/>
          <w:szCs w:val="20"/>
        </w:rPr>
        <w:t xml:space="preserve"> </w:t>
      </w:r>
      <w:r w:rsidRPr="002964CD">
        <w:rPr>
          <w:rFonts w:cs="Times New Roman"/>
          <w:sz w:val="20"/>
          <w:szCs w:val="20"/>
        </w:rPr>
        <w:t>(fra 472 kr</w:t>
      </w:r>
      <w:r w:rsidR="000D4A19">
        <w:rPr>
          <w:rFonts w:cs="Times New Roman"/>
          <w:sz w:val="20"/>
          <w:szCs w:val="20"/>
        </w:rPr>
        <w:t>oner</w:t>
      </w:r>
      <w:r w:rsidRPr="002964CD">
        <w:rPr>
          <w:rFonts w:cs="Times New Roman"/>
          <w:sz w:val="20"/>
          <w:szCs w:val="20"/>
        </w:rPr>
        <w:t xml:space="preserve"> til 561 kr</w:t>
      </w:r>
      <w:r w:rsidR="000D4A19">
        <w:rPr>
          <w:rFonts w:cs="Times New Roman"/>
          <w:sz w:val="20"/>
          <w:szCs w:val="20"/>
        </w:rPr>
        <w:t>oner</w:t>
      </w:r>
      <w:r w:rsidRPr="002964CD">
        <w:rPr>
          <w:rFonts w:cs="Times New Roman"/>
          <w:sz w:val="20"/>
          <w:szCs w:val="20"/>
        </w:rPr>
        <w:t>).</w:t>
      </w:r>
    </w:p>
    <w:p w:rsidR="00360F51" w:rsidRPr="002964CD" w:rsidRDefault="00360F51" w:rsidP="00360F51">
      <w:pPr>
        <w:rPr>
          <w:rFonts w:cs="Times New Roman"/>
          <w:sz w:val="20"/>
          <w:szCs w:val="20"/>
        </w:rPr>
      </w:pPr>
      <w:r w:rsidRPr="002964CD">
        <w:rPr>
          <w:rFonts w:cs="Times New Roman"/>
          <w:sz w:val="20"/>
          <w:szCs w:val="20"/>
        </w:rPr>
        <w:t>** I beregningen er lagt til grunn samme prosentvise økning som i den statlige satsen (fra 541 kr</w:t>
      </w:r>
      <w:r w:rsidR="000D4A19">
        <w:rPr>
          <w:rFonts w:cs="Times New Roman"/>
          <w:sz w:val="20"/>
          <w:szCs w:val="20"/>
        </w:rPr>
        <w:t>oner</w:t>
      </w:r>
      <w:r w:rsidRPr="002964CD">
        <w:rPr>
          <w:rFonts w:cs="Times New Roman"/>
          <w:sz w:val="20"/>
          <w:szCs w:val="20"/>
        </w:rPr>
        <w:t xml:space="preserve"> til 643 kr</w:t>
      </w:r>
      <w:r w:rsidR="000D4A19">
        <w:rPr>
          <w:rFonts w:cs="Times New Roman"/>
          <w:sz w:val="20"/>
          <w:szCs w:val="20"/>
        </w:rPr>
        <w:t>oner</w:t>
      </w:r>
      <w:r w:rsidRPr="002964CD">
        <w:rPr>
          <w:rFonts w:cs="Times New Roman"/>
          <w:sz w:val="20"/>
          <w:szCs w:val="20"/>
        </w:rPr>
        <w:t>).</w:t>
      </w:r>
    </w:p>
    <w:p w:rsidR="000D4A19" w:rsidRDefault="000D4A19" w:rsidP="00360F51"/>
    <w:p w:rsidR="00360F51" w:rsidRPr="000F5CA8" w:rsidRDefault="00360F51" w:rsidP="00360F51">
      <w:r w:rsidRPr="000F5CA8">
        <w:t xml:space="preserve">Av i alt </w:t>
      </w:r>
      <w:r>
        <w:t>783</w:t>
      </w:r>
      <w:r w:rsidRPr="000F5CA8">
        <w:t xml:space="preserve"> samfunn som mottok støtte i 2016, var det 3</w:t>
      </w:r>
      <w:r>
        <w:t>81</w:t>
      </w:r>
      <w:r w:rsidRPr="000F5CA8">
        <w:t xml:space="preserve"> samfunn med i alt ca. 17 000 medlemmer som hver for seg hadde færre enn 100 tilskuddstellende medlemmer</w:t>
      </w:r>
      <w:r>
        <w:t xml:space="preserve"> over 15 år</w:t>
      </w:r>
      <w:r w:rsidRPr="000F5CA8">
        <w:t xml:space="preserve">. </w:t>
      </w:r>
    </w:p>
    <w:p w:rsidR="00360F51" w:rsidRPr="000F5CA8" w:rsidRDefault="00360F51" w:rsidP="00360F51">
      <w:r w:rsidRPr="000F5CA8">
        <w:t>6</w:t>
      </w:r>
      <w:r>
        <w:t>60</w:t>
      </w:r>
      <w:r w:rsidRPr="000F5CA8">
        <w:t xml:space="preserve"> samfunn, med i alt 8</w:t>
      </w:r>
      <w:r>
        <w:t>1</w:t>
      </w:r>
      <w:r w:rsidRPr="000F5CA8">
        <w:t xml:space="preserve"> 000 tilskuddstellende medlemmer, hadde færre enn 500 medlemmer</w:t>
      </w:r>
      <w:r>
        <w:t xml:space="preserve"> over 15 år</w:t>
      </w:r>
      <w:r w:rsidRPr="000F5CA8">
        <w:t>. Dette svarer til 8</w:t>
      </w:r>
      <w:r>
        <w:t>5</w:t>
      </w:r>
      <w:r w:rsidRPr="000F5CA8">
        <w:t xml:space="preserve"> pst. av alle samfunnene som mottar støtte. Den samlede offentlige støtten til disse, rundt </w:t>
      </w:r>
      <w:r>
        <w:t>98</w:t>
      </w:r>
      <w:r w:rsidRPr="000F5CA8">
        <w:t xml:space="preserve"> mill. kroner, svarer til </w:t>
      </w:r>
      <w:r>
        <w:t xml:space="preserve">ca. </w:t>
      </w:r>
      <w:r w:rsidRPr="000F5CA8">
        <w:t>1</w:t>
      </w:r>
      <w:r>
        <w:t>6</w:t>
      </w:r>
      <w:r w:rsidRPr="000F5CA8">
        <w:t xml:space="preserve"> pst. av den offentlige støtten til alle tros- og livssynssamfunn</w:t>
      </w:r>
      <w:r>
        <w:t xml:space="preserve"> utenom Den norske kirke</w:t>
      </w:r>
      <w:r w:rsidRPr="000F5CA8">
        <w:t xml:space="preserve">. Denne </w:t>
      </w:r>
      <w:r>
        <w:t xml:space="preserve">støtten </w:t>
      </w:r>
      <w:r w:rsidRPr="000F5CA8">
        <w:t>var på 620 mill. kroner i 2016.</w:t>
      </w:r>
      <w:r w:rsidRPr="000F5CA8">
        <w:rPr>
          <w:i/>
        </w:rPr>
        <w:t xml:space="preserve"> </w:t>
      </w:r>
    </w:p>
    <w:p w:rsidR="00360F51" w:rsidRPr="000F5CA8" w:rsidRDefault="00360F51" w:rsidP="00360F51">
      <w:r w:rsidRPr="000F5CA8">
        <w:t xml:space="preserve">Departementet går ut fra at </w:t>
      </w:r>
      <w:r>
        <w:t xml:space="preserve">likeartede </w:t>
      </w:r>
      <w:r w:rsidRPr="000F5CA8">
        <w:t xml:space="preserve">samfunn som hver for seg har færre enn </w:t>
      </w:r>
      <w:r>
        <w:t>500</w:t>
      </w:r>
      <w:r w:rsidRPr="000F5CA8">
        <w:t xml:space="preserve"> medlemmer</w:t>
      </w:r>
      <w:r>
        <w:t xml:space="preserve"> over 15 år</w:t>
      </w:r>
      <w:r w:rsidRPr="000F5CA8">
        <w:t>, vil kunne tilpasse seg grensen ved organisatorisk samordning eller -s</w:t>
      </w:r>
      <w:r>
        <w:t>ammenslutning. Dette gjelder bl</w:t>
      </w:r>
      <w:r w:rsidRPr="000F5CA8">
        <w:t>a</w:t>
      </w:r>
      <w:r>
        <w:t xml:space="preserve">nt annet </w:t>
      </w:r>
      <w:r w:rsidRPr="000F5CA8">
        <w:t xml:space="preserve">landets </w:t>
      </w:r>
      <w:r>
        <w:t xml:space="preserve">over 300 </w:t>
      </w:r>
      <w:r w:rsidRPr="000F5CA8">
        <w:t xml:space="preserve">pinsemenigheter og flere frie evangeliske forsamlinger. I Sverige har pinsemenighetene gått inn i en organisert sammenslutning, uten at den enkelte menighets selvstendighet er oppgitt. </w:t>
      </w:r>
    </w:p>
    <w:p w:rsidR="00360F51" w:rsidRPr="000F5CA8" w:rsidRDefault="00360F51" w:rsidP="00360F51">
      <w:r w:rsidRPr="000F5CA8">
        <w:t xml:space="preserve">Etter en gjennomgang av de samfunnene som har færre enn </w:t>
      </w:r>
      <w:r>
        <w:t>50</w:t>
      </w:r>
      <w:r w:rsidRPr="000F5CA8">
        <w:t>0 medlemmer</w:t>
      </w:r>
      <w:r>
        <w:t xml:space="preserve"> over 15 år</w:t>
      </w:r>
      <w:r w:rsidRPr="000F5CA8">
        <w:t xml:space="preserve">, antar departementet – etter et forsiktig anslag – at rundt 350 samfunn antas å kunne slutte seg sammen i en organisatorisk overbygning. Det er imidlertid ikke mulig nå å si noe sikkert om dette. </w:t>
      </w:r>
    </w:p>
    <w:p w:rsidR="00360F51" w:rsidRPr="000F5CA8" w:rsidRDefault="00360F51" w:rsidP="00360F51">
      <w:r w:rsidRPr="000F5CA8">
        <w:t xml:space="preserve">Med </w:t>
      </w:r>
      <w:r>
        <w:t xml:space="preserve">et </w:t>
      </w:r>
      <w:r w:rsidRPr="000F5CA8">
        <w:t xml:space="preserve">antallskrav på </w:t>
      </w:r>
      <w:r>
        <w:t xml:space="preserve">500 medlemmer over 15 år </w:t>
      </w:r>
      <w:r w:rsidRPr="000F5CA8">
        <w:t>vil det</w:t>
      </w:r>
      <w:r>
        <w:t xml:space="preserve"> </w:t>
      </w:r>
      <w:r w:rsidRPr="000F5CA8">
        <w:t xml:space="preserve">bli </w:t>
      </w:r>
      <w:r>
        <w:t xml:space="preserve">langt </w:t>
      </w:r>
      <w:r w:rsidRPr="000F5CA8">
        <w:t xml:space="preserve">færre samfunn å følge opp, sammenliknet med dagens </w:t>
      </w:r>
      <w:r>
        <w:t>783</w:t>
      </w:r>
      <w:r w:rsidRPr="000F5CA8">
        <w:t xml:space="preserve"> samfunn. I realiteten er det ikke mulig for fylkesmennene i dag å følge opp hvert enkelt samfunn. </w:t>
      </w:r>
    </w:p>
    <w:p w:rsidR="00360F51" w:rsidRDefault="00360F51" w:rsidP="00360F51">
      <w:r w:rsidRPr="000F5CA8">
        <w:lastRenderedPageBreak/>
        <w:t xml:space="preserve">Selv om mange samfunn forventes å tilpasse seg kravet til medlemstall – ved å inngå i en organisert sammenslutning – går departementet ut fra at en antallsgrense på </w:t>
      </w:r>
      <w:r>
        <w:t>50</w:t>
      </w:r>
      <w:r w:rsidRPr="000F5CA8">
        <w:t xml:space="preserve">0 </w:t>
      </w:r>
      <w:r>
        <w:t xml:space="preserve">tilskuddstellende medlemmer over 15 år likevel </w:t>
      </w:r>
      <w:r w:rsidRPr="000F5CA8">
        <w:t xml:space="preserve">vil bety at mange samfunn ikke lenger vil få støtte. </w:t>
      </w:r>
      <w:r>
        <w:t>D</w:t>
      </w:r>
      <w:r w:rsidRPr="000F5CA8">
        <w:t xml:space="preserve">et </w:t>
      </w:r>
      <w:r>
        <w:t>er</w:t>
      </w:r>
      <w:r w:rsidRPr="000F5CA8">
        <w:t xml:space="preserve"> ikke nå mulig å anslå den budsjettmessige innsparingen som forslaget representerer</w:t>
      </w:r>
      <w:r>
        <w:t xml:space="preserve">. Det innsparingspotensialet som framgår av tabellen, i alt 98 mill. kroner, er i alle fall et for høyt anslag. </w:t>
      </w:r>
    </w:p>
    <w:p w:rsidR="00360F51" w:rsidRPr="000F5CA8" w:rsidRDefault="00D62DD9" w:rsidP="00360F51">
      <w:r w:rsidRPr="00D62DD9">
        <w:t xml:space="preserve">Etter departementets syn kan det vurderes å disponere en del av den innsparingen som vil oppstå, til </w:t>
      </w:r>
      <w:r w:rsidR="0089633F">
        <w:t xml:space="preserve">særlige </w:t>
      </w:r>
      <w:r w:rsidRPr="00D62DD9">
        <w:t>tiltak som kan komme tros- og livssynssamfunnene til gode, for eksempel i form av dialogtiltak og selektiv, sær</w:t>
      </w:r>
      <w:r>
        <w:t xml:space="preserve">skilt begrunnet tilleggsstøtte. </w:t>
      </w:r>
      <w:r w:rsidR="00360F51" w:rsidRPr="00D62DD9">
        <w:t xml:space="preserve">Slik særlig støtte kan for eksempel være støtte til tiltak som fremmer kjønnslikestilling, jf. drøftingene i kapittel </w:t>
      </w:r>
      <w:r w:rsidR="00360F51">
        <w:t xml:space="preserve">6.3.3. </w:t>
      </w:r>
    </w:p>
    <w:p w:rsidR="00360F51" w:rsidRDefault="00360F51" w:rsidP="00360F51">
      <w:bookmarkStart w:id="3943" w:name="_Toc477277409"/>
      <w:bookmarkStart w:id="3944" w:name="_Toc477536229"/>
      <w:bookmarkStart w:id="3945" w:name="_Toc477631359"/>
      <w:bookmarkStart w:id="3946" w:name="_Toc477694325"/>
      <w:bookmarkStart w:id="3947" w:name="_Toc477704751"/>
      <w:bookmarkStart w:id="3948" w:name="_Toc477799994"/>
      <w:bookmarkStart w:id="3949" w:name="_Toc477806595"/>
      <w:bookmarkStart w:id="3950" w:name="_Toc477872256"/>
      <w:bookmarkStart w:id="3951" w:name="_Toc477878865"/>
      <w:bookmarkStart w:id="3952" w:name="_Toc477882276"/>
      <w:bookmarkStart w:id="3953" w:name="_Toc477886738"/>
      <w:bookmarkStart w:id="3954" w:name="_Toc478131538"/>
      <w:bookmarkStart w:id="3955" w:name="_Toc478138908"/>
      <w:r>
        <w:t xml:space="preserve">Kravet om at hvert tilskuddstellende medlem skal være over 15 år, betyr en viss refordeling av den offentlige støtten, sammenliknet med dagens fordeling. Bakgrunnen er at aldersfordelingen blant tilskuddstellende medlemmer ikke er den samme i alle samfunn. Samfunn med mange medlemmer under 15 år og som det gis tilskudd for i dag, vil dermed </w:t>
      </w:r>
      <w:proofErr w:type="gramStart"/>
      <w:r>
        <w:t>få  redusert</w:t>
      </w:r>
      <w:proofErr w:type="gramEnd"/>
      <w:r>
        <w:t xml:space="preserve"> tilskudd sammenliknet med samfunn med få medlemmer under 15 år. Stålsett-utvalget foretok en beregning av omfordelingsvirkningene for de enkelte samfunnene dersom tilskudd bare ble gitt for medlemmer over 15 år, se NOU 2013:1 og oversiktstabell på side 394. Det er særlig de muslimske trossamfunnene som vil miste støtte ved et slikt vilkår, mens Human-Etisk Forbund, den svenske menigheten i Norge og Jehovas vitner vil ha økonomisk fordel av et slikt alderskrav. </w:t>
      </w:r>
    </w:p>
    <w:p w:rsidR="00360F51" w:rsidRDefault="00360F51" w:rsidP="00360F51">
      <w:r>
        <w:t>Departementet har gjort en tilsvarende beregning som Stålsett-utvalget, basert på tilskuddssatsene per medlem i 2016, jf. tabell 2.</w:t>
      </w:r>
    </w:p>
    <w:p w:rsidR="00360F51" w:rsidRDefault="00360F51" w:rsidP="00360F51">
      <w:pPr>
        <w:rPr>
          <w:i/>
        </w:rPr>
      </w:pPr>
      <w:r w:rsidRPr="00B31595">
        <w:rPr>
          <w:i/>
        </w:rPr>
        <w:t xml:space="preserve">Tabell 2. </w:t>
      </w:r>
      <w:r>
        <w:rPr>
          <w:i/>
        </w:rPr>
        <w:t>Omfordelingse</w:t>
      </w:r>
      <w:r w:rsidRPr="00B31595">
        <w:rPr>
          <w:i/>
        </w:rPr>
        <w:t>ffekt</w:t>
      </w:r>
      <w:r>
        <w:rPr>
          <w:i/>
        </w:rPr>
        <w:t>en</w:t>
      </w:r>
      <w:r w:rsidRPr="00B31595">
        <w:rPr>
          <w:i/>
        </w:rPr>
        <w:t xml:space="preserve"> </w:t>
      </w:r>
      <w:r>
        <w:rPr>
          <w:i/>
        </w:rPr>
        <w:t>av tilskudd til</w:t>
      </w:r>
      <w:r w:rsidRPr="00B31595">
        <w:rPr>
          <w:i/>
        </w:rPr>
        <w:t xml:space="preserve"> tros- og livssynssamfunn </w:t>
      </w:r>
      <w:r>
        <w:rPr>
          <w:i/>
        </w:rPr>
        <w:t xml:space="preserve">når tilskuddet gis etter antallet medlemmer over 15 år. </w:t>
      </w:r>
    </w:p>
    <w:p w:rsidR="00360F51" w:rsidRPr="00360F51" w:rsidRDefault="00360F51" w:rsidP="00360F51">
      <w:pPr>
        <w:rPr>
          <w:i/>
        </w:rPr>
      </w:pPr>
    </w:p>
    <w:tbl>
      <w:tblPr>
        <w:tblW w:w="9120" w:type="dxa"/>
        <w:tblCellMar>
          <w:left w:w="70" w:type="dxa"/>
          <w:right w:w="70" w:type="dxa"/>
        </w:tblCellMar>
        <w:tblLook w:val="04A0" w:firstRow="1" w:lastRow="0" w:firstColumn="1" w:lastColumn="0" w:noHBand="0" w:noVBand="1"/>
      </w:tblPr>
      <w:tblGrid>
        <w:gridCol w:w="4666"/>
        <w:gridCol w:w="812"/>
        <w:gridCol w:w="695"/>
        <w:gridCol w:w="336"/>
        <w:gridCol w:w="822"/>
        <w:gridCol w:w="775"/>
        <w:gridCol w:w="336"/>
        <w:gridCol w:w="678"/>
      </w:tblGrid>
      <w:tr w:rsidR="00360F51" w:rsidRPr="000A6355" w:rsidTr="00E37A6B">
        <w:trPr>
          <w:trHeight w:val="288"/>
        </w:trPr>
        <w:tc>
          <w:tcPr>
            <w:tcW w:w="4666" w:type="dxa"/>
            <w:tcBorders>
              <w:top w:val="single" w:sz="4" w:space="0" w:color="auto"/>
              <w:left w:val="nil"/>
              <w:bottom w:val="nil"/>
            </w:tcBorders>
            <w:shd w:val="clear" w:color="auto" w:fill="auto"/>
            <w:noWrap/>
            <w:vAlign w:val="bottom"/>
            <w:hideMark/>
          </w:tcPr>
          <w:p w:rsidR="00360F51" w:rsidRPr="000A6355" w:rsidRDefault="00360F51" w:rsidP="00E37A6B">
            <w:pPr>
              <w:spacing w:line="240" w:lineRule="auto"/>
              <w:rPr>
                <w:rFonts w:ascii="Times" w:hAnsi="Times" w:cs="Times New Roman"/>
                <w:color w:val="000000"/>
                <w:sz w:val="18"/>
                <w:szCs w:val="18"/>
              </w:rPr>
            </w:pPr>
            <w:r w:rsidRPr="000A6355">
              <w:rPr>
                <w:rFonts w:ascii="Times" w:hAnsi="Times" w:cs="Times New Roman"/>
                <w:color w:val="000000"/>
                <w:sz w:val="18"/>
                <w:szCs w:val="18"/>
              </w:rPr>
              <w:t> </w:t>
            </w:r>
          </w:p>
        </w:tc>
        <w:tc>
          <w:tcPr>
            <w:tcW w:w="1644" w:type="dxa"/>
            <w:gridSpan w:val="2"/>
            <w:vMerge w:val="restart"/>
            <w:tcBorders>
              <w:top w:val="single" w:sz="4" w:space="0" w:color="auto"/>
              <w:bottom w:val="nil"/>
            </w:tcBorders>
            <w:shd w:val="clear" w:color="auto" w:fill="auto"/>
            <w:vAlign w:val="center"/>
            <w:hideMark/>
          </w:tcPr>
          <w:p w:rsidR="00360F51" w:rsidRPr="00150737" w:rsidRDefault="00360F51" w:rsidP="00E37A6B">
            <w:pPr>
              <w:spacing w:line="240" w:lineRule="auto"/>
              <w:jc w:val="center"/>
              <w:rPr>
                <w:rStyle w:val="halvfet"/>
              </w:rPr>
            </w:pPr>
            <w:r w:rsidRPr="00150737">
              <w:rPr>
                <w:rStyle w:val="halvfet"/>
              </w:rPr>
              <w:t xml:space="preserve">Utbetaling i 2016 - Tilskudd for alle medlemmer </w:t>
            </w:r>
          </w:p>
        </w:tc>
        <w:tc>
          <w:tcPr>
            <w:tcW w:w="320" w:type="dxa"/>
            <w:tcBorders>
              <w:top w:val="single" w:sz="4" w:space="0" w:color="auto"/>
              <w:bottom w:val="nil"/>
              <w:right w:val="single" w:sz="4" w:space="0" w:color="auto"/>
            </w:tcBorders>
            <w:shd w:val="clear" w:color="auto" w:fill="auto"/>
            <w:noWrap/>
            <w:vAlign w:val="bottom"/>
            <w:hideMark/>
          </w:tcPr>
          <w:p w:rsidR="00360F51" w:rsidRPr="00150737" w:rsidRDefault="00360F51" w:rsidP="00E37A6B">
            <w:pPr>
              <w:spacing w:line="240" w:lineRule="auto"/>
              <w:rPr>
                <w:rStyle w:val="halvfet"/>
              </w:rPr>
            </w:pPr>
            <w:r w:rsidRPr="00150737">
              <w:rPr>
                <w:rStyle w:val="halvfet"/>
              </w:rPr>
              <w:t>1)</w:t>
            </w:r>
          </w:p>
        </w:tc>
        <w:tc>
          <w:tcPr>
            <w:tcW w:w="1830" w:type="dxa"/>
            <w:gridSpan w:val="2"/>
            <w:vMerge w:val="restart"/>
            <w:tcBorders>
              <w:top w:val="single" w:sz="4" w:space="0" w:color="auto"/>
              <w:left w:val="single" w:sz="4" w:space="0" w:color="auto"/>
              <w:bottom w:val="nil"/>
            </w:tcBorders>
            <w:shd w:val="clear" w:color="auto" w:fill="auto"/>
            <w:vAlign w:val="center"/>
            <w:hideMark/>
          </w:tcPr>
          <w:p w:rsidR="00360F51" w:rsidRPr="00150737" w:rsidRDefault="00360F51" w:rsidP="000D4A19">
            <w:pPr>
              <w:spacing w:line="240" w:lineRule="auto"/>
              <w:jc w:val="center"/>
              <w:rPr>
                <w:rStyle w:val="halvfet"/>
              </w:rPr>
            </w:pPr>
            <w:r w:rsidRPr="00150737">
              <w:rPr>
                <w:rStyle w:val="halvfet"/>
              </w:rPr>
              <w:t>Utbetaling i 2016 - Tilskudd for medl</w:t>
            </w:r>
            <w:r w:rsidR="000D4A19" w:rsidRPr="00150737">
              <w:rPr>
                <w:rStyle w:val="halvfet"/>
              </w:rPr>
              <w:t>emmer</w:t>
            </w:r>
            <w:r w:rsidRPr="00150737">
              <w:rPr>
                <w:rStyle w:val="halvfet"/>
              </w:rPr>
              <w:t xml:space="preserve"> som er 15 år og mer</w:t>
            </w:r>
          </w:p>
        </w:tc>
        <w:tc>
          <w:tcPr>
            <w:tcW w:w="140" w:type="dxa"/>
            <w:tcBorders>
              <w:top w:val="single" w:sz="4" w:space="0" w:color="auto"/>
              <w:right w:val="single" w:sz="4" w:space="0" w:color="auto"/>
            </w:tcBorders>
            <w:shd w:val="clear" w:color="auto" w:fill="auto"/>
            <w:noWrap/>
            <w:vAlign w:val="bottom"/>
            <w:hideMark/>
          </w:tcPr>
          <w:p w:rsidR="00360F51" w:rsidRPr="00150737" w:rsidRDefault="00360F51" w:rsidP="00E37A6B">
            <w:pPr>
              <w:spacing w:line="240" w:lineRule="auto"/>
              <w:jc w:val="both"/>
              <w:rPr>
                <w:rStyle w:val="halvfet"/>
              </w:rPr>
            </w:pPr>
            <w:r w:rsidRPr="00150737">
              <w:rPr>
                <w:rStyle w:val="halvfet"/>
              </w:rPr>
              <w:t>2)</w:t>
            </w:r>
          </w:p>
        </w:tc>
        <w:tc>
          <w:tcPr>
            <w:tcW w:w="520" w:type="dxa"/>
            <w:tcBorders>
              <w:top w:val="single" w:sz="4" w:space="0" w:color="auto"/>
              <w:left w:val="single" w:sz="4" w:space="0" w:color="auto"/>
              <w:bottom w:val="nil"/>
            </w:tcBorders>
            <w:shd w:val="clear" w:color="auto" w:fill="auto"/>
            <w:noWrap/>
            <w:vAlign w:val="bottom"/>
            <w:hideMark/>
          </w:tcPr>
          <w:p w:rsidR="00360F51" w:rsidRPr="00150737" w:rsidRDefault="00360F51" w:rsidP="00E37A6B">
            <w:pPr>
              <w:spacing w:line="240" w:lineRule="auto"/>
              <w:rPr>
                <w:rStyle w:val="halvfet"/>
              </w:rPr>
            </w:pPr>
            <w:r w:rsidRPr="00150737">
              <w:rPr>
                <w:rStyle w:val="halvfet"/>
              </w:rPr>
              <w:t> </w:t>
            </w:r>
          </w:p>
        </w:tc>
      </w:tr>
      <w:tr w:rsidR="00360F51" w:rsidRPr="00487956" w:rsidTr="00E37A6B">
        <w:trPr>
          <w:trHeight w:val="288"/>
        </w:trPr>
        <w:tc>
          <w:tcPr>
            <w:tcW w:w="4666" w:type="dxa"/>
            <w:tcBorders>
              <w:top w:val="nil"/>
              <w:left w:val="nil"/>
              <w:bottom w:val="nil"/>
            </w:tcBorders>
            <w:shd w:val="clear" w:color="auto" w:fill="auto"/>
            <w:noWrap/>
            <w:vAlign w:val="bottom"/>
            <w:hideMark/>
          </w:tcPr>
          <w:p w:rsidR="00360F51" w:rsidRPr="00150737" w:rsidRDefault="00360F51" w:rsidP="00E37A6B">
            <w:pPr>
              <w:spacing w:line="240" w:lineRule="auto"/>
              <w:rPr>
                <w:rStyle w:val="halvfet"/>
              </w:rPr>
            </w:pPr>
          </w:p>
        </w:tc>
        <w:tc>
          <w:tcPr>
            <w:tcW w:w="1644" w:type="dxa"/>
            <w:gridSpan w:val="2"/>
            <w:vMerge/>
            <w:tcBorders>
              <w:top w:val="nil"/>
              <w:bottom w:val="nil"/>
            </w:tcBorders>
            <w:vAlign w:val="center"/>
            <w:hideMark/>
          </w:tcPr>
          <w:p w:rsidR="00360F51" w:rsidRPr="00150737" w:rsidRDefault="00360F51" w:rsidP="00E37A6B">
            <w:pPr>
              <w:spacing w:line="240" w:lineRule="auto"/>
              <w:rPr>
                <w:rStyle w:val="halvfet"/>
              </w:rPr>
            </w:pPr>
          </w:p>
        </w:tc>
        <w:tc>
          <w:tcPr>
            <w:tcW w:w="320" w:type="dxa"/>
            <w:tcBorders>
              <w:top w:val="nil"/>
              <w:bottom w:val="nil"/>
              <w:right w:val="single" w:sz="4" w:space="0" w:color="auto"/>
            </w:tcBorders>
            <w:shd w:val="clear" w:color="auto" w:fill="auto"/>
            <w:noWrap/>
            <w:vAlign w:val="bottom"/>
            <w:hideMark/>
          </w:tcPr>
          <w:p w:rsidR="00360F51" w:rsidRPr="000A6355" w:rsidRDefault="00360F51" w:rsidP="00E37A6B">
            <w:pPr>
              <w:spacing w:line="240" w:lineRule="auto"/>
              <w:rPr>
                <w:rFonts w:ascii="Times" w:hAnsi="Times" w:cs="Times New Roman"/>
                <w:color w:val="000000"/>
                <w:sz w:val="18"/>
                <w:szCs w:val="18"/>
              </w:rPr>
            </w:pPr>
            <w:r w:rsidRPr="000A6355">
              <w:rPr>
                <w:rFonts w:ascii="Times" w:hAnsi="Times" w:cs="Times New Roman"/>
                <w:color w:val="000000"/>
                <w:sz w:val="18"/>
                <w:szCs w:val="18"/>
              </w:rPr>
              <w:t> </w:t>
            </w:r>
          </w:p>
        </w:tc>
        <w:tc>
          <w:tcPr>
            <w:tcW w:w="1830" w:type="dxa"/>
            <w:gridSpan w:val="2"/>
            <w:vMerge/>
            <w:tcBorders>
              <w:top w:val="nil"/>
              <w:left w:val="single" w:sz="4" w:space="0" w:color="auto"/>
              <w:bottom w:val="nil"/>
            </w:tcBorders>
            <w:vAlign w:val="center"/>
            <w:hideMark/>
          </w:tcPr>
          <w:p w:rsidR="00360F51" w:rsidRPr="00150737" w:rsidRDefault="00360F51" w:rsidP="00E37A6B">
            <w:pPr>
              <w:spacing w:line="240" w:lineRule="auto"/>
              <w:rPr>
                <w:rStyle w:val="halvfet"/>
              </w:rPr>
            </w:pPr>
          </w:p>
        </w:tc>
        <w:tc>
          <w:tcPr>
            <w:tcW w:w="140" w:type="dxa"/>
            <w:tcBorders>
              <w:top w:val="nil"/>
              <w:right w:val="single" w:sz="4" w:space="0" w:color="auto"/>
            </w:tcBorders>
            <w:shd w:val="clear" w:color="auto" w:fill="auto"/>
            <w:vAlign w:val="bottom"/>
            <w:hideMark/>
          </w:tcPr>
          <w:p w:rsidR="00360F51" w:rsidRPr="000A6355" w:rsidRDefault="00360F51" w:rsidP="00E37A6B">
            <w:pPr>
              <w:spacing w:line="240" w:lineRule="auto"/>
              <w:jc w:val="center"/>
              <w:rPr>
                <w:rFonts w:ascii="Times" w:hAnsi="Times" w:cs="Times New Roman"/>
                <w:color w:val="000000"/>
                <w:sz w:val="18"/>
                <w:szCs w:val="18"/>
              </w:rPr>
            </w:pPr>
            <w:r w:rsidRPr="000A6355">
              <w:rPr>
                <w:rFonts w:ascii="Times" w:hAnsi="Times" w:cs="Times New Roman"/>
                <w:color w:val="000000"/>
                <w:sz w:val="18"/>
                <w:szCs w:val="18"/>
              </w:rPr>
              <w:t> </w:t>
            </w:r>
          </w:p>
        </w:tc>
        <w:tc>
          <w:tcPr>
            <w:tcW w:w="520" w:type="dxa"/>
            <w:tcBorders>
              <w:top w:val="nil"/>
              <w:left w:val="single" w:sz="4" w:space="0" w:color="auto"/>
              <w:bottom w:val="nil"/>
            </w:tcBorders>
            <w:shd w:val="clear" w:color="auto" w:fill="auto"/>
            <w:noWrap/>
            <w:vAlign w:val="bottom"/>
            <w:hideMark/>
          </w:tcPr>
          <w:p w:rsidR="00360F51" w:rsidRPr="00150737" w:rsidRDefault="00360F51" w:rsidP="00E37A6B">
            <w:pPr>
              <w:spacing w:line="240" w:lineRule="auto"/>
              <w:rPr>
                <w:rStyle w:val="halvfet"/>
              </w:rPr>
            </w:pPr>
            <w:r w:rsidRPr="00150737">
              <w:rPr>
                <w:rStyle w:val="halvfet"/>
              </w:rPr>
              <w:t> </w:t>
            </w:r>
          </w:p>
        </w:tc>
      </w:tr>
      <w:tr w:rsidR="00360F51" w:rsidRPr="000A6355" w:rsidTr="00E37A6B">
        <w:trPr>
          <w:trHeight w:val="288"/>
        </w:trPr>
        <w:tc>
          <w:tcPr>
            <w:tcW w:w="4666" w:type="dxa"/>
            <w:tcBorders>
              <w:top w:val="nil"/>
              <w:left w:val="nil"/>
              <w:bottom w:val="nil"/>
            </w:tcBorders>
            <w:shd w:val="clear" w:color="auto" w:fill="auto"/>
            <w:noWrap/>
            <w:vAlign w:val="bottom"/>
            <w:hideMark/>
          </w:tcPr>
          <w:p w:rsidR="00360F51" w:rsidRPr="00150737" w:rsidRDefault="00360F51" w:rsidP="00E37A6B">
            <w:pPr>
              <w:spacing w:line="240" w:lineRule="auto"/>
              <w:rPr>
                <w:rStyle w:val="halvfet"/>
              </w:rPr>
            </w:pPr>
          </w:p>
        </w:tc>
        <w:tc>
          <w:tcPr>
            <w:tcW w:w="1644" w:type="dxa"/>
            <w:gridSpan w:val="2"/>
            <w:vMerge/>
            <w:tcBorders>
              <w:top w:val="nil"/>
              <w:bottom w:val="nil"/>
            </w:tcBorders>
            <w:vAlign w:val="center"/>
            <w:hideMark/>
          </w:tcPr>
          <w:p w:rsidR="00360F51" w:rsidRPr="00150737" w:rsidRDefault="00360F51" w:rsidP="00E37A6B">
            <w:pPr>
              <w:spacing w:line="240" w:lineRule="auto"/>
              <w:rPr>
                <w:rStyle w:val="halvfet"/>
              </w:rPr>
            </w:pPr>
          </w:p>
        </w:tc>
        <w:tc>
          <w:tcPr>
            <w:tcW w:w="320" w:type="dxa"/>
            <w:tcBorders>
              <w:top w:val="nil"/>
              <w:bottom w:val="nil"/>
              <w:right w:val="single" w:sz="4" w:space="0" w:color="auto"/>
            </w:tcBorders>
            <w:shd w:val="clear" w:color="auto" w:fill="auto"/>
            <w:noWrap/>
            <w:vAlign w:val="bottom"/>
            <w:hideMark/>
          </w:tcPr>
          <w:p w:rsidR="00360F51" w:rsidRPr="000A6355" w:rsidRDefault="00360F51" w:rsidP="00E37A6B">
            <w:pPr>
              <w:spacing w:line="240" w:lineRule="auto"/>
              <w:rPr>
                <w:rFonts w:ascii="Times" w:hAnsi="Times" w:cs="Times New Roman"/>
                <w:color w:val="000000"/>
                <w:sz w:val="18"/>
                <w:szCs w:val="18"/>
              </w:rPr>
            </w:pPr>
            <w:r w:rsidRPr="000A6355">
              <w:rPr>
                <w:rFonts w:ascii="Times" w:hAnsi="Times" w:cs="Times New Roman"/>
                <w:color w:val="000000"/>
                <w:sz w:val="18"/>
                <w:szCs w:val="18"/>
              </w:rPr>
              <w:t> </w:t>
            </w:r>
          </w:p>
        </w:tc>
        <w:tc>
          <w:tcPr>
            <w:tcW w:w="1830" w:type="dxa"/>
            <w:gridSpan w:val="2"/>
            <w:vMerge/>
            <w:tcBorders>
              <w:top w:val="nil"/>
              <w:left w:val="single" w:sz="4" w:space="0" w:color="auto"/>
              <w:bottom w:val="nil"/>
            </w:tcBorders>
            <w:vAlign w:val="center"/>
            <w:hideMark/>
          </w:tcPr>
          <w:p w:rsidR="00360F51" w:rsidRPr="00150737" w:rsidRDefault="00360F51" w:rsidP="00E37A6B">
            <w:pPr>
              <w:spacing w:line="240" w:lineRule="auto"/>
              <w:rPr>
                <w:rStyle w:val="halvfet"/>
              </w:rPr>
            </w:pPr>
          </w:p>
        </w:tc>
        <w:tc>
          <w:tcPr>
            <w:tcW w:w="140" w:type="dxa"/>
            <w:tcBorders>
              <w:top w:val="nil"/>
              <w:bottom w:val="nil"/>
              <w:right w:val="single" w:sz="4" w:space="0" w:color="auto"/>
            </w:tcBorders>
            <w:shd w:val="clear" w:color="auto" w:fill="auto"/>
            <w:vAlign w:val="bottom"/>
            <w:hideMark/>
          </w:tcPr>
          <w:p w:rsidR="00360F51" w:rsidRPr="000A6355" w:rsidRDefault="00360F51" w:rsidP="00E37A6B">
            <w:pPr>
              <w:spacing w:line="240" w:lineRule="auto"/>
              <w:jc w:val="center"/>
              <w:rPr>
                <w:rFonts w:ascii="Times" w:hAnsi="Times" w:cs="Times New Roman"/>
                <w:color w:val="000000"/>
                <w:sz w:val="18"/>
                <w:szCs w:val="18"/>
              </w:rPr>
            </w:pPr>
            <w:r w:rsidRPr="000A6355">
              <w:rPr>
                <w:rFonts w:ascii="Times" w:hAnsi="Times" w:cs="Times New Roman"/>
                <w:color w:val="000000"/>
                <w:sz w:val="18"/>
                <w:szCs w:val="18"/>
              </w:rPr>
              <w:t> </w:t>
            </w:r>
          </w:p>
        </w:tc>
        <w:tc>
          <w:tcPr>
            <w:tcW w:w="520" w:type="dxa"/>
            <w:tcBorders>
              <w:top w:val="nil"/>
              <w:left w:val="single" w:sz="4" w:space="0" w:color="auto"/>
              <w:bottom w:val="nil"/>
            </w:tcBorders>
            <w:shd w:val="clear" w:color="auto" w:fill="auto"/>
            <w:noWrap/>
            <w:vAlign w:val="bottom"/>
            <w:hideMark/>
          </w:tcPr>
          <w:p w:rsidR="00360F51" w:rsidRPr="00150737" w:rsidRDefault="00360F51" w:rsidP="00E37A6B">
            <w:pPr>
              <w:spacing w:line="240" w:lineRule="auto"/>
              <w:rPr>
                <w:rStyle w:val="halvfet"/>
              </w:rPr>
            </w:pPr>
            <w:r w:rsidRPr="00150737">
              <w:rPr>
                <w:rStyle w:val="halvfet"/>
              </w:rPr>
              <w:t>Rel.</w:t>
            </w:r>
          </w:p>
        </w:tc>
      </w:tr>
      <w:tr w:rsidR="00360F51" w:rsidRPr="000A6355" w:rsidTr="00E37A6B">
        <w:trPr>
          <w:trHeight w:val="288"/>
        </w:trPr>
        <w:tc>
          <w:tcPr>
            <w:tcW w:w="4666" w:type="dxa"/>
            <w:tcBorders>
              <w:top w:val="nil"/>
              <w:left w:val="nil"/>
              <w:bottom w:val="single" w:sz="4" w:space="0" w:color="auto"/>
            </w:tcBorders>
            <w:shd w:val="clear" w:color="auto" w:fill="auto"/>
            <w:noWrap/>
            <w:vAlign w:val="bottom"/>
            <w:hideMark/>
          </w:tcPr>
          <w:p w:rsidR="00360F51" w:rsidRPr="000A6355" w:rsidRDefault="00360F51" w:rsidP="00E37A6B">
            <w:pPr>
              <w:spacing w:line="240" w:lineRule="auto"/>
              <w:rPr>
                <w:rFonts w:ascii="Times" w:hAnsi="Times" w:cs="Times New Roman"/>
                <w:color w:val="000000"/>
                <w:sz w:val="18"/>
                <w:szCs w:val="18"/>
              </w:rPr>
            </w:pPr>
            <w:r w:rsidRPr="000A6355">
              <w:rPr>
                <w:rFonts w:ascii="Times" w:hAnsi="Times" w:cs="Times New Roman"/>
                <w:color w:val="000000"/>
                <w:sz w:val="18"/>
                <w:szCs w:val="18"/>
              </w:rPr>
              <w:t> </w:t>
            </w:r>
          </w:p>
        </w:tc>
        <w:tc>
          <w:tcPr>
            <w:tcW w:w="812" w:type="dxa"/>
            <w:tcBorders>
              <w:top w:val="nil"/>
              <w:bottom w:val="single" w:sz="4" w:space="0" w:color="auto"/>
            </w:tcBorders>
            <w:shd w:val="clear" w:color="auto" w:fill="auto"/>
            <w:noWrap/>
            <w:vAlign w:val="bottom"/>
            <w:hideMark/>
          </w:tcPr>
          <w:p w:rsidR="00360F51" w:rsidRPr="00150737" w:rsidRDefault="00360F51" w:rsidP="00E37A6B">
            <w:pPr>
              <w:spacing w:line="240" w:lineRule="auto"/>
              <w:jc w:val="right"/>
              <w:rPr>
                <w:rStyle w:val="halvfet"/>
              </w:rPr>
            </w:pPr>
            <w:r w:rsidRPr="00150737">
              <w:rPr>
                <w:rStyle w:val="halvfet"/>
              </w:rPr>
              <w:t xml:space="preserve"> Antall </w:t>
            </w:r>
          </w:p>
        </w:tc>
        <w:tc>
          <w:tcPr>
            <w:tcW w:w="1152" w:type="dxa"/>
            <w:gridSpan w:val="2"/>
            <w:tcBorders>
              <w:top w:val="nil"/>
              <w:bottom w:val="single" w:sz="4" w:space="0" w:color="auto"/>
              <w:right w:val="single" w:sz="4" w:space="0" w:color="auto"/>
            </w:tcBorders>
            <w:shd w:val="clear" w:color="auto" w:fill="auto"/>
            <w:vAlign w:val="bottom"/>
            <w:hideMark/>
          </w:tcPr>
          <w:p w:rsidR="00360F51" w:rsidRPr="00150737" w:rsidRDefault="00360F51" w:rsidP="00E37A6B">
            <w:pPr>
              <w:spacing w:line="240" w:lineRule="auto"/>
              <w:jc w:val="right"/>
              <w:rPr>
                <w:rStyle w:val="halvfet"/>
              </w:rPr>
            </w:pPr>
            <w:r w:rsidRPr="00150737">
              <w:rPr>
                <w:rStyle w:val="halvfet"/>
              </w:rPr>
              <w:t xml:space="preserve"> Sum </w:t>
            </w:r>
          </w:p>
        </w:tc>
        <w:tc>
          <w:tcPr>
            <w:tcW w:w="822" w:type="dxa"/>
            <w:tcBorders>
              <w:top w:val="nil"/>
              <w:left w:val="single" w:sz="4" w:space="0" w:color="auto"/>
              <w:bottom w:val="single" w:sz="4" w:space="0" w:color="auto"/>
            </w:tcBorders>
            <w:shd w:val="clear" w:color="auto" w:fill="auto"/>
            <w:noWrap/>
            <w:vAlign w:val="bottom"/>
            <w:hideMark/>
          </w:tcPr>
          <w:p w:rsidR="00360F51" w:rsidRPr="00150737" w:rsidRDefault="00360F51" w:rsidP="00E37A6B">
            <w:pPr>
              <w:spacing w:line="240" w:lineRule="auto"/>
              <w:jc w:val="right"/>
              <w:rPr>
                <w:rStyle w:val="halvfet"/>
              </w:rPr>
            </w:pPr>
            <w:r w:rsidRPr="00150737">
              <w:rPr>
                <w:rStyle w:val="halvfet"/>
              </w:rPr>
              <w:t xml:space="preserve"> Antall </w:t>
            </w:r>
          </w:p>
        </w:tc>
        <w:tc>
          <w:tcPr>
            <w:tcW w:w="1148" w:type="dxa"/>
            <w:gridSpan w:val="2"/>
            <w:tcBorders>
              <w:top w:val="nil"/>
              <w:bottom w:val="single" w:sz="4" w:space="0" w:color="auto"/>
              <w:right w:val="single" w:sz="4" w:space="0" w:color="auto"/>
            </w:tcBorders>
            <w:shd w:val="clear" w:color="auto" w:fill="auto"/>
            <w:vAlign w:val="bottom"/>
            <w:hideMark/>
          </w:tcPr>
          <w:p w:rsidR="00360F51" w:rsidRPr="00150737" w:rsidRDefault="00360F51" w:rsidP="00E37A6B">
            <w:pPr>
              <w:spacing w:line="240" w:lineRule="auto"/>
              <w:jc w:val="right"/>
              <w:rPr>
                <w:rStyle w:val="halvfet"/>
              </w:rPr>
            </w:pPr>
            <w:r w:rsidRPr="00150737">
              <w:rPr>
                <w:rStyle w:val="halvfet"/>
              </w:rPr>
              <w:t xml:space="preserve"> Sum </w:t>
            </w:r>
          </w:p>
        </w:tc>
        <w:tc>
          <w:tcPr>
            <w:tcW w:w="520" w:type="dxa"/>
            <w:tcBorders>
              <w:top w:val="nil"/>
              <w:left w:val="single" w:sz="4" w:space="0" w:color="auto"/>
              <w:bottom w:val="single" w:sz="4" w:space="0" w:color="auto"/>
            </w:tcBorders>
            <w:shd w:val="clear" w:color="auto" w:fill="auto"/>
            <w:noWrap/>
            <w:vAlign w:val="bottom"/>
            <w:hideMark/>
          </w:tcPr>
          <w:p w:rsidR="00360F51" w:rsidRPr="00150737" w:rsidRDefault="00360F51" w:rsidP="00E37A6B">
            <w:pPr>
              <w:spacing w:line="240" w:lineRule="auto"/>
              <w:rPr>
                <w:rStyle w:val="halvfet"/>
              </w:rPr>
            </w:pPr>
            <w:r w:rsidRPr="00150737">
              <w:rPr>
                <w:rStyle w:val="halvfet"/>
              </w:rPr>
              <w:t>endr.</w:t>
            </w:r>
          </w:p>
        </w:tc>
      </w:tr>
      <w:tr w:rsidR="00360F51" w:rsidRPr="000A6355" w:rsidTr="00E37A6B">
        <w:trPr>
          <w:trHeight w:val="240"/>
        </w:trPr>
        <w:tc>
          <w:tcPr>
            <w:tcW w:w="4666" w:type="dxa"/>
            <w:tcBorders>
              <w:top w:val="single" w:sz="4" w:space="0" w:color="auto"/>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ALBANSK ISLAMSK KULTURSENTER                                                                                                                                                       </w:t>
            </w:r>
          </w:p>
        </w:tc>
        <w:tc>
          <w:tcPr>
            <w:tcW w:w="812" w:type="dxa"/>
            <w:tcBorders>
              <w:top w:val="single" w:sz="4" w:space="0" w:color="auto"/>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4 257</w:t>
            </w:r>
          </w:p>
        </w:tc>
        <w:tc>
          <w:tcPr>
            <w:tcW w:w="1152" w:type="dxa"/>
            <w:gridSpan w:val="2"/>
            <w:tcBorders>
              <w:top w:val="single" w:sz="4" w:space="0" w:color="auto"/>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4 312 341</w:t>
            </w:r>
          </w:p>
        </w:tc>
        <w:tc>
          <w:tcPr>
            <w:tcW w:w="822" w:type="dxa"/>
            <w:tcBorders>
              <w:top w:val="single" w:sz="4" w:space="0" w:color="auto"/>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3 537</w:t>
            </w:r>
          </w:p>
        </w:tc>
        <w:tc>
          <w:tcPr>
            <w:tcW w:w="1148" w:type="dxa"/>
            <w:gridSpan w:val="2"/>
            <w:tcBorders>
              <w:top w:val="single" w:sz="4" w:space="0" w:color="auto"/>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4 258 548</w:t>
            </w:r>
          </w:p>
        </w:tc>
        <w:tc>
          <w:tcPr>
            <w:tcW w:w="520" w:type="dxa"/>
            <w:tcBorders>
              <w:top w:val="single" w:sz="4" w:space="0" w:color="auto"/>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-1,2</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BRUNSTAD CHRISTIAN CHURCH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8 177</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8 283 301</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5 525</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6 652 100</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-19,7</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BUDDHISTFORBUNDET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13 246</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13 418 198</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12 423</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14 957 292</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11,5</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291663" w:rsidRDefault="00360F51" w:rsidP="00E37A6B">
            <w:pPr>
              <w:spacing w:line="240" w:lineRule="auto"/>
              <w:rPr>
                <w:rFonts w:ascii="Times" w:hAnsi="Times" w:cs="Times New Roman"/>
                <w:sz w:val="18"/>
                <w:szCs w:val="18"/>
                <w:lang w:val="en-US"/>
              </w:rPr>
            </w:pPr>
            <w:r w:rsidRPr="00291663">
              <w:rPr>
                <w:rFonts w:ascii="Times" w:hAnsi="Times" w:cs="Times New Roman"/>
                <w:sz w:val="18"/>
                <w:szCs w:val="18"/>
                <w:lang w:val="en-US"/>
              </w:rPr>
              <w:t xml:space="preserve">CENTRAL JAM-E-MOSQUE WORLD ISLAMIC MISSION NORWAY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4 787</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4 849 231</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3 773</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4 542 692</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-6,3</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291663" w:rsidRDefault="00360F51" w:rsidP="00E37A6B">
            <w:pPr>
              <w:spacing w:line="240" w:lineRule="auto"/>
              <w:rPr>
                <w:rFonts w:ascii="Times" w:hAnsi="Times" w:cs="Times New Roman"/>
                <w:sz w:val="18"/>
                <w:szCs w:val="18"/>
                <w:lang w:val="en-US"/>
              </w:rPr>
            </w:pPr>
            <w:r w:rsidRPr="00291663">
              <w:rPr>
                <w:rFonts w:ascii="Times" w:hAnsi="Times" w:cs="Times New Roman"/>
                <w:sz w:val="18"/>
                <w:szCs w:val="18"/>
                <w:lang w:val="en-US"/>
              </w:rPr>
              <w:t xml:space="preserve">CENTRAL JAMAAT-E AHL-E SUNNAT NORWAY REGD.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6 245</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6 326 185</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4 834</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5 820 136</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-8,0</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DEN EVANGELISK LUTHERSKE FRIKIRKE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18 878</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19 123 414</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16 665</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20 064 660</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4,9</w:t>
            </w:r>
          </w:p>
        </w:tc>
      </w:tr>
      <w:tr w:rsidR="00360F51" w:rsidRPr="000A6355" w:rsidTr="00E37A6B">
        <w:trPr>
          <w:trHeight w:val="367"/>
        </w:trPr>
        <w:tc>
          <w:tcPr>
            <w:tcW w:w="4666" w:type="dxa"/>
            <w:vMerge w:val="restart"/>
            <w:tcBorders>
              <w:top w:val="nil"/>
              <w:left w:val="nil"/>
              <w:bottom w:val="nil"/>
              <w:right w:val="nil"/>
            </w:tcBorders>
            <w:shd w:val="clear" w:color="auto" w:fill="auto"/>
            <w:vAlign w:val="center"/>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DEN FINLÄNDSKA EVANGELISK-LUTHERSKA FÖRSAMLINGEN I NORGE                                                                                                                           </w:t>
            </w:r>
          </w:p>
        </w:tc>
        <w:tc>
          <w:tcPr>
            <w:tcW w:w="812" w:type="dxa"/>
            <w:vMerge w:val="restart"/>
            <w:tcBorders>
              <w:top w:val="nil"/>
              <w:left w:val="nil"/>
              <w:bottom w:val="nil"/>
              <w:right w:val="nil"/>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4 117</w:t>
            </w:r>
          </w:p>
        </w:tc>
        <w:tc>
          <w:tcPr>
            <w:tcW w:w="1152" w:type="dxa"/>
            <w:gridSpan w:val="2"/>
            <w:vMerge w:val="restart"/>
            <w:tcBorders>
              <w:top w:val="nil"/>
              <w:left w:val="nil"/>
              <w:bottom w:val="nil"/>
              <w:right w:val="single" w:sz="4" w:space="0" w:color="000000"/>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4 170 521</w:t>
            </w:r>
          </w:p>
        </w:tc>
        <w:tc>
          <w:tcPr>
            <w:tcW w:w="822" w:type="dxa"/>
            <w:vMerge w:val="restart"/>
            <w:tcBorders>
              <w:top w:val="nil"/>
              <w:left w:val="single" w:sz="4" w:space="0" w:color="auto"/>
              <w:bottom w:val="nil"/>
              <w:right w:val="nil"/>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3 783</w:t>
            </w:r>
          </w:p>
        </w:tc>
        <w:tc>
          <w:tcPr>
            <w:tcW w:w="1148" w:type="dxa"/>
            <w:gridSpan w:val="2"/>
            <w:vMerge w:val="restart"/>
            <w:tcBorders>
              <w:top w:val="nil"/>
              <w:left w:val="nil"/>
              <w:bottom w:val="nil"/>
              <w:right w:val="single" w:sz="4" w:space="0" w:color="000000"/>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4 554 732</w:t>
            </w:r>
          </w:p>
        </w:tc>
        <w:tc>
          <w:tcPr>
            <w:tcW w:w="520" w:type="dxa"/>
            <w:vMerge w:val="restart"/>
            <w:tcBorders>
              <w:top w:val="nil"/>
              <w:left w:val="single" w:sz="4" w:space="0" w:color="auto"/>
              <w:bottom w:val="nil"/>
              <w:right w:val="nil"/>
            </w:tcBorders>
            <w:shd w:val="clear" w:color="auto" w:fill="auto"/>
            <w:vAlign w:val="center"/>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9,2</w:t>
            </w:r>
          </w:p>
        </w:tc>
      </w:tr>
      <w:tr w:rsidR="00360F51" w:rsidRPr="000A6355" w:rsidTr="00E37A6B">
        <w:trPr>
          <w:trHeight w:val="458"/>
        </w:trPr>
        <w:tc>
          <w:tcPr>
            <w:tcW w:w="4666" w:type="dxa"/>
            <w:vMerge/>
            <w:tcBorders>
              <w:top w:val="nil"/>
              <w:left w:val="nil"/>
              <w:bottom w:val="nil"/>
              <w:right w:val="nil"/>
            </w:tcBorders>
            <w:vAlign w:val="center"/>
            <w:hideMark/>
          </w:tcPr>
          <w:p w:rsidR="00360F51" w:rsidRPr="000A6355" w:rsidRDefault="00360F51" w:rsidP="00E37A6B">
            <w:pPr>
              <w:spacing w:line="240" w:lineRule="auto"/>
              <w:rPr>
                <w:rFonts w:ascii="Times" w:hAnsi="Times" w:cs="Times New Roman"/>
                <w:sz w:val="18"/>
                <w:szCs w:val="18"/>
              </w:rPr>
            </w:pPr>
          </w:p>
        </w:tc>
        <w:tc>
          <w:tcPr>
            <w:tcW w:w="812" w:type="dxa"/>
            <w:vMerge/>
            <w:tcBorders>
              <w:top w:val="nil"/>
              <w:left w:val="nil"/>
              <w:bottom w:val="nil"/>
              <w:right w:val="nil"/>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1152" w:type="dxa"/>
            <w:gridSpan w:val="2"/>
            <w:vMerge/>
            <w:tcBorders>
              <w:top w:val="nil"/>
              <w:left w:val="nil"/>
              <w:bottom w:val="nil"/>
              <w:right w:val="single" w:sz="4" w:space="0" w:color="000000"/>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822" w:type="dxa"/>
            <w:vMerge/>
            <w:tcBorders>
              <w:top w:val="nil"/>
              <w:left w:val="single" w:sz="4" w:space="0" w:color="auto"/>
              <w:bottom w:val="nil"/>
              <w:right w:val="nil"/>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1148" w:type="dxa"/>
            <w:gridSpan w:val="2"/>
            <w:vMerge/>
            <w:tcBorders>
              <w:top w:val="nil"/>
              <w:left w:val="nil"/>
              <w:bottom w:val="nil"/>
              <w:right w:val="single" w:sz="4" w:space="0" w:color="000000"/>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520" w:type="dxa"/>
            <w:vMerge/>
            <w:tcBorders>
              <w:top w:val="nil"/>
              <w:left w:val="single" w:sz="4" w:space="0" w:color="auto"/>
              <w:bottom w:val="nil"/>
              <w:right w:val="nil"/>
            </w:tcBorders>
            <w:vAlign w:val="center"/>
            <w:hideMark/>
          </w:tcPr>
          <w:p w:rsidR="00360F51" w:rsidRPr="000A6355" w:rsidRDefault="00360F51" w:rsidP="00E37A6B">
            <w:pPr>
              <w:spacing w:line="240" w:lineRule="auto"/>
              <w:jc w:val="right"/>
              <w:rPr>
                <w:rFonts w:ascii="Times" w:hAnsi="Times" w:cs="Times New Roman"/>
                <w:color w:val="000000"/>
                <w:sz w:val="18"/>
                <w:szCs w:val="18"/>
              </w:rPr>
            </w:pP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DEN ISLANDSKE EVANGELISKE- LUTHERSKE MENIGHET I NORGE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6 830</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6 918 790</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5 444</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6 554 576</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-5,3</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lastRenderedPageBreak/>
              <w:t xml:space="preserve">DEN KATOLSKE KIRKE I MIDT NORGE TRONDHEIM STIFT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13 481</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13 656 253</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11 292</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13 595 568</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-0,4</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DEN TYRKISK ISLAMSKE UNION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3 233</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3 275 029</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2 557</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3 078 628</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-6,0</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DET EVANGELISK-LUTHERSKE KIRKESAMFUNN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3 177</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3 218 301</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2 838</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3 416 952</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6,2</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DET ISLAMSKE FELLESSKAP BOSNIA OG HERZEGOVINA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9 317</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9 438 121</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8 241</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9 922 164</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5,1</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MAROKKANSK TROSSAMFUNN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3 195</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3 236 535</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2 650</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3 190 600</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-1,4</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DET NORSKE BAPTISTSAMFUNN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10 367</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10 501 771</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9 011</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10 849 244</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3,3</w:t>
            </w:r>
          </w:p>
        </w:tc>
      </w:tr>
      <w:tr w:rsidR="00360F51" w:rsidRPr="000A6355" w:rsidTr="00E37A6B">
        <w:trPr>
          <w:trHeight w:val="367"/>
        </w:trPr>
        <w:tc>
          <w:tcPr>
            <w:tcW w:w="4666" w:type="dxa"/>
            <w:vMerge w:val="restart"/>
            <w:tcBorders>
              <w:top w:val="nil"/>
              <w:left w:val="nil"/>
              <w:bottom w:val="nil"/>
              <w:right w:val="nil"/>
            </w:tcBorders>
            <w:shd w:val="clear" w:color="auto" w:fill="auto"/>
            <w:vAlign w:val="center"/>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DET SERBISKE ORTODOKSE KIRKESAMFUND I NORGE HL VASILIJE OSTROSKI MENIGHET                                                                                                          </w:t>
            </w:r>
          </w:p>
        </w:tc>
        <w:tc>
          <w:tcPr>
            <w:tcW w:w="812" w:type="dxa"/>
            <w:vMerge w:val="restart"/>
            <w:tcBorders>
              <w:top w:val="nil"/>
              <w:left w:val="nil"/>
              <w:bottom w:val="nil"/>
              <w:right w:val="nil"/>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4 017</w:t>
            </w:r>
          </w:p>
        </w:tc>
        <w:tc>
          <w:tcPr>
            <w:tcW w:w="1152" w:type="dxa"/>
            <w:gridSpan w:val="2"/>
            <w:vMerge w:val="restart"/>
            <w:tcBorders>
              <w:top w:val="nil"/>
              <w:left w:val="nil"/>
              <w:bottom w:val="nil"/>
              <w:right w:val="single" w:sz="4" w:space="0" w:color="000000"/>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4 069 221</w:t>
            </w:r>
          </w:p>
        </w:tc>
        <w:tc>
          <w:tcPr>
            <w:tcW w:w="822" w:type="dxa"/>
            <w:vMerge w:val="restart"/>
            <w:tcBorders>
              <w:top w:val="nil"/>
              <w:left w:val="single" w:sz="4" w:space="0" w:color="auto"/>
              <w:bottom w:val="nil"/>
              <w:right w:val="nil"/>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3 346</w:t>
            </w:r>
          </w:p>
        </w:tc>
        <w:tc>
          <w:tcPr>
            <w:tcW w:w="1148" w:type="dxa"/>
            <w:gridSpan w:val="2"/>
            <w:vMerge w:val="restart"/>
            <w:tcBorders>
              <w:top w:val="nil"/>
              <w:left w:val="nil"/>
              <w:bottom w:val="nil"/>
              <w:right w:val="single" w:sz="4" w:space="0" w:color="000000"/>
            </w:tcBorders>
            <w:shd w:val="clear" w:color="auto" w:fill="auto"/>
            <w:vAlign w:val="center"/>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4 028 584</w:t>
            </w:r>
          </w:p>
        </w:tc>
        <w:tc>
          <w:tcPr>
            <w:tcW w:w="520" w:type="dxa"/>
            <w:vMerge w:val="restart"/>
            <w:tcBorders>
              <w:top w:val="nil"/>
              <w:left w:val="single" w:sz="4" w:space="0" w:color="auto"/>
              <w:bottom w:val="nil"/>
              <w:right w:val="nil"/>
            </w:tcBorders>
            <w:shd w:val="clear" w:color="auto" w:fill="auto"/>
            <w:vAlign w:val="center"/>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-1,0</w:t>
            </w:r>
          </w:p>
        </w:tc>
      </w:tr>
      <w:tr w:rsidR="00360F51" w:rsidRPr="000A6355" w:rsidTr="00E37A6B">
        <w:trPr>
          <w:trHeight w:val="458"/>
        </w:trPr>
        <w:tc>
          <w:tcPr>
            <w:tcW w:w="4666" w:type="dxa"/>
            <w:vMerge/>
            <w:tcBorders>
              <w:top w:val="nil"/>
              <w:left w:val="nil"/>
              <w:bottom w:val="nil"/>
              <w:right w:val="nil"/>
            </w:tcBorders>
            <w:vAlign w:val="center"/>
            <w:hideMark/>
          </w:tcPr>
          <w:p w:rsidR="00360F51" w:rsidRPr="000A6355" w:rsidRDefault="00360F51" w:rsidP="00E37A6B">
            <w:pPr>
              <w:spacing w:line="240" w:lineRule="auto"/>
              <w:rPr>
                <w:rFonts w:ascii="Times" w:hAnsi="Times" w:cs="Times New Roman"/>
                <w:sz w:val="18"/>
                <w:szCs w:val="18"/>
              </w:rPr>
            </w:pPr>
          </w:p>
        </w:tc>
        <w:tc>
          <w:tcPr>
            <w:tcW w:w="812" w:type="dxa"/>
            <w:vMerge/>
            <w:tcBorders>
              <w:top w:val="nil"/>
              <w:left w:val="nil"/>
              <w:bottom w:val="nil"/>
              <w:right w:val="nil"/>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1152" w:type="dxa"/>
            <w:gridSpan w:val="2"/>
            <w:vMerge/>
            <w:tcBorders>
              <w:top w:val="nil"/>
              <w:left w:val="nil"/>
              <w:bottom w:val="nil"/>
              <w:right w:val="single" w:sz="4" w:space="0" w:color="000000"/>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822" w:type="dxa"/>
            <w:vMerge/>
            <w:tcBorders>
              <w:top w:val="nil"/>
              <w:left w:val="single" w:sz="4" w:space="0" w:color="auto"/>
              <w:bottom w:val="nil"/>
              <w:right w:val="nil"/>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1148" w:type="dxa"/>
            <w:gridSpan w:val="2"/>
            <w:vMerge/>
            <w:tcBorders>
              <w:top w:val="nil"/>
              <w:left w:val="nil"/>
              <w:bottom w:val="nil"/>
              <w:right w:val="single" w:sz="4" w:space="0" w:color="000000"/>
            </w:tcBorders>
            <w:vAlign w:val="center"/>
            <w:hideMark/>
          </w:tcPr>
          <w:p w:rsidR="00360F51" w:rsidRPr="000A6355" w:rsidRDefault="00360F51" w:rsidP="00E37A6B">
            <w:pPr>
              <w:spacing w:line="240" w:lineRule="auto"/>
              <w:jc w:val="right"/>
              <w:rPr>
                <w:rFonts w:ascii="Times" w:hAnsi="Times" w:cs="Times New Roman"/>
                <w:sz w:val="18"/>
                <w:szCs w:val="18"/>
              </w:rPr>
            </w:pPr>
          </w:p>
        </w:tc>
        <w:tc>
          <w:tcPr>
            <w:tcW w:w="520" w:type="dxa"/>
            <w:vMerge/>
            <w:tcBorders>
              <w:top w:val="nil"/>
              <w:left w:val="single" w:sz="4" w:space="0" w:color="auto"/>
              <w:bottom w:val="nil"/>
              <w:right w:val="nil"/>
            </w:tcBorders>
            <w:vAlign w:val="center"/>
            <w:hideMark/>
          </w:tcPr>
          <w:p w:rsidR="00360F51" w:rsidRPr="000A6355" w:rsidRDefault="00360F51" w:rsidP="00E37A6B">
            <w:pPr>
              <w:spacing w:line="240" w:lineRule="auto"/>
              <w:jc w:val="right"/>
              <w:rPr>
                <w:rFonts w:ascii="Times" w:hAnsi="Times" w:cs="Times New Roman"/>
                <w:color w:val="000000"/>
                <w:sz w:val="18"/>
                <w:szCs w:val="18"/>
              </w:rPr>
            </w:pP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HUMAN ETISK FORBUND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86 916</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88 045 908</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81 196</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97 759 984</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11,0</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ISLAMIC CULTURAL CENTRE NORWAY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4 206</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4 260 678</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3 223</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3 880 492</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-8,9</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JEHOVAS VITNER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12 413</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12 574 369</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12 389</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14 916 356</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18,6</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METODISTKIRKEN I NORGE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10 531</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10 667 903</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9 581</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11 535 524</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8,1</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291663" w:rsidRDefault="00360F51" w:rsidP="00E37A6B">
            <w:pPr>
              <w:spacing w:line="240" w:lineRule="auto"/>
              <w:rPr>
                <w:rFonts w:ascii="Times" w:hAnsi="Times" w:cs="Times New Roman"/>
                <w:sz w:val="18"/>
                <w:szCs w:val="18"/>
                <w:lang w:val="en-US"/>
              </w:rPr>
            </w:pPr>
            <w:r w:rsidRPr="00291663">
              <w:rPr>
                <w:rFonts w:ascii="Times" w:hAnsi="Times" w:cs="Times New Roman"/>
                <w:sz w:val="18"/>
                <w:szCs w:val="18"/>
                <w:lang w:val="en-US"/>
              </w:rPr>
              <w:t xml:space="preserve">MINHAJ UL QURAN INTERNATIONAL NORWAY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2 766</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2 801 958</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2 352</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2 831 808</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1,1</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MISJONSKIRKEN NORGE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10 598</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10 735 774</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8 650</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10 414 600</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-3,0</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OSLO KATOLSKE BISPEDØMME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124 985</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126 609 805</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103 526</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124 645 304</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-1,6</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OSLO KRISTNE SENTER</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2 550</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2 583 150</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2 204</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2 653 616</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2,7</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SVENSKA KYRKAN I NORGE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21 689</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21 970 957</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21 095</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25 398 380</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15,6</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SYVENDEDAGS ADVENTISTKIRKEN - DEN NORSKE UNION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4 778</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4 840 114</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4 347</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5 233 788</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8,1</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TAWFIIQ ISLAMSK SENTER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7 406</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7 502 278</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5 144</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6 193 376</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-17,4</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 xml:space="preserve">TROMSØ STIFT DEN KATOLSKE KIRKE I NORD-NORGE                                                                                                                                       </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6 390</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6 473 070</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5 323</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6 408 892</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-1,0</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PINSEMENIGHETER</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34 192</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34 636 496</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30 741</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37 012 164</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6,9</w:t>
            </w:r>
          </w:p>
        </w:tc>
      </w:tr>
      <w:tr w:rsidR="00360F51" w:rsidRPr="000A6355" w:rsidTr="00E37A6B">
        <w:trPr>
          <w:trHeight w:val="240"/>
        </w:trPr>
        <w:tc>
          <w:tcPr>
            <w:tcW w:w="4666" w:type="dxa"/>
            <w:tcBorders>
              <w:top w:val="nil"/>
              <w:left w:val="nil"/>
              <w:bottom w:val="nil"/>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ØVRIGE</w:t>
            </w:r>
            <w:r>
              <w:rPr>
                <w:rFonts w:ascii="Times" w:hAnsi="Times" w:cs="Times New Roman"/>
                <w:sz w:val="18"/>
                <w:szCs w:val="18"/>
              </w:rPr>
              <w:t xml:space="preserve"> </w:t>
            </w:r>
            <w:r w:rsidRPr="003D3E63">
              <w:rPr>
                <w:rFonts w:ascii="Times" w:hAnsi="Times" w:cs="Times New Roman"/>
                <w:sz w:val="14"/>
                <w:szCs w:val="14"/>
              </w:rPr>
              <w:t>3)</w:t>
            </w:r>
          </w:p>
        </w:tc>
        <w:tc>
          <w:tcPr>
            <w:tcW w:w="81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179 299</w:t>
            </w:r>
          </w:p>
        </w:tc>
        <w:tc>
          <w:tcPr>
            <w:tcW w:w="1152"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181 629 887</w:t>
            </w:r>
          </w:p>
        </w:tc>
        <w:tc>
          <w:tcPr>
            <w:tcW w:w="822"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139 572</w:t>
            </w:r>
          </w:p>
        </w:tc>
        <w:tc>
          <w:tcPr>
            <w:tcW w:w="1148" w:type="dxa"/>
            <w:gridSpan w:val="2"/>
            <w:tcBorders>
              <w:top w:val="nil"/>
              <w:left w:val="nil"/>
              <w:bottom w:val="nil"/>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168 044 688</w:t>
            </w:r>
          </w:p>
        </w:tc>
        <w:tc>
          <w:tcPr>
            <w:tcW w:w="520" w:type="dxa"/>
            <w:tcBorders>
              <w:top w:val="nil"/>
              <w:left w:val="nil"/>
              <w:bottom w:val="nil"/>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-7,5</w:t>
            </w:r>
          </w:p>
        </w:tc>
      </w:tr>
      <w:tr w:rsidR="00360F51" w:rsidRPr="000A6355" w:rsidTr="00E37A6B">
        <w:trPr>
          <w:trHeight w:val="240"/>
        </w:trPr>
        <w:tc>
          <w:tcPr>
            <w:tcW w:w="4666" w:type="dxa"/>
            <w:tcBorders>
              <w:top w:val="single" w:sz="4" w:space="0" w:color="auto"/>
              <w:left w:val="nil"/>
              <w:bottom w:val="single" w:sz="4" w:space="0" w:color="auto"/>
              <w:right w:val="nil"/>
            </w:tcBorders>
            <w:shd w:val="clear" w:color="auto" w:fill="auto"/>
            <w:noWrap/>
            <w:vAlign w:val="bottom"/>
            <w:hideMark/>
          </w:tcPr>
          <w:p w:rsidR="00360F51" w:rsidRPr="000A6355" w:rsidRDefault="00360F51" w:rsidP="00E37A6B">
            <w:pPr>
              <w:spacing w:line="240" w:lineRule="auto"/>
              <w:rPr>
                <w:rFonts w:ascii="Times" w:hAnsi="Times" w:cs="Times New Roman"/>
                <w:sz w:val="18"/>
                <w:szCs w:val="18"/>
              </w:rPr>
            </w:pPr>
            <w:r w:rsidRPr="000A6355">
              <w:rPr>
                <w:rFonts w:ascii="Times" w:hAnsi="Times" w:cs="Times New Roman"/>
                <w:sz w:val="18"/>
                <w:szCs w:val="18"/>
              </w:rPr>
              <w:t>SUM</w:t>
            </w:r>
          </w:p>
        </w:tc>
        <w:tc>
          <w:tcPr>
            <w:tcW w:w="812" w:type="dxa"/>
            <w:tcBorders>
              <w:top w:val="single" w:sz="4" w:space="0" w:color="auto"/>
              <w:left w:val="nil"/>
              <w:bottom w:val="single" w:sz="4" w:space="0" w:color="auto"/>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622 043</w:t>
            </w:r>
          </w:p>
        </w:tc>
        <w:tc>
          <w:tcPr>
            <w:tcW w:w="1152" w:type="dxa"/>
            <w:gridSpan w:val="2"/>
            <w:tcBorders>
              <w:top w:val="single" w:sz="4" w:space="0" w:color="auto"/>
              <w:left w:val="nil"/>
              <w:bottom w:val="single" w:sz="4" w:space="0" w:color="auto"/>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630 129 559</w:t>
            </w:r>
          </w:p>
        </w:tc>
        <w:tc>
          <w:tcPr>
            <w:tcW w:w="822" w:type="dxa"/>
            <w:tcBorders>
              <w:top w:val="single" w:sz="4" w:space="0" w:color="auto"/>
              <w:left w:val="nil"/>
              <w:bottom w:val="single" w:sz="4" w:space="0" w:color="auto"/>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525 262</w:t>
            </w:r>
          </w:p>
        </w:tc>
        <w:tc>
          <w:tcPr>
            <w:tcW w:w="1148" w:type="dxa"/>
            <w:gridSpan w:val="2"/>
            <w:tcBorders>
              <w:top w:val="single" w:sz="4" w:space="0" w:color="auto"/>
              <w:left w:val="nil"/>
              <w:bottom w:val="single" w:sz="4" w:space="0" w:color="auto"/>
              <w:right w:val="single" w:sz="4" w:space="0" w:color="000000"/>
            </w:tcBorders>
            <w:shd w:val="clear" w:color="auto" w:fill="auto"/>
            <w:vAlign w:val="bottom"/>
            <w:hideMark/>
          </w:tcPr>
          <w:p w:rsidR="00360F51" w:rsidRPr="000A6355" w:rsidRDefault="00360F51" w:rsidP="00E37A6B">
            <w:pPr>
              <w:spacing w:line="240" w:lineRule="auto"/>
              <w:jc w:val="right"/>
              <w:rPr>
                <w:rFonts w:ascii="Times" w:hAnsi="Times" w:cs="Times New Roman"/>
                <w:sz w:val="18"/>
                <w:szCs w:val="18"/>
              </w:rPr>
            </w:pPr>
            <w:r w:rsidRPr="000A6355">
              <w:rPr>
                <w:rFonts w:ascii="Times" w:hAnsi="Times" w:cs="Times New Roman"/>
                <w:sz w:val="18"/>
                <w:szCs w:val="18"/>
              </w:rPr>
              <w:t>632 415 448</w:t>
            </w:r>
          </w:p>
        </w:tc>
        <w:tc>
          <w:tcPr>
            <w:tcW w:w="520" w:type="dxa"/>
            <w:tcBorders>
              <w:top w:val="single" w:sz="4" w:space="0" w:color="auto"/>
              <w:left w:val="nil"/>
              <w:bottom w:val="single" w:sz="4" w:space="0" w:color="auto"/>
              <w:right w:val="nil"/>
            </w:tcBorders>
            <w:shd w:val="clear" w:color="auto" w:fill="auto"/>
            <w:noWrap/>
            <w:vAlign w:val="bottom"/>
            <w:hideMark/>
          </w:tcPr>
          <w:p w:rsidR="00360F51" w:rsidRPr="000A6355" w:rsidRDefault="00360F51" w:rsidP="00E37A6B">
            <w:pPr>
              <w:spacing w:line="240" w:lineRule="auto"/>
              <w:jc w:val="right"/>
              <w:rPr>
                <w:rFonts w:ascii="Times" w:hAnsi="Times" w:cs="Times New Roman"/>
                <w:color w:val="000000"/>
                <w:sz w:val="18"/>
                <w:szCs w:val="18"/>
              </w:rPr>
            </w:pPr>
            <w:r w:rsidRPr="000A6355">
              <w:rPr>
                <w:rFonts w:ascii="Times" w:hAnsi="Times" w:cs="Times New Roman"/>
                <w:color w:val="000000"/>
                <w:sz w:val="18"/>
                <w:szCs w:val="18"/>
              </w:rPr>
              <w:t>0,4</w:t>
            </w:r>
          </w:p>
        </w:tc>
      </w:tr>
    </w:tbl>
    <w:p w:rsidR="00360F51" w:rsidRPr="00487956" w:rsidRDefault="00360F51" w:rsidP="00360F51">
      <w:pPr>
        <w:rPr>
          <w:rFonts w:ascii="Times" w:hAnsi="Times"/>
        </w:rPr>
      </w:pPr>
    </w:p>
    <w:p w:rsidR="00360F51" w:rsidRPr="002964CD" w:rsidRDefault="00360F51" w:rsidP="002834ED">
      <w:pPr>
        <w:pStyle w:val="Listeavsnitt"/>
        <w:numPr>
          <w:ilvl w:val="0"/>
          <w:numId w:val="6"/>
        </w:numPr>
        <w:spacing w:before="0" w:line="240" w:lineRule="auto"/>
        <w:rPr>
          <w:rFonts w:ascii="Times" w:hAnsi="Times"/>
        </w:rPr>
      </w:pPr>
      <w:r w:rsidRPr="002964CD">
        <w:rPr>
          <w:rFonts w:ascii="Times" w:hAnsi="Times"/>
        </w:rPr>
        <w:t>Tilskuddsbeløp til det enkelte trossamfunn i 2016 beregnet ut fra gjennomsnittlig kommunal sats i 2016 på kr 541 og statlig sats på kr 472, dvs. i sum kr 1 013.</w:t>
      </w:r>
    </w:p>
    <w:p w:rsidR="00360F51" w:rsidRPr="002964CD" w:rsidRDefault="00360F51" w:rsidP="00360F51">
      <w:pPr>
        <w:spacing w:line="240" w:lineRule="auto"/>
        <w:rPr>
          <w:rFonts w:ascii="Times" w:hAnsi="Times"/>
          <w:sz w:val="20"/>
          <w:szCs w:val="20"/>
        </w:rPr>
      </w:pPr>
    </w:p>
    <w:p w:rsidR="00360F51" w:rsidRPr="002964CD" w:rsidRDefault="00360F51" w:rsidP="002834ED">
      <w:pPr>
        <w:pStyle w:val="Listeavsnitt"/>
        <w:numPr>
          <w:ilvl w:val="0"/>
          <w:numId w:val="6"/>
        </w:numPr>
        <w:spacing w:before="0" w:line="240" w:lineRule="auto"/>
        <w:rPr>
          <w:rFonts w:ascii="Times" w:hAnsi="Times"/>
        </w:rPr>
      </w:pPr>
      <w:r w:rsidRPr="002964CD">
        <w:rPr>
          <w:rFonts w:ascii="Times" w:hAnsi="Times"/>
        </w:rPr>
        <w:t>Tilskuddsbeløp til det enkelte trossamfunn i 2016 når antall medlemmer i Den norske kirke under 15 år ikke inngår i beregningen av tilskuddssatsen. Dette ville gitt en gjennomsnittlig kommunal sats i 2016 på kr 643 og statlig sats på kr 561, dvs. i sum kr 1 204.</w:t>
      </w:r>
    </w:p>
    <w:p w:rsidR="00360F51" w:rsidRPr="002964CD" w:rsidRDefault="00360F51" w:rsidP="00360F51">
      <w:pPr>
        <w:pStyle w:val="Listeavsnitt"/>
        <w:rPr>
          <w:rFonts w:ascii="Times" w:hAnsi="Times"/>
        </w:rPr>
      </w:pPr>
    </w:p>
    <w:p w:rsidR="00360F51" w:rsidRPr="002964CD" w:rsidRDefault="00360F51" w:rsidP="002834ED">
      <w:pPr>
        <w:pStyle w:val="Listeavsnitt"/>
        <w:numPr>
          <w:ilvl w:val="0"/>
          <w:numId w:val="6"/>
        </w:numPr>
        <w:spacing w:before="0" w:line="240" w:lineRule="auto"/>
        <w:rPr>
          <w:rFonts w:ascii="Times" w:hAnsi="Times"/>
        </w:rPr>
      </w:pPr>
      <w:r w:rsidRPr="002964CD">
        <w:rPr>
          <w:rFonts w:ascii="Times" w:hAnsi="Times"/>
        </w:rPr>
        <w:t>I kategorien "øvrige" inngår samfunn som i dag har færre enn 500 medlemmer. Flere av pins</w:t>
      </w:r>
      <w:r w:rsidR="000D4A19">
        <w:rPr>
          <w:rFonts w:ascii="Times" w:hAnsi="Times"/>
        </w:rPr>
        <w:t>e</w:t>
      </w:r>
      <w:r w:rsidRPr="002964CD">
        <w:rPr>
          <w:rFonts w:ascii="Times" w:hAnsi="Times"/>
        </w:rPr>
        <w:t xml:space="preserve">menighetene har færre enn 500 medlemmer, men er i tabellen slått sammen i en </w:t>
      </w:r>
      <w:r w:rsidR="000D4A19">
        <w:rPr>
          <w:rFonts w:ascii="Times" w:hAnsi="Times"/>
        </w:rPr>
        <w:t xml:space="preserve">egen </w:t>
      </w:r>
      <w:r w:rsidRPr="002964CD">
        <w:rPr>
          <w:rFonts w:ascii="Times" w:hAnsi="Times"/>
        </w:rPr>
        <w:t xml:space="preserve">kategori. </w:t>
      </w:r>
    </w:p>
    <w:p w:rsidR="00360F51" w:rsidRPr="003D3E63" w:rsidRDefault="00360F51" w:rsidP="00360F51">
      <w:pPr>
        <w:pStyle w:val="Listeavsnitt"/>
        <w:rPr>
          <w:rFonts w:ascii="Times" w:hAnsi="Times"/>
        </w:rPr>
      </w:pPr>
    </w:p>
    <w:p w:rsidR="00360F51" w:rsidRPr="00360F51" w:rsidRDefault="00360F51" w:rsidP="00360F51">
      <w:r>
        <w:t xml:space="preserve">Departementet vil for ordens skyld presisere at samfunn som oppfyller kravet om minst 500 medlemmer over 15 år, vil være berettiget støtte for alle tilskuddstellende medlemmer, ikke for eksempel fra og med medlemsnummer 500 og oppover, som kunne vært et alternativ. </w:t>
      </w:r>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rsidR="00944062" w:rsidRPr="000F5CA8" w:rsidRDefault="00E37F7E" w:rsidP="00D203D9">
      <w:pPr>
        <w:pStyle w:val="Overskrift3"/>
        <w:rPr>
          <w:rFonts w:eastAsiaTheme="minorEastAsia"/>
        </w:rPr>
      </w:pPr>
      <w:bookmarkStart w:id="3956" w:name="_Toc478231942"/>
      <w:bookmarkStart w:id="3957" w:name="_Toc478232432"/>
      <w:bookmarkStart w:id="3958" w:name="_Toc478237417"/>
      <w:bookmarkStart w:id="3959" w:name="_Toc481761958"/>
      <w:bookmarkStart w:id="3960" w:name="_Toc492900608"/>
      <w:r>
        <w:rPr>
          <w:rFonts w:eastAsiaTheme="minorEastAsia"/>
        </w:rPr>
        <w:lastRenderedPageBreak/>
        <w:t>Organiseringen av statens oppgaver</w:t>
      </w:r>
      <w:bookmarkEnd w:id="3956"/>
      <w:bookmarkEnd w:id="3957"/>
      <w:bookmarkEnd w:id="3958"/>
      <w:bookmarkEnd w:id="3959"/>
      <w:bookmarkEnd w:id="3960"/>
      <w:r>
        <w:rPr>
          <w:rFonts w:eastAsiaTheme="minorEastAsia"/>
        </w:rPr>
        <w:t xml:space="preserve"> </w:t>
      </w:r>
    </w:p>
    <w:p w:rsidR="00EB4885" w:rsidRDefault="009C00DC" w:rsidP="00BC664C">
      <w:r>
        <w:t>Departementet foreslår i kap</w:t>
      </w:r>
      <w:r w:rsidR="005F5507">
        <w:t>ittel</w:t>
      </w:r>
      <w:r>
        <w:t xml:space="preserve"> 17 at alle oppgaver knyttet til forvaltningen av tilskuddsordningen for tros- og livssynssamfunn utenom Den norske kirke</w:t>
      </w:r>
      <w:r w:rsidR="00760E72">
        <w:t xml:space="preserve"> legges til en egen enhet ved ett </w:t>
      </w:r>
      <w:r w:rsidR="00EB4885">
        <w:t>fylkesmannsembete</w:t>
      </w:r>
      <w:r w:rsidR="00760E72">
        <w:t>.</w:t>
      </w:r>
    </w:p>
    <w:p w:rsidR="00937F3B" w:rsidRPr="000F5CA8" w:rsidRDefault="00760E72" w:rsidP="00937F3B">
      <w:pPr>
        <w:rPr>
          <w:rFonts w:asciiTheme="minorHAnsi" w:hAnsiTheme="minorHAnsi"/>
          <w:sz w:val="20"/>
          <w:szCs w:val="20"/>
        </w:rPr>
      </w:pPr>
      <w:r>
        <w:t>F</w:t>
      </w:r>
      <w:r w:rsidR="00EB4885">
        <w:t xml:space="preserve">ormålet </w:t>
      </w:r>
      <w:r>
        <w:t xml:space="preserve">er </w:t>
      </w:r>
      <w:r w:rsidR="00EB4885">
        <w:t>å styrke de faglige og administrative funksjonene og å få etablert et nasjonalt kompetansemiljø på området, jf. drøftingene i kap</w:t>
      </w:r>
      <w:r w:rsidR="005F5507">
        <w:t>ittel</w:t>
      </w:r>
      <w:r w:rsidR="00EB4885">
        <w:t xml:space="preserve"> 17. </w:t>
      </w:r>
      <w:r w:rsidR="002B2A29" w:rsidRPr="000F5CA8">
        <w:t>Departementet ser det som en stor fordel for den faglige kvaliteten at fagkompetansen og de administrative funksjonene samles ett sted.</w:t>
      </w:r>
      <w:r w:rsidR="00937F3B" w:rsidRPr="00937F3B">
        <w:t xml:space="preserve"> </w:t>
      </w:r>
      <w:r w:rsidR="00937F3B">
        <w:t xml:space="preserve">Departementet vil understreke de </w:t>
      </w:r>
      <w:r w:rsidR="00937F3B" w:rsidRPr="000F5CA8">
        <w:t xml:space="preserve">gevinster som oppnås ved </w:t>
      </w:r>
      <w:r w:rsidR="00937F3B">
        <w:t xml:space="preserve">dette. </w:t>
      </w:r>
      <w:r w:rsidR="00937F3B" w:rsidRPr="000F5CA8">
        <w:t xml:space="preserve">En reduksjon i antallet samfunn som mottar støtte, vil innebære at </w:t>
      </w:r>
      <w:r w:rsidR="003E643C">
        <w:t xml:space="preserve">det er realistisk at </w:t>
      </w:r>
      <w:r w:rsidR="00937F3B">
        <w:t xml:space="preserve">enheten </w:t>
      </w:r>
      <w:r>
        <w:t xml:space="preserve">ved vedkommende fylkesmannsembete </w:t>
      </w:r>
      <w:r w:rsidR="00937F3B" w:rsidRPr="000F5CA8">
        <w:t>også vil ha kapasitet til å følge opp de enkelte samfunnene</w:t>
      </w:r>
      <w:r w:rsidR="005F5507">
        <w:t>.</w:t>
      </w:r>
      <w:r w:rsidR="00937F3B" w:rsidRPr="000F5CA8">
        <w:t xml:space="preserve"> </w:t>
      </w:r>
      <w:r w:rsidR="000D4A19">
        <w:t>Kontrollhensyn,</w:t>
      </w:r>
      <w:r w:rsidR="00937F3B">
        <w:t xml:space="preserve"> </w:t>
      </w:r>
      <w:r w:rsidR="000D4A19">
        <w:t xml:space="preserve">med </w:t>
      </w:r>
      <w:r w:rsidR="00937F3B">
        <w:t xml:space="preserve">gjennomgang av regnskap og rapporter m.m., krever en tettere oppfølging av det enkelte samfunnet enn i dag.  </w:t>
      </w:r>
    </w:p>
    <w:p w:rsidR="00C2695E" w:rsidRDefault="00944062" w:rsidP="00C45932">
      <w:r w:rsidRPr="000F5CA8">
        <w:t xml:space="preserve">Departementet </w:t>
      </w:r>
      <w:r w:rsidR="00760E72">
        <w:t xml:space="preserve">har ikke tatt stilling til ressursbehovet ved etableringen av en slik enhet ved ett </w:t>
      </w:r>
      <w:r w:rsidR="00C2695E">
        <w:t>fylkesmanns</w:t>
      </w:r>
      <w:r w:rsidR="00760E72">
        <w:t>embete. Dette vil depart</w:t>
      </w:r>
      <w:r w:rsidR="00C2695E">
        <w:t>e</w:t>
      </w:r>
      <w:r w:rsidR="00760E72">
        <w:t xml:space="preserve">mentet komme tilbake til i budsjettsammenheng. </w:t>
      </w:r>
    </w:p>
    <w:p w:rsidR="00C45932" w:rsidRPr="000F5CA8" w:rsidRDefault="00760E72" w:rsidP="00C45932">
      <w:r>
        <w:t>Fylkesmennenes oppgaver på området i dag ble for noen år siden beregnet til rundt tre årsverk. Disse ressursene vil i tilfelle kunne omdisponeres til vedkommende embete. Det vises også til omtalen ovenfor om den innsparingen som følger av det nye regelverket for en ny tilskuddsordning på feltet.</w:t>
      </w:r>
      <w:r w:rsidR="00944062" w:rsidRPr="000F5CA8">
        <w:t xml:space="preserve"> </w:t>
      </w:r>
      <w:r>
        <w:t>Ressursbehovet for å ivareta alle oppgaver på feltet ved ett fylkesmannsembete, vil i</w:t>
      </w:r>
      <w:r w:rsidR="00C2695E">
        <w:t xml:space="preserve"> alle tilfelle </w:t>
      </w:r>
      <w:r w:rsidR="00944062" w:rsidRPr="000F5CA8">
        <w:t xml:space="preserve">representere et langt lavere ressursbehov enn det som i dag går med til forvaltningen av dagens tilskuddsordninger </w:t>
      </w:r>
      <w:r w:rsidR="00740495">
        <w:t>i</w:t>
      </w:r>
      <w:r w:rsidR="00944062" w:rsidRPr="000F5CA8">
        <w:t xml:space="preserve"> alle landets kommuner. </w:t>
      </w:r>
    </w:p>
    <w:p w:rsidR="00944062" w:rsidRPr="000F5CA8" w:rsidRDefault="000D4A19" w:rsidP="00D203D9">
      <w:pPr>
        <w:pStyle w:val="Overskrift2"/>
        <w:rPr>
          <w:rFonts w:eastAsiaTheme="minorEastAsia"/>
        </w:rPr>
      </w:pPr>
      <w:bookmarkStart w:id="3961" w:name="_Toc492900609"/>
      <w:r>
        <w:rPr>
          <w:rFonts w:eastAsiaTheme="minorEastAsia"/>
        </w:rPr>
        <w:t>Ansvaret for gravplassforvaltningen</w:t>
      </w:r>
      <w:bookmarkEnd w:id="3961"/>
    </w:p>
    <w:p w:rsidR="00944062" w:rsidRPr="000F5CA8" w:rsidRDefault="00944062" w:rsidP="00BC664C">
      <w:pPr>
        <w:rPr>
          <w:rFonts w:asciiTheme="minorHAnsi" w:hAnsiTheme="minorHAnsi"/>
          <w:sz w:val="20"/>
          <w:szCs w:val="20"/>
        </w:rPr>
      </w:pPr>
      <w:r w:rsidRPr="000F5CA8">
        <w:t>Av kap</w:t>
      </w:r>
      <w:r w:rsidR="005F5507">
        <w:t>ittel</w:t>
      </w:r>
      <w:r w:rsidRPr="000F5CA8">
        <w:t xml:space="preserve"> </w:t>
      </w:r>
      <w:r w:rsidR="00F23702">
        <w:t>22</w:t>
      </w:r>
      <w:r w:rsidRPr="000F5CA8">
        <w:t xml:space="preserve"> framgår at departementet ikke foreslår endringer i dagens lovbestemmelser om at kirken lokalt </w:t>
      </w:r>
      <w:r w:rsidR="005F5507">
        <w:t xml:space="preserve">(soknene) </w:t>
      </w:r>
      <w:r w:rsidRPr="000F5CA8">
        <w:t>har ansvaret for gravplassforvaltningen</w:t>
      </w:r>
      <w:r w:rsidR="00057748">
        <w:t xml:space="preserve">. Imidlertid foreslås det at fylkesmannen kan treffe vedtak om overføring av ansvaret til kommunen om </w:t>
      </w:r>
      <w:r w:rsidRPr="000F5CA8">
        <w:t xml:space="preserve">kommunen </w:t>
      </w:r>
      <w:r w:rsidR="00B70A54">
        <w:t>ønsker det. I slike tilfeller vil det oppstå administrative og økonomiske konsekvenser, både for kirken og kommunen, som i hvert enkelt tilfelle må utredes i sammenheng med overføring</w:t>
      </w:r>
      <w:r w:rsidR="00C46984">
        <w:t>en</w:t>
      </w:r>
      <w:r w:rsidR="00B70A54">
        <w:t>.</w:t>
      </w:r>
      <w:r w:rsidRPr="000F5CA8">
        <w:rPr>
          <w:rFonts w:asciiTheme="minorHAnsi" w:hAnsiTheme="minorHAnsi"/>
          <w:sz w:val="20"/>
          <w:szCs w:val="20"/>
        </w:rPr>
        <w:t xml:space="preserve"> </w:t>
      </w:r>
    </w:p>
    <w:p w:rsidR="00572B5E" w:rsidRDefault="00944062" w:rsidP="00640354">
      <w:pPr>
        <w:pStyle w:val="Overskrift2"/>
      </w:pPr>
      <w:bookmarkStart w:id="3962" w:name="_Toc477872260"/>
      <w:bookmarkStart w:id="3963" w:name="_Toc477878869"/>
      <w:bookmarkStart w:id="3964" w:name="_Toc477882280"/>
      <w:bookmarkStart w:id="3965" w:name="_Toc477886742"/>
      <w:bookmarkStart w:id="3966" w:name="_Toc478131542"/>
      <w:bookmarkStart w:id="3967" w:name="_Toc478138912"/>
      <w:bookmarkStart w:id="3968" w:name="_Toc478232436"/>
      <w:bookmarkStart w:id="3969" w:name="_Toc478237421"/>
      <w:bookmarkStart w:id="3970" w:name="_Toc476320987"/>
      <w:bookmarkStart w:id="3971" w:name="_Toc477277413"/>
      <w:bookmarkStart w:id="3972" w:name="_Toc477536233"/>
      <w:bookmarkStart w:id="3973" w:name="_Toc477631363"/>
      <w:bookmarkStart w:id="3974" w:name="_Toc477694329"/>
      <w:bookmarkStart w:id="3975" w:name="_Toc477704755"/>
      <w:bookmarkStart w:id="3976" w:name="_Toc477799998"/>
      <w:bookmarkStart w:id="3977" w:name="_Toc477806599"/>
      <w:bookmarkStart w:id="3978" w:name="_Toc477872261"/>
      <w:bookmarkStart w:id="3979" w:name="_Toc477878870"/>
      <w:bookmarkStart w:id="3980" w:name="_Toc477882281"/>
      <w:bookmarkStart w:id="3981" w:name="_Toc477886743"/>
      <w:bookmarkStart w:id="3982" w:name="_Toc478131543"/>
      <w:bookmarkStart w:id="3983" w:name="_Toc478138913"/>
      <w:bookmarkStart w:id="3984" w:name="_Toc478232437"/>
      <w:bookmarkStart w:id="3985" w:name="_Toc478237422"/>
      <w:bookmarkStart w:id="3986" w:name="_Toc481761962"/>
      <w:bookmarkStart w:id="3987" w:name="_Toc492900610"/>
      <w:bookmarkEnd w:id="3962"/>
      <w:bookmarkEnd w:id="3963"/>
      <w:bookmarkEnd w:id="3964"/>
      <w:bookmarkEnd w:id="3965"/>
      <w:bookmarkEnd w:id="3966"/>
      <w:bookmarkEnd w:id="3967"/>
      <w:bookmarkEnd w:id="3968"/>
      <w:bookmarkEnd w:id="3969"/>
      <w:r w:rsidRPr="000F5CA8">
        <w:rPr>
          <w:rFonts w:eastAsiaTheme="minorEastAsia"/>
        </w:rPr>
        <w:t>Departementets samlede vurdering</w:t>
      </w:r>
      <w:bookmarkStart w:id="3988" w:name="_Toc477878871"/>
      <w:bookmarkStart w:id="3989" w:name="_Toc477882282"/>
      <w:bookmarkStart w:id="3990" w:name="_Toc477886744"/>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p>
    <w:p w:rsidR="00944062" w:rsidRDefault="00944062" w:rsidP="00572B5E">
      <w:r w:rsidRPr="000F5CA8">
        <w:t xml:space="preserve">Forslagene som berører Den norske kirke innebærer en forenkling og nedbygging av statens lovregulering av kirken. Lovforslagene er av rammekarakter og gir kirken langt større grad av selvstyre på områder som i dag er regulert i kirkeloven. Departementet vil særlig peke på den friheten Den norske kirke gis til å organisere seg og gi bestemmelser om ansvars- og oppgavefordelingen mellom kirkens ulike organer. Slike bestemmelser vil i framtiden kunne gis i den kirkeordningen som Kirkemøtet skal fastsette. Begge de to alternative løsningene for hvordan den offentlige finansieringen av Den norske kirke kan innrettes, </w:t>
      </w:r>
      <w:r w:rsidR="004D606A">
        <w:t xml:space="preserve">er basert på </w:t>
      </w:r>
      <w:r w:rsidRPr="000F5CA8">
        <w:t xml:space="preserve">at den offentlige ressursinnsatsen føres videre på samme nivå som i dag. </w:t>
      </w:r>
    </w:p>
    <w:p w:rsidR="00F10DAE" w:rsidRDefault="00F10DAE" w:rsidP="00BC664C">
      <w:r>
        <w:t xml:space="preserve">Departementets forslag til tilskuddsordning til tros- og livssynssamfunnene utenom Den norske kirke representerer </w:t>
      </w:r>
      <w:r w:rsidR="00937F3B">
        <w:t xml:space="preserve">samlet sett </w:t>
      </w:r>
      <w:r>
        <w:t>en betydelig administrativ forenkling, både for det offentlige og for de enkelte tros- og livssynssamfunnene.</w:t>
      </w:r>
    </w:p>
    <w:p w:rsidR="003820CA" w:rsidRDefault="004D606A" w:rsidP="00714EAF">
      <w:r>
        <w:t xml:space="preserve">I tråd med </w:t>
      </w:r>
      <w:r w:rsidR="005F4EC7">
        <w:t>siktemålet</w:t>
      </w:r>
      <w:r>
        <w:t xml:space="preserve"> </w:t>
      </w:r>
      <w:r w:rsidR="00C2695E">
        <w:t xml:space="preserve">med ny lovgivning, </w:t>
      </w:r>
      <w:r>
        <w:t xml:space="preserve">innebærer utkastet </w:t>
      </w:r>
      <w:r w:rsidR="00EA76C3">
        <w:t xml:space="preserve">til ny lov </w:t>
      </w:r>
      <w:r>
        <w:t xml:space="preserve">om tros- og livssynssamfunn </w:t>
      </w:r>
      <w:r w:rsidR="00EA76C3">
        <w:t xml:space="preserve">en </w:t>
      </w:r>
      <w:r>
        <w:t xml:space="preserve">helhetlig og </w:t>
      </w:r>
      <w:r w:rsidR="00EA76C3">
        <w:t xml:space="preserve">langt mer ensartet lovgivning </w:t>
      </w:r>
      <w:r>
        <w:t xml:space="preserve">for </w:t>
      </w:r>
      <w:r w:rsidR="00EA76C3">
        <w:t>tros- og livssynssamfunn</w:t>
      </w:r>
      <w:r>
        <w:t>ene.</w:t>
      </w:r>
      <w:r w:rsidR="00EA76C3">
        <w:t xml:space="preserve"> </w:t>
      </w:r>
      <w:bookmarkStart w:id="3991" w:name="_Toc469565769"/>
      <w:bookmarkStart w:id="3992" w:name="_Toc476320992"/>
    </w:p>
    <w:p w:rsidR="006A51B4" w:rsidRDefault="00944062" w:rsidP="00D93AC6">
      <w:pPr>
        <w:pStyle w:val="UnOverskrift1"/>
      </w:pPr>
      <w:bookmarkStart w:id="3993" w:name="_Toc477277414"/>
      <w:bookmarkStart w:id="3994" w:name="_Toc477536234"/>
      <w:bookmarkStart w:id="3995" w:name="_Toc477631364"/>
      <w:bookmarkStart w:id="3996" w:name="_Toc477694330"/>
      <w:bookmarkStart w:id="3997" w:name="_Toc477704756"/>
      <w:bookmarkStart w:id="3998" w:name="_Toc477799999"/>
      <w:bookmarkStart w:id="3999" w:name="_Toc477806600"/>
      <w:bookmarkStart w:id="4000" w:name="_Toc477872263"/>
      <w:bookmarkStart w:id="4001" w:name="_Toc477878873"/>
      <w:bookmarkStart w:id="4002" w:name="_Toc477882284"/>
      <w:bookmarkStart w:id="4003" w:name="_Toc477886746"/>
      <w:bookmarkStart w:id="4004" w:name="_Toc478131545"/>
      <w:bookmarkStart w:id="4005" w:name="_Toc478138915"/>
      <w:bookmarkStart w:id="4006" w:name="_Toc478232439"/>
      <w:bookmarkStart w:id="4007" w:name="_Toc478237424"/>
      <w:bookmarkStart w:id="4008" w:name="_Toc481761963"/>
      <w:bookmarkStart w:id="4009" w:name="_Toc492900611"/>
      <w:r>
        <w:lastRenderedPageBreak/>
        <w:t>Utkast til lov om tros- og livssynssamfunn</w:t>
      </w:r>
      <w:bookmarkEnd w:id="3991"/>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r w:rsidR="009C12BF">
        <w:t xml:space="preserve"> </w:t>
      </w:r>
      <w:bookmarkEnd w:id="3992"/>
      <w:r w:rsidR="006A51B4">
        <w:t>(trossamfunnsloven)</w:t>
      </w:r>
    </w:p>
    <w:p w:rsidR="006A51B4" w:rsidRPr="006A51B4" w:rsidRDefault="006A51B4" w:rsidP="006A51B4"/>
    <w:p w:rsidR="00170444" w:rsidRPr="00150737" w:rsidRDefault="00170444" w:rsidP="00BE2B83">
      <w:pPr>
        <w:pStyle w:val="UnOverskrift2"/>
        <w:rPr>
          <w:rStyle w:val="halvfet"/>
        </w:rPr>
      </w:pPr>
      <w:r w:rsidRPr="00150737">
        <w:rPr>
          <w:rStyle w:val="halvfet"/>
        </w:rPr>
        <w:t>Kapittel 1. Lovens formål</w:t>
      </w:r>
      <w:r w:rsidR="009A1C82" w:rsidRPr="00150737">
        <w:rPr>
          <w:rStyle w:val="halvfet"/>
        </w:rPr>
        <w:t xml:space="preserve"> og virkeområde</w:t>
      </w:r>
      <w:r w:rsidRPr="00150737">
        <w:rPr>
          <w:rStyle w:val="halvfet"/>
        </w:rPr>
        <w:t xml:space="preserve">. Medlemskap i tros- og livssynssamfunn </w:t>
      </w:r>
    </w:p>
    <w:p w:rsidR="0017269D" w:rsidRPr="00150737" w:rsidRDefault="0017269D" w:rsidP="00BE2B83">
      <w:pPr>
        <w:pStyle w:val="UnOverskrift3"/>
        <w:rPr>
          <w:rStyle w:val="halvfet"/>
        </w:rPr>
      </w:pPr>
      <w:r w:rsidRPr="00150737">
        <w:rPr>
          <w:rStyle w:val="halvfet"/>
        </w:rPr>
        <w:t>§ 1. Formål og virkeområde</w:t>
      </w:r>
    </w:p>
    <w:p w:rsidR="00F808EF" w:rsidRDefault="00F808EF" w:rsidP="00F808EF">
      <w:pPr>
        <w:ind w:firstLine="360"/>
      </w:pPr>
      <w:r>
        <w:t>Formålet med loven er å understøtte tros- og livssynssamfunn.</w:t>
      </w:r>
    </w:p>
    <w:p w:rsidR="00F808EF" w:rsidRDefault="00F808EF" w:rsidP="00F808EF">
      <w:pPr>
        <w:ind w:firstLine="360"/>
      </w:pPr>
      <w:r>
        <w:t xml:space="preserve">Med tros- og livssynssamfunn menes i denne loven sammenslutninger for felles utøvelse av </w:t>
      </w:r>
      <w:r w:rsidR="0017269D">
        <w:t>en religiøs tro eller et sekulært livssyn.</w:t>
      </w:r>
    </w:p>
    <w:p w:rsidR="00F808EF" w:rsidRDefault="00F808EF" w:rsidP="00F808EF">
      <w:pPr>
        <w:pStyle w:val="Normalpunktmerket"/>
      </w:pPr>
      <w:r>
        <w:t xml:space="preserve">Som tros- eller livssynssamfunn regnes ikke sammenslutninger som </w:t>
      </w:r>
    </w:p>
    <w:p w:rsidR="00F808EF" w:rsidRPr="00C849A3" w:rsidRDefault="00F808EF" w:rsidP="00BE2B83">
      <w:pPr>
        <w:pStyle w:val="alfaliste2"/>
        <w:numPr>
          <w:ilvl w:val="1"/>
          <w:numId w:val="47"/>
        </w:numPr>
      </w:pPr>
      <w:r>
        <w:t xml:space="preserve">primært framstår som </w:t>
      </w:r>
      <w:r w:rsidRPr="001D146F">
        <w:t>virtuelle fellesskap</w:t>
      </w:r>
      <w:r w:rsidR="0017269D">
        <w:t>,</w:t>
      </w:r>
    </w:p>
    <w:p w:rsidR="0017269D" w:rsidRPr="00C849A3" w:rsidRDefault="0017269D" w:rsidP="00BE2B83">
      <w:pPr>
        <w:pStyle w:val="alfaliste2"/>
        <w:numPr>
          <w:ilvl w:val="1"/>
          <w:numId w:val="47"/>
        </w:numPr>
      </w:pPr>
      <w:r>
        <w:t xml:space="preserve">har </w:t>
      </w:r>
      <w:r w:rsidRPr="001D146F">
        <w:t>politisk, humanitær, kulturell eller forretningsmessig virksomhet</w:t>
      </w:r>
      <w:r>
        <w:t xml:space="preserve"> som hovedformål,</w:t>
      </w:r>
    </w:p>
    <w:p w:rsidR="0017269D" w:rsidRPr="00C849A3" w:rsidRDefault="0017269D" w:rsidP="00BE2B83">
      <w:pPr>
        <w:pStyle w:val="alfaliste2"/>
        <w:numPr>
          <w:ilvl w:val="1"/>
          <w:numId w:val="47"/>
        </w:numPr>
      </w:pPr>
      <w:r>
        <w:t xml:space="preserve">har </w:t>
      </w:r>
      <w:r w:rsidRPr="001D146F">
        <w:t>helse eller selvutvikling</w:t>
      </w:r>
      <w:r>
        <w:t xml:space="preserve"> som hovedformål,</w:t>
      </w:r>
    </w:p>
    <w:p w:rsidR="0017269D" w:rsidRDefault="0017269D" w:rsidP="00BE2B83">
      <w:pPr>
        <w:pStyle w:val="alfaliste2"/>
        <w:numPr>
          <w:ilvl w:val="1"/>
          <w:numId w:val="47"/>
        </w:numPr>
      </w:pPr>
      <w:r>
        <w:t xml:space="preserve">har </w:t>
      </w:r>
      <w:r w:rsidRPr="001D146F">
        <w:t>bekjempe</w:t>
      </w:r>
      <w:r>
        <w:t>lse</w:t>
      </w:r>
      <w:r w:rsidRPr="001D146F">
        <w:t xml:space="preserve"> </w:t>
      </w:r>
      <w:r>
        <w:t xml:space="preserve">av </w:t>
      </w:r>
      <w:r w:rsidRPr="001D146F">
        <w:t>religion eller livssyn</w:t>
      </w:r>
      <w:r>
        <w:t xml:space="preserve"> som hovedformål,</w:t>
      </w:r>
    </w:p>
    <w:p w:rsidR="0017269D" w:rsidRDefault="0017269D" w:rsidP="00BE2B83">
      <w:pPr>
        <w:pStyle w:val="alfaliste2"/>
        <w:numPr>
          <w:ilvl w:val="1"/>
          <w:numId w:val="47"/>
        </w:numPr>
      </w:pPr>
      <w:r>
        <w:t>har et rent filosofisk formål.</w:t>
      </w:r>
    </w:p>
    <w:p w:rsidR="00F808EF" w:rsidRDefault="00F808EF" w:rsidP="00DB13D5">
      <w:pPr>
        <w:ind w:firstLine="360"/>
      </w:pPr>
      <w:r w:rsidRPr="00404AFC">
        <w:t>Loven gjelder fo</w:t>
      </w:r>
      <w:r>
        <w:t>r alle tros- og livssynssamfunn. Kapittel 2</w:t>
      </w:r>
      <w:r w:rsidRPr="00404AFC">
        <w:t xml:space="preserve"> gjelder ikke for</w:t>
      </w:r>
      <w:r>
        <w:t xml:space="preserve"> Den norske kirke, og kapittel 3</w:t>
      </w:r>
      <w:r w:rsidRPr="00404AFC">
        <w:t xml:space="preserve"> gj</w:t>
      </w:r>
      <w:r>
        <w:t>elder bare for Den norske kirke.</w:t>
      </w:r>
    </w:p>
    <w:p w:rsidR="0042525E" w:rsidRPr="00FE0AE0" w:rsidRDefault="0042525E" w:rsidP="00DB13D5">
      <w:pPr>
        <w:ind w:firstLine="360"/>
      </w:pPr>
      <w:r>
        <w:t>Loven gjelder ikke for Svalbard.</w:t>
      </w:r>
    </w:p>
    <w:p w:rsidR="00170444" w:rsidRPr="00150737" w:rsidRDefault="00170444" w:rsidP="00BE2B83">
      <w:pPr>
        <w:pStyle w:val="UnOverskrift3"/>
        <w:rPr>
          <w:rStyle w:val="halvfet"/>
        </w:rPr>
      </w:pPr>
      <w:r w:rsidRPr="00150737">
        <w:rPr>
          <w:rStyle w:val="halvfet"/>
        </w:rPr>
        <w:t>§ 2. Inn- og utmelding</w:t>
      </w:r>
    </w:p>
    <w:p w:rsidR="00710304" w:rsidRDefault="00170444" w:rsidP="00DB13D5">
      <w:pPr>
        <w:ind w:firstLine="567"/>
      </w:pPr>
      <w:r>
        <w:t>Den som er over 15 år, kan melde seg inn i eller ut av tros- eller livssynssamfunn.</w:t>
      </w:r>
      <w:r w:rsidR="00710304">
        <w:t xml:space="preserve"> </w:t>
      </w:r>
      <w:r>
        <w:t xml:space="preserve">Foreldre </w:t>
      </w:r>
      <w:r w:rsidR="00225EC2">
        <w:t xml:space="preserve">med foreldreansvar </w:t>
      </w:r>
      <w:r>
        <w:t xml:space="preserve">kan melde barn under 15 år inn i eller ut av tros- eller livssynssamfunn. </w:t>
      </w:r>
      <w:r w:rsidR="00432468">
        <w:t>Barn som har fylt 12 år</w:t>
      </w:r>
      <w:r w:rsidR="00DB13D5">
        <w:t>,</w:t>
      </w:r>
      <w:r w:rsidR="000E5911">
        <w:t xml:space="preserve"> må</w:t>
      </w:r>
      <w:r w:rsidR="00432468">
        <w:t xml:space="preserve"> gi samtykke </w:t>
      </w:r>
      <w:r w:rsidR="00710304">
        <w:t>til inn</w:t>
      </w:r>
      <w:r w:rsidR="00A91680">
        <w:t xml:space="preserve">- </w:t>
      </w:r>
      <w:r w:rsidR="000E5911">
        <w:t>og</w:t>
      </w:r>
      <w:r w:rsidR="00432468">
        <w:t xml:space="preserve"> utmelding</w:t>
      </w:r>
      <w:r w:rsidR="00A91680">
        <w:t xml:space="preserve">. </w:t>
      </w:r>
      <w:r w:rsidR="00432468">
        <w:t xml:space="preserve"> </w:t>
      </w:r>
    </w:p>
    <w:p w:rsidR="00170444" w:rsidRDefault="00710304" w:rsidP="00710304">
      <w:pPr>
        <w:ind w:firstLine="567"/>
      </w:pPr>
      <w:r>
        <w:t xml:space="preserve">Barn har rett til å bli hørt i tråd med barnelovens alminnelige bestemmelser i alle saker som gjelder deres utøvelse av tro eller livssyn. </w:t>
      </w:r>
    </w:p>
    <w:p w:rsidR="000E5911" w:rsidRDefault="000E5911" w:rsidP="00710304">
      <w:pPr>
        <w:ind w:firstLine="567"/>
      </w:pPr>
      <w:r>
        <w:t>Tros- og livssynssamfunnene fastsetter selv vilkår for medlemskap og framgangsmåte for innmelding i samfunnet. Utmelding kan alltid skje skriftlig.</w:t>
      </w:r>
    </w:p>
    <w:p w:rsidR="00EE0F45" w:rsidRPr="00150737" w:rsidRDefault="00EE0F45" w:rsidP="00170444">
      <w:pPr>
        <w:rPr>
          <w:rStyle w:val="halvfet"/>
        </w:rPr>
      </w:pPr>
    </w:p>
    <w:p w:rsidR="00170444" w:rsidRPr="00150737" w:rsidRDefault="00170444" w:rsidP="00BE2B83">
      <w:pPr>
        <w:pStyle w:val="UnOverskrift2"/>
        <w:rPr>
          <w:rStyle w:val="halvfet"/>
        </w:rPr>
      </w:pPr>
      <w:r w:rsidRPr="00150737">
        <w:rPr>
          <w:rStyle w:val="halvfet"/>
        </w:rPr>
        <w:t>Kapittel 2. Registrering av tros- og livssynssamfunn. Tilskud</w:t>
      </w:r>
      <w:r w:rsidR="00AA0A68" w:rsidRPr="00150737">
        <w:rPr>
          <w:rStyle w:val="halvfet"/>
        </w:rPr>
        <w:t>d til tros- og livssynssamfunn</w:t>
      </w:r>
    </w:p>
    <w:p w:rsidR="00170444" w:rsidRPr="00150737" w:rsidRDefault="00170444" w:rsidP="00BE2B83">
      <w:pPr>
        <w:pStyle w:val="UnOverskrift3"/>
        <w:rPr>
          <w:rStyle w:val="halvfet"/>
        </w:rPr>
      </w:pPr>
      <w:r w:rsidRPr="00150737">
        <w:rPr>
          <w:rStyle w:val="halvfet"/>
        </w:rPr>
        <w:t>§ 3. Registrering av tros- og livssynssamfunn</w:t>
      </w:r>
    </w:p>
    <w:p w:rsidR="0011367C" w:rsidRDefault="009A1C82" w:rsidP="00170444">
      <w:pPr>
        <w:ind w:firstLine="708"/>
      </w:pPr>
      <w:r>
        <w:t>Et</w:t>
      </w:r>
      <w:r w:rsidR="00170444">
        <w:t xml:space="preserve"> tros- </w:t>
      </w:r>
      <w:r>
        <w:t xml:space="preserve">eller </w:t>
      </w:r>
      <w:r w:rsidR="00170444">
        <w:t xml:space="preserve">livssynssamfunn </w:t>
      </w:r>
      <w:r>
        <w:t>kan bli registrert når det er fast organisert</w:t>
      </w:r>
      <w:r w:rsidR="006128AC">
        <w:t>, og har</w:t>
      </w:r>
      <w:r w:rsidR="00F808EF">
        <w:t xml:space="preserve"> m</w:t>
      </w:r>
      <w:r w:rsidR="00214882">
        <w:t>inst</w:t>
      </w:r>
      <w:r w:rsidR="00F808EF">
        <w:t xml:space="preserve"> 5</w:t>
      </w:r>
      <w:r w:rsidR="00170444">
        <w:t xml:space="preserve">00 </w:t>
      </w:r>
      <w:r w:rsidR="0011367C">
        <w:t>medlemmer som</w:t>
      </w:r>
    </w:p>
    <w:p w:rsidR="0011367C" w:rsidRPr="005253FC" w:rsidRDefault="0011367C" w:rsidP="00BE2B83">
      <w:pPr>
        <w:pStyle w:val="alfaliste2"/>
        <w:numPr>
          <w:ilvl w:val="1"/>
          <w:numId w:val="48"/>
        </w:numPr>
      </w:pPr>
      <w:r w:rsidRPr="001D146F">
        <w:t>har fylt 15 år</w:t>
      </w:r>
      <w:r w:rsidR="005E7944">
        <w:t>,</w:t>
      </w:r>
      <w:r w:rsidRPr="001D146F">
        <w:t xml:space="preserve"> </w:t>
      </w:r>
    </w:p>
    <w:p w:rsidR="0011367C" w:rsidRPr="005253FC" w:rsidRDefault="0011367C" w:rsidP="00BE2B83">
      <w:pPr>
        <w:pStyle w:val="alfaliste2"/>
        <w:numPr>
          <w:ilvl w:val="1"/>
          <w:numId w:val="48"/>
        </w:numPr>
      </w:pPr>
      <w:r w:rsidRPr="001D146F">
        <w:lastRenderedPageBreak/>
        <w:t>selv har meldt seg inn, eller som har blitt innmeldt av foreldre eller verge</w:t>
      </w:r>
      <w:r w:rsidR="005E7944">
        <w:t>,</w:t>
      </w:r>
    </w:p>
    <w:p w:rsidR="0011367C" w:rsidRPr="005253FC" w:rsidRDefault="0011367C" w:rsidP="00BE2B83">
      <w:pPr>
        <w:pStyle w:val="alfaliste2"/>
        <w:numPr>
          <w:ilvl w:val="1"/>
          <w:numId w:val="48"/>
        </w:numPr>
      </w:pPr>
      <w:r w:rsidRPr="001D146F">
        <w:t>er bosatt i riket</w:t>
      </w:r>
      <w:r>
        <w:t>,</w:t>
      </w:r>
      <w:r w:rsidRPr="001D146F">
        <w:t xml:space="preserve"> </w:t>
      </w:r>
      <w:r>
        <w:t>og som</w:t>
      </w:r>
    </w:p>
    <w:p w:rsidR="0011367C" w:rsidRPr="0011367C" w:rsidRDefault="0011367C" w:rsidP="00BE2B83">
      <w:pPr>
        <w:pStyle w:val="alfaliste2"/>
        <w:numPr>
          <w:ilvl w:val="1"/>
          <w:numId w:val="48"/>
        </w:numPr>
      </w:pPr>
      <w:r w:rsidRPr="001D146F">
        <w:t xml:space="preserve">ikke er </w:t>
      </w:r>
      <w:r w:rsidR="00DB13D5">
        <w:t>medlem i Den norske kirke eller annet regis</w:t>
      </w:r>
      <w:r>
        <w:t>trert</w:t>
      </w:r>
      <w:r w:rsidRPr="001D146F">
        <w:t xml:space="preserve"> tros- eller livssynssamfunn</w:t>
      </w:r>
      <w:r w:rsidR="005E7944">
        <w:t>.</w:t>
      </w:r>
      <w:r w:rsidRPr="001D146F">
        <w:t xml:space="preserve"> </w:t>
      </w:r>
    </w:p>
    <w:p w:rsidR="000550E8" w:rsidRDefault="0017269D" w:rsidP="0017269D">
      <w:pPr>
        <w:ind w:firstLine="708"/>
      </w:pPr>
      <w:r>
        <w:t xml:space="preserve"> Antallskravet kan oppfylles ved at likeartede samfunn søker om å bli registrert i fellesskap.</w:t>
      </w:r>
      <w:r w:rsidR="000550E8" w:rsidRPr="000550E8">
        <w:t xml:space="preserve"> </w:t>
      </w:r>
    </w:p>
    <w:p w:rsidR="0017269D" w:rsidRDefault="000550E8" w:rsidP="0017269D">
      <w:pPr>
        <w:ind w:firstLine="708"/>
      </w:pPr>
      <w:r w:rsidRPr="000550E8">
        <w:t>Dersom muligheten etter annet ledd er uttømt, kan kravet om mer enn 500 medlemmer etter første ledd fravikes når helt særlige forhold tilsier at det bør gis tilskudd eller vigsel</w:t>
      </w:r>
      <w:r w:rsidR="0016253B">
        <w:t>s</w:t>
      </w:r>
      <w:r w:rsidRPr="000550E8">
        <w:t>myndighet til et trossamfunn som tilhører en veletablert religion eller trosretning internasjonalt</w:t>
      </w:r>
      <w:r w:rsidR="003F2A46">
        <w:t>,</w:t>
      </w:r>
      <w:r w:rsidRPr="000550E8">
        <w:t xml:space="preserve"> og som har vært virksom i Norge i mange år.</w:t>
      </w:r>
    </w:p>
    <w:p w:rsidR="009661AC" w:rsidRDefault="00170444" w:rsidP="009661AC">
      <w:pPr>
        <w:ind w:firstLine="708"/>
      </w:pPr>
      <w:r>
        <w:t>Samfunnet skal uten opphold gi melding om endringer i opplysningene som lå</w:t>
      </w:r>
      <w:r w:rsidR="009661AC">
        <w:t xml:space="preserve"> til grunn for registreringen. </w:t>
      </w:r>
    </w:p>
    <w:p w:rsidR="0017269D" w:rsidRDefault="0017269D" w:rsidP="0017269D">
      <w:pPr>
        <w:ind w:firstLine="708"/>
      </w:pPr>
      <w:r w:rsidRPr="009661AC">
        <w:rPr>
          <w:rFonts w:cs="Times New Roman"/>
        </w:rPr>
        <w:t xml:space="preserve">Når registreringsvilkårene ikke er oppfylt, eller ved brudd på andre krav </w:t>
      </w:r>
      <w:r>
        <w:rPr>
          <w:rFonts w:cs="Times New Roman"/>
        </w:rPr>
        <w:t xml:space="preserve">gitt </w:t>
      </w:r>
      <w:r w:rsidRPr="009661AC">
        <w:rPr>
          <w:rFonts w:cs="Times New Roman"/>
        </w:rPr>
        <w:t xml:space="preserve">i </w:t>
      </w:r>
      <w:r>
        <w:rPr>
          <w:rFonts w:cs="Times New Roman"/>
        </w:rPr>
        <w:t xml:space="preserve">eller i medhold av </w:t>
      </w:r>
      <w:r w:rsidRPr="009661AC">
        <w:rPr>
          <w:rFonts w:cs="Times New Roman"/>
        </w:rPr>
        <w:t xml:space="preserve">denne loven, kan tros- eller livssynssamfunnet </w:t>
      </w:r>
      <w:r>
        <w:rPr>
          <w:rFonts w:cs="Times New Roman"/>
        </w:rPr>
        <w:t xml:space="preserve">nektes eller </w:t>
      </w:r>
      <w:r w:rsidRPr="009661AC">
        <w:rPr>
          <w:rFonts w:cs="Times New Roman"/>
        </w:rPr>
        <w:t>fratas registrering.</w:t>
      </w:r>
    </w:p>
    <w:p w:rsidR="009661AC" w:rsidRPr="00EE0F45" w:rsidRDefault="0017269D" w:rsidP="00EE0F45">
      <w:pPr>
        <w:ind w:firstLine="708"/>
        <w:rPr>
          <w:rFonts w:cs="Times New Roman"/>
        </w:rPr>
      </w:pPr>
      <w:r w:rsidRPr="00E74CBE">
        <w:rPr>
          <w:rFonts w:cs="Times New Roman"/>
        </w:rPr>
        <w:t>Kongen kan gi forskrifter med nærmere bestemmelser om</w:t>
      </w:r>
      <w:r w:rsidRPr="009661AC">
        <w:rPr>
          <w:rFonts w:cs="Times New Roman"/>
        </w:rPr>
        <w:t xml:space="preserve"> krav til søknad om registrering, plikten til å opplyse om endringer og om tap av registrering.</w:t>
      </w:r>
    </w:p>
    <w:p w:rsidR="00170444" w:rsidRPr="00150737" w:rsidRDefault="00170444" w:rsidP="00BE2B83">
      <w:pPr>
        <w:pStyle w:val="UnOverskrift3"/>
        <w:rPr>
          <w:rStyle w:val="halvfet"/>
        </w:rPr>
      </w:pPr>
      <w:r w:rsidRPr="00150737">
        <w:rPr>
          <w:rStyle w:val="halvfet"/>
        </w:rPr>
        <w:t>§ 4. Krav om og tildeling av statstilskudd</w:t>
      </w:r>
    </w:p>
    <w:p w:rsidR="00170444" w:rsidRDefault="00C911D0" w:rsidP="00170444">
      <w:pPr>
        <w:ind w:firstLine="708"/>
      </w:pPr>
      <w:r>
        <w:t>Registrert tros- eller</w:t>
      </w:r>
      <w:r w:rsidR="00170444">
        <w:t xml:space="preserve"> livssynssamfunn kan kreve tilskudd fra staten. </w:t>
      </w:r>
    </w:p>
    <w:p w:rsidR="0017269D" w:rsidRDefault="0017269D" w:rsidP="0017269D">
      <w:pPr>
        <w:ind w:firstLine="708"/>
      </w:pPr>
      <w:r>
        <w:t xml:space="preserve">Tros- </w:t>
      </w:r>
      <w:r w:rsidR="00FE0D21">
        <w:t>eller</w:t>
      </w:r>
      <w:r>
        <w:t xml:space="preserve"> livssynssamfunnet skal benytte statstilskuddet til tros- eller livssynsformål.</w:t>
      </w:r>
    </w:p>
    <w:p w:rsidR="005E7944" w:rsidRDefault="009C5AFA" w:rsidP="00170444">
      <w:pPr>
        <w:ind w:firstLine="708"/>
      </w:pPr>
      <w:r>
        <w:t>Tilskuddet beregnes etter tros- eller livssynssamfunnet</w:t>
      </w:r>
      <w:r w:rsidR="008B5580">
        <w:t>s medlemstall</w:t>
      </w:r>
      <w:r>
        <w:t>.</w:t>
      </w:r>
      <w:r w:rsidR="005E7944" w:rsidRPr="005E7944">
        <w:t xml:space="preserve"> Som tilskud</w:t>
      </w:r>
      <w:r w:rsidR="005E7944">
        <w:t xml:space="preserve">dstellende medlem regnes </w:t>
      </w:r>
      <w:r>
        <w:t xml:space="preserve">bare </w:t>
      </w:r>
      <w:r w:rsidR="005E7944">
        <w:t>person som fyller vilkårene i § 3 første ledd bokstav a–d.</w:t>
      </w:r>
    </w:p>
    <w:p w:rsidR="005E7944" w:rsidRDefault="008B5580" w:rsidP="005E7944">
      <w:pPr>
        <w:ind w:firstLine="708"/>
      </w:pPr>
      <w:r>
        <w:t xml:space="preserve">Satsen for tilskudd per medlem </w:t>
      </w:r>
      <w:r w:rsidR="00AA4979">
        <w:t xml:space="preserve">fastsettes årlig og reguleres </w:t>
      </w:r>
      <w:r w:rsidR="005E7944">
        <w:t>i samsvar med endringene i statens tilskudd til Den norske kirke. Følgende tilskudd til Den norske kirke skal ikke inngå i reguleringsgrunnlaget</w:t>
      </w:r>
      <w:r w:rsidR="006C66A1">
        <w:t xml:space="preserve"> for tilskuddssatsen</w:t>
      </w:r>
      <w:r w:rsidR="005E7944">
        <w:t>:</w:t>
      </w:r>
    </w:p>
    <w:p w:rsidR="005E7944" w:rsidRPr="005E7944" w:rsidRDefault="005E7944" w:rsidP="00BE2B83">
      <w:pPr>
        <w:pStyle w:val="alfaliste2"/>
        <w:numPr>
          <w:ilvl w:val="1"/>
          <w:numId w:val="49"/>
        </w:numPr>
      </w:pPr>
      <w:r w:rsidRPr="005E7944">
        <w:t>tilskudd til oppgaver Den norske kirke utfører på vegne av det offentlige</w:t>
      </w:r>
      <w:r w:rsidR="0017269D">
        <w:t>,</w:t>
      </w:r>
      <w:r w:rsidRPr="005E7944">
        <w:t xml:space="preserve"> </w:t>
      </w:r>
    </w:p>
    <w:p w:rsidR="005E7944" w:rsidRPr="005E7944" w:rsidRDefault="00D21B8B" w:rsidP="00BE2B83">
      <w:pPr>
        <w:pStyle w:val="alfaliste2"/>
        <w:numPr>
          <w:ilvl w:val="1"/>
          <w:numId w:val="49"/>
        </w:numPr>
      </w:pPr>
      <w:r w:rsidRPr="00D21B8B">
        <w:t>investeringstilskudd til kirkebygg fra før 1900</w:t>
      </w:r>
      <w:r w:rsidR="0017269D">
        <w:t>,</w:t>
      </w:r>
    </w:p>
    <w:p w:rsidR="00E46C24" w:rsidRPr="00E46C24" w:rsidRDefault="005E7944" w:rsidP="00BE2B83">
      <w:pPr>
        <w:pStyle w:val="alfaliste2"/>
        <w:numPr>
          <w:ilvl w:val="1"/>
          <w:numId w:val="49"/>
        </w:numPr>
      </w:pPr>
      <w:r w:rsidRPr="005E7944">
        <w:t xml:space="preserve">tilskudd til utgifter som følger av </w:t>
      </w:r>
      <w:r w:rsidR="00E46C24">
        <w:t xml:space="preserve">Den norske kirkes </w:t>
      </w:r>
      <w:r w:rsidRPr="005E7944">
        <w:t>sær</w:t>
      </w:r>
      <w:r w:rsidR="00E46C24">
        <w:t>lige stilling.</w:t>
      </w:r>
    </w:p>
    <w:p w:rsidR="00C911D0" w:rsidRDefault="00C911D0" w:rsidP="0017269D">
      <w:pPr>
        <w:ind w:firstLine="708"/>
        <w:rPr>
          <w:rFonts w:cs="Times New Roman"/>
        </w:rPr>
      </w:pPr>
      <w:r w:rsidRPr="00386C45">
        <w:rPr>
          <w:rFonts w:cs="Times New Roman"/>
        </w:rPr>
        <w:t>Samfunnet skal når det fremmer krav om tilskudd, skriftlig bekrefte at det er kjent med og vil overholde vilkårene for tilskudd i § 6.</w:t>
      </w:r>
    </w:p>
    <w:p w:rsidR="00DA47F8" w:rsidRPr="00711D29" w:rsidRDefault="0017269D" w:rsidP="00DA47F8">
      <w:pPr>
        <w:ind w:firstLine="708"/>
        <w:rPr>
          <w:rFonts w:cs="Times New Roman"/>
        </w:rPr>
      </w:pPr>
      <w:r>
        <w:rPr>
          <w:rFonts w:cs="Times New Roman"/>
        </w:rPr>
        <w:t>Kongen</w:t>
      </w:r>
      <w:r w:rsidRPr="00711D29">
        <w:rPr>
          <w:rFonts w:cs="Times New Roman"/>
        </w:rPr>
        <w:t xml:space="preserve"> kan </w:t>
      </w:r>
      <w:r w:rsidR="00DA47F8" w:rsidRPr="00711D29">
        <w:rPr>
          <w:rFonts w:cs="Times New Roman"/>
        </w:rPr>
        <w:t xml:space="preserve">gi </w:t>
      </w:r>
      <w:r>
        <w:rPr>
          <w:rFonts w:cs="Times New Roman"/>
        </w:rPr>
        <w:t>forskrift</w:t>
      </w:r>
      <w:r w:rsidR="00DA47F8" w:rsidRPr="00711D29">
        <w:rPr>
          <w:rFonts w:cs="Times New Roman"/>
        </w:rPr>
        <w:t xml:space="preserve"> om plikt til å opplyse om fødselsnummer for hvert enkelt medlem i tros- og livssynssamfunn til bruk i saker</w:t>
      </w:r>
      <w:r w:rsidR="008666B3">
        <w:rPr>
          <w:rFonts w:cs="Times New Roman"/>
        </w:rPr>
        <w:t xml:space="preserve"> om registrering etter §</w:t>
      </w:r>
      <w:r w:rsidR="00DA47F8">
        <w:rPr>
          <w:rFonts w:cs="Times New Roman"/>
        </w:rPr>
        <w:t xml:space="preserve"> 3 og i saker om tilskudd etter § 4</w:t>
      </w:r>
      <w:r w:rsidR="00DA47F8" w:rsidRPr="00711D29">
        <w:rPr>
          <w:rFonts w:cs="Times New Roman"/>
        </w:rPr>
        <w:t xml:space="preserve">. Opplysningene kan jevnføres med opplysninger fra Det sentrale folkeregister, Den norske kirkes medlemsregister og andre tros- og livssynssamfunn for å kontrollere at vilkårene for registrering og tilskudd er oppfylt.   </w:t>
      </w:r>
    </w:p>
    <w:p w:rsidR="00DA47F8" w:rsidRDefault="00DA47F8" w:rsidP="00DA47F8">
      <w:pPr>
        <w:ind w:firstLine="708"/>
        <w:rPr>
          <w:rFonts w:cs="Times New Roman"/>
        </w:rPr>
      </w:pPr>
      <w:r w:rsidRPr="00711D29">
        <w:rPr>
          <w:rFonts w:cs="Times New Roman"/>
        </w:rPr>
        <w:t>Reglene i statistikkloven om plikt til å gi opplysninger til utarbeidelse av offisiell statistikk gjelder ikke for opplysninger som er gitt e</w:t>
      </w:r>
      <w:r w:rsidR="006C66A1">
        <w:rPr>
          <w:rFonts w:cs="Times New Roman"/>
        </w:rPr>
        <w:t>tter regler med hjemmel i s</w:t>
      </w:r>
      <w:r w:rsidR="00F951FD">
        <w:rPr>
          <w:rFonts w:cs="Times New Roman"/>
        </w:rPr>
        <w:t>jette</w:t>
      </w:r>
      <w:r w:rsidRPr="00711D29">
        <w:rPr>
          <w:rFonts w:cs="Times New Roman"/>
        </w:rPr>
        <w:t xml:space="preserve"> ledd.</w:t>
      </w:r>
    </w:p>
    <w:p w:rsidR="00EE0F45" w:rsidRDefault="0017269D" w:rsidP="00EE0F45">
      <w:pPr>
        <w:ind w:firstLine="708"/>
      </w:pPr>
      <w:r w:rsidRPr="00E74CBE">
        <w:t>Kongen kan gi forskrifter med nærmere bestemmelser om</w:t>
      </w:r>
      <w:r>
        <w:t xml:space="preserve"> fastsetting av tilskudd og om frams</w:t>
      </w:r>
      <w:r w:rsidR="00EE0F45">
        <w:t xml:space="preserve">etting av kravet om tilskudd.  </w:t>
      </w:r>
    </w:p>
    <w:p w:rsidR="00170444" w:rsidRPr="00150737" w:rsidRDefault="00170444" w:rsidP="00BE2B83">
      <w:pPr>
        <w:pStyle w:val="UnOverskrift3"/>
        <w:rPr>
          <w:rStyle w:val="halvfet"/>
        </w:rPr>
      </w:pPr>
      <w:r w:rsidRPr="00150737">
        <w:rPr>
          <w:rStyle w:val="halvfet"/>
        </w:rPr>
        <w:lastRenderedPageBreak/>
        <w:t xml:space="preserve">§ 5. Regnskap og rapport </w:t>
      </w:r>
    </w:p>
    <w:p w:rsidR="0017269D" w:rsidRDefault="0017269D" w:rsidP="0017269D">
      <w:pPr>
        <w:ind w:firstLine="708"/>
      </w:pPr>
      <w:r>
        <w:t>Alle registrerte tros- og livssynssamfunn skal hvert år sende inn rapport om virksomheten. Tros- og livssynssamfunn som mottar tilskudd</w:t>
      </w:r>
      <w:r w:rsidR="003F2A46">
        <w:t>,</w:t>
      </w:r>
      <w:r>
        <w:t xml:space="preserve"> skal dessuten hvert år sende inn regnskap</w:t>
      </w:r>
      <w:r w:rsidRPr="006E451A">
        <w:t>.</w:t>
      </w:r>
      <w:r>
        <w:t xml:space="preserve"> Regnskapet skal være revidert av statsautorisert eller registrert revisor. Revisor skal opplyse særlig om eventuelle bidrag til virksomheten fra utlandet. </w:t>
      </w:r>
    </w:p>
    <w:p w:rsidR="00170444" w:rsidRPr="006E451A" w:rsidRDefault="0017269D" w:rsidP="001D146F">
      <w:pPr>
        <w:ind w:firstLine="708"/>
      </w:pPr>
      <w:r w:rsidRPr="00E74CBE">
        <w:t>Kongen kan</w:t>
      </w:r>
      <w:r w:rsidR="00170444">
        <w:t xml:space="preserve"> gi </w:t>
      </w:r>
      <w:r w:rsidRPr="00E74CBE">
        <w:t xml:space="preserve">forskrifter med </w:t>
      </w:r>
      <w:r w:rsidR="00170444">
        <w:t xml:space="preserve">nærmere </w:t>
      </w:r>
      <w:r w:rsidRPr="00E74CBE">
        <w:t>bestemmelser</w:t>
      </w:r>
      <w:r w:rsidR="00170444">
        <w:t xml:space="preserve"> om regnskap og rapport</w:t>
      </w:r>
      <w:r w:rsidR="008E7132">
        <w:t xml:space="preserve"> og om krav om tilbakebetaling</w:t>
      </w:r>
      <w:r w:rsidR="00170444">
        <w:t xml:space="preserve">. </w:t>
      </w:r>
    </w:p>
    <w:p w:rsidR="00170444" w:rsidRPr="00150737" w:rsidRDefault="00170444" w:rsidP="00BE2B83">
      <w:pPr>
        <w:pStyle w:val="UnOverskrift3"/>
        <w:rPr>
          <w:rStyle w:val="halvfet"/>
        </w:rPr>
      </w:pPr>
      <w:r w:rsidRPr="00150737">
        <w:rPr>
          <w:rStyle w:val="halvfet"/>
        </w:rPr>
        <w:t>§ 6. Vilkår for statstilskudd</w:t>
      </w:r>
    </w:p>
    <w:p w:rsidR="00F808EF" w:rsidRDefault="00F808EF" w:rsidP="00F808EF">
      <w:pPr>
        <w:ind w:firstLine="708"/>
        <w:rPr>
          <w:rFonts w:cs="Times New Roman"/>
        </w:rPr>
      </w:pPr>
      <w:r w:rsidRPr="002425E7">
        <w:rPr>
          <w:rFonts w:cs="Times New Roman"/>
        </w:rPr>
        <w:t>Tros- eller livssynssamfunn som begår alvorlige lovbrudd, kan nektes tilskudd etter § 4. I vurderingen skal det legges særlig vekt på brudd på lovbestemmelser som skal beskytte barns interesser, brudd på diskrimineringslovgivning og brudd på lovbestemmelser som skal hindre oppfordring til hat eller vold.</w:t>
      </w:r>
    </w:p>
    <w:p w:rsidR="00F808EF" w:rsidRDefault="00F808EF" w:rsidP="00F808EF">
      <w:pPr>
        <w:ind w:firstLine="708"/>
        <w:rPr>
          <w:rFonts w:cs="Times New Roman"/>
        </w:rPr>
      </w:pPr>
      <w:r w:rsidRPr="005256A0">
        <w:rPr>
          <w:rFonts w:cs="Times New Roman"/>
        </w:rPr>
        <w:t>Tros- eller livssynssamfunn som utfører, oppfordrer til eller uttrykker støtte til handlinger som utgjør en alvorlig krenkelse av andres r</w:t>
      </w:r>
      <w:r>
        <w:rPr>
          <w:rFonts w:cs="Times New Roman"/>
        </w:rPr>
        <w:t>ettigheter og friheter</w:t>
      </w:r>
      <w:r w:rsidR="003F2A46">
        <w:rPr>
          <w:rFonts w:cs="Times New Roman"/>
        </w:rPr>
        <w:t>,</w:t>
      </w:r>
      <w:r>
        <w:rPr>
          <w:rFonts w:cs="Times New Roman"/>
        </w:rPr>
        <w:t xml:space="preserve"> kan </w:t>
      </w:r>
      <w:r w:rsidRPr="005256A0">
        <w:rPr>
          <w:rFonts w:cs="Times New Roman"/>
        </w:rPr>
        <w:t>nektes</w:t>
      </w:r>
      <w:r>
        <w:rPr>
          <w:rFonts w:cs="Times New Roman"/>
        </w:rPr>
        <w:t xml:space="preserve"> tilskudd etter § 4</w:t>
      </w:r>
      <w:r w:rsidRPr="005256A0">
        <w:rPr>
          <w:rFonts w:cs="Times New Roman"/>
        </w:rPr>
        <w:t>. Samfunn som organiserer eller oppmuntrer til oppvekstvilkår for barn som er klart skad</w:t>
      </w:r>
      <w:r>
        <w:rPr>
          <w:rFonts w:cs="Times New Roman"/>
        </w:rPr>
        <w:t>elige, skal nektes tilskudd.</w:t>
      </w:r>
    </w:p>
    <w:p w:rsidR="00F808EF" w:rsidRDefault="00F808EF" w:rsidP="00F808EF">
      <w:pPr>
        <w:ind w:firstLine="708"/>
        <w:rPr>
          <w:rFonts w:cs="Times New Roman"/>
        </w:rPr>
      </w:pPr>
      <w:r>
        <w:rPr>
          <w:rFonts w:cs="Times New Roman"/>
        </w:rPr>
        <w:t>Tros- eller</w:t>
      </w:r>
      <w:r w:rsidRPr="006E451A">
        <w:rPr>
          <w:rFonts w:cs="Times New Roman"/>
        </w:rPr>
        <w:t xml:space="preserve"> livssynssamfunn so</w:t>
      </w:r>
      <w:r>
        <w:rPr>
          <w:rFonts w:cs="Times New Roman"/>
        </w:rPr>
        <w:t xml:space="preserve">m tar imot bidrag fra </w:t>
      </w:r>
      <w:r w:rsidRPr="006E451A">
        <w:rPr>
          <w:rFonts w:cs="Times New Roman"/>
        </w:rPr>
        <w:t xml:space="preserve">stater som ikke respekterer retten til </w:t>
      </w:r>
      <w:r w:rsidRPr="00297C1E">
        <w:rPr>
          <w:rFonts w:cs="Times New Roman"/>
        </w:rPr>
        <w:t>tros- og livssynsfrihet</w:t>
      </w:r>
      <w:r w:rsidRPr="006E451A">
        <w:rPr>
          <w:rFonts w:cs="Times New Roman"/>
        </w:rPr>
        <w:t xml:space="preserve">, </w:t>
      </w:r>
      <w:r w:rsidRPr="00327EB8">
        <w:rPr>
          <w:rFonts w:cs="Times New Roman"/>
        </w:rPr>
        <w:t xml:space="preserve">kan nektes </w:t>
      </w:r>
      <w:r w:rsidRPr="00297C1E">
        <w:rPr>
          <w:rFonts w:cs="Times New Roman"/>
        </w:rPr>
        <w:t>tilsku</w:t>
      </w:r>
      <w:r w:rsidR="00FC79DA">
        <w:rPr>
          <w:rFonts w:cs="Times New Roman"/>
        </w:rPr>
        <w:t>dd etter § 4</w:t>
      </w:r>
      <w:r>
        <w:rPr>
          <w:rFonts w:cs="Times New Roman"/>
        </w:rPr>
        <w:t xml:space="preserve">. </w:t>
      </w:r>
      <w:r w:rsidRPr="00297C1E">
        <w:rPr>
          <w:rFonts w:cs="Times New Roman"/>
        </w:rPr>
        <w:t xml:space="preserve"> </w:t>
      </w:r>
    </w:p>
    <w:p w:rsidR="0017269D" w:rsidRPr="00251958" w:rsidRDefault="0017269D" w:rsidP="0017269D">
      <w:pPr>
        <w:ind w:firstLine="708"/>
        <w:rPr>
          <w:rFonts w:cs="Times New Roman"/>
        </w:rPr>
      </w:pPr>
      <w:r>
        <w:rPr>
          <w:rFonts w:cs="Times New Roman"/>
        </w:rPr>
        <w:t xml:space="preserve">Tilskudd kan kreves tilbakebetalt dersom et samfunn bryter kravene </w:t>
      </w:r>
      <w:r w:rsidRPr="00251958">
        <w:rPr>
          <w:rFonts w:cs="Times New Roman"/>
        </w:rPr>
        <w:t>gitt i eller i medhold</w:t>
      </w:r>
      <w:r>
        <w:rPr>
          <w:rFonts w:cs="Times New Roman"/>
        </w:rPr>
        <w:t xml:space="preserve"> av loven her. </w:t>
      </w:r>
    </w:p>
    <w:p w:rsidR="0017269D" w:rsidRPr="006E451A" w:rsidRDefault="0017269D" w:rsidP="0017269D">
      <w:pPr>
        <w:ind w:firstLine="708"/>
        <w:rPr>
          <w:rFonts w:cs="Times New Roman"/>
        </w:rPr>
      </w:pPr>
      <w:r w:rsidRPr="00E74CBE">
        <w:rPr>
          <w:rFonts w:cs="Times New Roman"/>
        </w:rPr>
        <w:t>Kongen</w:t>
      </w:r>
      <w:r w:rsidRPr="00086A26">
        <w:rPr>
          <w:rFonts w:cs="Times New Roman"/>
        </w:rPr>
        <w:t xml:space="preserve"> kan gi forskrifter om gjennomføringen av </w:t>
      </w:r>
      <w:r w:rsidR="00086A26" w:rsidRPr="00086A26">
        <w:rPr>
          <w:rFonts w:cs="Times New Roman"/>
        </w:rPr>
        <w:t>bestemmelsene</w:t>
      </w:r>
      <w:r>
        <w:rPr>
          <w:rFonts w:cs="Times New Roman"/>
        </w:rPr>
        <w:t xml:space="preserve"> i denne paragrafen</w:t>
      </w:r>
      <w:r w:rsidRPr="006E451A">
        <w:rPr>
          <w:rFonts w:cs="Times New Roman"/>
        </w:rPr>
        <w:t>.</w:t>
      </w:r>
      <w:r w:rsidRPr="006E451A">
        <w:t xml:space="preserve"> </w:t>
      </w:r>
    </w:p>
    <w:p w:rsidR="00170444" w:rsidRPr="00150737" w:rsidRDefault="0017269D" w:rsidP="00BE2B83">
      <w:pPr>
        <w:pStyle w:val="UnOverskrift3"/>
        <w:rPr>
          <w:rStyle w:val="halvfet"/>
        </w:rPr>
      </w:pPr>
      <w:r w:rsidRPr="00150737">
        <w:rPr>
          <w:rStyle w:val="halvfet"/>
        </w:rPr>
        <w:t>§ 7.</w:t>
      </w:r>
      <w:r w:rsidR="00170444" w:rsidRPr="00150737">
        <w:rPr>
          <w:rStyle w:val="halvfet"/>
        </w:rPr>
        <w:t xml:space="preserve"> </w:t>
      </w:r>
      <w:r w:rsidR="00E324A9" w:rsidRPr="00150737">
        <w:rPr>
          <w:rStyle w:val="halvfet"/>
        </w:rPr>
        <w:t>Forvaltning og tilsynsmyndighet</w:t>
      </w:r>
    </w:p>
    <w:p w:rsidR="00E324A9" w:rsidRDefault="00E324A9" w:rsidP="00E324A9">
      <w:pPr>
        <w:ind w:firstLine="708"/>
      </w:pPr>
      <w:r>
        <w:t xml:space="preserve">Departementet fatter vedtak i alle saker etter dette kapitlet. </w:t>
      </w:r>
    </w:p>
    <w:p w:rsidR="00E324A9" w:rsidRDefault="00E324A9" w:rsidP="00E324A9">
      <w:pPr>
        <w:ind w:firstLine="708"/>
      </w:pPr>
      <w:r>
        <w:t xml:space="preserve">Departementet fører kontroll med at tros- og livssynssamfunn oppfyller sine plikter etter denne loven og at krav og vilkår for registrering og tilskudd er oppfylt. </w:t>
      </w:r>
    </w:p>
    <w:p w:rsidR="00E324A9" w:rsidRDefault="00E324A9" w:rsidP="00E324A9">
      <w:pPr>
        <w:ind w:firstLine="708"/>
      </w:pPr>
      <w:r>
        <w:t xml:space="preserve">Kongen kan gi forskrift om at oppgavene etter denne paragraf kan overføres til fylkesmannen og kan også bestemme at de kan samles ved ett fylkesmannsembete. </w:t>
      </w:r>
    </w:p>
    <w:p w:rsidR="00E46C24" w:rsidRPr="006E451A" w:rsidRDefault="00E324A9" w:rsidP="00E324A9">
      <w:pPr>
        <w:ind w:firstLine="708"/>
      </w:pPr>
      <w:r>
        <w:t xml:space="preserve">  </w:t>
      </w:r>
    </w:p>
    <w:p w:rsidR="00170444" w:rsidRPr="00150737" w:rsidRDefault="00170444" w:rsidP="00BE2B83">
      <w:pPr>
        <w:pStyle w:val="UnOverskrift2"/>
        <w:rPr>
          <w:rStyle w:val="halvfet"/>
        </w:rPr>
      </w:pPr>
      <w:r w:rsidRPr="00150737">
        <w:rPr>
          <w:rStyle w:val="halvfet"/>
        </w:rPr>
        <w:t>Kapittel 3. Om Den norske kirke</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8.</w:t>
      </w:r>
      <w:r w:rsidRPr="00150737">
        <w:rPr>
          <w:rStyle w:val="halvfet"/>
        </w:rPr>
        <w:t xml:space="preserve"> Kapitlets formål</w:t>
      </w:r>
    </w:p>
    <w:p w:rsidR="00170444" w:rsidRDefault="00170444" w:rsidP="00170444">
      <w:pPr>
        <w:ind w:firstLine="708"/>
        <w:rPr>
          <w:rFonts w:cs="Times New Roman"/>
          <w:color w:val="333333"/>
          <w:szCs w:val="24"/>
        </w:rPr>
      </w:pPr>
      <w:r>
        <w:rPr>
          <w:rFonts w:cs="Times New Roman"/>
          <w:szCs w:val="24"/>
        </w:rPr>
        <w:t>Formålet med b</w:t>
      </w:r>
      <w:r w:rsidRPr="00153237">
        <w:rPr>
          <w:rFonts w:cs="Times New Roman"/>
          <w:szCs w:val="24"/>
        </w:rPr>
        <w:t>estemmelsene i dette kapit</w:t>
      </w:r>
      <w:r>
        <w:rPr>
          <w:rFonts w:cs="Times New Roman"/>
          <w:szCs w:val="24"/>
        </w:rPr>
        <w:t>let</w:t>
      </w:r>
      <w:r w:rsidRPr="00153237">
        <w:rPr>
          <w:rFonts w:cs="Times New Roman"/>
          <w:szCs w:val="24"/>
        </w:rPr>
        <w:t xml:space="preserve"> er å legge til rette for at Den norske kirke </w:t>
      </w:r>
      <w:r>
        <w:rPr>
          <w:rFonts w:cs="Times New Roman"/>
          <w:szCs w:val="24"/>
        </w:rPr>
        <w:t xml:space="preserve">forblir </w:t>
      </w:r>
      <w:r w:rsidRPr="00153237">
        <w:rPr>
          <w:rFonts w:cs="Times New Roman"/>
          <w:szCs w:val="24"/>
        </w:rPr>
        <w:t xml:space="preserve">en demokratisk og landsdekkende </w:t>
      </w:r>
      <w:r w:rsidRPr="00A84C05">
        <w:rPr>
          <w:rFonts w:cs="Times New Roman"/>
          <w:szCs w:val="24"/>
        </w:rPr>
        <w:t>evangelisk-luthersk folkekirke.</w:t>
      </w:r>
    </w:p>
    <w:p w:rsidR="00170444" w:rsidRPr="00150737" w:rsidRDefault="0017269D" w:rsidP="00BE2B83">
      <w:pPr>
        <w:pStyle w:val="UnOverskrift3"/>
        <w:rPr>
          <w:rStyle w:val="halvfet"/>
        </w:rPr>
      </w:pPr>
      <w:r w:rsidRPr="00150737">
        <w:rPr>
          <w:rStyle w:val="halvfet"/>
        </w:rPr>
        <w:t>§ 9.</w:t>
      </w:r>
      <w:r w:rsidR="00170444" w:rsidRPr="00150737">
        <w:rPr>
          <w:rStyle w:val="halvfet"/>
        </w:rPr>
        <w:t xml:space="preserve"> Soknet og Den norske kirke</w:t>
      </w:r>
    </w:p>
    <w:p w:rsidR="00170444" w:rsidRPr="00153237" w:rsidRDefault="00170444" w:rsidP="00170444">
      <w:pPr>
        <w:ind w:firstLine="708"/>
        <w:rPr>
          <w:rFonts w:cs="Times New Roman"/>
          <w:szCs w:val="24"/>
        </w:rPr>
      </w:pPr>
      <w:r w:rsidRPr="00153237">
        <w:rPr>
          <w:rFonts w:cs="Times New Roman"/>
          <w:szCs w:val="24"/>
        </w:rPr>
        <w:t>Soknet er den grunnleggende enhet</w:t>
      </w:r>
      <w:r>
        <w:rPr>
          <w:rFonts w:cs="Times New Roman"/>
          <w:szCs w:val="24"/>
        </w:rPr>
        <w:t>en</w:t>
      </w:r>
      <w:r w:rsidRPr="00153237">
        <w:rPr>
          <w:rFonts w:cs="Times New Roman"/>
          <w:szCs w:val="24"/>
        </w:rPr>
        <w:t xml:space="preserve"> i Den norske kirke og kan ikke løses fra denne.</w:t>
      </w:r>
    </w:p>
    <w:p w:rsidR="00170444" w:rsidRDefault="00170444" w:rsidP="00170444">
      <w:pPr>
        <w:ind w:firstLine="708"/>
        <w:rPr>
          <w:rFonts w:cs="Times New Roman"/>
          <w:szCs w:val="24"/>
        </w:rPr>
      </w:pPr>
      <w:r w:rsidRPr="00153237">
        <w:rPr>
          <w:rFonts w:cs="Times New Roman"/>
          <w:szCs w:val="24"/>
        </w:rPr>
        <w:lastRenderedPageBreak/>
        <w:t>Den norske kirke, så v</w:t>
      </w:r>
      <w:r w:rsidR="00E57750">
        <w:rPr>
          <w:rFonts w:cs="Times New Roman"/>
          <w:szCs w:val="24"/>
        </w:rPr>
        <w:t>el som det enkelte sokn</w:t>
      </w:r>
      <w:r>
        <w:rPr>
          <w:rFonts w:cs="Times New Roman"/>
          <w:szCs w:val="24"/>
        </w:rPr>
        <w:t>, er et eget rettssubjekt</w:t>
      </w:r>
      <w:r w:rsidRPr="00153237">
        <w:rPr>
          <w:rFonts w:cs="Times New Roman"/>
          <w:szCs w:val="24"/>
        </w:rPr>
        <w:t xml:space="preserve"> og har rettigheter og forpliktelser, er part i avtaler med private og offentlige myndigheter og har partsstilling overfor domstol og andre myndigheter.</w:t>
      </w:r>
    </w:p>
    <w:p w:rsidR="0067460E" w:rsidRPr="00150737" w:rsidRDefault="00170444" w:rsidP="0067460E">
      <w:pPr>
        <w:ind w:firstLine="567"/>
        <w:rPr>
          <w:rStyle w:val="halvfet"/>
        </w:rPr>
      </w:pPr>
      <w:r w:rsidRPr="00153237">
        <w:rPr>
          <w:rFonts w:cs="Times New Roman"/>
          <w:szCs w:val="24"/>
        </w:rPr>
        <w:t xml:space="preserve">Kirkemøtet opptrer på vegne av </w:t>
      </w:r>
      <w:r>
        <w:rPr>
          <w:rFonts w:cs="Times New Roman"/>
          <w:szCs w:val="24"/>
        </w:rPr>
        <w:t xml:space="preserve">rettssubjektet </w:t>
      </w:r>
      <w:r w:rsidRPr="00153237">
        <w:rPr>
          <w:rFonts w:cs="Times New Roman"/>
          <w:szCs w:val="24"/>
        </w:rPr>
        <w:t>Den norske kirke, og menighetsrådet på vegne av soknet, når det i</w:t>
      </w:r>
      <w:r>
        <w:rPr>
          <w:rFonts w:cs="Times New Roman"/>
          <w:szCs w:val="24"/>
        </w:rPr>
        <w:t xml:space="preserve">kke er fastsatt i medhold av § </w:t>
      </w:r>
      <w:r w:rsidR="0017269D">
        <w:rPr>
          <w:rFonts w:cs="Times New Roman"/>
          <w:szCs w:val="24"/>
        </w:rPr>
        <w:t>10 annet ledd</w:t>
      </w:r>
      <w:r w:rsidRPr="00153237">
        <w:rPr>
          <w:rFonts w:cs="Times New Roman"/>
          <w:szCs w:val="24"/>
        </w:rPr>
        <w:t xml:space="preserve"> at myndigheten er lagt til </w:t>
      </w:r>
      <w:r>
        <w:rPr>
          <w:rFonts w:cs="Times New Roman"/>
          <w:szCs w:val="24"/>
        </w:rPr>
        <w:t xml:space="preserve">et </w:t>
      </w:r>
      <w:r w:rsidRPr="00153237">
        <w:rPr>
          <w:rFonts w:cs="Times New Roman"/>
          <w:szCs w:val="24"/>
        </w:rPr>
        <w:t>annet organ.</w:t>
      </w:r>
      <w:r w:rsidR="0067460E" w:rsidRPr="00150737">
        <w:rPr>
          <w:rStyle w:val="halvfet"/>
        </w:rPr>
        <w:t xml:space="preserve"> </w:t>
      </w:r>
    </w:p>
    <w:p w:rsidR="0067460E" w:rsidRPr="00150737" w:rsidRDefault="0017269D" w:rsidP="00BE2B83">
      <w:pPr>
        <w:pStyle w:val="UnOverskrift3"/>
        <w:rPr>
          <w:rStyle w:val="halvfet"/>
        </w:rPr>
      </w:pPr>
      <w:r w:rsidRPr="00150737">
        <w:rPr>
          <w:rStyle w:val="halvfet"/>
        </w:rPr>
        <w:t>§ 10.</w:t>
      </w:r>
      <w:r w:rsidR="0067460E" w:rsidRPr="00150737">
        <w:rPr>
          <w:rStyle w:val="halvfet"/>
        </w:rPr>
        <w:t xml:space="preserve"> Kirkemøtet</w:t>
      </w:r>
    </w:p>
    <w:p w:rsidR="00170444" w:rsidRPr="00153237" w:rsidRDefault="0067460E" w:rsidP="00170444">
      <w:pPr>
        <w:ind w:firstLine="708"/>
        <w:rPr>
          <w:rFonts w:cs="Times New Roman"/>
          <w:szCs w:val="24"/>
        </w:rPr>
      </w:pPr>
      <w:r w:rsidRPr="00153237">
        <w:rPr>
          <w:rFonts w:cs="Times New Roman"/>
          <w:szCs w:val="24"/>
        </w:rPr>
        <w:t xml:space="preserve">Kirkemøtet </w:t>
      </w:r>
      <w:r>
        <w:rPr>
          <w:rFonts w:cs="Times New Roman"/>
          <w:szCs w:val="24"/>
        </w:rPr>
        <w:t xml:space="preserve">fastsetter </w:t>
      </w:r>
      <w:r w:rsidRPr="00153237">
        <w:rPr>
          <w:rFonts w:cs="Times New Roman"/>
          <w:szCs w:val="24"/>
        </w:rPr>
        <w:t xml:space="preserve">kirkens grunnlag og lære og alle liturgier og </w:t>
      </w:r>
      <w:r>
        <w:rPr>
          <w:rFonts w:cs="Times New Roman"/>
          <w:szCs w:val="24"/>
        </w:rPr>
        <w:t>gudstjenstlige</w:t>
      </w:r>
      <w:r w:rsidRPr="00153237">
        <w:rPr>
          <w:rFonts w:cs="Times New Roman"/>
          <w:szCs w:val="24"/>
        </w:rPr>
        <w:t xml:space="preserve"> bøker. </w:t>
      </w:r>
    </w:p>
    <w:p w:rsidR="00170444" w:rsidRPr="00153237" w:rsidRDefault="00E46C24" w:rsidP="00170444">
      <w:pPr>
        <w:ind w:firstLine="708"/>
        <w:rPr>
          <w:rFonts w:cs="Times New Roman"/>
          <w:szCs w:val="24"/>
        </w:rPr>
      </w:pPr>
      <w:r>
        <w:rPr>
          <w:rFonts w:cs="Times New Roman"/>
          <w:szCs w:val="24"/>
        </w:rPr>
        <w:t>Kirkemøtet gir nærmere</w:t>
      </w:r>
      <w:r w:rsidR="00170444" w:rsidRPr="00153237">
        <w:rPr>
          <w:rFonts w:cs="Times New Roman"/>
          <w:szCs w:val="24"/>
        </w:rPr>
        <w:t xml:space="preserve"> bestemmelser om kirkens organisering, kirkelig inndeling, kirkelige organer og om valg til disse. </w:t>
      </w:r>
    </w:p>
    <w:p w:rsidR="0067460E" w:rsidRDefault="0067460E" w:rsidP="0067460E">
      <w:pPr>
        <w:ind w:firstLine="708"/>
        <w:rPr>
          <w:rFonts w:cs="Times New Roman"/>
          <w:szCs w:val="24"/>
        </w:rPr>
      </w:pPr>
      <w:r w:rsidRPr="00153237">
        <w:rPr>
          <w:rFonts w:cs="Times New Roman"/>
          <w:szCs w:val="24"/>
        </w:rPr>
        <w:t>Kirkemøtet kan ikke treffe vedtak eller gi instruks i enkeltsaker som det tilligger organer for soknet å avgjøre.</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11.</w:t>
      </w:r>
      <w:r w:rsidRPr="00150737">
        <w:rPr>
          <w:rStyle w:val="halvfet"/>
        </w:rPr>
        <w:t xml:space="preserve"> Kirkelig stemmerett og kirkevalg</w:t>
      </w:r>
    </w:p>
    <w:p w:rsidR="00170444" w:rsidRPr="005755D0" w:rsidRDefault="00170444" w:rsidP="00170444">
      <w:pPr>
        <w:ind w:firstLine="708"/>
        <w:rPr>
          <w:rFonts w:cs="Times New Roman"/>
          <w:szCs w:val="24"/>
        </w:rPr>
      </w:pPr>
      <w:r w:rsidRPr="005755D0">
        <w:rPr>
          <w:rFonts w:cs="Times New Roman"/>
          <w:szCs w:val="24"/>
        </w:rPr>
        <w:t xml:space="preserve">Hvert medlem </w:t>
      </w:r>
      <w:r w:rsidR="0017269D">
        <w:rPr>
          <w:rFonts w:cs="Times New Roman"/>
          <w:szCs w:val="24"/>
        </w:rPr>
        <w:t>i</w:t>
      </w:r>
      <w:r w:rsidRPr="005755D0">
        <w:rPr>
          <w:rFonts w:cs="Times New Roman"/>
          <w:szCs w:val="24"/>
        </w:rPr>
        <w:t xml:space="preserve"> Den norske kirke som bor i soknet, og som vil ha fylt 15 år innen utgangen av valgåret, har kirkelig stemmerett. Kirkemøtet </w:t>
      </w:r>
      <w:r w:rsidR="0017269D" w:rsidRPr="005755D0">
        <w:rPr>
          <w:rFonts w:cs="Times New Roman"/>
          <w:szCs w:val="24"/>
        </w:rPr>
        <w:t>gi</w:t>
      </w:r>
      <w:r w:rsidR="0017269D">
        <w:rPr>
          <w:rFonts w:cs="Times New Roman"/>
          <w:szCs w:val="24"/>
        </w:rPr>
        <w:t>r</w:t>
      </w:r>
      <w:r w:rsidRPr="005755D0">
        <w:rPr>
          <w:rFonts w:cs="Times New Roman"/>
          <w:szCs w:val="24"/>
        </w:rPr>
        <w:t xml:space="preserve"> bestemmelser om </w:t>
      </w:r>
      <w:r>
        <w:rPr>
          <w:rFonts w:cs="Times New Roman"/>
          <w:szCs w:val="24"/>
        </w:rPr>
        <w:t xml:space="preserve">valgbarhet, </w:t>
      </w:r>
      <w:r w:rsidRPr="005755D0">
        <w:rPr>
          <w:rFonts w:cs="Times New Roman"/>
          <w:szCs w:val="24"/>
        </w:rPr>
        <w:t>tap av valgbarhet og uttreden av kirkelige organer.</w:t>
      </w:r>
    </w:p>
    <w:p w:rsidR="00170444" w:rsidRDefault="00170444" w:rsidP="00170444">
      <w:pPr>
        <w:ind w:firstLine="708"/>
        <w:rPr>
          <w:rFonts w:cs="Times New Roman"/>
          <w:szCs w:val="24"/>
        </w:rPr>
      </w:pPr>
      <w:r w:rsidRPr="00153237">
        <w:rPr>
          <w:rFonts w:cs="Times New Roman"/>
          <w:szCs w:val="24"/>
        </w:rPr>
        <w:t xml:space="preserve">Kirkelige valg holdes samtidig med, og i lokaler i umiddelbar nærhet av, </w:t>
      </w:r>
      <w:r w:rsidR="003A0243">
        <w:rPr>
          <w:rFonts w:cs="Times New Roman"/>
          <w:szCs w:val="24"/>
        </w:rPr>
        <w:t xml:space="preserve">offentlige </w:t>
      </w:r>
      <w:r w:rsidRPr="00153237">
        <w:rPr>
          <w:rFonts w:cs="Times New Roman"/>
          <w:szCs w:val="24"/>
        </w:rPr>
        <w:t>valg.</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12.</w:t>
      </w:r>
      <w:r w:rsidRPr="00150737">
        <w:rPr>
          <w:rStyle w:val="halvfet"/>
        </w:rPr>
        <w:t xml:space="preserve"> Finansiering av Den norske kirke</w:t>
      </w:r>
    </w:p>
    <w:p w:rsidR="00922A82" w:rsidRPr="00922A82" w:rsidRDefault="00922A82" w:rsidP="00170444">
      <w:pPr>
        <w:rPr>
          <w:rFonts w:cs="Times New Roman"/>
          <w:szCs w:val="24"/>
          <w:u w:val="single"/>
        </w:rPr>
      </w:pPr>
      <w:r w:rsidRPr="00922A82">
        <w:rPr>
          <w:rFonts w:cs="Times New Roman"/>
          <w:szCs w:val="24"/>
          <w:u w:val="single"/>
        </w:rPr>
        <w:t>Alternativ ved fortsatt delt finansieringsansvar mellom stat og kommune:</w:t>
      </w:r>
    </w:p>
    <w:p w:rsidR="00922A82" w:rsidRDefault="000959A3" w:rsidP="00FC39E0">
      <w:pPr>
        <w:ind w:firstLine="567"/>
        <w:rPr>
          <w:rFonts w:cs="Times New Roman"/>
          <w:szCs w:val="24"/>
        </w:rPr>
      </w:pPr>
      <w:r w:rsidRPr="000959A3">
        <w:rPr>
          <w:rFonts w:cs="Times New Roman"/>
          <w:szCs w:val="24"/>
        </w:rPr>
        <w:t xml:space="preserve">Staten gir tilskudd til prestetjenesten og kirkens virksomhet nasjonalt og regionalt. </w:t>
      </w:r>
      <w:r w:rsidR="0017269D" w:rsidRPr="000959A3">
        <w:rPr>
          <w:rFonts w:cs="Times New Roman"/>
          <w:szCs w:val="24"/>
        </w:rPr>
        <w:t xml:space="preserve">Staten kan </w:t>
      </w:r>
      <w:r w:rsidR="0017269D">
        <w:rPr>
          <w:rFonts w:cs="Times New Roman"/>
          <w:szCs w:val="24"/>
        </w:rPr>
        <w:t xml:space="preserve">også </w:t>
      </w:r>
      <w:r w:rsidR="0017269D" w:rsidRPr="000959A3">
        <w:rPr>
          <w:rFonts w:cs="Times New Roman"/>
          <w:szCs w:val="24"/>
        </w:rPr>
        <w:t>gi tilskudd</w:t>
      </w:r>
      <w:r w:rsidRPr="000959A3">
        <w:rPr>
          <w:rFonts w:cs="Times New Roman"/>
          <w:szCs w:val="24"/>
        </w:rPr>
        <w:t xml:space="preserve"> til andre kirkelige formål. </w:t>
      </w:r>
    </w:p>
    <w:p w:rsidR="00297ACD" w:rsidRPr="00297ACD" w:rsidRDefault="0017269D" w:rsidP="00FC39E0">
      <w:pPr>
        <w:ind w:firstLine="567"/>
        <w:rPr>
          <w:rFonts w:cs="Times New Roman"/>
          <w:szCs w:val="24"/>
        </w:rPr>
      </w:pPr>
      <w:r w:rsidRPr="00297ACD">
        <w:rPr>
          <w:rFonts w:cs="Times New Roman"/>
          <w:szCs w:val="24"/>
        </w:rPr>
        <w:t>Vilkår for tilskudd</w:t>
      </w:r>
      <w:r w:rsidR="00297ACD" w:rsidRPr="00297ACD">
        <w:rPr>
          <w:rFonts w:cs="Times New Roman"/>
          <w:szCs w:val="24"/>
        </w:rPr>
        <w:t xml:space="preserve"> etter § 6 gjelder tilsvarende for Den norske kirke.</w:t>
      </w:r>
    </w:p>
    <w:p w:rsidR="000959A3" w:rsidRPr="00922A82" w:rsidRDefault="000959A3" w:rsidP="00FC39E0">
      <w:pPr>
        <w:ind w:firstLine="567"/>
        <w:rPr>
          <w:rFonts w:cs="Times New Roman"/>
          <w:szCs w:val="24"/>
        </w:rPr>
      </w:pPr>
      <w:r w:rsidRPr="00922A82">
        <w:rPr>
          <w:rFonts w:cs="Times New Roman"/>
          <w:szCs w:val="24"/>
        </w:rPr>
        <w:t xml:space="preserve">For regnskapet </w:t>
      </w:r>
      <w:r w:rsidR="00922A82" w:rsidRPr="00922A82">
        <w:rPr>
          <w:rFonts w:cs="Times New Roman"/>
          <w:szCs w:val="24"/>
        </w:rPr>
        <w:t xml:space="preserve">til rettssubjektet Den norske kirke </w:t>
      </w:r>
      <w:r w:rsidRPr="00922A82">
        <w:rPr>
          <w:rFonts w:cs="Times New Roman"/>
          <w:szCs w:val="24"/>
        </w:rPr>
        <w:t>gjelder regnskapsloven om ikke</w:t>
      </w:r>
      <w:r w:rsidR="0082270B" w:rsidRPr="00922A82">
        <w:rPr>
          <w:rFonts w:cs="Times New Roman"/>
          <w:szCs w:val="24"/>
        </w:rPr>
        <w:t xml:space="preserve"> departementet har fastsatt </w:t>
      </w:r>
      <w:r w:rsidRPr="00922A82">
        <w:rPr>
          <w:rFonts w:cs="Times New Roman"/>
          <w:szCs w:val="24"/>
        </w:rPr>
        <w:t xml:space="preserve">andre bestemmelser i </w:t>
      </w:r>
      <w:r w:rsidR="0082270B" w:rsidRPr="00922A82">
        <w:rPr>
          <w:rFonts w:cs="Times New Roman"/>
          <w:szCs w:val="24"/>
        </w:rPr>
        <w:t>forskrift.</w:t>
      </w:r>
    </w:p>
    <w:p w:rsidR="00FC39E0" w:rsidRDefault="000959A3" w:rsidP="00FC39E0">
      <w:pPr>
        <w:ind w:firstLine="567"/>
        <w:rPr>
          <w:rFonts w:cs="Times New Roman"/>
          <w:szCs w:val="24"/>
        </w:rPr>
      </w:pPr>
      <w:r w:rsidRPr="000959A3">
        <w:rPr>
          <w:rFonts w:cs="Times New Roman"/>
          <w:szCs w:val="24"/>
        </w:rPr>
        <w:t xml:space="preserve">Kommunen gir tilskudd til kirkelig virksomhet i kommunen, herunder tilskudd til bygging, vedlikehold og drift av kirkebygg. Tilskuddet skal sørge for at kirkebyggene holdes i forsvarlig stand og kan benyttes til gudstjenester og kirkelige handlinger. Tilskuddet skal også sørge for at soknene har tilfredsstillende bemanning ved gudstjenester og kirkelige handlinger og tilstrekkelig administrativ hjelp. </w:t>
      </w:r>
    </w:p>
    <w:p w:rsidR="00FC39E0" w:rsidRDefault="000959A3" w:rsidP="002834ED">
      <w:pPr>
        <w:ind w:firstLine="567"/>
      </w:pPr>
      <w:r w:rsidRPr="000959A3">
        <w:t xml:space="preserve">Kommunal tjenesteyting kan tre i stedet for </w:t>
      </w:r>
      <w:r w:rsidR="00FC39E0">
        <w:t>tilskudd etter f</w:t>
      </w:r>
      <w:r w:rsidR="006C2ECF">
        <w:t>jerde</w:t>
      </w:r>
      <w:r w:rsidR="00FC39E0">
        <w:t xml:space="preserve"> ledd.</w:t>
      </w:r>
    </w:p>
    <w:p w:rsidR="00FC39E0" w:rsidRDefault="0017269D" w:rsidP="00FC39E0">
      <w:pPr>
        <w:ind w:firstLine="567"/>
        <w:rPr>
          <w:rFonts w:cs="Times New Roman"/>
          <w:szCs w:val="24"/>
        </w:rPr>
      </w:pPr>
      <w:r>
        <w:rPr>
          <w:rFonts w:cs="Times New Roman"/>
          <w:szCs w:val="24"/>
        </w:rPr>
        <w:t>Kommunen</w:t>
      </w:r>
      <w:r w:rsidR="000959A3" w:rsidRPr="000959A3">
        <w:rPr>
          <w:rFonts w:cs="Times New Roman"/>
          <w:szCs w:val="24"/>
        </w:rPr>
        <w:t xml:space="preserve"> kan ta opp lån for å finansiere disse formålene, og kommunelove</w:t>
      </w:r>
      <w:r w:rsidR="00FC39E0">
        <w:rPr>
          <w:rFonts w:cs="Times New Roman"/>
          <w:szCs w:val="24"/>
        </w:rPr>
        <w:t xml:space="preserve">n § 50 gjelder da tilsvarende. </w:t>
      </w:r>
    </w:p>
    <w:p w:rsidR="00FC39E0" w:rsidRDefault="000959A3" w:rsidP="00FC39E0">
      <w:pPr>
        <w:ind w:firstLine="567"/>
        <w:rPr>
          <w:rFonts w:cs="Times New Roman"/>
          <w:szCs w:val="24"/>
        </w:rPr>
      </w:pPr>
      <w:r w:rsidRPr="000959A3">
        <w:rPr>
          <w:rFonts w:cs="Times New Roman"/>
          <w:szCs w:val="24"/>
        </w:rPr>
        <w:t>Et sokn kan ikke tas under konkurs eller åpne gjeldsfo</w:t>
      </w:r>
      <w:r w:rsidR="00FC39E0">
        <w:rPr>
          <w:rFonts w:cs="Times New Roman"/>
          <w:szCs w:val="24"/>
        </w:rPr>
        <w:t>rhandlinger etter konkursloven.</w:t>
      </w:r>
    </w:p>
    <w:p w:rsidR="00FC39E0" w:rsidRDefault="000959A3" w:rsidP="00FC39E0">
      <w:pPr>
        <w:ind w:firstLine="567"/>
        <w:rPr>
          <w:rFonts w:cs="Times New Roman"/>
          <w:szCs w:val="24"/>
        </w:rPr>
      </w:pPr>
      <w:r w:rsidRPr="000959A3">
        <w:rPr>
          <w:rFonts w:cs="Times New Roman"/>
          <w:szCs w:val="24"/>
        </w:rPr>
        <w:t>Kirkemøtet kan bestemme at medlemmer av Den norske kirke skal betale medlems</w:t>
      </w:r>
      <w:r w:rsidR="001A7572">
        <w:rPr>
          <w:rFonts w:cs="Times New Roman"/>
          <w:szCs w:val="24"/>
        </w:rPr>
        <w:t>konti</w:t>
      </w:r>
      <w:r w:rsidR="006C2ECF">
        <w:rPr>
          <w:rFonts w:cs="Times New Roman"/>
          <w:szCs w:val="24"/>
        </w:rPr>
        <w:t>n</w:t>
      </w:r>
      <w:r w:rsidR="001A7572">
        <w:rPr>
          <w:rFonts w:cs="Times New Roman"/>
          <w:szCs w:val="24"/>
        </w:rPr>
        <w:t>gent</w:t>
      </w:r>
      <w:r w:rsidRPr="000959A3">
        <w:rPr>
          <w:rFonts w:cs="Times New Roman"/>
          <w:szCs w:val="24"/>
        </w:rPr>
        <w:t>.</w:t>
      </w:r>
    </w:p>
    <w:p w:rsidR="00170444" w:rsidRPr="00922A82" w:rsidRDefault="00170444" w:rsidP="00170444">
      <w:pPr>
        <w:rPr>
          <w:rFonts w:cs="Times New Roman"/>
          <w:szCs w:val="24"/>
          <w:u w:val="single"/>
        </w:rPr>
      </w:pPr>
      <w:r w:rsidRPr="00922A82">
        <w:rPr>
          <w:rFonts w:cs="Times New Roman"/>
          <w:szCs w:val="24"/>
          <w:u w:val="single"/>
        </w:rPr>
        <w:t>Alternativ ved fullt statlig finansieringsansvar:</w:t>
      </w:r>
    </w:p>
    <w:p w:rsidR="00FC39E0" w:rsidRDefault="00FC39E0" w:rsidP="00FC39E0">
      <w:pPr>
        <w:ind w:firstLine="567"/>
        <w:rPr>
          <w:rFonts w:cs="Times New Roman"/>
          <w:szCs w:val="24"/>
        </w:rPr>
      </w:pPr>
      <w:r w:rsidRPr="00FC39E0">
        <w:rPr>
          <w:rFonts w:cs="Times New Roman"/>
          <w:szCs w:val="24"/>
        </w:rPr>
        <w:lastRenderedPageBreak/>
        <w:t>Staten gir tilskudd til prestetjenesten og kirkens vir</w:t>
      </w:r>
      <w:r>
        <w:rPr>
          <w:rFonts w:cs="Times New Roman"/>
          <w:szCs w:val="24"/>
        </w:rPr>
        <w:t>ksomhet nasjonalt og regionalt.</w:t>
      </w:r>
    </w:p>
    <w:p w:rsidR="00FC39E0" w:rsidRDefault="00FC39E0" w:rsidP="00FC39E0">
      <w:pPr>
        <w:ind w:firstLine="567"/>
        <w:rPr>
          <w:rFonts w:cs="Times New Roman"/>
          <w:szCs w:val="24"/>
        </w:rPr>
      </w:pPr>
      <w:r w:rsidRPr="00FC39E0">
        <w:rPr>
          <w:rFonts w:cs="Times New Roman"/>
          <w:szCs w:val="24"/>
        </w:rPr>
        <w:t>Staten gir også tilskudd til kirkelig virksomhet lokalt, herunder tilskudd til bygging, vedlikehold og drift av kirkebygg. Tilskuddet skal sørge for at kirkebyggene holdes i forsvarlig stand og kan benyttes til gudstjenester og kirkelige handlinger. Tilskuddet skal også sørge for at soknene har tilfredsstillende bemanning ved gudstjenester og kirkelige handlinger og tils</w:t>
      </w:r>
      <w:r>
        <w:rPr>
          <w:rFonts w:cs="Times New Roman"/>
          <w:szCs w:val="24"/>
        </w:rPr>
        <w:t xml:space="preserve">trekkelig administrativ hjelp. </w:t>
      </w:r>
    </w:p>
    <w:p w:rsidR="0017269D" w:rsidRDefault="0017269D" w:rsidP="0017269D">
      <w:pPr>
        <w:ind w:firstLine="567"/>
        <w:rPr>
          <w:rFonts w:cs="Times New Roman"/>
          <w:szCs w:val="24"/>
        </w:rPr>
      </w:pPr>
      <w:r w:rsidRPr="00297ACD">
        <w:rPr>
          <w:rFonts w:cs="Times New Roman"/>
          <w:szCs w:val="24"/>
        </w:rPr>
        <w:t>Vilkår for tilskudd etter § 6 gjelder tilsvarende for Den norske kirke.</w:t>
      </w:r>
    </w:p>
    <w:p w:rsidR="0017269D" w:rsidRPr="00922A82" w:rsidRDefault="0017269D" w:rsidP="0017269D">
      <w:pPr>
        <w:ind w:firstLine="567"/>
        <w:rPr>
          <w:rFonts w:cs="Times New Roman"/>
          <w:szCs w:val="24"/>
        </w:rPr>
      </w:pPr>
      <w:r w:rsidRPr="00922A82">
        <w:rPr>
          <w:rFonts w:cs="Times New Roman"/>
          <w:szCs w:val="24"/>
        </w:rPr>
        <w:t>For regnskapet til rettssubjektet Den norske kirke gjelder regnskapsloven om ik</w:t>
      </w:r>
      <w:r w:rsidRPr="00F66970">
        <w:rPr>
          <w:rFonts w:cs="Times New Roman"/>
          <w:szCs w:val="24"/>
        </w:rPr>
        <w:t>ke</w:t>
      </w:r>
      <w:r w:rsidR="00DF22FC">
        <w:rPr>
          <w:rFonts w:cs="Times New Roman"/>
          <w:szCs w:val="24"/>
        </w:rPr>
        <w:t xml:space="preserve"> departementet</w:t>
      </w:r>
      <w:r w:rsidRPr="00F66970">
        <w:rPr>
          <w:rFonts w:cs="Times New Roman"/>
          <w:color w:val="FF0000"/>
          <w:szCs w:val="24"/>
        </w:rPr>
        <w:t xml:space="preserve"> </w:t>
      </w:r>
      <w:r w:rsidRPr="00922A82">
        <w:rPr>
          <w:rFonts w:cs="Times New Roman"/>
          <w:szCs w:val="24"/>
        </w:rPr>
        <w:t>har fastsatt andre bestemmelser i forskrift.</w:t>
      </w:r>
    </w:p>
    <w:p w:rsidR="00FC39E0" w:rsidRPr="00150737" w:rsidRDefault="00FC39E0" w:rsidP="00FC39E0">
      <w:pPr>
        <w:ind w:firstLine="567"/>
        <w:rPr>
          <w:rStyle w:val="halvfet"/>
        </w:rPr>
      </w:pPr>
      <w:r w:rsidRPr="00FC39E0">
        <w:rPr>
          <w:rFonts w:cs="Times New Roman"/>
          <w:szCs w:val="24"/>
        </w:rPr>
        <w:t>Et sokn kan ikke tas under konkurs eller åpne gjeldsforhandlinger etter konkursloven.</w:t>
      </w:r>
    </w:p>
    <w:p w:rsidR="00170444" w:rsidRDefault="00170444" w:rsidP="00FC39E0">
      <w:pPr>
        <w:ind w:firstLine="567"/>
        <w:rPr>
          <w:rFonts w:cs="Times New Roman"/>
          <w:szCs w:val="24"/>
        </w:rPr>
      </w:pPr>
      <w:r>
        <w:rPr>
          <w:rFonts w:cs="Times New Roman"/>
          <w:szCs w:val="24"/>
        </w:rPr>
        <w:t>Kirkemøtet kan bestemme at medlemmer av Den norske kirke skal betale medlems</w:t>
      </w:r>
      <w:r w:rsidR="001A7572">
        <w:rPr>
          <w:rFonts w:cs="Times New Roman"/>
          <w:szCs w:val="24"/>
        </w:rPr>
        <w:t>konti</w:t>
      </w:r>
      <w:r w:rsidR="00AC0195">
        <w:rPr>
          <w:rFonts w:cs="Times New Roman"/>
          <w:szCs w:val="24"/>
        </w:rPr>
        <w:t>n</w:t>
      </w:r>
      <w:r w:rsidR="001A7572">
        <w:rPr>
          <w:rFonts w:cs="Times New Roman"/>
          <w:szCs w:val="24"/>
        </w:rPr>
        <w:t>gent</w:t>
      </w:r>
      <w:r>
        <w:rPr>
          <w:rFonts w:cs="Times New Roman"/>
          <w:szCs w:val="24"/>
        </w:rPr>
        <w:t>.</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13.</w:t>
      </w:r>
      <w:r w:rsidRPr="00150737">
        <w:rPr>
          <w:rStyle w:val="halvfet"/>
        </w:rPr>
        <w:t xml:space="preserve"> Kirker</w:t>
      </w:r>
    </w:p>
    <w:p w:rsidR="00170444" w:rsidRDefault="00170444" w:rsidP="00170444">
      <w:pPr>
        <w:ind w:firstLine="708"/>
        <w:rPr>
          <w:rFonts w:cs="Times New Roman"/>
          <w:szCs w:val="24"/>
        </w:rPr>
      </w:pPr>
      <w:r w:rsidRPr="00153237">
        <w:rPr>
          <w:rFonts w:cs="Times New Roman"/>
          <w:szCs w:val="24"/>
        </w:rPr>
        <w:t>Kirkene er soknets eiendom med mindre annet følger av særskilt rettsgrunnlag. Kirkemøtet gir regler om krav til kirke, forvaltning av kirke og tilhørende fond</w:t>
      </w:r>
      <w:r>
        <w:rPr>
          <w:rFonts w:cs="Times New Roman"/>
          <w:szCs w:val="24"/>
        </w:rPr>
        <w:t xml:space="preserve">, kirkens inventar og utstyr, og om </w:t>
      </w:r>
      <w:r w:rsidRPr="00153237">
        <w:rPr>
          <w:rFonts w:cs="Times New Roman"/>
          <w:szCs w:val="24"/>
        </w:rPr>
        <w:t>bruk av kirke</w:t>
      </w:r>
      <w:r>
        <w:rPr>
          <w:rFonts w:cs="Times New Roman"/>
          <w:szCs w:val="24"/>
        </w:rPr>
        <w:t>, herunder betaling for bruk</w:t>
      </w:r>
      <w:r w:rsidRPr="00153237">
        <w:rPr>
          <w:rFonts w:cs="Times New Roman"/>
          <w:szCs w:val="24"/>
        </w:rPr>
        <w:t>.</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14.</w:t>
      </w:r>
      <w:r w:rsidRPr="00150737">
        <w:rPr>
          <w:rStyle w:val="halvfet"/>
        </w:rPr>
        <w:t xml:space="preserve"> Prestenes, prostenes og biskopenes tjeneste </w:t>
      </w:r>
      <w:r w:rsidR="003A0243" w:rsidRPr="00150737">
        <w:rPr>
          <w:rStyle w:val="halvfet"/>
        </w:rPr>
        <w:t>mv.</w:t>
      </w:r>
    </w:p>
    <w:p w:rsidR="00170444" w:rsidRDefault="00170444" w:rsidP="00170444">
      <w:pPr>
        <w:ind w:firstLine="708"/>
        <w:rPr>
          <w:rFonts w:cs="Times New Roman"/>
          <w:szCs w:val="24"/>
        </w:rPr>
      </w:pPr>
      <w:r w:rsidRPr="00153237">
        <w:rPr>
          <w:rFonts w:cs="Times New Roman"/>
          <w:szCs w:val="24"/>
        </w:rPr>
        <w:t>Hvert sokn skal være betjent av prest, hvert prosti av prost og hvert bispedømme av biskop.</w:t>
      </w:r>
    </w:p>
    <w:p w:rsidR="00170444" w:rsidRDefault="00170444" w:rsidP="00170444">
      <w:pPr>
        <w:ind w:firstLine="708"/>
        <w:rPr>
          <w:rFonts w:cs="Times New Roman"/>
          <w:szCs w:val="24"/>
        </w:rPr>
      </w:pPr>
      <w:r w:rsidRPr="00153237">
        <w:rPr>
          <w:rFonts w:cs="Times New Roman"/>
          <w:szCs w:val="24"/>
        </w:rPr>
        <w:t>All prestetjeneste skal organiseres slik at prestene kan utøve sin tjeneste i samsvar med ordinasjonens forutsetninger og forpliktelser.</w:t>
      </w:r>
    </w:p>
    <w:p w:rsidR="003A0243" w:rsidRPr="003A0243" w:rsidRDefault="00097395" w:rsidP="003A0243">
      <w:pPr>
        <w:ind w:firstLine="567"/>
        <w:rPr>
          <w:rFonts w:cs="Times New Roman"/>
          <w:szCs w:val="24"/>
        </w:rPr>
      </w:pPr>
      <w:r>
        <w:rPr>
          <w:rFonts w:cs="Times New Roman"/>
          <w:szCs w:val="24"/>
        </w:rPr>
        <w:t>(</w:t>
      </w:r>
      <w:r w:rsidR="003A0243" w:rsidRPr="003A0243">
        <w:rPr>
          <w:rFonts w:cs="Times New Roman"/>
          <w:szCs w:val="24"/>
        </w:rPr>
        <w:t>Departementet kan pålegge en kommune å stille tjenestebolig til rådighet for prest i Den norske kirke. Staten dekker i tilfelle kommunens utgifter etter regler fastsatt av Kongen.</w:t>
      </w:r>
    </w:p>
    <w:p w:rsidR="0067460E" w:rsidRDefault="003A0243" w:rsidP="003A0243">
      <w:pPr>
        <w:ind w:firstLine="567"/>
        <w:rPr>
          <w:rFonts w:cs="Times New Roman"/>
          <w:szCs w:val="24"/>
        </w:rPr>
      </w:pPr>
      <w:r w:rsidRPr="003A0243">
        <w:rPr>
          <w:rFonts w:cs="Times New Roman"/>
          <w:szCs w:val="24"/>
        </w:rPr>
        <w:t xml:space="preserve">Kirkelig tilsatte som </w:t>
      </w:r>
      <w:r w:rsidR="00395C0B">
        <w:rPr>
          <w:rFonts w:cs="Times New Roman"/>
          <w:szCs w:val="24"/>
        </w:rPr>
        <w:t>er overført</w:t>
      </w:r>
      <w:r w:rsidRPr="003A0243">
        <w:rPr>
          <w:rFonts w:cs="Times New Roman"/>
          <w:szCs w:val="24"/>
        </w:rPr>
        <w:t xml:space="preserve"> fra staten til Den norske kirke, </w:t>
      </w:r>
      <w:r w:rsidR="00395C0B">
        <w:rPr>
          <w:rFonts w:cs="Times New Roman"/>
          <w:szCs w:val="24"/>
        </w:rPr>
        <w:t>har</w:t>
      </w:r>
      <w:r w:rsidRPr="003A0243">
        <w:rPr>
          <w:rFonts w:cs="Times New Roman"/>
          <w:szCs w:val="24"/>
        </w:rPr>
        <w:t xml:space="preserve"> rett til uttak av avtalefestet pensjon tilsvarende ordningen i Hovedtariffavtalen i staten, i samsvar med det som er fastsatt i lov 25. juni 2010 nr. 28 om avtalefestet pensjon for medlemmer av Statens pensjonskasse og i lov 28. juli 1949 nr. 26 om Statens pensjonskasse. Retten til uttak forutsetter medlemskap i Statens pensjonskasse og gjelder fram til 1. januar 2021.</w:t>
      </w:r>
      <w:r w:rsidR="00097395">
        <w:rPr>
          <w:rFonts w:cs="Times New Roman"/>
          <w:szCs w:val="24"/>
        </w:rPr>
        <w:t>)</w:t>
      </w:r>
    </w:p>
    <w:p w:rsidR="0067460E" w:rsidRPr="00150737" w:rsidRDefault="0067460E" w:rsidP="00BE2B83">
      <w:pPr>
        <w:pStyle w:val="UnOverskrift3"/>
        <w:rPr>
          <w:rStyle w:val="halvfet"/>
        </w:rPr>
      </w:pPr>
      <w:r w:rsidRPr="00150737">
        <w:rPr>
          <w:rStyle w:val="halvfet"/>
        </w:rPr>
        <w:t xml:space="preserve">§ </w:t>
      </w:r>
      <w:r w:rsidR="0017269D" w:rsidRPr="00150737">
        <w:rPr>
          <w:rStyle w:val="halvfet"/>
        </w:rPr>
        <w:t>15.</w:t>
      </w:r>
      <w:r w:rsidRPr="00150737">
        <w:rPr>
          <w:rStyle w:val="halvfet"/>
        </w:rPr>
        <w:t xml:space="preserve"> Den norske kirkes medlemsregister</w:t>
      </w:r>
    </w:p>
    <w:p w:rsidR="0067460E" w:rsidRPr="00153237" w:rsidRDefault="0067460E" w:rsidP="0067460E">
      <w:pPr>
        <w:ind w:firstLine="708"/>
      </w:pPr>
      <w:r w:rsidRPr="00153237">
        <w:t xml:space="preserve">Personer som er medlem </w:t>
      </w:r>
      <w:r>
        <w:t>i Den norske kirke</w:t>
      </w:r>
      <w:r w:rsidRPr="00153237">
        <w:t xml:space="preserve">, registreres i et sentralt medlemsregister. </w:t>
      </w:r>
    </w:p>
    <w:p w:rsidR="0067460E" w:rsidRPr="00153237" w:rsidRDefault="0067460E" w:rsidP="0067460E">
      <w:pPr>
        <w:ind w:firstLine="708"/>
      </w:pPr>
      <w:r w:rsidRPr="00153237">
        <w:t xml:space="preserve">Det skal føres register over personer som blir døpt, konfirmert, vigslet til ekteskap og jordfestet ved prest i Den norske kirke samt over personer som melder seg inn i eller ut av Den norske kirke. Disse opplysningene kan inntas i medlemsregisteret. </w:t>
      </w:r>
    </w:p>
    <w:p w:rsidR="0067460E" w:rsidRDefault="0067460E" w:rsidP="0067460E">
      <w:pPr>
        <w:ind w:firstLine="708"/>
      </w:pPr>
      <w:r>
        <w:t>Nærmere r</w:t>
      </w:r>
      <w:r w:rsidRPr="00153237">
        <w:t>egler om regis</w:t>
      </w:r>
      <w:r>
        <w:t>terføringen</w:t>
      </w:r>
      <w:r w:rsidRPr="00153237">
        <w:t xml:space="preserve"> gis av Kirkemøtet.</w:t>
      </w:r>
    </w:p>
    <w:p w:rsidR="00170444" w:rsidRPr="00150737" w:rsidRDefault="00170444" w:rsidP="00BE2B83">
      <w:pPr>
        <w:pStyle w:val="UnOverskrift3"/>
        <w:rPr>
          <w:rStyle w:val="halvfet"/>
        </w:rPr>
      </w:pPr>
      <w:r w:rsidRPr="00150737">
        <w:rPr>
          <w:rStyle w:val="halvfet"/>
        </w:rPr>
        <w:lastRenderedPageBreak/>
        <w:t xml:space="preserve">§ </w:t>
      </w:r>
      <w:r w:rsidR="0017269D" w:rsidRPr="00150737">
        <w:rPr>
          <w:rStyle w:val="halvfet"/>
        </w:rPr>
        <w:t>16.</w:t>
      </w:r>
      <w:r w:rsidRPr="00150737">
        <w:rPr>
          <w:rStyle w:val="halvfet"/>
        </w:rPr>
        <w:t xml:space="preserve"> Saksbehandlingsregler </w:t>
      </w:r>
    </w:p>
    <w:p w:rsidR="00B5403C" w:rsidRDefault="00B5403C" w:rsidP="00170444">
      <w:pPr>
        <w:ind w:firstLine="708"/>
        <w:rPr>
          <w:rFonts w:cs="Times New Roman"/>
          <w:szCs w:val="24"/>
        </w:rPr>
      </w:pPr>
      <w:r w:rsidRPr="00B5403C">
        <w:rPr>
          <w:rFonts w:cs="Times New Roman"/>
          <w:szCs w:val="24"/>
        </w:rPr>
        <w:t>Kirkemøtet bestemmer om, og med hvilke unntak og særregler, forvaltningsloven, offentleglova og regler om offentlige organer i arkivlova skal gjelde for virksomheten som drives av kirkelige organer.</w:t>
      </w:r>
    </w:p>
    <w:p w:rsidR="00170444" w:rsidRPr="00954D04" w:rsidRDefault="0017269D" w:rsidP="00170444">
      <w:pPr>
        <w:ind w:firstLine="708"/>
        <w:rPr>
          <w:rFonts w:cs="Times New Roman"/>
          <w:szCs w:val="24"/>
        </w:rPr>
      </w:pPr>
      <w:r w:rsidRPr="006C41E6">
        <w:rPr>
          <w:rFonts w:cs="Times New Roman"/>
          <w:szCs w:val="24"/>
        </w:rPr>
        <w:t xml:space="preserve">Forslag til </w:t>
      </w:r>
      <w:r>
        <w:rPr>
          <w:rFonts w:cs="Times New Roman"/>
          <w:szCs w:val="24"/>
        </w:rPr>
        <w:t>vesentlige</w:t>
      </w:r>
      <w:r w:rsidR="006C41E6" w:rsidRPr="006C41E6">
        <w:rPr>
          <w:rFonts w:cs="Times New Roman"/>
          <w:szCs w:val="24"/>
        </w:rPr>
        <w:t xml:space="preserve"> endringer i bestemmelsene i dette kapitlet skal forelegges Kirkemøtet.</w:t>
      </w:r>
    </w:p>
    <w:p w:rsidR="00170444" w:rsidRPr="000B2A41" w:rsidRDefault="00170444" w:rsidP="00170444">
      <w:pPr>
        <w:rPr>
          <w:rFonts w:cs="Times New Roman"/>
          <w:szCs w:val="24"/>
        </w:rPr>
      </w:pPr>
    </w:p>
    <w:p w:rsidR="00170444" w:rsidRPr="00150737" w:rsidRDefault="00170444" w:rsidP="00BE2B83">
      <w:pPr>
        <w:pStyle w:val="UnOverskrift2"/>
        <w:rPr>
          <w:rStyle w:val="halvfet"/>
        </w:rPr>
      </w:pPr>
      <w:r w:rsidRPr="00150737">
        <w:rPr>
          <w:rStyle w:val="halvfet"/>
        </w:rPr>
        <w:t xml:space="preserve">Kapittel 4. Forskjellige bestemmelser </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17.</w:t>
      </w:r>
      <w:r w:rsidRPr="00150737">
        <w:rPr>
          <w:rStyle w:val="halvfet"/>
        </w:rPr>
        <w:t xml:space="preserve"> Rett til permisjon fra arbeid mv. </w:t>
      </w:r>
    </w:p>
    <w:p w:rsidR="008669A6" w:rsidRDefault="008669A6" w:rsidP="008669A6">
      <w:pPr>
        <w:ind w:firstLine="708"/>
      </w:pPr>
      <w:r>
        <w:t>Den som har andre religiøse høytidsdager enn de offentlige helligdagene, har rett til fri fra arbeid, skolegang, obligatorisk undervisning ved universitet og høyskole, tjenesteplikt og lignende i opp til to selvvalgte dager hvert år i forbindelse med høytider etter vedkommendes religion.</w:t>
      </w:r>
    </w:p>
    <w:p w:rsidR="008669A6" w:rsidRDefault="008669A6" w:rsidP="008669A6">
      <w:pPr>
        <w:ind w:firstLine="708"/>
      </w:pPr>
      <w:r>
        <w:t xml:space="preserve">Arbeidstaker som ønsker å benytte retten til fri, skal varsle arbeidsgiver senest 14 dager på forhånd. </w:t>
      </w:r>
    </w:p>
    <w:p w:rsidR="008669A6" w:rsidRDefault="008669A6" w:rsidP="008669A6">
      <w:pPr>
        <w:ind w:firstLine="708"/>
      </w:pPr>
      <w:r>
        <w:t>Arbeidsgiver kan kreve at arbeidstaker innarbeider fridagene. Etter drøfting med arbeidstaker fastsetter arbeidsgiver når innarbeidingen skal skje. Innarbeidingen regnes ikke som overtid selv om arbeidstiden overstiger alminnelig arbeidstid i henhold til arbeidsmiljøloven.</w:t>
      </w:r>
    </w:p>
    <w:p w:rsidR="008669A6" w:rsidRDefault="008669A6" w:rsidP="00C77B32">
      <w:pPr>
        <w:ind w:firstLine="708"/>
      </w:pPr>
      <w:r>
        <w:t>Student som ønsker å benytte retten til fri fra obligatorisk undervisning,</w:t>
      </w:r>
      <w:r w:rsidR="00C77B32">
        <w:t xml:space="preserve"> skal varsle lærestedet senest </w:t>
      </w:r>
      <w:r>
        <w:t xml:space="preserve">4 </w:t>
      </w:r>
      <w:r w:rsidR="00C77B32">
        <w:t>uk</w:t>
      </w:r>
      <w:r>
        <w:t>er på forhånd.</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18.</w:t>
      </w:r>
      <w:r w:rsidRPr="00150737">
        <w:rPr>
          <w:rStyle w:val="halvfet"/>
        </w:rPr>
        <w:t xml:space="preserve"> Registerføring </w:t>
      </w:r>
      <w:r w:rsidR="00472084" w:rsidRPr="00150737">
        <w:rPr>
          <w:rStyle w:val="halvfet"/>
        </w:rPr>
        <w:t>og avleveringsplikt</w:t>
      </w:r>
    </w:p>
    <w:p w:rsidR="0017269D" w:rsidRDefault="0017269D" w:rsidP="0017269D">
      <w:pPr>
        <w:ind w:firstLine="708"/>
      </w:pPr>
      <w:r w:rsidRPr="004D1E20">
        <w:t xml:space="preserve">Kongen kan gi forskrifter med </w:t>
      </w:r>
      <w:r w:rsidR="003904F1">
        <w:t>nødvendige</w:t>
      </w:r>
      <w:r w:rsidRPr="004D1E20">
        <w:t xml:space="preserve"> </w:t>
      </w:r>
      <w:r w:rsidR="003904F1">
        <w:t>regler</w:t>
      </w:r>
      <w:r w:rsidRPr="004D1E20">
        <w:t xml:space="preserve"> om</w:t>
      </w:r>
      <w:r w:rsidRPr="00D57BC9">
        <w:t xml:space="preserve"> registerføring og plikt</w:t>
      </w:r>
      <w:r w:rsidR="00472084">
        <w:t xml:space="preserve"> til å avlevere samfunnenes offentlige bøker</w:t>
      </w:r>
      <w:r w:rsidRPr="00D57BC9">
        <w:t xml:space="preserve">. </w:t>
      </w:r>
    </w:p>
    <w:p w:rsidR="00170444" w:rsidRPr="00150737" w:rsidRDefault="0017269D" w:rsidP="00BE2B83">
      <w:pPr>
        <w:pStyle w:val="UnOverskrift3"/>
        <w:rPr>
          <w:rStyle w:val="halvfet"/>
        </w:rPr>
      </w:pPr>
      <w:r w:rsidRPr="00150737">
        <w:rPr>
          <w:rStyle w:val="halvfet"/>
        </w:rPr>
        <w:t>§ 19.</w:t>
      </w:r>
      <w:r w:rsidR="00170444" w:rsidRPr="00150737">
        <w:rPr>
          <w:rStyle w:val="halvfet"/>
        </w:rPr>
        <w:t xml:space="preserve"> Politiattest </w:t>
      </w:r>
    </w:p>
    <w:p w:rsidR="00170444" w:rsidRDefault="00170444" w:rsidP="00170444">
      <w:pPr>
        <w:ind w:firstLine="708"/>
      </w:pPr>
      <w:r>
        <w:t>Tros- og livssynssamfunn</w:t>
      </w:r>
      <w:r w:rsidRPr="006C5C51">
        <w:t xml:space="preserve"> kan kreve fremleggelse av barneomsorgsattest som nevnt i politiregisterloven § 39 første ledd, av person som lønnet eller ulønnet skal tilsettes, utføre oppgaver eller inneha tillitsverv der vedkommende vil ha omsorg for eller oppgaver knyttet til mindreårige.</w:t>
      </w:r>
    </w:p>
    <w:p w:rsidR="00170444" w:rsidRPr="00150737" w:rsidRDefault="00170444" w:rsidP="00BE2B83">
      <w:pPr>
        <w:pStyle w:val="UnOverskrift3"/>
        <w:rPr>
          <w:rStyle w:val="halvfet"/>
        </w:rPr>
      </w:pPr>
      <w:r w:rsidRPr="00150737">
        <w:rPr>
          <w:rStyle w:val="halvfet"/>
        </w:rPr>
        <w:t xml:space="preserve">§ </w:t>
      </w:r>
      <w:r w:rsidR="0017269D" w:rsidRPr="00150737">
        <w:rPr>
          <w:rStyle w:val="halvfet"/>
        </w:rPr>
        <w:t>20.</w:t>
      </w:r>
      <w:r w:rsidRPr="00150737">
        <w:rPr>
          <w:rStyle w:val="halvfet"/>
        </w:rPr>
        <w:t xml:space="preserve"> Gravplass</w:t>
      </w:r>
      <w:r w:rsidR="00B25506" w:rsidRPr="00150737">
        <w:rPr>
          <w:rStyle w:val="halvfet"/>
        </w:rPr>
        <w:t xml:space="preserve"> </w:t>
      </w:r>
    </w:p>
    <w:p w:rsidR="0017269D" w:rsidRDefault="0017269D" w:rsidP="0017269D">
      <w:pPr>
        <w:ind w:firstLine="567"/>
      </w:pPr>
      <w:r>
        <w:t xml:space="preserve">Kongen kan tillate at tros- eller </w:t>
      </w:r>
      <w:r w:rsidRPr="00B35EEC">
        <w:t>livssyns</w:t>
      </w:r>
      <w:r>
        <w:t xml:space="preserve">samfunn </w:t>
      </w:r>
      <w:r w:rsidR="0016253B">
        <w:t>får ha</w:t>
      </w:r>
      <w:r>
        <w:t xml:space="preserve"> egen gravplass og sette vilkår for dette. Gravplassloven gjelder da tilsvarende så langt den passer.</w:t>
      </w:r>
    </w:p>
    <w:p w:rsidR="00170444" w:rsidRPr="00150737" w:rsidRDefault="0042525E" w:rsidP="00BE2B83">
      <w:pPr>
        <w:pStyle w:val="UnOverskrift3"/>
        <w:rPr>
          <w:rStyle w:val="halvfet"/>
        </w:rPr>
      </w:pPr>
      <w:r w:rsidRPr="00150737">
        <w:rPr>
          <w:rStyle w:val="halvfet"/>
        </w:rPr>
        <w:t>§21.</w:t>
      </w:r>
      <w:r w:rsidRPr="00150737">
        <w:rPr>
          <w:rStyle w:val="halvfet"/>
        </w:rPr>
        <w:tab/>
      </w:r>
      <w:r w:rsidR="00170444" w:rsidRPr="00150737">
        <w:rPr>
          <w:rStyle w:val="halvfet"/>
        </w:rPr>
        <w:t>Ikrafttredelse</w:t>
      </w:r>
    </w:p>
    <w:p w:rsidR="00170444" w:rsidRDefault="00170444" w:rsidP="0042525E">
      <w:pPr>
        <w:ind w:firstLine="567"/>
      </w:pPr>
      <w:r w:rsidRPr="00311A24">
        <w:t xml:space="preserve">Loven trer i kraft fra den tid Kongen bestemmer. </w:t>
      </w:r>
      <w:r w:rsidR="00B25506" w:rsidRPr="00311A24">
        <w:t>Enkeltbestemmelser i</w:t>
      </w:r>
      <w:r w:rsidRPr="00311A24">
        <w:t xml:space="preserve"> loven k</w:t>
      </w:r>
      <w:r>
        <w:t>an settes i kraft til ulik tid.</w:t>
      </w:r>
    </w:p>
    <w:p w:rsidR="00170444" w:rsidRDefault="00311A24" w:rsidP="0042525E">
      <w:pPr>
        <w:ind w:firstLine="567"/>
      </w:pPr>
      <w:r>
        <w:lastRenderedPageBreak/>
        <w:t>Kongen gir nødvendige overgangsbestemmelser.</w:t>
      </w:r>
    </w:p>
    <w:p w:rsidR="00B25506" w:rsidRDefault="00B25506" w:rsidP="00170444"/>
    <w:p w:rsidR="00170444" w:rsidRDefault="00170444" w:rsidP="00170444">
      <w:pPr>
        <w:rPr>
          <w:u w:val="single"/>
        </w:rPr>
      </w:pPr>
      <w:r w:rsidRPr="004070CA">
        <w:rPr>
          <w:u w:val="single"/>
        </w:rPr>
        <w:t>Det gjøres følgende endringer i andre lover:</w:t>
      </w:r>
    </w:p>
    <w:p w:rsidR="00366024" w:rsidRPr="00150737" w:rsidRDefault="00366024" w:rsidP="00170444">
      <w:pPr>
        <w:rPr>
          <w:rStyle w:val="halvfet"/>
        </w:rPr>
      </w:pPr>
    </w:p>
    <w:p w:rsidR="00366024" w:rsidRPr="00150737" w:rsidRDefault="00366024" w:rsidP="00170444">
      <w:pPr>
        <w:rPr>
          <w:rStyle w:val="halvfet"/>
        </w:rPr>
      </w:pPr>
      <w:r w:rsidRPr="00150737">
        <w:rPr>
          <w:rStyle w:val="halvfet"/>
        </w:rPr>
        <w:t>1. Ekteskapsloven</w:t>
      </w:r>
    </w:p>
    <w:p w:rsidR="0018103C" w:rsidRDefault="0018103C" w:rsidP="0018103C">
      <w:r>
        <w:t>Ekteskapsloven § 12 første ledd bokstav a skal lyde:</w:t>
      </w:r>
    </w:p>
    <w:p w:rsidR="0018103C" w:rsidRPr="00BE2B83" w:rsidRDefault="0018103C" w:rsidP="00BE2B83">
      <w:pPr>
        <w:pStyle w:val="blokksit"/>
        <w:rPr>
          <w:rStyle w:val="kursiv"/>
        </w:rPr>
      </w:pPr>
      <w:r w:rsidRPr="00BE2B83">
        <w:rPr>
          <w:rStyle w:val="kursiv"/>
        </w:rPr>
        <w:t>Vigsler er:</w:t>
      </w:r>
    </w:p>
    <w:p w:rsidR="0018103C" w:rsidRDefault="0018103C" w:rsidP="00BE2B83">
      <w:pPr>
        <w:pStyle w:val="blokksit"/>
      </w:pPr>
      <w:r w:rsidRPr="00BE2B83">
        <w:rPr>
          <w:rStyle w:val="kursiv"/>
        </w:rPr>
        <w:t xml:space="preserve">a. prest i Den norske kirke og person som er tildelt vigselsmyndighet i et tros- eller livssynssamfunn </w:t>
      </w:r>
      <w:r>
        <w:t>som er registrert etter l</w:t>
      </w:r>
      <w:r w:rsidR="00366024">
        <w:t>ov om tros- og livssynssamfunn.</w:t>
      </w:r>
    </w:p>
    <w:p w:rsidR="0018103C" w:rsidRDefault="0018103C" w:rsidP="0018103C">
      <w:r>
        <w:t>§ 12 annet ledd skal lyde:</w:t>
      </w:r>
    </w:p>
    <w:p w:rsidR="0018103C" w:rsidRPr="00BE2B83" w:rsidRDefault="0018103C" w:rsidP="00BE2B83">
      <w:pPr>
        <w:pStyle w:val="blokksit"/>
        <w:rPr>
          <w:rStyle w:val="kursiv"/>
        </w:rPr>
      </w:pPr>
      <w:r w:rsidRPr="00BE2B83">
        <w:rPr>
          <w:rStyle w:val="kursiv"/>
        </w:rPr>
        <w:t>Departementet kan gi forskrift</w:t>
      </w:r>
      <w:r w:rsidR="0088217A" w:rsidRPr="00BE2B83">
        <w:rPr>
          <w:rStyle w:val="kursiv"/>
        </w:rPr>
        <w:t>er</w:t>
      </w:r>
      <w:r w:rsidRPr="00BE2B83">
        <w:rPr>
          <w:rStyle w:val="kursiv"/>
        </w:rPr>
        <w:t xml:space="preserve"> om tildeling og tilbaketrekking av vigselsrett for vigslere i registrerte tros- og livssynssamfunn.</w:t>
      </w:r>
    </w:p>
    <w:p w:rsidR="0018103C" w:rsidRDefault="0018103C" w:rsidP="0018103C">
      <w:r>
        <w:t>§ 12 nytt tredje ledd skal lyde:</w:t>
      </w:r>
    </w:p>
    <w:p w:rsidR="0018103C" w:rsidRPr="00BE2B83" w:rsidRDefault="0018103C" w:rsidP="00BE2B83">
      <w:pPr>
        <w:pStyle w:val="blokksit"/>
        <w:rPr>
          <w:rStyle w:val="kursiv"/>
        </w:rPr>
      </w:pPr>
      <w:r w:rsidRPr="00BE2B83">
        <w:rPr>
          <w:rStyle w:val="kursiv"/>
        </w:rPr>
        <w:t>Ritual for vigsel etter denne paragrafs første ledd bokstav a skal godkjennes av departementet.</w:t>
      </w:r>
    </w:p>
    <w:p w:rsidR="0018103C" w:rsidRDefault="0018103C" w:rsidP="0018103C">
      <w:r>
        <w:t>Ekteskapsloven § 13 første og annet ledd skal lyde:</w:t>
      </w:r>
    </w:p>
    <w:p w:rsidR="0018103C" w:rsidRPr="00BE2B83" w:rsidRDefault="0018103C" w:rsidP="00BE2B83">
      <w:pPr>
        <w:pStyle w:val="blokksit"/>
        <w:rPr>
          <w:rStyle w:val="kursiv"/>
        </w:rPr>
      </w:pPr>
      <w:r w:rsidRPr="00BE2B83">
        <w:rPr>
          <w:rStyle w:val="kursiv"/>
        </w:rPr>
        <w:t>En vigsler som nevnt i § 12 bokstav a, kan nekte å foreta vigsel dersom en av brudefolkene ikke er medlem av tros- eller livssynssamfunnet, eller ingen av dem tilhører samfunnet.</w:t>
      </w:r>
    </w:p>
    <w:p w:rsidR="0018103C" w:rsidRPr="00BE2B83" w:rsidRDefault="0018103C" w:rsidP="00BE2B83">
      <w:pPr>
        <w:pStyle w:val="blokksit"/>
        <w:rPr>
          <w:rStyle w:val="kursiv"/>
        </w:rPr>
      </w:pPr>
      <w:r w:rsidRPr="00BE2B83">
        <w:rPr>
          <w:rStyle w:val="kursiv"/>
        </w:rPr>
        <w:t>Den som er prest i Den norske kirke eller vigsler i et annet trossamfunn kan nekte å foreta vigsel dersom en av brudefolkene er skilt og den tidligere ektefellen lever, eller dersom brudefolkene er av samme kjønn.</w:t>
      </w:r>
    </w:p>
    <w:p w:rsidR="0018103C" w:rsidRDefault="0018103C" w:rsidP="0018103C">
      <w:r>
        <w:t>Ekteskapsloven § 13 nytt tredje ledd skal lyde:</w:t>
      </w:r>
    </w:p>
    <w:p w:rsidR="0018103C" w:rsidRPr="00BE2B83" w:rsidRDefault="0018103C" w:rsidP="00BE2B83">
      <w:pPr>
        <w:pStyle w:val="blokksit"/>
        <w:rPr>
          <w:rStyle w:val="kursiv"/>
        </w:rPr>
      </w:pPr>
      <w:r w:rsidRPr="00BE2B83">
        <w:rPr>
          <w:rStyle w:val="kursiv"/>
        </w:rPr>
        <w:t>Nekting etter grunnene i første og annet ledd skal praktiseres likt for kvinner og menn.</w:t>
      </w:r>
    </w:p>
    <w:p w:rsidR="00366024" w:rsidRDefault="0018103C" w:rsidP="0018103C">
      <w:r>
        <w:t>Ekteskapsloven § 16 første ledd tredje punktum oppheves.</w:t>
      </w:r>
    </w:p>
    <w:p w:rsidR="00366024" w:rsidRPr="00366024" w:rsidRDefault="00366024" w:rsidP="0018103C"/>
    <w:p w:rsidR="00170444" w:rsidRPr="00150737" w:rsidRDefault="00170444" w:rsidP="00170444">
      <w:pPr>
        <w:rPr>
          <w:rStyle w:val="halvfet"/>
        </w:rPr>
      </w:pPr>
      <w:r w:rsidRPr="00150737">
        <w:rPr>
          <w:rStyle w:val="halvfet"/>
        </w:rPr>
        <w:t>2. Kirkeloven</w:t>
      </w:r>
    </w:p>
    <w:p w:rsidR="00170444" w:rsidRDefault="00170444" w:rsidP="00170444">
      <w:r>
        <w:t>Loven i sin helhet oppheves og erstattes av bestemmelser i ny</w:t>
      </w:r>
      <w:r w:rsidR="00A84C05">
        <w:t xml:space="preserve"> lov</w:t>
      </w:r>
      <w:r>
        <w:t xml:space="preserve"> </w:t>
      </w:r>
      <w:r w:rsidR="00A84C05">
        <w:t>om tros- og livssynssamfunn.</w:t>
      </w:r>
      <w:r>
        <w:t xml:space="preserve"> </w:t>
      </w:r>
    </w:p>
    <w:p w:rsidR="00170444" w:rsidRDefault="00170444" w:rsidP="00170444"/>
    <w:p w:rsidR="00170444" w:rsidRPr="00150737" w:rsidRDefault="00170444" w:rsidP="00170444">
      <w:pPr>
        <w:rPr>
          <w:rStyle w:val="halvfet"/>
        </w:rPr>
      </w:pPr>
      <w:r w:rsidRPr="00150737">
        <w:rPr>
          <w:rStyle w:val="halvfet"/>
        </w:rPr>
        <w:t>3. Lov om trudomssamfunn og ymist anna</w:t>
      </w:r>
    </w:p>
    <w:p w:rsidR="00170444" w:rsidRDefault="00170444" w:rsidP="00170444">
      <w:r>
        <w:t xml:space="preserve">Loven i sin helhet oppheves og erstattes av bestemmelser i ny </w:t>
      </w:r>
      <w:r w:rsidR="00A84C05">
        <w:t>lov om tros- og livssynssamfunn</w:t>
      </w:r>
      <w:r>
        <w:t xml:space="preserve">. </w:t>
      </w:r>
    </w:p>
    <w:p w:rsidR="00170444" w:rsidRDefault="00170444" w:rsidP="00170444"/>
    <w:p w:rsidR="00170444" w:rsidRPr="00150737" w:rsidRDefault="00170444" w:rsidP="00170444">
      <w:pPr>
        <w:rPr>
          <w:rStyle w:val="halvfet"/>
        </w:rPr>
      </w:pPr>
      <w:r w:rsidRPr="00150737">
        <w:rPr>
          <w:rStyle w:val="halvfet"/>
        </w:rPr>
        <w:t>4. Lov om tilskudd til livssynssamfunn</w:t>
      </w:r>
    </w:p>
    <w:p w:rsidR="00170444" w:rsidRPr="00150737" w:rsidRDefault="00170444" w:rsidP="00170444">
      <w:pPr>
        <w:rPr>
          <w:rStyle w:val="halvfet"/>
        </w:rPr>
      </w:pPr>
      <w:r>
        <w:t xml:space="preserve">Loven i sin helhet oppheves og erstattes av bestemmelser i ny </w:t>
      </w:r>
      <w:r w:rsidR="00A84C05">
        <w:t>lov om tros- og livssynssamfunn</w:t>
      </w:r>
      <w:r>
        <w:t xml:space="preserve">. </w:t>
      </w:r>
    </w:p>
    <w:p w:rsidR="00170444" w:rsidRDefault="00170444" w:rsidP="00170444"/>
    <w:p w:rsidR="00170444" w:rsidRPr="00150737" w:rsidRDefault="00170444" w:rsidP="00170444">
      <w:pPr>
        <w:rPr>
          <w:rStyle w:val="halvfet"/>
        </w:rPr>
      </w:pPr>
      <w:r w:rsidRPr="00150737">
        <w:rPr>
          <w:rStyle w:val="halvfet"/>
        </w:rPr>
        <w:t>5. Gravferdsloven</w:t>
      </w:r>
    </w:p>
    <w:p w:rsidR="00FC39E0" w:rsidRDefault="00FC39E0" w:rsidP="00170444">
      <w:r>
        <w:t>Lovens kortnavn endres, slik at lovens tittel lyder:</w:t>
      </w:r>
    </w:p>
    <w:p w:rsidR="00FC39E0" w:rsidRDefault="00FC39E0" w:rsidP="00170444">
      <w:r>
        <w:lastRenderedPageBreak/>
        <w:t>Lov om gravplasser, kremasjon og gravferd (</w:t>
      </w:r>
      <w:r w:rsidRPr="00FC39E0">
        <w:rPr>
          <w:i/>
        </w:rPr>
        <w:t>gravplassloven</w:t>
      </w:r>
      <w:r>
        <w:t>).</w:t>
      </w:r>
    </w:p>
    <w:p w:rsidR="00170444" w:rsidRPr="00AB4445" w:rsidRDefault="00170444" w:rsidP="00170444">
      <w:r>
        <w:t xml:space="preserve">Betegnelsen </w:t>
      </w:r>
      <w:r w:rsidRPr="00F916DE">
        <w:rPr>
          <w:i/>
        </w:rPr>
        <w:t>kirkelig fellesråd</w:t>
      </w:r>
      <w:r>
        <w:t xml:space="preserve"> endres i følgende paragrafer til </w:t>
      </w:r>
      <w:r w:rsidRPr="00F916DE">
        <w:rPr>
          <w:i/>
        </w:rPr>
        <w:t>gravplassmyndigheten</w:t>
      </w:r>
      <w:r>
        <w:rPr>
          <w:i/>
        </w:rPr>
        <w:t>:</w:t>
      </w:r>
      <w:r w:rsidRPr="00F916DE">
        <w:t xml:space="preserve"> § 3 overskriften og § 3 første ledd, </w:t>
      </w:r>
      <w:r w:rsidR="00AB4445">
        <w:t>§ 6 annet ledd,</w:t>
      </w:r>
      <w:r>
        <w:t xml:space="preserve"> § 7 første og annet ledd</w:t>
      </w:r>
      <w:r w:rsidR="00AB4445">
        <w:t>, § 13 annet, tredje og fjerde ledd, § 14 første og fjerde ledd, § 16 første og annet ledd, § 17 første ledd og § 21 første og annet ledd.</w:t>
      </w:r>
      <w:r>
        <w:t xml:space="preserve"> </w:t>
      </w:r>
    </w:p>
    <w:p w:rsidR="00170444" w:rsidRDefault="00170444" w:rsidP="00170444">
      <w:r>
        <w:t xml:space="preserve">Betegnelsen </w:t>
      </w:r>
      <w:r w:rsidRPr="00AB4445">
        <w:rPr>
          <w:i/>
        </w:rPr>
        <w:t>bispedømmerådet</w:t>
      </w:r>
      <w:r>
        <w:t xml:space="preserve"> endres i fø</w:t>
      </w:r>
      <w:r w:rsidRPr="004A2EAF">
        <w:t xml:space="preserve">lgende bestemmelser til </w:t>
      </w:r>
      <w:r w:rsidR="0088217A" w:rsidRPr="00AB4445">
        <w:rPr>
          <w:i/>
        </w:rPr>
        <w:t>f</w:t>
      </w:r>
      <w:r w:rsidRPr="00AB4445">
        <w:rPr>
          <w:i/>
        </w:rPr>
        <w:t>ylkesmannen</w:t>
      </w:r>
      <w:r w:rsidRPr="004A2EAF">
        <w:t xml:space="preserve">: § 4 første ledd, </w:t>
      </w:r>
      <w:r w:rsidR="004A2EAF" w:rsidRPr="004A2EAF">
        <w:rPr>
          <w:i/>
        </w:rPr>
        <w:t>§ 21 første ledd og § 24 første ledd.</w:t>
      </w:r>
    </w:p>
    <w:p w:rsidR="00170444" w:rsidRPr="001770C6" w:rsidRDefault="00170444" w:rsidP="00170444">
      <w:r w:rsidRPr="001770C6">
        <w:t>§3. Gravplassmyndighetens og kommunens ansvar</w:t>
      </w:r>
    </w:p>
    <w:p w:rsidR="00170444" w:rsidRDefault="00170444" w:rsidP="00170444">
      <w:r>
        <w:t xml:space="preserve">(Ny overskrift) </w:t>
      </w:r>
    </w:p>
    <w:p w:rsidR="00170444" w:rsidRPr="006A74CB" w:rsidRDefault="00170444" w:rsidP="00170444">
      <w:r>
        <w:t>Annet ledd s</w:t>
      </w:r>
      <w:r w:rsidRPr="006A74CB">
        <w:t>kal lyde:</w:t>
      </w:r>
    </w:p>
    <w:p w:rsidR="00170444" w:rsidRDefault="00170444" w:rsidP="0017269D">
      <w:pPr>
        <w:ind w:firstLine="708"/>
        <w:rPr>
          <w:rFonts w:cs="Times New Roman"/>
          <w:i/>
          <w:szCs w:val="24"/>
        </w:rPr>
      </w:pPr>
      <w:r w:rsidRPr="001770C6">
        <w:rPr>
          <w:rFonts w:cs="Times New Roman"/>
          <w:i/>
          <w:szCs w:val="24"/>
        </w:rPr>
        <w:t>Utgifter til anlegg, drift og forvaltning av gravplasser utredes av kommunen etter budsjettforslag fra soknet. Etter avtale med soknet kan kommunal tjenesteyting tre i stedet for særskilt bevilgning til dette formål.</w:t>
      </w:r>
    </w:p>
    <w:p w:rsidR="005F32DB" w:rsidRDefault="005F32DB" w:rsidP="005F32DB">
      <w:pPr>
        <w:rPr>
          <w:rFonts w:cs="Times New Roman"/>
          <w:szCs w:val="24"/>
        </w:rPr>
      </w:pPr>
      <w:r>
        <w:rPr>
          <w:rFonts w:cs="Times New Roman"/>
          <w:szCs w:val="24"/>
        </w:rPr>
        <w:t>Nytt tredje ledd skal lyde:</w:t>
      </w:r>
    </w:p>
    <w:p w:rsidR="005F32DB" w:rsidRPr="005F32DB" w:rsidRDefault="005F32DB" w:rsidP="005F32DB">
      <w:pPr>
        <w:ind w:firstLine="567"/>
        <w:rPr>
          <w:rFonts w:cs="Times New Roman"/>
          <w:i/>
          <w:szCs w:val="24"/>
        </w:rPr>
      </w:pPr>
      <w:r w:rsidRPr="005F32DB">
        <w:rPr>
          <w:rFonts w:cs="Times New Roman"/>
          <w:i/>
          <w:szCs w:val="24"/>
        </w:rPr>
        <w:t xml:space="preserve">Kommunen kan ta opp lån for å finansiere disse formålene, og kommuneloven § 50 gjelder da tilsvarende. </w:t>
      </w:r>
    </w:p>
    <w:p w:rsidR="00170444" w:rsidRPr="001770C6" w:rsidRDefault="00170444" w:rsidP="00170444">
      <w:r w:rsidRPr="001770C6">
        <w:t>§ 23. Forvaltningsansvar</w:t>
      </w:r>
    </w:p>
    <w:p w:rsidR="00170444" w:rsidRDefault="00170444" w:rsidP="00170444">
      <w:r>
        <w:t>Første og annet ledd skal lyde:</w:t>
      </w:r>
    </w:p>
    <w:p w:rsidR="001770C6" w:rsidRPr="001770C6" w:rsidRDefault="001770C6" w:rsidP="0017269D">
      <w:pPr>
        <w:ind w:firstLine="708"/>
        <w:rPr>
          <w:i/>
        </w:rPr>
      </w:pPr>
      <w:r w:rsidRPr="001770C6">
        <w:rPr>
          <w:i/>
        </w:rPr>
        <w:t xml:space="preserve">Det organet som etter Kirkemøtets beslutning opptrer på soknets vegne i saker vedrørende drift og forvaltning av gravplass, er lokal gravplassmyndighet etter loven her. </w:t>
      </w:r>
    </w:p>
    <w:p w:rsidR="0017269D" w:rsidRDefault="00A473A1" w:rsidP="0017269D">
      <w:pPr>
        <w:ind w:firstLine="708"/>
        <w:rPr>
          <w:i/>
        </w:rPr>
      </w:pPr>
      <w:r>
        <w:rPr>
          <w:i/>
        </w:rPr>
        <w:t>Etter søknad fra kommunen kan f</w:t>
      </w:r>
      <w:r w:rsidR="0017269D" w:rsidRPr="001770C6">
        <w:rPr>
          <w:i/>
        </w:rPr>
        <w:t xml:space="preserve">ylkesmannen ved forskrift treffe vedtak om </w:t>
      </w:r>
      <w:r>
        <w:rPr>
          <w:i/>
        </w:rPr>
        <w:t xml:space="preserve">at </w:t>
      </w:r>
      <w:r w:rsidR="0017269D">
        <w:rPr>
          <w:i/>
        </w:rPr>
        <w:t>ansvar</w:t>
      </w:r>
      <w:r w:rsidR="000F7B83">
        <w:rPr>
          <w:i/>
        </w:rPr>
        <w:t>et</w:t>
      </w:r>
      <w:r w:rsidR="0017269D">
        <w:rPr>
          <w:i/>
        </w:rPr>
        <w:t xml:space="preserve"> </w:t>
      </w:r>
      <w:r>
        <w:rPr>
          <w:i/>
        </w:rPr>
        <w:t xml:space="preserve">som </w:t>
      </w:r>
      <w:r w:rsidR="0017269D" w:rsidRPr="001770C6">
        <w:rPr>
          <w:i/>
        </w:rPr>
        <w:t>lokal gravplassmyndighet</w:t>
      </w:r>
      <w:r w:rsidR="0017269D">
        <w:rPr>
          <w:i/>
        </w:rPr>
        <w:t xml:space="preserve"> </w:t>
      </w:r>
      <w:r>
        <w:rPr>
          <w:i/>
        </w:rPr>
        <w:t xml:space="preserve">etter loven her </w:t>
      </w:r>
      <w:r w:rsidR="0017269D">
        <w:rPr>
          <w:i/>
        </w:rPr>
        <w:t>skal overføres til</w:t>
      </w:r>
      <w:r w:rsidR="0017269D" w:rsidRPr="001770C6">
        <w:rPr>
          <w:i/>
        </w:rPr>
        <w:t xml:space="preserve"> kommunen.</w:t>
      </w:r>
    </w:p>
    <w:p w:rsidR="00F33A2D" w:rsidRDefault="00F33A2D" w:rsidP="00170444">
      <w:pPr>
        <w:rPr>
          <w:rFonts w:cs="Times New Roman"/>
          <w:szCs w:val="24"/>
        </w:rPr>
      </w:pPr>
      <w:r>
        <w:rPr>
          <w:rFonts w:cs="Times New Roman"/>
          <w:szCs w:val="24"/>
        </w:rPr>
        <w:t>Nytt fjerde ledd skal lyde:</w:t>
      </w:r>
    </w:p>
    <w:p w:rsidR="0017269D" w:rsidRPr="00107379" w:rsidRDefault="00F33A2D" w:rsidP="0017269D">
      <w:pPr>
        <w:ind w:firstLine="708"/>
        <w:rPr>
          <w:rFonts w:cs="Times New Roman"/>
          <w:i/>
          <w:szCs w:val="24"/>
        </w:rPr>
      </w:pPr>
      <w:r w:rsidRPr="001770C6">
        <w:rPr>
          <w:i/>
        </w:rPr>
        <w:t>Lokal gravplassforvaltning, krematorium eller i særlige tilfeller annen virksomhet med oppgaver etter loven her</w:t>
      </w:r>
      <w:r w:rsidR="0040658D">
        <w:rPr>
          <w:i/>
        </w:rPr>
        <w:t>,</w:t>
      </w:r>
      <w:r w:rsidRPr="001770C6">
        <w:rPr>
          <w:i/>
        </w:rPr>
        <w:t xml:space="preserve"> skal skaffe til veie opplysninger og gi slik uttalelse som departementet ber om.</w:t>
      </w:r>
    </w:p>
    <w:p w:rsidR="004A2EAF" w:rsidRPr="004A2EAF" w:rsidRDefault="007D228A" w:rsidP="00990944">
      <w:pPr>
        <w:rPr>
          <w:rFonts w:cs="Times New Roman"/>
          <w:szCs w:val="24"/>
        </w:rPr>
      </w:pPr>
      <w:r>
        <w:rPr>
          <w:rFonts w:cs="Times New Roman"/>
          <w:szCs w:val="24"/>
        </w:rPr>
        <w:t>§ 24</w:t>
      </w:r>
      <w:r w:rsidR="004A2EAF" w:rsidRPr="004A2EAF">
        <w:rPr>
          <w:rFonts w:cs="Times New Roman"/>
          <w:szCs w:val="24"/>
        </w:rPr>
        <w:t>. Klageadgang</w:t>
      </w:r>
    </w:p>
    <w:p w:rsidR="00990944" w:rsidRDefault="004A2EAF" w:rsidP="00990944">
      <w:pPr>
        <w:rPr>
          <w:rFonts w:cs="Times New Roman"/>
          <w:szCs w:val="24"/>
        </w:rPr>
      </w:pPr>
      <w:r w:rsidRPr="004A2EAF">
        <w:rPr>
          <w:rFonts w:cs="Times New Roman"/>
          <w:szCs w:val="24"/>
        </w:rPr>
        <w:t xml:space="preserve">skal lyde: </w:t>
      </w:r>
    </w:p>
    <w:p w:rsidR="00AB4445" w:rsidRPr="00364855" w:rsidRDefault="00AB4445" w:rsidP="00AB4445">
      <w:pPr>
        <w:ind w:firstLine="567"/>
        <w:rPr>
          <w:rFonts w:cs="Times New Roman"/>
          <w:i/>
          <w:szCs w:val="24"/>
        </w:rPr>
      </w:pPr>
      <w:r w:rsidRPr="00364855">
        <w:rPr>
          <w:rFonts w:cs="Times New Roman"/>
          <w:i/>
          <w:szCs w:val="24"/>
        </w:rPr>
        <w:t xml:space="preserve">Enkeltvedtak som er truffet av </w:t>
      </w:r>
      <w:r>
        <w:rPr>
          <w:rFonts w:cs="Times New Roman"/>
          <w:i/>
          <w:szCs w:val="24"/>
        </w:rPr>
        <w:t xml:space="preserve">gravplassmyndigheten eller kommunen </w:t>
      </w:r>
      <w:r w:rsidRPr="00364855">
        <w:rPr>
          <w:rFonts w:cs="Times New Roman"/>
          <w:i/>
          <w:szCs w:val="24"/>
        </w:rPr>
        <w:t xml:space="preserve">etter loven her eller etter regler i medhold av loven, kan påklages til </w:t>
      </w:r>
      <w:r>
        <w:rPr>
          <w:rFonts w:cs="Times New Roman"/>
          <w:i/>
          <w:szCs w:val="24"/>
        </w:rPr>
        <w:t>fylkesmannen</w:t>
      </w:r>
      <w:r w:rsidRPr="00364855">
        <w:rPr>
          <w:rFonts w:cs="Times New Roman"/>
          <w:i/>
          <w:szCs w:val="24"/>
        </w:rPr>
        <w:t>.</w:t>
      </w:r>
    </w:p>
    <w:p w:rsidR="004A2EAF" w:rsidRPr="00364855" w:rsidRDefault="004A2EAF" w:rsidP="00364855">
      <w:pPr>
        <w:ind w:firstLine="567"/>
        <w:rPr>
          <w:rFonts w:cs="Times New Roman"/>
          <w:i/>
          <w:szCs w:val="24"/>
        </w:rPr>
      </w:pPr>
      <w:r w:rsidRPr="00364855">
        <w:rPr>
          <w:rFonts w:cs="Times New Roman"/>
          <w:i/>
          <w:szCs w:val="24"/>
        </w:rPr>
        <w:t>Enkeltvedtak som er truffet av fylkesmannen etter loven her eller etter regler i medhold av loven, kan påklages til departementet.</w:t>
      </w:r>
    </w:p>
    <w:sectPr w:rsidR="004A2EAF" w:rsidRPr="00364855" w:rsidSect="00260450">
      <w:footerReference w:type="default" r:id="rId12"/>
      <w:headerReference w:type="first" r:id="rId13"/>
      <w:footerReference w:type="first" r:id="rId14"/>
      <w:type w:val="continuous"/>
      <w:pgSz w:w="11907" w:h="16840" w:code="9"/>
      <w:pgMar w:top="1418" w:right="1134" w:bottom="1134" w:left="1701" w:header="510"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83" w:rsidRDefault="00666B83">
      <w:r>
        <w:separator/>
      </w:r>
    </w:p>
  </w:endnote>
  <w:endnote w:type="continuationSeparator" w:id="0">
    <w:p w:rsidR="00666B83" w:rsidRDefault="00666B83">
      <w:r>
        <w:continuationSeparator/>
      </w:r>
    </w:p>
  </w:endnote>
  <w:endnote w:type="continuationNotice" w:id="1">
    <w:p w:rsidR="00666B83" w:rsidRDefault="00666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Old Style">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3" w:rsidRDefault="00E65EF3">
    <w:pPr>
      <w:pStyle w:val="Bunntekst"/>
    </w:pPr>
    <w:r>
      <w:t xml:space="preserve">Side </w:t>
    </w:r>
    <w:r>
      <w:rPr>
        <w:rStyle w:val="Sidetall"/>
      </w:rPr>
      <w:fldChar w:fldCharType="begin"/>
    </w:r>
    <w:r>
      <w:rPr>
        <w:rStyle w:val="Sidetall"/>
      </w:rPr>
      <w:instrText xml:space="preserve"> PAGE </w:instrText>
    </w:r>
    <w:r>
      <w:rPr>
        <w:rStyle w:val="Sidetall"/>
      </w:rPr>
      <w:fldChar w:fldCharType="separate"/>
    </w:r>
    <w:r w:rsidR="00004FBC">
      <w:rPr>
        <w:rStyle w:val="Sidetall"/>
        <w:noProof/>
      </w:rPr>
      <w:t>174</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3" w:rsidRDefault="00E65EF3">
    <w:pPr>
      <w:framePr w:w="11907" w:h="503" w:hRule="exact" w:wrap="notBeside" w:vAnchor="page" w:hAnchor="page" w:x="1" w:y="14773"/>
      <w:rPr>
        <w:rFonts w:ascii="DepCentury Old Style" w:hAnsi="DepCentury Old Style"/>
      </w:rPr>
    </w:pPr>
  </w:p>
  <w:tbl>
    <w:tblPr>
      <w:tblW w:w="0" w:type="auto"/>
      <w:tblInd w:w="-539" w:type="dxa"/>
      <w:tblLayout w:type="fixed"/>
      <w:tblCellMar>
        <w:left w:w="28" w:type="dxa"/>
        <w:right w:w="28" w:type="dxa"/>
      </w:tblCellMar>
      <w:tblLook w:val="0000" w:firstRow="0" w:lastRow="0" w:firstColumn="0" w:lastColumn="0" w:noHBand="0" w:noVBand="0"/>
    </w:tblPr>
    <w:tblGrid>
      <w:gridCol w:w="7938"/>
    </w:tblGrid>
    <w:tr w:rsidR="00E65EF3">
      <w:trPr>
        <w:cantSplit/>
        <w:trHeight w:hRule="exact" w:val="900"/>
      </w:trPr>
      <w:tc>
        <w:tcPr>
          <w:tcW w:w="7938" w:type="dxa"/>
        </w:tcPr>
        <w:p w:rsidR="00E65EF3" w:rsidRDefault="00E65EF3" w:rsidP="00666609">
          <w:pPr>
            <w:pStyle w:val="Bunntekst"/>
            <w:ind w:right="-1304"/>
            <w:jc w:val="center"/>
            <w:rPr>
              <w:rFonts w:ascii="DepCentury Old Style" w:hAnsi="DepCentury Old Style"/>
              <w:sz w:val="16"/>
              <w:lang w:val="nn-NO"/>
            </w:rPr>
          </w:pPr>
          <w:bookmarkStart w:id="4012" w:name="padr1"/>
          <w:bookmarkStart w:id="4013" w:name="kadr1"/>
          <w:bookmarkStart w:id="4014" w:name="orgnr"/>
          <w:bookmarkStart w:id="4015" w:name="avdsek"/>
          <w:bookmarkStart w:id="4016" w:name="saksbeh"/>
          <w:bookmarkEnd w:id="4012"/>
          <w:bookmarkEnd w:id="4013"/>
          <w:bookmarkEnd w:id="4014"/>
          <w:bookmarkEnd w:id="4015"/>
          <w:bookmarkEnd w:id="4016"/>
          <w:r>
            <w:rPr>
              <w:rFonts w:ascii="DepCentury Old Style" w:hAnsi="DepCentury Old Style"/>
              <w:sz w:val="16"/>
              <w:lang w:val="nn-NO"/>
            </w:rPr>
            <w:t xml:space="preserve">Side </w:t>
          </w:r>
          <w:r>
            <w:rPr>
              <w:rFonts w:ascii="DepCentury Old Style" w:hAnsi="DepCentury Old Style"/>
              <w:sz w:val="16"/>
              <w:lang w:val="nn-NO"/>
            </w:rPr>
            <w:fldChar w:fldCharType="begin"/>
          </w:r>
          <w:r>
            <w:rPr>
              <w:rFonts w:ascii="DepCentury Old Style" w:hAnsi="DepCentury Old Style"/>
              <w:sz w:val="16"/>
              <w:lang w:val="nn-NO"/>
            </w:rPr>
            <w:instrText xml:space="preserve"> PAGE  </w:instrText>
          </w:r>
          <w:r>
            <w:rPr>
              <w:rFonts w:ascii="DepCentury Old Style" w:hAnsi="DepCentury Old Style"/>
              <w:sz w:val="16"/>
              <w:lang w:val="nn-NO"/>
            </w:rPr>
            <w:fldChar w:fldCharType="separate"/>
          </w:r>
          <w:r w:rsidR="00004FBC">
            <w:rPr>
              <w:rFonts w:ascii="DepCentury Old Style" w:hAnsi="DepCentury Old Style"/>
              <w:noProof/>
              <w:sz w:val="16"/>
              <w:lang w:val="nn-NO"/>
            </w:rPr>
            <w:t>1</w:t>
          </w:r>
          <w:r>
            <w:rPr>
              <w:rFonts w:ascii="DepCentury Old Style" w:hAnsi="DepCentury Old Style"/>
              <w:sz w:val="16"/>
              <w:lang w:val="nn-NO"/>
            </w:rPr>
            <w:fldChar w:fldCharType="end"/>
          </w:r>
          <w:r>
            <w:rPr>
              <w:rFonts w:ascii="DepCentury Old Style" w:hAnsi="DepCentury Old Style"/>
              <w:sz w:val="16"/>
              <w:lang w:val="nn-NO"/>
            </w:rPr>
            <w:t xml:space="preserve"> av </w:t>
          </w:r>
          <w:r>
            <w:rPr>
              <w:rFonts w:ascii="DepCentury Old Style" w:hAnsi="DepCentury Old Style"/>
              <w:sz w:val="16"/>
              <w:lang w:val="nn-NO"/>
            </w:rPr>
            <w:fldChar w:fldCharType="begin"/>
          </w:r>
          <w:r>
            <w:rPr>
              <w:rFonts w:ascii="DepCentury Old Style" w:hAnsi="DepCentury Old Style"/>
              <w:sz w:val="16"/>
              <w:lang w:val="nn-NO"/>
            </w:rPr>
            <w:instrText xml:space="preserve"> NUMPAGES  </w:instrText>
          </w:r>
          <w:r>
            <w:rPr>
              <w:rFonts w:ascii="DepCentury Old Style" w:hAnsi="DepCentury Old Style"/>
              <w:sz w:val="16"/>
              <w:lang w:val="nn-NO"/>
            </w:rPr>
            <w:fldChar w:fldCharType="separate"/>
          </w:r>
          <w:r w:rsidR="00004FBC">
            <w:rPr>
              <w:rFonts w:ascii="DepCentury Old Style" w:hAnsi="DepCentury Old Style"/>
              <w:noProof/>
              <w:sz w:val="16"/>
              <w:lang w:val="nn-NO"/>
            </w:rPr>
            <w:t>216</w:t>
          </w:r>
          <w:r>
            <w:rPr>
              <w:rFonts w:ascii="DepCentury Old Style" w:hAnsi="DepCentury Old Style"/>
              <w:sz w:val="16"/>
              <w:lang w:val="nn-NO"/>
            </w:rPr>
            <w:fldChar w:fldCharType="end"/>
          </w:r>
        </w:p>
      </w:tc>
    </w:tr>
  </w:tbl>
  <w:p w:rsidR="00E65EF3" w:rsidRDefault="00E65EF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83" w:rsidRDefault="00666B83">
      <w:r>
        <w:separator/>
      </w:r>
    </w:p>
  </w:footnote>
  <w:footnote w:type="continuationSeparator" w:id="0">
    <w:p w:rsidR="00666B83" w:rsidRDefault="00666B83">
      <w:r>
        <w:continuationSeparator/>
      </w:r>
    </w:p>
  </w:footnote>
  <w:footnote w:type="continuationNotice" w:id="1">
    <w:p w:rsidR="00666B83" w:rsidRDefault="00666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3" w:rsidRDefault="00E65EF3">
    <w:pPr>
      <w:framePr w:w="11907" w:h="340" w:hRule="exact" w:wrap="notBeside" w:vAnchor="page" w:hAnchor="page" w:x="1" w:y="1585"/>
    </w:pPr>
    <w:bookmarkStart w:id="4010" w:name="topp2"/>
    <w:bookmarkEnd w:id="4010"/>
  </w:p>
  <w:p w:rsidR="00E65EF3" w:rsidRDefault="00E65EF3">
    <w:pPr>
      <w:tabs>
        <w:tab w:val="left" w:pos="1134"/>
      </w:tabs>
      <w:ind w:left="-1701" w:right="-1134"/>
      <w:jc w:val="center"/>
    </w:pPr>
    <w:r>
      <w:rPr>
        <w:noProof/>
      </w:rPr>
      <mc:AlternateContent>
        <mc:Choice Requires="wps">
          <w:drawing>
            <wp:anchor distT="0" distB="0" distL="114300" distR="114300" simplePos="0" relativeHeight="251658240" behindDoc="0" locked="0" layoutInCell="0" allowOverlap="1" wp14:anchorId="4984BF13" wp14:editId="04A30C61">
              <wp:simplePos x="0" y="0"/>
              <wp:positionH relativeFrom="page">
                <wp:posOffset>-10160</wp:posOffset>
              </wp:positionH>
              <wp:positionV relativeFrom="page">
                <wp:posOffset>3780790</wp:posOffset>
              </wp:positionV>
              <wp:extent cx="36004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C666D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" o:allowincell="f">
              <v:stroke startarrowwidth="narrow" startarrowlength="short" endarrowwidth="narrow" endarrowlength="short"/>
              <w10:wrap anchorx="page" anchory="page"/>
            </v:line>
          </w:pict>
        </mc:Fallback>
      </mc:AlternateContent>
    </w:r>
  </w:p>
  <w:p w:rsidR="00E65EF3" w:rsidRDefault="00E65EF3">
    <w:pPr>
      <w:pStyle w:val="Topptekst"/>
    </w:pPr>
    <w:bookmarkStart w:id="4011" w:name="topp1"/>
    <w:bookmarkEnd w:id="40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AC6A4F"/>
    <w:multiLevelType w:val="hybridMultilevel"/>
    <w:tmpl w:val="06D455AC"/>
    <w:lvl w:ilvl="0" w:tplc="CF4415B4">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2B6463CE"/>
    <w:multiLevelType w:val="hybridMultilevel"/>
    <w:tmpl w:val="AC5E115E"/>
    <w:lvl w:ilvl="0" w:tplc="A6905234">
      <w:start w:val="1"/>
      <w:numFmt w:val="bullet"/>
      <w:pStyle w:val="Listetbhj"/>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8232B4"/>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9663BED"/>
    <w:multiLevelType w:val="hybridMultilevel"/>
    <w:tmpl w:val="7FE4C526"/>
    <w:lvl w:ilvl="0" w:tplc="EAF2C7F8">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3CD73F7F"/>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4E6A0B59"/>
    <w:multiLevelType w:val="hybridMultilevel"/>
    <w:tmpl w:val="0CF2026C"/>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74276A"/>
    <w:multiLevelType w:val="hybridMultilevel"/>
    <w:tmpl w:val="E8FCB5AE"/>
    <w:lvl w:ilvl="0" w:tplc="7772ABFA">
      <w:start w:val="1"/>
      <w:numFmt w:val="decimal"/>
      <w:lvlText w:val="%1)"/>
      <w:lvlJc w:val="left"/>
      <w:pPr>
        <w:ind w:left="786" w:hanging="360"/>
      </w:pPr>
      <w:rPr>
        <w:rFonts w:hint="default"/>
        <w:vertAlign w:val="superscrip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C3655DE"/>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6" w15:restartNumberingAfterBreak="0">
    <w:nsid w:val="62A6542F"/>
    <w:multiLevelType w:val="multilevel"/>
    <w:tmpl w:val="EF66E11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6D4A765D"/>
    <w:multiLevelType w:val="hybridMultilevel"/>
    <w:tmpl w:val="553E9476"/>
    <w:lvl w:ilvl="0" w:tplc="04140011">
      <w:start w:val="1"/>
      <w:numFmt w:val="decimal"/>
      <w:lvlText w:val="%1)"/>
      <w:lvlJc w:val="left"/>
      <w:pPr>
        <w:ind w:left="927" w:hanging="360"/>
      </w:pPr>
      <w:rPr>
        <w:rFonts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2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0"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5"/>
  </w:num>
  <w:num w:numId="2">
    <w:abstractNumId w:val="9"/>
  </w:num>
  <w:num w:numId="3">
    <w:abstractNumId w:val="19"/>
  </w:num>
  <w:num w:numId="4">
    <w:abstractNumId w:val="28"/>
  </w:num>
  <w:num w:numId="5">
    <w:abstractNumId w:val="12"/>
  </w:num>
  <w:num w:numId="6">
    <w:abstractNumId w:val="22"/>
  </w:num>
  <w:num w:numId="7">
    <w:abstractNumId w:val="30"/>
  </w:num>
  <w:num w:numId="8">
    <w:abstractNumId w:val="25"/>
  </w:num>
  <w:num w:numId="9">
    <w:abstractNumId w:val="29"/>
  </w:num>
  <w:num w:numId="10">
    <w:abstractNumId w:val="6"/>
  </w:num>
  <w:num w:numId="11">
    <w:abstractNumId w:val="8"/>
  </w:num>
  <w:num w:numId="12">
    <w:abstractNumId w:val="2"/>
  </w:num>
  <w:num w:numId="13">
    <w:abstractNumId w:val="16"/>
  </w:num>
  <w:num w:numId="14">
    <w:abstractNumId w:val="20"/>
  </w:num>
  <w:num w:numId="15">
    <w:abstractNumId w:val="18"/>
  </w:num>
  <w:num w:numId="16">
    <w:abstractNumId w:val="1"/>
  </w:num>
  <w:num w:numId="17">
    <w:abstractNumId w:val="11"/>
  </w:num>
  <w:num w:numId="18">
    <w:abstractNumId w:val="3"/>
  </w:num>
  <w:num w:numId="19">
    <w:abstractNumId w:val="4"/>
  </w:num>
  <w:num w:numId="20">
    <w:abstractNumId w:val="17"/>
  </w:num>
  <w:num w:numId="21">
    <w:abstractNumId w:val="23"/>
  </w:num>
  <w:num w:numId="22">
    <w:abstractNumId w:val="26"/>
  </w:num>
  <w:num w:numId="23">
    <w:abstractNumId w:val="7"/>
  </w:num>
  <w:num w:numId="24">
    <w:abstractNumId w:val="21"/>
  </w:num>
  <w:num w:numId="25">
    <w:abstractNumId w:val="27"/>
  </w:num>
  <w:num w:numId="26">
    <w:abstractNumId w:val="13"/>
  </w:num>
  <w:num w:numId="27">
    <w:abstractNumId w:val="14"/>
  </w:num>
  <w:num w:numId="28">
    <w:abstractNumId w:val="15"/>
  </w:num>
  <w:num w:numId="29">
    <w:abstractNumId w:val="10"/>
  </w:num>
  <w:num w:numId="30">
    <w:abstractNumId w:val="2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linkStyl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990944"/>
    <w:rsid w:val="00000AB2"/>
    <w:rsid w:val="0000108B"/>
    <w:rsid w:val="000012BF"/>
    <w:rsid w:val="0000163B"/>
    <w:rsid w:val="0000212B"/>
    <w:rsid w:val="00002624"/>
    <w:rsid w:val="00003013"/>
    <w:rsid w:val="00003A39"/>
    <w:rsid w:val="0000463E"/>
    <w:rsid w:val="00004979"/>
    <w:rsid w:val="00004FBC"/>
    <w:rsid w:val="00005395"/>
    <w:rsid w:val="00005AF6"/>
    <w:rsid w:val="00006C91"/>
    <w:rsid w:val="00006D3A"/>
    <w:rsid w:val="0000750A"/>
    <w:rsid w:val="000079D6"/>
    <w:rsid w:val="00010326"/>
    <w:rsid w:val="00010C86"/>
    <w:rsid w:val="000111D5"/>
    <w:rsid w:val="00011E63"/>
    <w:rsid w:val="00011FDA"/>
    <w:rsid w:val="000132BB"/>
    <w:rsid w:val="000151CF"/>
    <w:rsid w:val="0001652B"/>
    <w:rsid w:val="000168B0"/>
    <w:rsid w:val="00017112"/>
    <w:rsid w:val="00020360"/>
    <w:rsid w:val="00020523"/>
    <w:rsid w:val="00020C2D"/>
    <w:rsid w:val="00021680"/>
    <w:rsid w:val="00022996"/>
    <w:rsid w:val="00022B32"/>
    <w:rsid w:val="00022C0D"/>
    <w:rsid w:val="0002355F"/>
    <w:rsid w:val="00023651"/>
    <w:rsid w:val="00023851"/>
    <w:rsid w:val="00023CCC"/>
    <w:rsid w:val="00023F19"/>
    <w:rsid w:val="0002438A"/>
    <w:rsid w:val="00025037"/>
    <w:rsid w:val="000257B0"/>
    <w:rsid w:val="00026A4D"/>
    <w:rsid w:val="00026CF5"/>
    <w:rsid w:val="00027B30"/>
    <w:rsid w:val="0003113C"/>
    <w:rsid w:val="00031520"/>
    <w:rsid w:val="00031E42"/>
    <w:rsid w:val="00031EE1"/>
    <w:rsid w:val="00032072"/>
    <w:rsid w:val="000324BF"/>
    <w:rsid w:val="0003285D"/>
    <w:rsid w:val="0003370D"/>
    <w:rsid w:val="000339C8"/>
    <w:rsid w:val="00033D85"/>
    <w:rsid w:val="0003412A"/>
    <w:rsid w:val="00034B5D"/>
    <w:rsid w:val="00034D1E"/>
    <w:rsid w:val="000353C8"/>
    <w:rsid w:val="00035457"/>
    <w:rsid w:val="00035A29"/>
    <w:rsid w:val="000400B7"/>
    <w:rsid w:val="00040121"/>
    <w:rsid w:val="00040578"/>
    <w:rsid w:val="00040838"/>
    <w:rsid w:val="0004087B"/>
    <w:rsid w:val="00040FC9"/>
    <w:rsid w:val="00041536"/>
    <w:rsid w:val="00042992"/>
    <w:rsid w:val="00042EB5"/>
    <w:rsid w:val="00043F09"/>
    <w:rsid w:val="000443E3"/>
    <w:rsid w:val="00044840"/>
    <w:rsid w:val="000448B2"/>
    <w:rsid w:val="00044936"/>
    <w:rsid w:val="00044A33"/>
    <w:rsid w:val="00044E78"/>
    <w:rsid w:val="000454CF"/>
    <w:rsid w:val="000475F0"/>
    <w:rsid w:val="00047C8A"/>
    <w:rsid w:val="00051329"/>
    <w:rsid w:val="00051353"/>
    <w:rsid w:val="0005272E"/>
    <w:rsid w:val="0005360E"/>
    <w:rsid w:val="000538F1"/>
    <w:rsid w:val="00054366"/>
    <w:rsid w:val="000550E8"/>
    <w:rsid w:val="00055178"/>
    <w:rsid w:val="00055A8B"/>
    <w:rsid w:val="00056A56"/>
    <w:rsid w:val="000570B5"/>
    <w:rsid w:val="00057683"/>
    <w:rsid w:val="00057748"/>
    <w:rsid w:val="00057FD6"/>
    <w:rsid w:val="00060047"/>
    <w:rsid w:val="000609F3"/>
    <w:rsid w:val="00061A5A"/>
    <w:rsid w:val="00061E17"/>
    <w:rsid w:val="00061E9C"/>
    <w:rsid w:val="00061FB1"/>
    <w:rsid w:val="0006267A"/>
    <w:rsid w:val="0006292D"/>
    <w:rsid w:val="00062BCE"/>
    <w:rsid w:val="00062DBA"/>
    <w:rsid w:val="00063358"/>
    <w:rsid w:val="00063B9E"/>
    <w:rsid w:val="000641D5"/>
    <w:rsid w:val="00064EB7"/>
    <w:rsid w:val="00065307"/>
    <w:rsid w:val="00065F5A"/>
    <w:rsid w:val="00067452"/>
    <w:rsid w:val="000711DC"/>
    <w:rsid w:val="000716B7"/>
    <w:rsid w:val="00071E66"/>
    <w:rsid w:val="00073161"/>
    <w:rsid w:val="00073D24"/>
    <w:rsid w:val="00074322"/>
    <w:rsid w:val="0007449B"/>
    <w:rsid w:val="0007501A"/>
    <w:rsid w:val="00075A08"/>
    <w:rsid w:val="0007677B"/>
    <w:rsid w:val="0007727C"/>
    <w:rsid w:val="00077967"/>
    <w:rsid w:val="00077FE9"/>
    <w:rsid w:val="000801F9"/>
    <w:rsid w:val="00081423"/>
    <w:rsid w:val="000815EE"/>
    <w:rsid w:val="00082B04"/>
    <w:rsid w:val="00082E46"/>
    <w:rsid w:val="0008398F"/>
    <w:rsid w:val="00083D90"/>
    <w:rsid w:val="000848C2"/>
    <w:rsid w:val="000849D4"/>
    <w:rsid w:val="00084ED7"/>
    <w:rsid w:val="0008539E"/>
    <w:rsid w:val="00085EA6"/>
    <w:rsid w:val="00086A26"/>
    <w:rsid w:val="0008723F"/>
    <w:rsid w:val="00087B16"/>
    <w:rsid w:val="000914EA"/>
    <w:rsid w:val="000915EB"/>
    <w:rsid w:val="000920C0"/>
    <w:rsid w:val="0009228F"/>
    <w:rsid w:val="0009334F"/>
    <w:rsid w:val="00093BAD"/>
    <w:rsid w:val="00093D27"/>
    <w:rsid w:val="00094300"/>
    <w:rsid w:val="00094489"/>
    <w:rsid w:val="00094C9D"/>
    <w:rsid w:val="000959A3"/>
    <w:rsid w:val="00096E01"/>
    <w:rsid w:val="00096FCC"/>
    <w:rsid w:val="00097172"/>
    <w:rsid w:val="00097395"/>
    <w:rsid w:val="000975CE"/>
    <w:rsid w:val="00097627"/>
    <w:rsid w:val="000A0ABD"/>
    <w:rsid w:val="000A100A"/>
    <w:rsid w:val="000A1BE9"/>
    <w:rsid w:val="000A1D14"/>
    <w:rsid w:val="000A22BA"/>
    <w:rsid w:val="000A3BFB"/>
    <w:rsid w:val="000A46D3"/>
    <w:rsid w:val="000A4993"/>
    <w:rsid w:val="000A517B"/>
    <w:rsid w:val="000A5301"/>
    <w:rsid w:val="000A5E16"/>
    <w:rsid w:val="000A64F4"/>
    <w:rsid w:val="000A653B"/>
    <w:rsid w:val="000B00AB"/>
    <w:rsid w:val="000B0584"/>
    <w:rsid w:val="000B05FD"/>
    <w:rsid w:val="000B0A6A"/>
    <w:rsid w:val="000B0EE0"/>
    <w:rsid w:val="000B1092"/>
    <w:rsid w:val="000B1FD6"/>
    <w:rsid w:val="000B2420"/>
    <w:rsid w:val="000B2C66"/>
    <w:rsid w:val="000B2ED8"/>
    <w:rsid w:val="000B40C1"/>
    <w:rsid w:val="000B4C2C"/>
    <w:rsid w:val="000B51F0"/>
    <w:rsid w:val="000B5999"/>
    <w:rsid w:val="000B60FA"/>
    <w:rsid w:val="000B6290"/>
    <w:rsid w:val="000B6B96"/>
    <w:rsid w:val="000C12BE"/>
    <w:rsid w:val="000C12F5"/>
    <w:rsid w:val="000C18F4"/>
    <w:rsid w:val="000C1F7A"/>
    <w:rsid w:val="000C2E8D"/>
    <w:rsid w:val="000C324D"/>
    <w:rsid w:val="000C3E2D"/>
    <w:rsid w:val="000C4042"/>
    <w:rsid w:val="000C456B"/>
    <w:rsid w:val="000C4BF0"/>
    <w:rsid w:val="000C5016"/>
    <w:rsid w:val="000C5B5E"/>
    <w:rsid w:val="000C628C"/>
    <w:rsid w:val="000C6648"/>
    <w:rsid w:val="000C66DD"/>
    <w:rsid w:val="000C6BC2"/>
    <w:rsid w:val="000C722E"/>
    <w:rsid w:val="000C7572"/>
    <w:rsid w:val="000C759F"/>
    <w:rsid w:val="000C7BE6"/>
    <w:rsid w:val="000D00B0"/>
    <w:rsid w:val="000D0B75"/>
    <w:rsid w:val="000D1424"/>
    <w:rsid w:val="000D1D17"/>
    <w:rsid w:val="000D1FAE"/>
    <w:rsid w:val="000D23E8"/>
    <w:rsid w:val="000D2786"/>
    <w:rsid w:val="000D2A68"/>
    <w:rsid w:val="000D3261"/>
    <w:rsid w:val="000D33E2"/>
    <w:rsid w:val="000D4A19"/>
    <w:rsid w:val="000D4D3E"/>
    <w:rsid w:val="000D4F26"/>
    <w:rsid w:val="000D5081"/>
    <w:rsid w:val="000D5115"/>
    <w:rsid w:val="000D5136"/>
    <w:rsid w:val="000D5490"/>
    <w:rsid w:val="000D5E4A"/>
    <w:rsid w:val="000D63A8"/>
    <w:rsid w:val="000D6578"/>
    <w:rsid w:val="000D685E"/>
    <w:rsid w:val="000D72B4"/>
    <w:rsid w:val="000D7783"/>
    <w:rsid w:val="000E08D7"/>
    <w:rsid w:val="000E0EF8"/>
    <w:rsid w:val="000E1237"/>
    <w:rsid w:val="000E1F7F"/>
    <w:rsid w:val="000E2B40"/>
    <w:rsid w:val="000E3182"/>
    <w:rsid w:val="000E3836"/>
    <w:rsid w:val="000E3FA6"/>
    <w:rsid w:val="000E48BB"/>
    <w:rsid w:val="000E4F21"/>
    <w:rsid w:val="000E4F5E"/>
    <w:rsid w:val="000E5398"/>
    <w:rsid w:val="000E5911"/>
    <w:rsid w:val="000E5928"/>
    <w:rsid w:val="000E6083"/>
    <w:rsid w:val="000E618B"/>
    <w:rsid w:val="000F0665"/>
    <w:rsid w:val="000F106C"/>
    <w:rsid w:val="000F1602"/>
    <w:rsid w:val="000F1F57"/>
    <w:rsid w:val="000F1FB7"/>
    <w:rsid w:val="000F21A5"/>
    <w:rsid w:val="000F2561"/>
    <w:rsid w:val="000F2591"/>
    <w:rsid w:val="000F2780"/>
    <w:rsid w:val="000F2F8A"/>
    <w:rsid w:val="000F3F77"/>
    <w:rsid w:val="000F4759"/>
    <w:rsid w:val="000F491D"/>
    <w:rsid w:val="000F4BF4"/>
    <w:rsid w:val="000F4BF7"/>
    <w:rsid w:val="000F4D0F"/>
    <w:rsid w:val="000F4E64"/>
    <w:rsid w:val="000F5441"/>
    <w:rsid w:val="000F5733"/>
    <w:rsid w:val="000F5922"/>
    <w:rsid w:val="000F69D1"/>
    <w:rsid w:val="000F7178"/>
    <w:rsid w:val="000F7224"/>
    <w:rsid w:val="000F7B83"/>
    <w:rsid w:val="0010099C"/>
    <w:rsid w:val="0010151D"/>
    <w:rsid w:val="00101641"/>
    <w:rsid w:val="00101A08"/>
    <w:rsid w:val="00101B3A"/>
    <w:rsid w:val="00102590"/>
    <w:rsid w:val="00102B0D"/>
    <w:rsid w:val="00104F5C"/>
    <w:rsid w:val="0010573C"/>
    <w:rsid w:val="00106B4A"/>
    <w:rsid w:val="00106C83"/>
    <w:rsid w:val="00106E25"/>
    <w:rsid w:val="00106FE5"/>
    <w:rsid w:val="001071D0"/>
    <w:rsid w:val="00107379"/>
    <w:rsid w:val="00107FD2"/>
    <w:rsid w:val="00110A64"/>
    <w:rsid w:val="00110D07"/>
    <w:rsid w:val="00110F60"/>
    <w:rsid w:val="001110AA"/>
    <w:rsid w:val="001112A8"/>
    <w:rsid w:val="00111D53"/>
    <w:rsid w:val="00112FBF"/>
    <w:rsid w:val="001131FB"/>
    <w:rsid w:val="0011367C"/>
    <w:rsid w:val="00113A91"/>
    <w:rsid w:val="001158DB"/>
    <w:rsid w:val="00115C73"/>
    <w:rsid w:val="00116332"/>
    <w:rsid w:val="001164D3"/>
    <w:rsid w:val="001167CD"/>
    <w:rsid w:val="00116BF5"/>
    <w:rsid w:val="00117164"/>
    <w:rsid w:val="00120067"/>
    <w:rsid w:val="00121751"/>
    <w:rsid w:val="00121C73"/>
    <w:rsid w:val="00122169"/>
    <w:rsid w:val="001222DD"/>
    <w:rsid w:val="001233FE"/>
    <w:rsid w:val="00123936"/>
    <w:rsid w:val="00123B25"/>
    <w:rsid w:val="001248DF"/>
    <w:rsid w:val="00124E23"/>
    <w:rsid w:val="00125097"/>
    <w:rsid w:val="00125255"/>
    <w:rsid w:val="001260AD"/>
    <w:rsid w:val="00126452"/>
    <w:rsid w:val="001266A0"/>
    <w:rsid w:val="00127066"/>
    <w:rsid w:val="00127393"/>
    <w:rsid w:val="00127B60"/>
    <w:rsid w:val="00127E94"/>
    <w:rsid w:val="00131261"/>
    <w:rsid w:val="00131445"/>
    <w:rsid w:val="001314C8"/>
    <w:rsid w:val="0013240D"/>
    <w:rsid w:val="0013280E"/>
    <w:rsid w:val="00132ADA"/>
    <w:rsid w:val="00132FC7"/>
    <w:rsid w:val="001331E5"/>
    <w:rsid w:val="0013353A"/>
    <w:rsid w:val="00134490"/>
    <w:rsid w:val="00134AA2"/>
    <w:rsid w:val="00134BE9"/>
    <w:rsid w:val="001355BC"/>
    <w:rsid w:val="00135CB6"/>
    <w:rsid w:val="0013634F"/>
    <w:rsid w:val="00136678"/>
    <w:rsid w:val="0013732C"/>
    <w:rsid w:val="001377A2"/>
    <w:rsid w:val="001408D1"/>
    <w:rsid w:val="001410D6"/>
    <w:rsid w:val="00141C80"/>
    <w:rsid w:val="00142B8E"/>
    <w:rsid w:val="00143754"/>
    <w:rsid w:val="00143D6F"/>
    <w:rsid w:val="0014556E"/>
    <w:rsid w:val="001456DB"/>
    <w:rsid w:val="00145AE9"/>
    <w:rsid w:val="00147823"/>
    <w:rsid w:val="00147F7B"/>
    <w:rsid w:val="00150159"/>
    <w:rsid w:val="00150737"/>
    <w:rsid w:val="0015117F"/>
    <w:rsid w:val="0015195D"/>
    <w:rsid w:val="00152044"/>
    <w:rsid w:val="0015206D"/>
    <w:rsid w:val="001520D9"/>
    <w:rsid w:val="001536AE"/>
    <w:rsid w:val="00153E3C"/>
    <w:rsid w:val="00154030"/>
    <w:rsid w:val="00154ED5"/>
    <w:rsid w:val="00155921"/>
    <w:rsid w:val="00156417"/>
    <w:rsid w:val="0015687C"/>
    <w:rsid w:val="00157978"/>
    <w:rsid w:val="001579F3"/>
    <w:rsid w:val="00157C33"/>
    <w:rsid w:val="0016004E"/>
    <w:rsid w:val="0016022B"/>
    <w:rsid w:val="001607D4"/>
    <w:rsid w:val="0016085C"/>
    <w:rsid w:val="001609DA"/>
    <w:rsid w:val="00161109"/>
    <w:rsid w:val="00161B2C"/>
    <w:rsid w:val="0016253B"/>
    <w:rsid w:val="00163665"/>
    <w:rsid w:val="00163E37"/>
    <w:rsid w:val="001643A4"/>
    <w:rsid w:val="0016484D"/>
    <w:rsid w:val="00165316"/>
    <w:rsid w:val="00165E2B"/>
    <w:rsid w:val="00165FFE"/>
    <w:rsid w:val="00166D2D"/>
    <w:rsid w:val="00167462"/>
    <w:rsid w:val="00167CDF"/>
    <w:rsid w:val="00170444"/>
    <w:rsid w:val="00170559"/>
    <w:rsid w:val="00170623"/>
    <w:rsid w:val="00170C7D"/>
    <w:rsid w:val="00171FBD"/>
    <w:rsid w:val="0017269D"/>
    <w:rsid w:val="0017277F"/>
    <w:rsid w:val="00172D90"/>
    <w:rsid w:val="001734FD"/>
    <w:rsid w:val="001735E5"/>
    <w:rsid w:val="001742B6"/>
    <w:rsid w:val="001747FB"/>
    <w:rsid w:val="00175239"/>
    <w:rsid w:val="00175AD9"/>
    <w:rsid w:val="00175BB0"/>
    <w:rsid w:val="001763A6"/>
    <w:rsid w:val="001764FE"/>
    <w:rsid w:val="001766B2"/>
    <w:rsid w:val="001769D3"/>
    <w:rsid w:val="00176A1A"/>
    <w:rsid w:val="00176BDC"/>
    <w:rsid w:val="00176E57"/>
    <w:rsid w:val="001770BD"/>
    <w:rsid w:val="001770C6"/>
    <w:rsid w:val="001778F4"/>
    <w:rsid w:val="00177BD5"/>
    <w:rsid w:val="00180B27"/>
    <w:rsid w:val="00180E48"/>
    <w:rsid w:val="0018103C"/>
    <w:rsid w:val="001814F1"/>
    <w:rsid w:val="001819B8"/>
    <w:rsid w:val="001822D8"/>
    <w:rsid w:val="00182D68"/>
    <w:rsid w:val="00183050"/>
    <w:rsid w:val="00183E1C"/>
    <w:rsid w:val="00183F2A"/>
    <w:rsid w:val="00184300"/>
    <w:rsid w:val="0018432B"/>
    <w:rsid w:val="00190A8C"/>
    <w:rsid w:val="00190BB1"/>
    <w:rsid w:val="00191163"/>
    <w:rsid w:val="00191471"/>
    <w:rsid w:val="001916F6"/>
    <w:rsid w:val="001921B6"/>
    <w:rsid w:val="001927A0"/>
    <w:rsid w:val="00192941"/>
    <w:rsid w:val="00192F08"/>
    <w:rsid w:val="001931FE"/>
    <w:rsid w:val="0019321A"/>
    <w:rsid w:val="00194B98"/>
    <w:rsid w:val="00194DE0"/>
    <w:rsid w:val="001950C5"/>
    <w:rsid w:val="001955B2"/>
    <w:rsid w:val="00195662"/>
    <w:rsid w:val="0019570B"/>
    <w:rsid w:val="0019692C"/>
    <w:rsid w:val="00196E23"/>
    <w:rsid w:val="001A0C56"/>
    <w:rsid w:val="001A147C"/>
    <w:rsid w:val="001A23AC"/>
    <w:rsid w:val="001A3FF9"/>
    <w:rsid w:val="001A4554"/>
    <w:rsid w:val="001A527E"/>
    <w:rsid w:val="001A54C8"/>
    <w:rsid w:val="001A59BA"/>
    <w:rsid w:val="001A5D9D"/>
    <w:rsid w:val="001A60E7"/>
    <w:rsid w:val="001A6180"/>
    <w:rsid w:val="001A73AB"/>
    <w:rsid w:val="001A742D"/>
    <w:rsid w:val="001A7572"/>
    <w:rsid w:val="001A7C5A"/>
    <w:rsid w:val="001A7D67"/>
    <w:rsid w:val="001B026E"/>
    <w:rsid w:val="001B0EFA"/>
    <w:rsid w:val="001B12EA"/>
    <w:rsid w:val="001B1FB5"/>
    <w:rsid w:val="001B208B"/>
    <w:rsid w:val="001B2407"/>
    <w:rsid w:val="001B2787"/>
    <w:rsid w:val="001B2E13"/>
    <w:rsid w:val="001B2EA4"/>
    <w:rsid w:val="001B37E3"/>
    <w:rsid w:val="001B3E51"/>
    <w:rsid w:val="001B3E8F"/>
    <w:rsid w:val="001B43AE"/>
    <w:rsid w:val="001B567C"/>
    <w:rsid w:val="001B5895"/>
    <w:rsid w:val="001B699D"/>
    <w:rsid w:val="001B6EDB"/>
    <w:rsid w:val="001B7506"/>
    <w:rsid w:val="001B7EA3"/>
    <w:rsid w:val="001C05C5"/>
    <w:rsid w:val="001C06E1"/>
    <w:rsid w:val="001C09B3"/>
    <w:rsid w:val="001C1859"/>
    <w:rsid w:val="001C1A3B"/>
    <w:rsid w:val="001C23A6"/>
    <w:rsid w:val="001C32E6"/>
    <w:rsid w:val="001C3685"/>
    <w:rsid w:val="001C3945"/>
    <w:rsid w:val="001C4138"/>
    <w:rsid w:val="001C5F06"/>
    <w:rsid w:val="001C5FFF"/>
    <w:rsid w:val="001C67E5"/>
    <w:rsid w:val="001C6B8D"/>
    <w:rsid w:val="001C7008"/>
    <w:rsid w:val="001C7547"/>
    <w:rsid w:val="001C79BF"/>
    <w:rsid w:val="001C7A0F"/>
    <w:rsid w:val="001C7E90"/>
    <w:rsid w:val="001C7EC2"/>
    <w:rsid w:val="001D0669"/>
    <w:rsid w:val="001D06A1"/>
    <w:rsid w:val="001D0AD9"/>
    <w:rsid w:val="001D1348"/>
    <w:rsid w:val="001D146F"/>
    <w:rsid w:val="001D1601"/>
    <w:rsid w:val="001D18D9"/>
    <w:rsid w:val="001D2531"/>
    <w:rsid w:val="001D2814"/>
    <w:rsid w:val="001D3A7F"/>
    <w:rsid w:val="001D4017"/>
    <w:rsid w:val="001D43E8"/>
    <w:rsid w:val="001D4A9E"/>
    <w:rsid w:val="001D6A0D"/>
    <w:rsid w:val="001D742B"/>
    <w:rsid w:val="001D77DC"/>
    <w:rsid w:val="001D78D3"/>
    <w:rsid w:val="001E0140"/>
    <w:rsid w:val="001E088C"/>
    <w:rsid w:val="001E0AD3"/>
    <w:rsid w:val="001E142C"/>
    <w:rsid w:val="001E1D44"/>
    <w:rsid w:val="001E1DEF"/>
    <w:rsid w:val="001E2486"/>
    <w:rsid w:val="001E25F5"/>
    <w:rsid w:val="001E2D0A"/>
    <w:rsid w:val="001E2EBD"/>
    <w:rsid w:val="001E3396"/>
    <w:rsid w:val="001E35D2"/>
    <w:rsid w:val="001E3AD1"/>
    <w:rsid w:val="001E3D52"/>
    <w:rsid w:val="001E40AC"/>
    <w:rsid w:val="001E41E6"/>
    <w:rsid w:val="001E491E"/>
    <w:rsid w:val="001E5FD4"/>
    <w:rsid w:val="001E66C7"/>
    <w:rsid w:val="001E6C07"/>
    <w:rsid w:val="001E6EEF"/>
    <w:rsid w:val="001E7164"/>
    <w:rsid w:val="001E76BC"/>
    <w:rsid w:val="001F0A34"/>
    <w:rsid w:val="001F0F12"/>
    <w:rsid w:val="001F16B3"/>
    <w:rsid w:val="001F1A29"/>
    <w:rsid w:val="001F1CC9"/>
    <w:rsid w:val="001F1F73"/>
    <w:rsid w:val="001F2B47"/>
    <w:rsid w:val="001F2C68"/>
    <w:rsid w:val="001F2F73"/>
    <w:rsid w:val="001F367B"/>
    <w:rsid w:val="001F3B48"/>
    <w:rsid w:val="001F3E57"/>
    <w:rsid w:val="001F3F59"/>
    <w:rsid w:val="001F409F"/>
    <w:rsid w:val="001F5218"/>
    <w:rsid w:val="001F53F2"/>
    <w:rsid w:val="001F5EA3"/>
    <w:rsid w:val="001F606B"/>
    <w:rsid w:val="001F642F"/>
    <w:rsid w:val="001F69AF"/>
    <w:rsid w:val="001F6A73"/>
    <w:rsid w:val="001F6C19"/>
    <w:rsid w:val="001F7A89"/>
    <w:rsid w:val="001F7C50"/>
    <w:rsid w:val="001F7CE2"/>
    <w:rsid w:val="00200675"/>
    <w:rsid w:val="00200FB4"/>
    <w:rsid w:val="00200FF6"/>
    <w:rsid w:val="00201334"/>
    <w:rsid w:val="00201507"/>
    <w:rsid w:val="00203717"/>
    <w:rsid w:val="0020382F"/>
    <w:rsid w:val="00203CF4"/>
    <w:rsid w:val="002043B9"/>
    <w:rsid w:val="002048D0"/>
    <w:rsid w:val="0020668A"/>
    <w:rsid w:val="002069F7"/>
    <w:rsid w:val="00206C10"/>
    <w:rsid w:val="00206DA7"/>
    <w:rsid w:val="002076BC"/>
    <w:rsid w:val="00207807"/>
    <w:rsid w:val="00210110"/>
    <w:rsid w:val="00210552"/>
    <w:rsid w:val="00210ADF"/>
    <w:rsid w:val="00210C6E"/>
    <w:rsid w:val="00213EE8"/>
    <w:rsid w:val="002142BD"/>
    <w:rsid w:val="00214882"/>
    <w:rsid w:val="0021552E"/>
    <w:rsid w:val="002155A2"/>
    <w:rsid w:val="002159FC"/>
    <w:rsid w:val="00215B30"/>
    <w:rsid w:val="00215BB1"/>
    <w:rsid w:val="00216530"/>
    <w:rsid w:val="00217596"/>
    <w:rsid w:val="002176CC"/>
    <w:rsid w:val="00217A63"/>
    <w:rsid w:val="00217E43"/>
    <w:rsid w:val="00220C19"/>
    <w:rsid w:val="00220FE1"/>
    <w:rsid w:val="0022115D"/>
    <w:rsid w:val="00222577"/>
    <w:rsid w:val="00222815"/>
    <w:rsid w:val="00223134"/>
    <w:rsid w:val="002238DD"/>
    <w:rsid w:val="00223CB4"/>
    <w:rsid w:val="00223F22"/>
    <w:rsid w:val="00224222"/>
    <w:rsid w:val="002249A4"/>
    <w:rsid w:val="00224D4F"/>
    <w:rsid w:val="002254F3"/>
    <w:rsid w:val="00225EC2"/>
    <w:rsid w:val="00226541"/>
    <w:rsid w:val="002279AF"/>
    <w:rsid w:val="002306AB"/>
    <w:rsid w:val="002308FB"/>
    <w:rsid w:val="0023154A"/>
    <w:rsid w:val="00231BE9"/>
    <w:rsid w:val="00234A87"/>
    <w:rsid w:val="00234C17"/>
    <w:rsid w:val="00234F56"/>
    <w:rsid w:val="0023513A"/>
    <w:rsid w:val="00235C82"/>
    <w:rsid w:val="002362C7"/>
    <w:rsid w:val="00236AD2"/>
    <w:rsid w:val="0024133A"/>
    <w:rsid w:val="002413EC"/>
    <w:rsid w:val="002416E7"/>
    <w:rsid w:val="00241E8C"/>
    <w:rsid w:val="002421C0"/>
    <w:rsid w:val="0024286C"/>
    <w:rsid w:val="00243FE1"/>
    <w:rsid w:val="0024516A"/>
    <w:rsid w:val="0024562B"/>
    <w:rsid w:val="0024599E"/>
    <w:rsid w:val="00245B56"/>
    <w:rsid w:val="00245FCA"/>
    <w:rsid w:val="002460CF"/>
    <w:rsid w:val="00247943"/>
    <w:rsid w:val="00247E00"/>
    <w:rsid w:val="002503DF"/>
    <w:rsid w:val="0025049A"/>
    <w:rsid w:val="0025057B"/>
    <w:rsid w:val="00251233"/>
    <w:rsid w:val="002515E2"/>
    <w:rsid w:val="00251EF9"/>
    <w:rsid w:val="0025235B"/>
    <w:rsid w:val="00252870"/>
    <w:rsid w:val="00252ABD"/>
    <w:rsid w:val="00252BBF"/>
    <w:rsid w:val="00252DDB"/>
    <w:rsid w:val="002532A3"/>
    <w:rsid w:val="00253AEE"/>
    <w:rsid w:val="00253C81"/>
    <w:rsid w:val="0025473A"/>
    <w:rsid w:val="00254A23"/>
    <w:rsid w:val="0025503A"/>
    <w:rsid w:val="00255708"/>
    <w:rsid w:val="0025607E"/>
    <w:rsid w:val="002562DA"/>
    <w:rsid w:val="002571D5"/>
    <w:rsid w:val="00260450"/>
    <w:rsid w:val="00260743"/>
    <w:rsid w:val="00261246"/>
    <w:rsid w:val="0026145E"/>
    <w:rsid w:val="00261607"/>
    <w:rsid w:val="00261881"/>
    <w:rsid w:val="00262371"/>
    <w:rsid w:val="002624EA"/>
    <w:rsid w:val="002625F2"/>
    <w:rsid w:val="0026386D"/>
    <w:rsid w:val="002639E8"/>
    <w:rsid w:val="0026415E"/>
    <w:rsid w:val="002645C9"/>
    <w:rsid w:val="002647CF"/>
    <w:rsid w:val="0026570F"/>
    <w:rsid w:val="0026628E"/>
    <w:rsid w:val="002665BB"/>
    <w:rsid w:val="00266672"/>
    <w:rsid w:val="0026711D"/>
    <w:rsid w:val="00267470"/>
    <w:rsid w:val="0027065D"/>
    <w:rsid w:val="002709EC"/>
    <w:rsid w:val="00270CC2"/>
    <w:rsid w:val="00270F67"/>
    <w:rsid w:val="0027123D"/>
    <w:rsid w:val="00272FFE"/>
    <w:rsid w:val="00273420"/>
    <w:rsid w:val="00273E24"/>
    <w:rsid w:val="002740E4"/>
    <w:rsid w:val="00274335"/>
    <w:rsid w:val="00274C31"/>
    <w:rsid w:val="00274F34"/>
    <w:rsid w:val="0027653F"/>
    <w:rsid w:val="00276580"/>
    <w:rsid w:val="0027722B"/>
    <w:rsid w:val="00277256"/>
    <w:rsid w:val="00277A7E"/>
    <w:rsid w:val="00280B06"/>
    <w:rsid w:val="00280BB1"/>
    <w:rsid w:val="00280D2A"/>
    <w:rsid w:val="00282255"/>
    <w:rsid w:val="00282DE9"/>
    <w:rsid w:val="00282E7F"/>
    <w:rsid w:val="00283202"/>
    <w:rsid w:val="00283261"/>
    <w:rsid w:val="002834ED"/>
    <w:rsid w:val="00283504"/>
    <w:rsid w:val="002836C3"/>
    <w:rsid w:val="002836F5"/>
    <w:rsid w:val="00284370"/>
    <w:rsid w:val="00285059"/>
    <w:rsid w:val="002851C6"/>
    <w:rsid w:val="002854BF"/>
    <w:rsid w:val="00285794"/>
    <w:rsid w:val="00287FE9"/>
    <w:rsid w:val="00290503"/>
    <w:rsid w:val="00290A9D"/>
    <w:rsid w:val="00290AC2"/>
    <w:rsid w:val="00290F74"/>
    <w:rsid w:val="00290FFF"/>
    <w:rsid w:val="00291663"/>
    <w:rsid w:val="0029205A"/>
    <w:rsid w:val="00292306"/>
    <w:rsid w:val="002925BF"/>
    <w:rsid w:val="00292C30"/>
    <w:rsid w:val="00293317"/>
    <w:rsid w:val="002935F9"/>
    <w:rsid w:val="00294019"/>
    <w:rsid w:val="00294493"/>
    <w:rsid w:val="00294A05"/>
    <w:rsid w:val="00294A58"/>
    <w:rsid w:val="00294C84"/>
    <w:rsid w:val="00294F09"/>
    <w:rsid w:val="002958DC"/>
    <w:rsid w:val="00296499"/>
    <w:rsid w:val="002968A5"/>
    <w:rsid w:val="002969D3"/>
    <w:rsid w:val="00296FD6"/>
    <w:rsid w:val="00297556"/>
    <w:rsid w:val="00297ACD"/>
    <w:rsid w:val="00297C1E"/>
    <w:rsid w:val="002A0A7F"/>
    <w:rsid w:val="002A0A81"/>
    <w:rsid w:val="002A0B11"/>
    <w:rsid w:val="002A1647"/>
    <w:rsid w:val="002A1D86"/>
    <w:rsid w:val="002A2271"/>
    <w:rsid w:val="002A2278"/>
    <w:rsid w:val="002A2299"/>
    <w:rsid w:val="002A251D"/>
    <w:rsid w:val="002A2B1F"/>
    <w:rsid w:val="002A3C44"/>
    <w:rsid w:val="002A4B63"/>
    <w:rsid w:val="002A4D0D"/>
    <w:rsid w:val="002A5B0E"/>
    <w:rsid w:val="002A5D9C"/>
    <w:rsid w:val="002A5FD1"/>
    <w:rsid w:val="002A6329"/>
    <w:rsid w:val="002A733C"/>
    <w:rsid w:val="002B0813"/>
    <w:rsid w:val="002B0857"/>
    <w:rsid w:val="002B0FDB"/>
    <w:rsid w:val="002B1436"/>
    <w:rsid w:val="002B18DE"/>
    <w:rsid w:val="002B1925"/>
    <w:rsid w:val="002B1D88"/>
    <w:rsid w:val="002B2A29"/>
    <w:rsid w:val="002B2B66"/>
    <w:rsid w:val="002B33EE"/>
    <w:rsid w:val="002B41A4"/>
    <w:rsid w:val="002B520A"/>
    <w:rsid w:val="002B7E01"/>
    <w:rsid w:val="002B7E6F"/>
    <w:rsid w:val="002B7F8C"/>
    <w:rsid w:val="002C0041"/>
    <w:rsid w:val="002C042E"/>
    <w:rsid w:val="002C0606"/>
    <w:rsid w:val="002C0754"/>
    <w:rsid w:val="002C0941"/>
    <w:rsid w:val="002C0F81"/>
    <w:rsid w:val="002C1E67"/>
    <w:rsid w:val="002C2598"/>
    <w:rsid w:val="002C2633"/>
    <w:rsid w:val="002C298C"/>
    <w:rsid w:val="002C2B00"/>
    <w:rsid w:val="002C37C7"/>
    <w:rsid w:val="002C3A4D"/>
    <w:rsid w:val="002C3ABC"/>
    <w:rsid w:val="002C43B5"/>
    <w:rsid w:val="002C5190"/>
    <w:rsid w:val="002C62D2"/>
    <w:rsid w:val="002C651D"/>
    <w:rsid w:val="002C79FF"/>
    <w:rsid w:val="002C7A27"/>
    <w:rsid w:val="002D176E"/>
    <w:rsid w:val="002D1DEA"/>
    <w:rsid w:val="002D211F"/>
    <w:rsid w:val="002D2866"/>
    <w:rsid w:val="002D3FF9"/>
    <w:rsid w:val="002D484D"/>
    <w:rsid w:val="002D4D63"/>
    <w:rsid w:val="002D619E"/>
    <w:rsid w:val="002D66A1"/>
    <w:rsid w:val="002D7095"/>
    <w:rsid w:val="002D78F7"/>
    <w:rsid w:val="002D7906"/>
    <w:rsid w:val="002D7DE0"/>
    <w:rsid w:val="002E016E"/>
    <w:rsid w:val="002E0850"/>
    <w:rsid w:val="002E0FCF"/>
    <w:rsid w:val="002E11AC"/>
    <w:rsid w:val="002E11FE"/>
    <w:rsid w:val="002E232F"/>
    <w:rsid w:val="002E2EBE"/>
    <w:rsid w:val="002E4012"/>
    <w:rsid w:val="002E40DF"/>
    <w:rsid w:val="002E4533"/>
    <w:rsid w:val="002E496E"/>
    <w:rsid w:val="002E4D6C"/>
    <w:rsid w:val="002E5AB9"/>
    <w:rsid w:val="002E5E71"/>
    <w:rsid w:val="002E5FFD"/>
    <w:rsid w:val="002E6315"/>
    <w:rsid w:val="002E6609"/>
    <w:rsid w:val="002F05A0"/>
    <w:rsid w:val="002F0FC8"/>
    <w:rsid w:val="002F1714"/>
    <w:rsid w:val="002F2082"/>
    <w:rsid w:val="002F269C"/>
    <w:rsid w:val="002F2C34"/>
    <w:rsid w:val="002F3762"/>
    <w:rsid w:val="002F4182"/>
    <w:rsid w:val="002F4BDD"/>
    <w:rsid w:val="002F5165"/>
    <w:rsid w:val="002F54D2"/>
    <w:rsid w:val="002F5643"/>
    <w:rsid w:val="002F591D"/>
    <w:rsid w:val="002F5D34"/>
    <w:rsid w:val="002F65C3"/>
    <w:rsid w:val="002F68BF"/>
    <w:rsid w:val="002F6EAB"/>
    <w:rsid w:val="002F7037"/>
    <w:rsid w:val="002F741D"/>
    <w:rsid w:val="00300B8A"/>
    <w:rsid w:val="00300DBE"/>
    <w:rsid w:val="003011EC"/>
    <w:rsid w:val="0030164F"/>
    <w:rsid w:val="00302559"/>
    <w:rsid w:val="0030369F"/>
    <w:rsid w:val="00304586"/>
    <w:rsid w:val="0030540F"/>
    <w:rsid w:val="00306242"/>
    <w:rsid w:val="00306ADD"/>
    <w:rsid w:val="00307584"/>
    <w:rsid w:val="003075E6"/>
    <w:rsid w:val="0030764D"/>
    <w:rsid w:val="00307CCC"/>
    <w:rsid w:val="00310820"/>
    <w:rsid w:val="00311A24"/>
    <w:rsid w:val="003127EC"/>
    <w:rsid w:val="003134B0"/>
    <w:rsid w:val="00313941"/>
    <w:rsid w:val="00313CAF"/>
    <w:rsid w:val="003147E1"/>
    <w:rsid w:val="00314D2F"/>
    <w:rsid w:val="0031500D"/>
    <w:rsid w:val="003153C6"/>
    <w:rsid w:val="003160DB"/>
    <w:rsid w:val="003171C4"/>
    <w:rsid w:val="003178BC"/>
    <w:rsid w:val="00317D2B"/>
    <w:rsid w:val="0032054F"/>
    <w:rsid w:val="00320AC6"/>
    <w:rsid w:val="003215B6"/>
    <w:rsid w:val="00321E7B"/>
    <w:rsid w:val="003220E4"/>
    <w:rsid w:val="00322C55"/>
    <w:rsid w:val="00322D9A"/>
    <w:rsid w:val="003232AD"/>
    <w:rsid w:val="003234D5"/>
    <w:rsid w:val="00323B82"/>
    <w:rsid w:val="00323DB1"/>
    <w:rsid w:val="00323EF8"/>
    <w:rsid w:val="00324380"/>
    <w:rsid w:val="003249DC"/>
    <w:rsid w:val="003252E1"/>
    <w:rsid w:val="0032668D"/>
    <w:rsid w:val="00327DA9"/>
    <w:rsid w:val="00330174"/>
    <w:rsid w:val="00331A62"/>
    <w:rsid w:val="00332655"/>
    <w:rsid w:val="00334126"/>
    <w:rsid w:val="00335F4C"/>
    <w:rsid w:val="00336254"/>
    <w:rsid w:val="003365C2"/>
    <w:rsid w:val="00336D41"/>
    <w:rsid w:val="0033708D"/>
    <w:rsid w:val="003371A4"/>
    <w:rsid w:val="003374E1"/>
    <w:rsid w:val="003377BB"/>
    <w:rsid w:val="0034075E"/>
    <w:rsid w:val="00341845"/>
    <w:rsid w:val="00341A26"/>
    <w:rsid w:val="00343185"/>
    <w:rsid w:val="00343ACF"/>
    <w:rsid w:val="00343E55"/>
    <w:rsid w:val="0034411A"/>
    <w:rsid w:val="00344190"/>
    <w:rsid w:val="003449DD"/>
    <w:rsid w:val="00344A7F"/>
    <w:rsid w:val="00344CEF"/>
    <w:rsid w:val="00345517"/>
    <w:rsid w:val="003461D5"/>
    <w:rsid w:val="0034721A"/>
    <w:rsid w:val="00347945"/>
    <w:rsid w:val="00347DB7"/>
    <w:rsid w:val="0035002F"/>
    <w:rsid w:val="00350C48"/>
    <w:rsid w:val="003515BC"/>
    <w:rsid w:val="00351823"/>
    <w:rsid w:val="0035266D"/>
    <w:rsid w:val="00352D82"/>
    <w:rsid w:val="003534F3"/>
    <w:rsid w:val="00353647"/>
    <w:rsid w:val="00354599"/>
    <w:rsid w:val="00354EF9"/>
    <w:rsid w:val="003556BF"/>
    <w:rsid w:val="00355E1B"/>
    <w:rsid w:val="00355FC0"/>
    <w:rsid w:val="00356072"/>
    <w:rsid w:val="003560E6"/>
    <w:rsid w:val="0035612E"/>
    <w:rsid w:val="00356A91"/>
    <w:rsid w:val="003571FB"/>
    <w:rsid w:val="00357EF3"/>
    <w:rsid w:val="0036019D"/>
    <w:rsid w:val="003608BB"/>
    <w:rsid w:val="00360916"/>
    <w:rsid w:val="00360E53"/>
    <w:rsid w:val="00360E88"/>
    <w:rsid w:val="00360E89"/>
    <w:rsid w:val="00360F51"/>
    <w:rsid w:val="00360FF2"/>
    <w:rsid w:val="0036159E"/>
    <w:rsid w:val="00361B54"/>
    <w:rsid w:val="0036210C"/>
    <w:rsid w:val="003622C2"/>
    <w:rsid w:val="00362EF6"/>
    <w:rsid w:val="00363BD1"/>
    <w:rsid w:val="00364434"/>
    <w:rsid w:val="00364855"/>
    <w:rsid w:val="00365805"/>
    <w:rsid w:val="00366024"/>
    <w:rsid w:val="003661AF"/>
    <w:rsid w:val="00366F18"/>
    <w:rsid w:val="0036753A"/>
    <w:rsid w:val="00367AF9"/>
    <w:rsid w:val="003701AF"/>
    <w:rsid w:val="003718BE"/>
    <w:rsid w:val="00371BAA"/>
    <w:rsid w:val="00371DC9"/>
    <w:rsid w:val="00371EEA"/>
    <w:rsid w:val="00372AB9"/>
    <w:rsid w:val="00373A65"/>
    <w:rsid w:val="00373F6B"/>
    <w:rsid w:val="00374DD8"/>
    <w:rsid w:val="00374EF1"/>
    <w:rsid w:val="003752F5"/>
    <w:rsid w:val="0037670E"/>
    <w:rsid w:val="0037788E"/>
    <w:rsid w:val="00380219"/>
    <w:rsid w:val="003802E2"/>
    <w:rsid w:val="00381F4A"/>
    <w:rsid w:val="00381FF4"/>
    <w:rsid w:val="003820CA"/>
    <w:rsid w:val="003832A1"/>
    <w:rsid w:val="00383BAA"/>
    <w:rsid w:val="003840B5"/>
    <w:rsid w:val="00384707"/>
    <w:rsid w:val="00384FA4"/>
    <w:rsid w:val="00385168"/>
    <w:rsid w:val="0038580B"/>
    <w:rsid w:val="00385F27"/>
    <w:rsid w:val="003861D7"/>
    <w:rsid w:val="00386D2D"/>
    <w:rsid w:val="00387920"/>
    <w:rsid w:val="003904BD"/>
    <w:rsid w:val="003904F1"/>
    <w:rsid w:val="00390B6C"/>
    <w:rsid w:val="00390C04"/>
    <w:rsid w:val="00391002"/>
    <w:rsid w:val="00391645"/>
    <w:rsid w:val="00391887"/>
    <w:rsid w:val="003918D7"/>
    <w:rsid w:val="003919FF"/>
    <w:rsid w:val="003921E3"/>
    <w:rsid w:val="00393A64"/>
    <w:rsid w:val="003940C0"/>
    <w:rsid w:val="003944CF"/>
    <w:rsid w:val="00395576"/>
    <w:rsid w:val="0039572E"/>
    <w:rsid w:val="003958DC"/>
    <w:rsid w:val="00395910"/>
    <w:rsid w:val="00395C0B"/>
    <w:rsid w:val="003966FC"/>
    <w:rsid w:val="0039682B"/>
    <w:rsid w:val="00396A83"/>
    <w:rsid w:val="00396BFB"/>
    <w:rsid w:val="003975F8"/>
    <w:rsid w:val="00397975"/>
    <w:rsid w:val="003A0243"/>
    <w:rsid w:val="003A02B0"/>
    <w:rsid w:val="003A08AA"/>
    <w:rsid w:val="003A2A28"/>
    <w:rsid w:val="003A2DA5"/>
    <w:rsid w:val="003A319E"/>
    <w:rsid w:val="003A345C"/>
    <w:rsid w:val="003A4AAB"/>
    <w:rsid w:val="003A5667"/>
    <w:rsid w:val="003A6133"/>
    <w:rsid w:val="003A656E"/>
    <w:rsid w:val="003A75D2"/>
    <w:rsid w:val="003B1007"/>
    <w:rsid w:val="003B1CBA"/>
    <w:rsid w:val="003B1DC3"/>
    <w:rsid w:val="003B30BE"/>
    <w:rsid w:val="003B37E2"/>
    <w:rsid w:val="003B3A05"/>
    <w:rsid w:val="003B3C75"/>
    <w:rsid w:val="003B3ED0"/>
    <w:rsid w:val="003B63B0"/>
    <w:rsid w:val="003B67C4"/>
    <w:rsid w:val="003B7467"/>
    <w:rsid w:val="003B78A9"/>
    <w:rsid w:val="003B7FFE"/>
    <w:rsid w:val="003C045D"/>
    <w:rsid w:val="003C0D87"/>
    <w:rsid w:val="003C1B18"/>
    <w:rsid w:val="003C1E08"/>
    <w:rsid w:val="003C271F"/>
    <w:rsid w:val="003C328F"/>
    <w:rsid w:val="003C3681"/>
    <w:rsid w:val="003C412A"/>
    <w:rsid w:val="003C4150"/>
    <w:rsid w:val="003C48B6"/>
    <w:rsid w:val="003C4B49"/>
    <w:rsid w:val="003C51B6"/>
    <w:rsid w:val="003C571E"/>
    <w:rsid w:val="003C5EA9"/>
    <w:rsid w:val="003C64C0"/>
    <w:rsid w:val="003C7784"/>
    <w:rsid w:val="003C7960"/>
    <w:rsid w:val="003C7C10"/>
    <w:rsid w:val="003D01CF"/>
    <w:rsid w:val="003D08C4"/>
    <w:rsid w:val="003D0A90"/>
    <w:rsid w:val="003D0F3F"/>
    <w:rsid w:val="003D1EAC"/>
    <w:rsid w:val="003D25B5"/>
    <w:rsid w:val="003D2D42"/>
    <w:rsid w:val="003D2F9E"/>
    <w:rsid w:val="003D3173"/>
    <w:rsid w:val="003D3462"/>
    <w:rsid w:val="003D3543"/>
    <w:rsid w:val="003D35E8"/>
    <w:rsid w:val="003D37D3"/>
    <w:rsid w:val="003D487D"/>
    <w:rsid w:val="003D4C4D"/>
    <w:rsid w:val="003D50CC"/>
    <w:rsid w:val="003D5349"/>
    <w:rsid w:val="003D53E1"/>
    <w:rsid w:val="003D579C"/>
    <w:rsid w:val="003D5BA3"/>
    <w:rsid w:val="003D640B"/>
    <w:rsid w:val="003D6894"/>
    <w:rsid w:val="003D6E55"/>
    <w:rsid w:val="003D7E06"/>
    <w:rsid w:val="003E0FE1"/>
    <w:rsid w:val="003E11C6"/>
    <w:rsid w:val="003E1E5C"/>
    <w:rsid w:val="003E1E5F"/>
    <w:rsid w:val="003E24FB"/>
    <w:rsid w:val="003E254A"/>
    <w:rsid w:val="003E2830"/>
    <w:rsid w:val="003E2A58"/>
    <w:rsid w:val="003E2D0E"/>
    <w:rsid w:val="003E32A5"/>
    <w:rsid w:val="003E5033"/>
    <w:rsid w:val="003E643C"/>
    <w:rsid w:val="003E6935"/>
    <w:rsid w:val="003E6958"/>
    <w:rsid w:val="003E6ABA"/>
    <w:rsid w:val="003E6C12"/>
    <w:rsid w:val="003E6D20"/>
    <w:rsid w:val="003E732A"/>
    <w:rsid w:val="003E7FB6"/>
    <w:rsid w:val="003F0139"/>
    <w:rsid w:val="003F03ED"/>
    <w:rsid w:val="003F0437"/>
    <w:rsid w:val="003F1156"/>
    <w:rsid w:val="003F1AF0"/>
    <w:rsid w:val="003F1F54"/>
    <w:rsid w:val="003F24FD"/>
    <w:rsid w:val="003F2580"/>
    <w:rsid w:val="003F2A46"/>
    <w:rsid w:val="003F2B11"/>
    <w:rsid w:val="003F3696"/>
    <w:rsid w:val="003F396A"/>
    <w:rsid w:val="003F3C82"/>
    <w:rsid w:val="003F4598"/>
    <w:rsid w:val="003F47BB"/>
    <w:rsid w:val="003F4AEB"/>
    <w:rsid w:val="003F4C59"/>
    <w:rsid w:val="003F5765"/>
    <w:rsid w:val="003F5B6D"/>
    <w:rsid w:val="003F6A29"/>
    <w:rsid w:val="003F7625"/>
    <w:rsid w:val="003F7B50"/>
    <w:rsid w:val="003F7CD2"/>
    <w:rsid w:val="00400379"/>
    <w:rsid w:val="0040085D"/>
    <w:rsid w:val="00401481"/>
    <w:rsid w:val="004014CB"/>
    <w:rsid w:val="00401650"/>
    <w:rsid w:val="004022F5"/>
    <w:rsid w:val="004027BA"/>
    <w:rsid w:val="0040316C"/>
    <w:rsid w:val="00403DF3"/>
    <w:rsid w:val="00404AFC"/>
    <w:rsid w:val="0040658D"/>
    <w:rsid w:val="00406761"/>
    <w:rsid w:val="00406960"/>
    <w:rsid w:val="004070CA"/>
    <w:rsid w:val="00407144"/>
    <w:rsid w:val="0040725C"/>
    <w:rsid w:val="00407AF3"/>
    <w:rsid w:val="00407CD4"/>
    <w:rsid w:val="00410718"/>
    <w:rsid w:val="00410D75"/>
    <w:rsid w:val="00410E1F"/>
    <w:rsid w:val="00411006"/>
    <w:rsid w:val="00412290"/>
    <w:rsid w:val="00412430"/>
    <w:rsid w:val="0041284E"/>
    <w:rsid w:val="004131E8"/>
    <w:rsid w:val="00413DD7"/>
    <w:rsid w:val="00415119"/>
    <w:rsid w:val="0041583F"/>
    <w:rsid w:val="0041625F"/>
    <w:rsid w:val="00416C76"/>
    <w:rsid w:val="00416DA4"/>
    <w:rsid w:val="0041746E"/>
    <w:rsid w:val="00417768"/>
    <w:rsid w:val="00417E02"/>
    <w:rsid w:val="00420080"/>
    <w:rsid w:val="00420605"/>
    <w:rsid w:val="00420B1B"/>
    <w:rsid w:val="004211DB"/>
    <w:rsid w:val="004214DB"/>
    <w:rsid w:val="00421EF0"/>
    <w:rsid w:val="0042271A"/>
    <w:rsid w:val="00423337"/>
    <w:rsid w:val="004243B0"/>
    <w:rsid w:val="0042525E"/>
    <w:rsid w:val="004252F4"/>
    <w:rsid w:val="004253D7"/>
    <w:rsid w:val="0042548E"/>
    <w:rsid w:val="00425B48"/>
    <w:rsid w:val="00427071"/>
    <w:rsid w:val="004270D9"/>
    <w:rsid w:val="00427141"/>
    <w:rsid w:val="00430140"/>
    <w:rsid w:val="004307B5"/>
    <w:rsid w:val="00430A2D"/>
    <w:rsid w:val="00430E05"/>
    <w:rsid w:val="00431237"/>
    <w:rsid w:val="0043177E"/>
    <w:rsid w:val="00432468"/>
    <w:rsid w:val="00432EF4"/>
    <w:rsid w:val="00432F7B"/>
    <w:rsid w:val="00433355"/>
    <w:rsid w:val="00433526"/>
    <w:rsid w:val="00433EEB"/>
    <w:rsid w:val="00434133"/>
    <w:rsid w:val="004341BD"/>
    <w:rsid w:val="004341DC"/>
    <w:rsid w:val="00434A01"/>
    <w:rsid w:val="00435DA8"/>
    <w:rsid w:val="00436543"/>
    <w:rsid w:val="00436EF2"/>
    <w:rsid w:val="00437361"/>
    <w:rsid w:val="004404D8"/>
    <w:rsid w:val="00442543"/>
    <w:rsid w:val="00442929"/>
    <w:rsid w:val="00443B3D"/>
    <w:rsid w:val="00443C12"/>
    <w:rsid w:val="00444C63"/>
    <w:rsid w:val="004459FE"/>
    <w:rsid w:val="00445F37"/>
    <w:rsid w:val="0044673B"/>
    <w:rsid w:val="00446996"/>
    <w:rsid w:val="00446D88"/>
    <w:rsid w:val="0044791F"/>
    <w:rsid w:val="00447C55"/>
    <w:rsid w:val="00447F85"/>
    <w:rsid w:val="00450065"/>
    <w:rsid w:val="00450915"/>
    <w:rsid w:val="00450C7A"/>
    <w:rsid w:val="00450CD8"/>
    <w:rsid w:val="00451096"/>
    <w:rsid w:val="004511E8"/>
    <w:rsid w:val="004518AF"/>
    <w:rsid w:val="00451E42"/>
    <w:rsid w:val="0045355F"/>
    <w:rsid w:val="004548E2"/>
    <w:rsid w:val="0045501F"/>
    <w:rsid w:val="004551B4"/>
    <w:rsid w:val="00455280"/>
    <w:rsid w:val="004553EF"/>
    <w:rsid w:val="00455721"/>
    <w:rsid w:val="004558C9"/>
    <w:rsid w:val="00455CC7"/>
    <w:rsid w:val="00455E06"/>
    <w:rsid w:val="00456133"/>
    <w:rsid w:val="004566CC"/>
    <w:rsid w:val="004577C3"/>
    <w:rsid w:val="004577EF"/>
    <w:rsid w:val="00460072"/>
    <w:rsid w:val="00460CE8"/>
    <w:rsid w:val="00461027"/>
    <w:rsid w:val="00461431"/>
    <w:rsid w:val="004621E1"/>
    <w:rsid w:val="00462E1E"/>
    <w:rsid w:val="00462E6E"/>
    <w:rsid w:val="00462FD5"/>
    <w:rsid w:val="00463579"/>
    <w:rsid w:val="004636DD"/>
    <w:rsid w:val="00463ACF"/>
    <w:rsid w:val="00463C38"/>
    <w:rsid w:val="004643C6"/>
    <w:rsid w:val="0046444D"/>
    <w:rsid w:val="004645C3"/>
    <w:rsid w:val="00464652"/>
    <w:rsid w:val="00464CE6"/>
    <w:rsid w:val="00464E0B"/>
    <w:rsid w:val="004652DC"/>
    <w:rsid w:val="00465604"/>
    <w:rsid w:val="00465716"/>
    <w:rsid w:val="00465998"/>
    <w:rsid w:val="00465BF4"/>
    <w:rsid w:val="00466471"/>
    <w:rsid w:val="00467022"/>
    <w:rsid w:val="00467092"/>
    <w:rsid w:val="00467103"/>
    <w:rsid w:val="004678AF"/>
    <w:rsid w:val="004678F1"/>
    <w:rsid w:val="00470026"/>
    <w:rsid w:val="00470570"/>
    <w:rsid w:val="0047125C"/>
    <w:rsid w:val="004716C7"/>
    <w:rsid w:val="00471A81"/>
    <w:rsid w:val="00472084"/>
    <w:rsid w:val="00472256"/>
    <w:rsid w:val="00472601"/>
    <w:rsid w:val="004739DC"/>
    <w:rsid w:val="00473D4A"/>
    <w:rsid w:val="00473E0D"/>
    <w:rsid w:val="004742C1"/>
    <w:rsid w:val="00476592"/>
    <w:rsid w:val="0047696A"/>
    <w:rsid w:val="00476A8F"/>
    <w:rsid w:val="004773A5"/>
    <w:rsid w:val="00477567"/>
    <w:rsid w:val="0048054A"/>
    <w:rsid w:val="004809C7"/>
    <w:rsid w:val="00481093"/>
    <w:rsid w:val="00481246"/>
    <w:rsid w:val="004813A8"/>
    <w:rsid w:val="00481740"/>
    <w:rsid w:val="00483E86"/>
    <w:rsid w:val="004843D3"/>
    <w:rsid w:val="00484A47"/>
    <w:rsid w:val="00484DEC"/>
    <w:rsid w:val="004865D2"/>
    <w:rsid w:val="00487002"/>
    <w:rsid w:val="004872B0"/>
    <w:rsid w:val="00487CF8"/>
    <w:rsid w:val="00490A21"/>
    <w:rsid w:val="00490E92"/>
    <w:rsid w:val="0049206C"/>
    <w:rsid w:val="0049262F"/>
    <w:rsid w:val="004929EC"/>
    <w:rsid w:val="00492CEB"/>
    <w:rsid w:val="004932C1"/>
    <w:rsid w:val="0049335A"/>
    <w:rsid w:val="004936BD"/>
    <w:rsid w:val="00493F9F"/>
    <w:rsid w:val="00494084"/>
    <w:rsid w:val="0049469B"/>
    <w:rsid w:val="00494A08"/>
    <w:rsid w:val="00494EEC"/>
    <w:rsid w:val="00495037"/>
    <w:rsid w:val="0049569E"/>
    <w:rsid w:val="004959AC"/>
    <w:rsid w:val="004959E4"/>
    <w:rsid w:val="00496A18"/>
    <w:rsid w:val="00497375"/>
    <w:rsid w:val="0049780B"/>
    <w:rsid w:val="00497949"/>
    <w:rsid w:val="00497DA1"/>
    <w:rsid w:val="004A027A"/>
    <w:rsid w:val="004A02E0"/>
    <w:rsid w:val="004A163D"/>
    <w:rsid w:val="004A1A6C"/>
    <w:rsid w:val="004A1E75"/>
    <w:rsid w:val="004A1E9F"/>
    <w:rsid w:val="004A244E"/>
    <w:rsid w:val="004A2A39"/>
    <w:rsid w:val="004A2B9B"/>
    <w:rsid w:val="004A2EAF"/>
    <w:rsid w:val="004A35E6"/>
    <w:rsid w:val="004A37E1"/>
    <w:rsid w:val="004A3B6B"/>
    <w:rsid w:val="004A401F"/>
    <w:rsid w:val="004A4602"/>
    <w:rsid w:val="004A4814"/>
    <w:rsid w:val="004A50BB"/>
    <w:rsid w:val="004A5A4A"/>
    <w:rsid w:val="004A5AAF"/>
    <w:rsid w:val="004A5D8C"/>
    <w:rsid w:val="004A683C"/>
    <w:rsid w:val="004A6CFB"/>
    <w:rsid w:val="004A7BB7"/>
    <w:rsid w:val="004B084F"/>
    <w:rsid w:val="004B1555"/>
    <w:rsid w:val="004B2061"/>
    <w:rsid w:val="004B2F7A"/>
    <w:rsid w:val="004B370D"/>
    <w:rsid w:val="004B3D14"/>
    <w:rsid w:val="004B3F97"/>
    <w:rsid w:val="004B4097"/>
    <w:rsid w:val="004B48F2"/>
    <w:rsid w:val="004B491A"/>
    <w:rsid w:val="004B5459"/>
    <w:rsid w:val="004B5557"/>
    <w:rsid w:val="004B6F6A"/>
    <w:rsid w:val="004B769B"/>
    <w:rsid w:val="004B7A4D"/>
    <w:rsid w:val="004C04AB"/>
    <w:rsid w:val="004C0A9B"/>
    <w:rsid w:val="004C0EE2"/>
    <w:rsid w:val="004C1161"/>
    <w:rsid w:val="004C18AE"/>
    <w:rsid w:val="004C1A2B"/>
    <w:rsid w:val="004C264F"/>
    <w:rsid w:val="004C3C7C"/>
    <w:rsid w:val="004C3CCC"/>
    <w:rsid w:val="004C4332"/>
    <w:rsid w:val="004C44FE"/>
    <w:rsid w:val="004C496B"/>
    <w:rsid w:val="004C4CE0"/>
    <w:rsid w:val="004C4DD6"/>
    <w:rsid w:val="004C4EBB"/>
    <w:rsid w:val="004C518B"/>
    <w:rsid w:val="004C5837"/>
    <w:rsid w:val="004C595F"/>
    <w:rsid w:val="004C7482"/>
    <w:rsid w:val="004C7667"/>
    <w:rsid w:val="004D0233"/>
    <w:rsid w:val="004D025A"/>
    <w:rsid w:val="004D1697"/>
    <w:rsid w:val="004D1BB8"/>
    <w:rsid w:val="004D2638"/>
    <w:rsid w:val="004D28D3"/>
    <w:rsid w:val="004D2B29"/>
    <w:rsid w:val="004D302E"/>
    <w:rsid w:val="004D3486"/>
    <w:rsid w:val="004D3AC5"/>
    <w:rsid w:val="004D3B57"/>
    <w:rsid w:val="004D3BEA"/>
    <w:rsid w:val="004D3F62"/>
    <w:rsid w:val="004D3FA6"/>
    <w:rsid w:val="004D495D"/>
    <w:rsid w:val="004D4F77"/>
    <w:rsid w:val="004D57EA"/>
    <w:rsid w:val="004D5ABA"/>
    <w:rsid w:val="004D5B2C"/>
    <w:rsid w:val="004D5BD7"/>
    <w:rsid w:val="004D5F06"/>
    <w:rsid w:val="004D606A"/>
    <w:rsid w:val="004D61BB"/>
    <w:rsid w:val="004D628F"/>
    <w:rsid w:val="004D63C5"/>
    <w:rsid w:val="004D6DEA"/>
    <w:rsid w:val="004D6ECF"/>
    <w:rsid w:val="004D73F0"/>
    <w:rsid w:val="004E12F6"/>
    <w:rsid w:val="004E1D2D"/>
    <w:rsid w:val="004E1DC7"/>
    <w:rsid w:val="004E2FC6"/>
    <w:rsid w:val="004E3013"/>
    <w:rsid w:val="004E304D"/>
    <w:rsid w:val="004E3914"/>
    <w:rsid w:val="004E3A51"/>
    <w:rsid w:val="004E3AE5"/>
    <w:rsid w:val="004E40F8"/>
    <w:rsid w:val="004E57FA"/>
    <w:rsid w:val="004E5B98"/>
    <w:rsid w:val="004E5BBC"/>
    <w:rsid w:val="004E6017"/>
    <w:rsid w:val="004E621D"/>
    <w:rsid w:val="004E6580"/>
    <w:rsid w:val="004E7B43"/>
    <w:rsid w:val="004E7C7E"/>
    <w:rsid w:val="004F08D9"/>
    <w:rsid w:val="004F094A"/>
    <w:rsid w:val="004F1BFD"/>
    <w:rsid w:val="004F1CA2"/>
    <w:rsid w:val="004F4E12"/>
    <w:rsid w:val="004F50FF"/>
    <w:rsid w:val="004F619A"/>
    <w:rsid w:val="004F6649"/>
    <w:rsid w:val="00500ED7"/>
    <w:rsid w:val="00501070"/>
    <w:rsid w:val="00501FAD"/>
    <w:rsid w:val="0050208C"/>
    <w:rsid w:val="00502C84"/>
    <w:rsid w:val="00503004"/>
    <w:rsid w:val="005039C0"/>
    <w:rsid w:val="00503AA2"/>
    <w:rsid w:val="00503C3F"/>
    <w:rsid w:val="005075CB"/>
    <w:rsid w:val="005104D5"/>
    <w:rsid w:val="00510783"/>
    <w:rsid w:val="00511406"/>
    <w:rsid w:val="0051174E"/>
    <w:rsid w:val="00512477"/>
    <w:rsid w:val="00512D8A"/>
    <w:rsid w:val="00512EC2"/>
    <w:rsid w:val="00513A3F"/>
    <w:rsid w:val="00513DC6"/>
    <w:rsid w:val="00513E16"/>
    <w:rsid w:val="0051489B"/>
    <w:rsid w:val="00514CAE"/>
    <w:rsid w:val="00514FF1"/>
    <w:rsid w:val="00515324"/>
    <w:rsid w:val="00516569"/>
    <w:rsid w:val="00516F6B"/>
    <w:rsid w:val="00517061"/>
    <w:rsid w:val="00517565"/>
    <w:rsid w:val="005175C9"/>
    <w:rsid w:val="005177C9"/>
    <w:rsid w:val="00520264"/>
    <w:rsid w:val="00520685"/>
    <w:rsid w:val="00520E73"/>
    <w:rsid w:val="00521B0D"/>
    <w:rsid w:val="00522776"/>
    <w:rsid w:val="00522AA3"/>
    <w:rsid w:val="00522B2F"/>
    <w:rsid w:val="00522FD9"/>
    <w:rsid w:val="00523055"/>
    <w:rsid w:val="00523191"/>
    <w:rsid w:val="00524BF3"/>
    <w:rsid w:val="005253FC"/>
    <w:rsid w:val="005256A0"/>
    <w:rsid w:val="005261F0"/>
    <w:rsid w:val="00526916"/>
    <w:rsid w:val="00527384"/>
    <w:rsid w:val="0052792A"/>
    <w:rsid w:val="00527E94"/>
    <w:rsid w:val="00527F26"/>
    <w:rsid w:val="005306F6"/>
    <w:rsid w:val="00530C63"/>
    <w:rsid w:val="005314D8"/>
    <w:rsid w:val="00531977"/>
    <w:rsid w:val="00531BC1"/>
    <w:rsid w:val="00532343"/>
    <w:rsid w:val="00532628"/>
    <w:rsid w:val="0053263D"/>
    <w:rsid w:val="005328CA"/>
    <w:rsid w:val="00532D7B"/>
    <w:rsid w:val="00533A75"/>
    <w:rsid w:val="00533BFA"/>
    <w:rsid w:val="00534650"/>
    <w:rsid w:val="005350A8"/>
    <w:rsid w:val="00535489"/>
    <w:rsid w:val="005355D5"/>
    <w:rsid w:val="0053576F"/>
    <w:rsid w:val="00536D08"/>
    <w:rsid w:val="00536DAE"/>
    <w:rsid w:val="00537072"/>
    <w:rsid w:val="005375D1"/>
    <w:rsid w:val="005407C5"/>
    <w:rsid w:val="00540872"/>
    <w:rsid w:val="00541715"/>
    <w:rsid w:val="0054178F"/>
    <w:rsid w:val="00541ADA"/>
    <w:rsid w:val="00542C44"/>
    <w:rsid w:val="00543BF4"/>
    <w:rsid w:val="0054462D"/>
    <w:rsid w:val="00544B1C"/>
    <w:rsid w:val="00544E6F"/>
    <w:rsid w:val="00544E8F"/>
    <w:rsid w:val="005453AE"/>
    <w:rsid w:val="00545679"/>
    <w:rsid w:val="00545704"/>
    <w:rsid w:val="00546FEA"/>
    <w:rsid w:val="00547E11"/>
    <w:rsid w:val="005509EC"/>
    <w:rsid w:val="00550C1A"/>
    <w:rsid w:val="00552079"/>
    <w:rsid w:val="00553D04"/>
    <w:rsid w:val="00553D63"/>
    <w:rsid w:val="00554D4B"/>
    <w:rsid w:val="005551D9"/>
    <w:rsid w:val="00555AA5"/>
    <w:rsid w:val="00555B1F"/>
    <w:rsid w:val="00555DEB"/>
    <w:rsid w:val="00556A0F"/>
    <w:rsid w:val="00556FFD"/>
    <w:rsid w:val="0055731F"/>
    <w:rsid w:val="00557CA5"/>
    <w:rsid w:val="00560331"/>
    <w:rsid w:val="00560B39"/>
    <w:rsid w:val="00561224"/>
    <w:rsid w:val="00561D02"/>
    <w:rsid w:val="00562074"/>
    <w:rsid w:val="00563A84"/>
    <w:rsid w:val="00564581"/>
    <w:rsid w:val="00564772"/>
    <w:rsid w:val="0056503A"/>
    <w:rsid w:val="00565657"/>
    <w:rsid w:val="005660E2"/>
    <w:rsid w:val="00566ACF"/>
    <w:rsid w:val="005670FE"/>
    <w:rsid w:val="00567BC5"/>
    <w:rsid w:val="0057178F"/>
    <w:rsid w:val="00571C58"/>
    <w:rsid w:val="00572724"/>
    <w:rsid w:val="00572789"/>
    <w:rsid w:val="00572A52"/>
    <w:rsid w:val="00572B5E"/>
    <w:rsid w:val="00572B82"/>
    <w:rsid w:val="00574694"/>
    <w:rsid w:val="00574BFD"/>
    <w:rsid w:val="005750C0"/>
    <w:rsid w:val="00575B85"/>
    <w:rsid w:val="005762EB"/>
    <w:rsid w:val="00576809"/>
    <w:rsid w:val="00576C09"/>
    <w:rsid w:val="00577479"/>
    <w:rsid w:val="005776D0"/>
    <w:rsid w:val="005778BF"/>
    <w:rsid w:val="00577FC1"/>
    <w:rsid w:val="00577FFC"/>
    <w:rsid w:val="00580632"/>
    <w:rsid w:val="005814DF"/>
    <w:rsid w:val="0058159A"/>
    <w:rsid w:val="0058180C"/>
    <w:rsid w:val="00581C90"/>
    <w:rsid w:val="0058244B"/>
    <w:rsid w:val="00582CAF"/>
    <w:rsid w:val="00583A06"/>
    <w:rsid w:val="0058409C"/>
    <w:rsid w:val="00584C12"/>
    <w:rsid w:val="00584D2F"/>
    <w:rsid w:val="00584D81"/>
    <w:rsid w:val="00584EB5"/>
    <w:rsid w:val="005850B9"/>
    <w:rsid w:val="00585628"/>
    <w:rsid w:val="00586515"/>
    <w:rsid w:val="005865B5"/>
    <w:rsid w:val="005878B1"/>
    <w:rsid w:val="00587952"/>
    <w:rsid w:val="005903BA"/>
    <w:rsid w:val="00590894"/>
    <w:rsid w:val="0059208E"/>
    <w:rsid w:val="00592760"/>
    <w:rsid w:val="005927C6"/>
    <w:rsid w:val="00592C3D"/>
    <w:rsid w:val="005932F7"/>
    <w:rsid w:val="0059374E"/>
    <w:rsid w:val="005949A8"/>
    <w:rsid w:val="00594B2D"/>
    <w:rsid w:val="00595621"/>
    <w:rsid w:val="00595909"/>
    <w:rsid w:val="005961FB"/>
    <w:rsid w:val="00597450"/>
    <w:rsid w:val="00597566"/>
    <w:rsid w:val="00597C07"/>
    <w:rsid w:val="005A0025"/>
    <w:rsid w:val="005A2CC5"/>
    <w:rsid w:val="005A318B"/>
    <w:rsid w:val="005A353C"/>
    <w:rsid w:val="005A39F7"/>
    <w:rsid w:val="005A42F7"/>
    <w:rsid w:val="005A5B3A"/>
    <w:rsid w:val="005A5C09"/>
    <w:rsid w:val="005B0212"/>
    <w:rsid w:val="005B0D10"/>
    <w:rsid w:val="005B11A6"/>
    <w:rsid w:val="005B2209"/>
    <w:rsid w:val="005B28E8"/>
    <w:rsid w:val="005B3821"/>
    <w:rsid w:val="005B3CC4"/>
    <w:rsid w:val="005B4C46"/>
    <w:rsid w:val="005B4D3D"/>
    <w:rsid w:val="005B51F9"/>
    <w:rsid w:val="005B6147"/>
    <w:rsid w:val="005B66E4"/>
    <w:rsid w:val="005B6734"/>
    <w:rsid w:val="005B7A50"/>
    <w:rsid w:val="005B7D16"/>
    <w:rsid w:val="005C0766"/>
    <w:rsid w:val="005C0A0B"/>
    <w:rsid w:val="005C0CDD"/>
    <w:rsid w:val="005C12C1"/>
    <w:rsid w:val="005C1F81"/>
    <w:rsid w:val="005C2119"/>
    <w:rsid w:val="005C2A89"/>
    <w:rsid w:val="005C2C60"/>
    <w:rsid w:val="005C2C65"/>
    <w:rsid w:val="005C2DFA"/>
    <w:rsid w:val="005C34E6"/>
    <w:rsid w:val="005C4C33"/>
    <w:rsid w:val="005C4E98"/>
    <w:rsid w:val="005C5969"/>
    <w:rsid w:val="005C6E0F"/>
    <w:rsid w:val="005C704A"/>
    <w:rsid w:val="005C7201"/>
    <w:rsid w:val="005C793A"/>
    <w:rsid w:val="005C7AC4"/>
    <w:rsid w:val="005D149D"/>
    <w:rsid w:val="005D1855"/>
    <w:rsid w:val="005D1DA5"/>
    <w:rsid w:val="005D2434"/>
    <w:rsid w:val="005D2894"/>
    <w:rsid w:val="005D2A7B"/>
    <w:rsid w:val="005D3968"/>
    <w:rsid w:val="005D3D53"/>
    <w:rsid w:val="005D47A4"/>
    <w:rsid w:val="005D5515"/>
    <w:rsid w:val="005D5A00"/>
    <w:rsid w:val="005D647A"/>
    <w:rsid w:val="005D747D"/>
    <w:rsid w:val="005D7E46"/>
    <w:rsid w:val="005E00EA"/>
    <w:rsid w:val="005E0300"/>
    <w:rsid w:val="005E0E39"/>
    <w:rsid w:val="005E1050"/>
    <w:rsid w:val="005E1273"/>
    <w:rsid w:val="005E17D6"/>
    <w:rsid w:val="005E29E7"/>
    <w:rsid w:val="005E2C27"/>
    <w:rsid w:val="005E37A8"/>
    <w:rsid w:val="005E43D0"/>
    <w:rsid w:val="005E44D0"/>
    <w:rsid w:val="005E5088"/>
    <w:rsid w:val="005E576E"/>
    <w:rsid w:val="005E5B5A"/>
    <w:rsid w:val="005E6E2B"/>
    <w:rsid w:val="005E6F9D"/>
    <w:rsid w:val="005E7004"/>
    <w:rsid w:val="005E7590"/>
    <w:rsid w:val="005E7944"/>
    <w:rsid w:val="005E7B3D"/>
    <w:rsid w:val="005E7D11"/>
    <w:rsid w:val="005F0080"/>
    <w:rsid w:val="005F0DE6"/>
    <w:rsid w:val="005F2561"/>
    <w:rsid w:val="005F275E"/>
    <w:rsid w:val="005F2785"/>
    <w:rsid w:val="005F32DB"/>
    <w:rsid w:val="005F3320"/>
    <w:rsid w:val="005F34C9"/>
    <w:rsid w:val="005F353D"/>
    <w:rsid w:val="005F375D"/>
    <w:rsid w:val="005F3C03"/>
    <w:rsid w:val="005F402B"/>
    <w:rsid w:val="005F49E6"/>
    <w:rsid w:val="005F4ADD"/>
    <w:rsid w:val="005F4C75"/>
    <w:rsid w:val="005F4EC7"/>
    <w:rsid w:val="005F5507"/>
    <w:rsid w:val="005F58A3"/>
    <w:rsid w:val="005F5EBF"/>
    <w:rsid w:val="005F6621"/>
    <w:rsid w:val="005F6871"/>
    <w:rsid w:val="005F79CA"/>
    <w:rsid w:val="006011F6"/>
    <w:rsid w:val="0060174B"/>
    <w:rsid w:val="006018FA"/>
    <w:rsid w:val="00602497"/>
    <w:rsid w:val="0060294D"/>
    <w:rsid w:val="00602979"/>
    <w:rsid w:val="00603058"/>
    <w:rsid w:val="00603E17"/>
    <w:rsid w:val="006044F1"/>
    <w:rsid w:val="00604AA8"/>
    <w:rsid w:val="00604FA2"/>
    <w:rsid w:val="00605927"/>
    <w:rsid w:val="006062FC"/>
    <w:rsid w:val="00606512"/>
    <w:rsid w:val="00607491"/>
    <w:rsid w:val="006077DE"/>
    <w:rsid w:val="00607C6B"/>
    <w:rsid w:val="0061059D"/>
    <w:rsid w:val="00611143"/>
    <w:rsid w:val="00611515"/>
    <w:rsid w:val="00611C75"/>
    <w:rsid w:val="006125F5"/>
    <w:rsid w:val="006128AC"/>
    <w:rsid w:val="006132BA"/>
    <w:rsid w:val="00613BA2"/>
    <w:rsid w:val="006141A2"/>
    <w:rsid w:val="006142FE"/>
    <w:rsid w:val="0061432F"/>
    <w:rsid w:val="006158B4"/>
    <w:rsid w:val="00616363"/>
    <w:rsid w:val="006165A3"/>
    <w:rsid w:val="00616F5B"/>
    <w:rsid w:val="0061789F"/>
    <w:rsid w:val="00620BEC"/>
    <w:rsid w:val="00620BFA"/>
    <w:rsid w:val="00622020"/>
    <w:rsid w:val="00622433"/>
    <w:rsid w:val="00622A5C"/>
    <w:rsid w:val="006236FA"/>
    <w:rsid w:val="00623CBF"/>
    <w:rsid w:val="0062432E"/>
    <w:rsid w:val="00624ECF"/>
    <w:rsid w:val="00624FA0"/>
    <w:rsid w:val="0062526F"/>
    <w:rsid w:val="00625376"/>
    <w:rsid w:val="00625448"/>
    <w:rsid w:val="00625ED0"/>
    <w:rsid w:val="00625F30"/>
    <w:rsid w:val="00626471"/>
    <w:rsid w:val="00627C1F"/>
    <w:rsid w:val="00627CA2"/>
    <w:rsid w:val="0063045C"/>
    <w:rsid w:val="006304F2"/>
    <w:rsid w:val="006305CE"/>
    <w:rsid w:val="006311BC"/>
    <w:rsid w:val="006317EF"/>
    <w:rsid w:val="00632645"/>
    <w:rsid w:val="006328B3"/>
    <w:rsid w:val="00633409"/>
    <w:rsid w:val="00635182"/>
    <w:rsid w:val="00635D18"/>
    <w:rsid w:val="0063660B"/>
    <w:rsid w:val="00636CE3"/>
    <w:rsid w:val="00637C5E"/>
    <w:rsid w:val="00637CA9"/>
    <w:rsid w:val="00637D51"/>
    <w:rsid w:val="00640354"/>
    <w:rsid w:val="006403CB"/>
    <w:rsid w:val="006404C3"/>
    <w:rsid w:val="006409F8"/>
    <w:rsid w:val="00640F06"/>
    <w:rsid w:val="00642343"/>
    <w:rsid w:val="00642CB3"/>
    <w:rsid w:val="00642F6E"/>
    <w:rsid w:val="0064347D"/>
    <w:rsid w:val="00643686"/>
    <w:rsid w:val="00644A2D"/>
    <w:rsid w:val="006462FB"/>
    <w:rsid w:val="0064643D"/>
    <w:rsid w:val="00646903"/>
    <w:rsid w:val="00650654"/>
    <w:rsid w:val="00651768"/>
    <w:rsid w:val="0065225B"/>
    <w:rsid w:val="0065226C"/>
    <w:rsid w:val="00654DF3"/>
    <w:rsid w:val="006552EF"/>
    <w:rsid w:val="00655E57"/>
    <w:rsid w:val="00656226"/>
    <w:rsid w:val="006571F8"/>
    <w:rsid w:val="006578AC"/>
    <w:rsid w:val="00657AD3"/>
    <w:rsid w:val="00657F59"/>
    <w:rsid w:val="00660018"/>
    <w:rsid w:val="006600A6"/>
    <w:rsid w:val="00660F2B"/>
    <w:rsid w:val="00661D5A"/>
    <w:rsid w:val="0066209D"/>
    <w:rsid w:val="006626EE"/>
    <w:rsid w:val="00662A62"/>
    <w:rsid w:val="006630E0"/>
    <w:rsid w:val="00663343"/>
    <w:rsid w:val="006634D5"/>
    <w:rsid w:val="00663E72"/>
    <w:rsid w:val="006644B9"/>
    <w:rsid w:val="00664F20"/>
    <w:rsid w:val="0066510F"/>
    <w:rsid w:val="006651B9"/>
    <w:rsid w:val="0066606A"/>
    <w:rsid w:val="0066641B"/>
    <w:rsid w:val="00666609"/>
    <w:rsid w:val="006669F9"/>
    <w:rsid w:val="00666A00"/>
    <w:rsid w:val="00666B83"/>
    <w:rsid w:val="0067062F"/>
    <w:rsid w:val="00672352"/>
    <w:rsid w:val="006734ED"/>
    <w:rsid w:val="00673980"/>
    <w:rsid w:val="00674283"/>
    <w:rsid w:val="0067460E"/>
    <w:rsid w:val="00675D18"/>
    <w:rsid w:val="00676DEA"/>
    <w:rsid w:val="00677801"/>
    <w:rsid w:val="00677901"/>
    <w:rsid w:val="00677A8E"/>
    <w:rsid w:val="00677ECB"/>
    <w:rsid w:val="00677FA7"/>
    <w:rsid w:val="0068055C"/>
    <w:rsid w:val="00680771"/>
    <w:rsid w:val="00681F38"/>
    <w:rsid w:val="00682B50"/>
    <w:rsid w:val="00682F8E"/>
    <w:rsid w:val="00683C00"/>
    <w:rsid w:val="00683D2C"/>
    <w:rsid w:val="006845F2"/>
    <w:rsid w:val="0068492E"/>
    <w:rsid w:val="00684C36"/>
    <w:rsid w:val="00684F79"/>
    <w:rsid w:val="00684FA7"/>
    <w:rsid w:val="00685016"/>
    <w:rsid w:val="00685952"/>
    <w:rsid w:val="00685A79"/>
    <w:rsid w:val="0068743B"/>
    <w:rsid w:val="00687567"/>
    <w:rsid w:val="00687898"/>
    <w:rsid w:val="006924EB"/>
    <w:rsid w:val="006936CB"/>
    <w:rsid w:val="00694581"/>
    <w:rsid w:val="006958E8"/>
    <w:rsid w:val="00695AFA"/>
    <w:rsid w:val="006968C1"/>
    <w:rsid w:val="00697087"/>
    <w:rsid w:val="00697DE6"/>
    <w:rsid w:val="006A0266"/>
    <w:rsid w:val="006A03D3"/>
    <w:rsid w:val="006A0412"/>
    <w:rsid w:val="006A1AE2"/>
    <w:rsid w:val="006A2104"/>
    <w:rsid w:val="006A22D8"/>
    <w:rsid w:val="006A26F9"/>
    <w:rsid w:val="006A429C"/>
    <w:rsid w:val="006A43C4"/>
    <w:rsid w:val="006A4AED"/>
    <w:rsid w:val="006A51B4"/>
    <w:rsid w:val="006A55AA"/>
    <w:rsid w:val="006A5B56"/>
    <w:rsid w:val="006A5E8B"/>
    <w:rsid w:val="006A645F"/>
    <w:rsid w:val="006A6530"/>
    <w:rsid w:val="006A6AAE"/>
    <w:rsid w:val="006A6B5B"/>
    <w:rsid w:val="006A6DF5"/>
    <w:rsid w:val="006A726E"/>
    <w:rsid w:val="006B02E5"/>
    <w:rsid w:val="006B0457"/>
    <w:rsid w:val="006B21B9"/>
    <w:rsid w:val="006B2723"/>
    <w:rsid w:val="006B29A9"/>
    <w:rsid w:val="006B2BD2"/>
    <w:rsid w:val="006B381E"/>
    <w:rsid w:val="006B3B3D"/>
    <w:rsid w:val="006B5033"/>
    <w:rsid w:val="006B5702"/>
    <w:rsid w:val="006B57DA"/>
    <w:rsid w:val="006B72FC"/>
    <w:rsid w:val="006C02B0"/>
    <w:rsid w:val="006C0BCA"/>
    <w:rsid w:val="006C10DE"/>
    <w:rsid w:val="006C12D7"/>
    <w:rsid w:val="006C1E02"/>
    <w:rsid w:val="006C1E92"/>
    <w:rsid w:val="006C2ECF"/>
    <w:rsid w:val="006C2F8E"/>
    <w:rsid w:val="006C30CE"/>
    <w:rsid w:val="006C317D"/>
    <w:rsid w:val="006C33AD"/>
    <w:rsid w:val="006C33C3"/>
    <w:rsid w:val="006C41E6"/>
    <w:rsid w:val="006C44BA"/>
    <w:rsid w:val="006C4BD9"/>
    <w:rsid w:val="006C4C2A"/>
    <w:rsid w:val="006C4CB7"/>
    <w:rsid w:val="006C50F9"/>
    <w:rsid w:val="006C571D"/>
    <w:rsid w:val="006C57DD"/>
    <w:rsid w:val="006C61CC"/>
    <w:rsid w:val="006C66A1"/>
    <w:rsid w:val="006C6818"/>
    <w:rsid w:val="006C6D09"/>
    <w:rsid w:val="006C712E"/>
    <w:rsid w:val="006C734B"/>
    <w:rsid w:val="006C735C"/>
    <w:rsid w:val="006C740A"/>
    <w:rsid w:val="006C7ED5"/>
    <w:rsid w:val="006D006A"/>
    <w:rsid w:val="006D1B07"/>
    <w:rsid w:val="006D2189"/>
    <w:rsid w:val="006D2227"/>
    <w:rsid w:val="006D4815"/>
    <w:rsid w:val="006D5194"/>
    <w:rsid w:val="006D5743"/>
    <w:rsid w:val="006D5907"/>
    <w:rsid w:val="006D67FD"/>
    <w:rsid w:val="006D69A9"/>
    <w:rsid w:val="006D6ED5"/>
    <w:rsid w:val="006D7598"/>
    <w:rsid w:val="006E0A4D"/>
    <w:rsid w:val="006E0F2A"/>
    <w:rsid w:val="006E1808"/>
    <w:rsid w:val="006E2242"/>
    <w:rsid w:val="006E2F70"/>
    <w:rsid w:val="006E36A6"/>
    <w:rsid w:val="006E3D22"/>
    <w:rsid w:val="006E4140"/>
    <w:rsid w:val="006E44FE"/>
    <w:rsid w:val="006E4FE2"/>
    <w:rsid w:val="006E5455"/>
    <w:rsid w:val="006E5618"/>
    <w:rsid w:val="006E6393"/>
    <w:rsid w:val="006E751C"/>
    <w:rsid w:val="006E7D2E"/>
    <w:rsid w:val="006E7F44"/>
    <w:rsid w:val="006E7FB2"/>
    <w:rsid w:val="006F0F92"/>
    <w:rsid w:val="006F14AB"/>
    <w:rsid w:val="006F16CC"/>
    <w:rsid w:val="006F1818"/>
    <w:rsid w:val="006F312E"/>
    <w:rsid w:val="006F3585"/>
    <w:rsid w:val="006F3C04"/>
    <w:rsid w:val="006F3DBF"/>
    <w:rsid w:val="006F4D0E"/>
    <w:rsid w:val="006F4D12"/>
    <w:rsid w:val="006F4DF3"/>
    <w:rsid w:val="006F5521"/>
    <w:rsid w:val="006F59B0"/>
    <w:rsid w:val="006F5AC9"/>
    <w:rsid w:val="006F5FC1"/>
    <w:rsid w:val="006F6FFD"/>
    <w:rsid w:val="006F78C0"/>
    <w:rsid w:val="006F79FA"/>
    <w:rsid w:val="00701184"/>
    <w:rsid w:val="0070177D"/>
    <w:rsid w:val="00701FFA"/>
    <w:rsid w:val="00702895"/>
    <w:rsid w:val="007028D9"/>
    <w:rsid w:val="007035E8"/>
    <w:rsid w:val="007037EA"/>
    <w:rsid w:val="007040E5"/>
    <w:rsid w:val="00705785"/>
    <w:rsid w:val="00705F7C"/>
    <w:rsid w:val="00706B5C"/>
    <w:rsid w:val="00706C62"/>
    <w:rsid w:val="00706C6B"/>
    <w:rsid w:val="00707188"/>
    <w:rsid w:val="007073E0"/>
    <w:rsid w:val="0070768F"/>
    <w:rsid w:val="00707CBE"/>
    <w:rsid w:val="00710304"/>
    <w:rsid w:val="007105FD"/>
    <w:rsid w:val="00710C19"/>
    <w:rsid w:val="00710C64"/>
    <w:rsid w:val="00710EFE"/>
    <w:rsid w:val="00711065"/>
    <w:rsid w:val="007119BE"/>
    <w:rsid w:val="00711D29"/>
    <w:rsid w:val="0071217B"/>
    <w:rsid w:val="007121EC"/>
    <w:rsid w:val="00713696"/>
    <w:rsid w:val="007136C8"/>
    <w:rsid w:val="00713A21"/>
    <w:rsid w:val="00714230"/>
    <w:rsid w:val="00714EAF"/>
    <w:rsid w:val="00715019"/>
    <w:rsid w:val="00715450"/>
    <w:rsid w:val="0071609A"/>
    <w:rsid w:val="007165B8"/>
    <w:rsid w:val="007173E6"/>
    <w:rsid w:val="00717569"/>
    <w:rsid w:val="00717C47"/>
    <w:rsid w:val="00721081"/>
    <w:rsid w:val="00721C79"/>
    <w:rsid w:val="007222A8"/>
    <w:rsid w:val="0072263D"/>
    <w:rsid w:val="007227F2"/>
    <w:rsid w:val="007232A8"/>
    <w:rsid w:val="00723992"/>
    <w:rsid w:val="00723BA1"/>
    <w:rsid w:val="00723BCC"/>
    <w:rsid w:val="00724052"/>
    <w:rsid w:val="007241A0"/>
    <w:rsid w:val="00724451"/>
    <w:rsid w:val="00725119"/>
    <w:rsid w:val="007255BB"/>
    <w:rsid w:val="0072644B"/>
    <w:rsid w:val="007267B4"/>
    <w:rsid w:val="00726D9E"/>
    <w:rsid w:val="007277E4"/>
    <w:rsid w:val="00727DD4"/>
    <w:rsid w:val="00727EDD"/>
    <w:rsid w:val="00730F4A"/>
    <w:rsid w:val="00731172"/>
    <w:rsid w:val="00732C3A"/>
    <w:rsid w:val="00732DDC"/>
    <w:rsid w:val="007331C5"/>
    <w:rsid w:val="0073364E"/>
    <w:rsid w:val="00734040"/>
    <w:rsid w:val="00734E23"/>
    <w:rsid w:val="00735510"/>
    <w:rsid w:val="00736780"/>
    <w:rsid w:val="00737FDE"/>
    <w:rsid w:val="00740495"/>
    <w:rsid w:val="00740837"/>
    <w:rsid w:val="007408AA"/>
    <w:rsid w:val="00741279"/>
    <w:rsid w:val="0074188D"/>
    <w:rsid w:val="007429A8"/>
    <w:rsid w:val="00742C50"/>
    <w:rsid w:val="00742D98"/>
    <w:rsid w:val="007438EA"/>
    <w:rsid w:val="0074418B"/>
    <w:rsid w:val="007450CF"/>
    <w:rsid w:val="007454FB"/>
    <w:rsid w:val="0074593C"/>
    <w:rsid w:val="007459A0"/>
    <w:rsid w:val="00745A6E"/>
    <w:rsid w:val="00745CEC"/>
    <w:rsid w:val="00746358"/>
    <w:rsid w:val="00746F99"/>
    <w:rsid w:val="00747069"/>
    <w:rsid w:val="007472F8"/>
    <w:rsid w:val="00747999"/>
    <w:rsid w:val="00747A59"/>
    <w:rsid w:val="00747F5F"/>
    <w:rsid w:val="0075050D"/>
    <w:rsid w:val="00750BA8"/>
    <w:rsid w:val="00751A0F"/>
    <w:rsid w:val="00752256"/>
    <w:rsid w:val="00753A54"/>
    <w:rsid w:val="007542F6"/>
    <w:rsid w:val="007544E3"/>
    <w:rsid w:val="00754B46"/>
    <w:rsid w:val="0075582F"/>
    <w:rsid w:val="00755AC3"/>
    <w:rsid w:val="007561E2"/>
    <w:rsid w:val="00756342"/>
    <w:rsid w:val="0075672B"/>
    <w:rsid w:val="007576D2"/>
    <w:rsid w:val="00757870"/>
    <w:rsid w:val="007579AC"/>
    <w:rsid w:val="00760184"/>
    <w:rsid w:val="00760A85"/>
    <w:rsid w:val="00760E72"/>
    <w:rsid w:val="00761285"/>
    <w:rsid w:val="007614B6"/>
    <w:rsid w:val="00761A55"/>
    <w:rsid w:val="00761E37"/>
    <w:rsid w:val="007634F3"/>
    <w:rsid w:val="00764210"/>
    <w:rsid w:val="007648F2"/>
    <w:rsid w:val="00764AFE"/>
    <w:rsid w:val="00764CA6"/>
    <w:rsid w:val="00764DDE"/>
    <w:rsid w:val="00764FD8"/>
    <w:rsid w:val="00765E40"/>
    <w:rsid w:val="00765E90"/>
    <w:rsid w:val="00765FC4"/>
    <w:rsid w:val="00766685"/>
    <w:rsid w:val="00766EDF"/>
    <w:rsid w:val="00767414"/>
    <w:rsid w:val="00767C2E"/>
    <w:rsid w:val="00772406"/>
    <w:rsid w:val="00772557"/>
    <w:rsid w:val="00772ABF"/>
    <w:rsid w:val="00772D52"/>
    <w:rsid w:val="00772F39"/>
    <w:rsid w:val="0077320F"/>
    <w:rsid w:val="007737CD"/>
    <w:rsid w:val="00773B63"/>
    <w:rsid w:val="007746AE"/>
    <w:rsid w:val="00774822"/>
    <w:rsid w:val="00775353"/>
    <w:rsid w:val="00775BDF"/>
    <w:rsid w:val="00776554"/>
    <w:rsid w:val="00777251"/>
    <w:rsid w:val="00777A23"/>
    <w:rsid w:val="0078061A"/>
    <w:rsid w:val="007807C5"/>
    <w:rsid w:val="00780955"/>
    <w:rsid w:val="00781064"/>
    <w:rsid w:val="007823C6"/>
    <w:rsid w:val="00782DE5"/>
    <w:rsid w:val="00782FF7"/>
    <w:rsid w:val="00783AC9"/>
    <w:rsid w:val="00784802"/>
    <w:rsid w:val="00785BB7"/>
    <w:rsid w:val="00785D2F"/>
    <w:rsid w:val="00785F6E"/>
    <w:rsid w:val="00786467"/>
    <w:rsid w:val="00786B5C"/>
    <w:rsid w:val="00786C73"/>
    <w:rsid w:val="00787094"/>
    <w:rsid w:val="00787673"/>
    <w:rsid w:val="00790F99"/>
    <w:rsid w:val="007919D9"/>
    <w:rsid w:val="00792A1C"/>
    <w:rsid w:val="00792C29"/>
    <w:rsid w:val="00792D1B"/>
    <w:rsid w:val="0079320C"/>
    <w:rsid w:val="00793A75"/>
    <w:rsid w:val="00794164"/>
    <w:rsid w:val="007947A6"/>
    <w:rsid w:val="00794C49"/>
    <w:rsid w:val="00794E65"/>
    <w:rsid w:val="00795399"/>
    <w:rsid w:val="007958EF"/>
    <w:rsid w:val="00795DA4"/>
    <w:rsid w:val="00796514"/>
    <w:rsid w:val="00796B15"/>
    <w:rsid w:val="00796B3C"/>
    <w:rsid w:val="0079753F"/>
    <w:rsid w:val="00797820"/>
    <w:rsid w:val="00797C92"/>
    <w:rsid w:val="007A0A99"/>
    <w:rsid w:val="007A0B24"/>
    <w:rsid w:val="007A0B73"/>
    <w:rsid w:val="007A1B45"/>
    <w:rsid w:val="007A35AF"/>
    <w:rsid w:val="007A370D"/>
    <w:rsid w:val="007A394B"/>
    <w:rsid w:val="007A4361"/>
    <w:rsid w:val="007A452A"/>
    <w:rsid w:val="007A4B84"/>
    <w:rsid w:val="007A4BD2"/>
    <w:rsid w:val="007A691D"/>
    <w:rsid w:val="007A75BD"/>
    <w:rsid w:val="007A7746"/>
    <w:rsid w:val="007A7757"/>
    <w:rsid w:val="007B0125"/>
    <w:rsid w:val="007B0199"/>
    <w:rsid w:val="007B0DC1"/>
    <w:rsid w:val="007B1BF2"/>
    <w:rsid w:val="007B1FB5"/>
    <w:rsid w:val="007B2FB5"/>
    <w:rsid w:val="007B38C8"/>
    <w:rsid w:val="007B399E"/>
    <w:rsid w:val="007B3AFC"/>
    <w:rsid w:val="007B3F6D"/>
    <w:rsid w:val="007B4449"/>
    <w:rsid w:val="007B5122"/>
    <w:rsid w:val="007B5FB1"/>
    <w:rsid w:val="007B750F"/>
    <w:rsid w:val="007B766C"/>
    <w:rsid w:val="007B7B72"/>
    <w:rsid w:val="007C0236"/>
    <w:rsid w:val="007C0AFC"/>
    <w:rsid w:val="007C21AA"/>
    <w:rsid w:val="007C2347"/>
    <w:rsid w:val="007C29EF"/>
    <w:rsid w:val="007C2A65"/>
    <w:rsid w:val="007C3AB8"/>
    <w:rsid w:val="007C419F"/>
    <w:rsid w:val="007C47D7"/>
    <w:rsid w:val="007C51FF"/>
    <w:rsid w:val="007C6638"/>
    <w:rsid w:val="007C6BD3"/>
    <w:rsid w:val="007C7314"/>
    <w:rsid w:val="007C7DF7"/>
    <w:rsid w:val="007D020A"/>
    <w:rsid w:val="007D0B6C"/>
    <w:rsid w:val="007D0C4D"/>
    <w:rsid w:val="007D105D"/>
    <w:rsid w:val="007D165C"/>
    <w:rsid w:val="007D228A"/>
    <w:rsid w:val="007D2EA4"/>
    <w:rsid w:val="007D4819"/>
    <w:rsid w:val="007D58BD"/>
    <w:rsid w:val="007E0445"/>
    <w:rsid w:val="007E0447"/>
    <w:rsid w:val="007E068E"/>
    <w:rsid w:val="007E1598"/>
    <w:rsid w:val="007E1E3C"/>
    <w:rsid w:val="007E20C6"/>
    <w:rsid w:val="007E24C2"/>
    <w:rsid w:val="007E25FE"/>
    <w:rsid w:val="007E317C"/>
    <w:rsid w:val="007E37E3"/>
    <w:rsid w:val="007E3BF4"/>
    <w:rsid w:val="007E54DD"/>
    <w:rsid w:val="007E565F"/>
    <w:rsid w:val="007E67DB"/>
    <w:rsid w:val="007E6DDD"/>
    <w:rsid w:val="007E704D"/>
    <w:rsid w:val="007F13B4"/>
    <w:rsid w:val="007F301D"/>
    <w:rsid w:val="007F3560"/>
    <w:rsid w:val="007F3648"/>
    <w:rsid w:val="007F3C64"/>
    <w:rsid w:val="007F3D0F"/>
    <w:rsid w:val="007F418D"/>
    <w:rsid w:val="007F4392"/>
    <w:rsid w:val="007F495F"/>
    <w:rsid w:val="007F5482"/>
    <w:rsid w:val="007F54FB"/>
    <w:rsid w:val="007F562F"/>
    <w:rsid w:val="007F5FCC"/>
    <w:rsid w:val="007F6AEB"/>
    <w:rsid w:val="007F7476"/>
    <w:rsid w:val="007F7BA3"/>
    <w:rsid w:val="007F7BC9"/>
    <w:rsid w:val="008001C6"/>
    <w:rsid w:val="00800527"/>
    <w:rsid w:val="00801A4A"/>
    <w:rsid w:val="00801AFA"/>
    <w:rsid w:val="00801BDA"/>
    <w:rsid w:val="00801E39"/>
    <w:rsid w:val="00802009"/>
    <w:rsid w:val="00803115"/>
    <w:rsid w:val="0080373C"/>
    <w:rsid w:val="0080375C"/>
    <w:rsid w:val="0080390B"/>
    <w:rsid w:val="00804C25"/>
    <w:rsid w:val="00804C4C"/>
    <w:rsid w:val="008051BE"/>
    <w:rsid w:val="0080554F"/>
    <w:rsid w:val="00806499"/>
    <w:rsid w:val="00806BEB"/>
    <w:rsid w:val="008079EF"/>
    <w:rsid w:val="00807CA1"/>
    <w:rsid w:val="00810BB1"/>
    <w:rsid w:val="00811825"/>
    <w:rsid w:val="0081202C"/>
    <w:rsid w:val="0081468E"/>
    <w:rsid w:val="00814803"/>
    <w:rsid w:val="00814ADD"/>
    <w:rsid w:val="00814C58"/>
    <w:rsid w:val="00814EAD"/>
    <w:rsid w:val="00816038"/>
    <w:rsid w:val="008170B1"/>
    <w:rsid w:val="00817267"/>
    <w:rsid w:val="00817CAC"/>
    <w:rsid w:val="00817E37"/>
    <w:rsid w:val="00820EDB"/>
    <w:rsid w:val="00821031"/>
    <w:rsid w:val="00821263"/>
    <w:rsid w:val="0082168B"/>
    <w:rsid w:val="00822353"/>
    <w:rsid w:val="0082270B"/>
    <w:rsid w:val="008245D0"/>
    <w:rsid w:val="00824A47"/>
    <w:rsid w:val="00824B99"/>
    <w:rsid w:val="00825407"/>
    <w:rsid w:val="00825BED"/>
    <w:rsid w:val="00825DA7"/>
    <w:rsid w:val="00825F3D"/>
    <w:rsid w:val="008261CB"/>
    <w:rsid w:val="008272B2"/>
    <w:rsid w:val="008273EF"/>
    <w:rsid w:val="00827C17"/>
    <w:rsid w:val="0083026D"/>
    <w:rsid w:val="00831616"/>
    <w:rsid w:val="0083161C"/>
    <w:rsid w:val="00831E8E"/>
    <w:rsid w:val="0083264F"/>
    <w:rsid w:val="008327FC"/>
    <w:rsid w:val="00832946"/>
    <w:rsid w:val="008329BB"/>
    <w:rsid w:val="0083309B"/>
    <w:rsid w:val="008333E8"/>
    <w:rsid w:val="00834278"/>
    <w:rsid w:val="0083448F"/>
    <w:rsid w:val="00834609"/>
    <w:rsid w:val="0083472B"/>
    <w:rsid w:val="00834BFB"/>
    <w:rsid w:val="00834D5C"/>
    <w:rsid w:val="00834E66"/>
    <w:rsid w:val="00835D93"/>
    <w:rsid w:val="008365A3"/>
    <w:rsid w:val="00836B52"/>
    <w:rsid w:val="00840092"/>
    <w:rsid w:val="008401DE"/>
    <w:rsid w:val="008403E1"/>
    <w:rsid w:val="0084065C"/>
    <w:rsid w:val="00840747"/>
    <w:rsid w:val="00840790"/>
    <w:rsid w:val="00841217"/>
    <w:rsid w:val="008412BB"/>
    <w:rsid w:val="00841470"/>
    <w:rsid w:val="008415A3"/>
    <w:rsid w:val="00841B4C"/>
    <w:rsid w:val="00842A2E"/>
    <w:rsid w:val="00842B4B"/>
    <w:rsid w:val="00842C9F"/>
    <w:rsid w:val="00843183"/>
    <w:rsid w:val="00843FA3"/>
    <w:rsid w:val="008442E6"/>
    <w:rsid w:val="00844704"/>
    <w:rsid w:val="00844D41"/>
    <w:rsid w:val="00844DC6"/>
    <w:rsid w:val="0084542C"/>
    <w:rsid w:val="00845832"/>
    <w:rsid w:val="008458BE"/>
    <w:rsid w:val="00845FC3"/>
    <w:rsid w:val="0084604C"/>
    <w:rsid w:val="008478CF"/>
    <w:rsid w:val="008479E7"/>
    <w:rsid w:val="0085003F"/>
    <w:rsid w:val="00851E27"/>
    <w:rsid w:val="00852CD3"/>
    <w:rsid w:val="0085340C"/>
    <w:rsid w:val="008544EE"/>
    <w:rsid w:val="0085638F"/>
    <w:rsid w:val="00856E3F"/>
    <w:rsid w:val="00857A29"/>
    <w:rsid w:val="00860661"/>
    <w:rsid w:val="00861397"/>
    <w:rsid w:val="008614C4"/>
    <w:rsid w:val="00861D38"/>
    <w:rsid w:val="00862B4A"/>
    <w:rsid w:val="00862D0F"/>
    <w:rsid w:val="008634DE"/>
    <w:rsid w:val="00863620"/>
    <w:rsid w:val="00863D5A"/>
    <w:rsid w:val="00864293"/>
    <w:rsid w:val="00864A8B"/>
    <w:rsid w:val="00864CD0"/>
    <w:rsid w:val="008666B3"/>
    <w:rsid w:val="008669A6"/>
    <w:rsid w:val="00866CEC"/>
    <w:rsid w:val="00866DF7"/>
    <w:rsid w:val="00867A9E"/>
    <w:rsid w:val="00867B41"/>
    <w:rsid w:val="00867D69"/>
    <w:rsid w:val="00870085"/>
    <w:rsid w:val="00871359"/>
    <w:rsid w:val="0087193A"/>
    <w:rsid w:val="00871D53"/>
    <w:rsid w:val="00872294"/>
    <w:rsid w:val="00872344"/>
    <w:rsid w:val="00872B6A"/>
    <w:rsid w:val="00872EC0"/>
    <w:rsid w:val="00872F99"/>
    <w:rsid w:val="008730AD"/>
    <w:rsid w:val="00873614"/>
    <w:rsid w:val="00873F23"/>
    <w:rsid w:val="00874224"/>
    <w:rsid w:val="00874C33"/>
    <w:rsid w:val="008754AA"/>
    <w:rsid w:val="00876538"/>
    <w:rsid w:val="00876543"/>
    <w:rsid w:val="00876729"/>
    <w:rsid w:val="00876EA8"/>
    <w:rsid w:val="008771E5"/>
    <w:rsid w:val="00877328"/>
    <w:rsid w:val="008776D8"/>
    <w:rsid w:val="00877A78"/>
    <w:rsid w:val="00880A47"/>
    <w:rsid w:val="00880C38"/>
    <w:rsid w:val="0088202C"/>
    <w:rsid w:val="0088217A"/>
    <w:rsid w:val="00882326"/>
    <w:rsid w:val="00882580"/>
    <w:rsid w:val="008829B5"/>
    <w:rsid w:val="0088318A"/>
    <w:rsid w:val="00883202"/>
    <w:rsid w:val="00883317"/>
    <w:rsid w:val="0088441B"/>
    <w:rsid w:val="00884A0A"/>
    <w:rsid w:val="0088538F"/>
    <w:rsid w:val="00885519"/>
    <w:rsid w:val="00885C99"/>
    <w:rsid w:val="00885F09"/>
    <w:rsid w:val="00886682"/>
    <w:rsid w:val="00886F5D"/>
    <w:rsid w:val="00887B2C"/>
    <w:rsid w:val="0089078D"/>
    <w:rsid w:val="008916F0"/>
    <w:rsid w:val="00891CA4"/>
    <w:rsid w:val="00892481"/>
    <w:rsid w:val="0089281C"/>
    <w:rsid w:val="0089363B"/>
    <w:rsid w:val="00893667"/>
    <w:rsid w:val="00894889"/>
    <w:rsid w:val="00894D41"/>
    <w:rsid w:val="008954DA"/>
    <w:rsid w:val="00895B94"/>
    <w:rsid w:val="0089633F"/>
    <w:rsid w:val="00897952"/>
    <w:rsid w:val="008A07B3"/>
    <w:rsid w:val="008A0B5B"/>
    <w:rsid w:val="008A0C27"/>
    <w:rsid w:val="008A0FC7"/>
    <w:rsid w:val="008A32AF"/>
    <w:rsid w:val="008A33CE"/>
    <w:rsid w:val="008A3790"/>
    <w:rsid w:val="008A3895"/>
    <w:rsid w:val="008A3A4B"/>
    <w:rsid w:val="008A4C81"/>
    <w:rsid w:val="008A5F17"/>
    <w:rsid w:val="008A600E"/>
    <w:rsid w:val="008A662E"/>
    <w:rsid w:val="008A738D"/>
    <w:rsid w:val="008A7983"/>
    <w:rsid w:val="008A79FC"/>
    <w:rsid w:val="008A7E12"/>
    <w:rsid w:val="008B0225"/>
    <w:rsid w:val="008B0A6A"/>
    <w:rsid w:val="008B15E2"/>
    <w:rsid w:val="008B1DB2"/>
    <w:rsid w:val="008B1E95"/>
    <w:rsid w:val="008B28F8"/>
    <w:rsid w:val="008B3794"/>
    <w:rsid w:val="008B487D"/>
    <w:rsid w:val="008B4BAA"/>
    <w:rsid w:val="008B5580"/>
    <w:rsid w:val="008B5983"/>
    <w:rsid w:val="008B6120"/>
    <w:rsid w:val="008B62E8"/>
    <w:rsid w:val="008B6537"/>
    <w:rsid w:val="008B66FC"/>
    <w:rsid w:val="008B6C70"/>
    <w:rsid w:val="008B77E5"/>
    <w:rsid w:val="008C02EE"/>
    <w:rsid w:val="008C0AE4"/>
    <w:rsid w:val="008C15B3"/>
    <w:rsid w:val="008C1639"/>
    <w:rsid w:val="008C16F9"/>
    <w:rsid w:val="008C193A"/>
    <w:rsid w:val="008C1962"/>
    <w:rsid w:val="008C1F28"/>
    <w:rsid w:val="008C5A43"/>
    <w:rsid w:val="008C6A08"/>
    <w:rsid w:val="008C6C3E"/>
    <w:rsid w:val="008C6DB3"/>
    <w:rsid w:val="008C70E8"/>
    <w:rsid w:val="008C7C60"/>
    <w:rsid w:val="008C7E7E"/>
    <w:rsid w:val="008D039F"/>
    <w:rsid w:val="008D0D65"/>
    <w:rsid w:val="008D0EE4"/>
    <w:rsid w:val="008D1DC8"/>
    <w:rsid w:val="008D200B"/>
    <w:rsid w:val="008D2DE5"/>
    <w:rsid w:val="008D306B"/>
    <w:rsid w:val="008D3130"/>
    <w:rsid w:val="008D37A7"/>
    <w:rsid w:val="008D4789"/>
    <w:rsid w:val="008D4ED8"/>
    <w:rsid w:val="008D4F51"/>
    <w:rsid w:val="008D4FD9"/>
    <w:rsid w:val="008D516A"/>
    <w:rsid w:val="008D5F91"/>
    <w:rsid w:val="008D6252"/>
    <w:rsid w:val="008D732E"/>
    <w:rsid w:val="008E1130"/>
    <w:rsid w:val="008E1628"/>
    <w:rsid w:val="008E20D1"/>
    <w:rsid w:val="008E2591"/>
    <w:rsid w:val="008E2BBA"/>
    <w:rsid w:val="008E2D07"/>
    <w:rsid w:val="008E381F"/>
    <w:rsid w:val="008E40C9"/>
    <w:rsid w:val="008E4339"/>
    <w:rsid w:val="008E467F"/>
    <w:rsid w:val="008E46D8"/>
    <w:rsid w:val="008E4F76"/>
    <w:rsid w:val="008E5BEE"/>
    <w:rsid w:val="008E5D9A"/>
    <w:rsid w:val="008E6403"/>
    <w:rsid w:val="008E64DA"/>
    <w:rsid w:val="008E6BE4"/>
    <w:rsid w:val="008E7132"/>
    <w:rsid w:val="008E7430"/>
    <w:rsid w:val="008E79CA"/>
    <w:rsid w:val="008E7CB8"/>
    <w:rsid w:val="008F14A8"/>
    <w:rsid w:val="008F196D"/>
    <w:rsid w:val="008F353A"/>
    <w:rsid w:val="008F3646"/>
    <w:rsid w:val="008F392C"/>
    <w:rsid w:val="008F398E"/>
    <w:rsid w:val="008F59D5"/>
    <w:rsid w:val="008F5FD3"/>
    <w:rsid w:val="008F65AE"/>
    <w:rsid w:val="008F667C"/>
    <w:rsid w:val="008F6D12"/>
    <w:rsid w:val="008F70F2"/>
    <w:rsid w:val="008F7601"/>
    <w:rsid w:val="008F7AFF"/>
    <w:rsid w:val="00900675"/>
    <w:rsid w:val="00900688"/>
    <w:rsid w:val="00900A6C"/>
    <w:rsid w:val="00900AAB"/>
    <w:rsid w:val="00900C6D"/>
    <w:rsid w:val="00900D56"/>
    <w:rsid w:val="009016FB"/>
    <w:rsid w:val="00901EF9"/>
    <w:rsid w:val="00902268"/>
    <w:rsid w:val="009022E6"/>
    <w:rsid w:val="009024B5"/>
    <w:rsid w:val="009031DF"/>
    <w:rsid w:val="00903474"/>
    <w:rsid w:val="00903880"/>
    <w:rsid w:val="00903957"/>
    <w:rsid w:val="00903EEE"/>
    <w:rsid w:val="00903F86"/>
    <w:rsid w:val="00905381"/>
    <w:rsid w:val="00905484"/>
    <w:rsid w:val="009054C4"/>
    <w:rsid w:val="00905A98"/>
    <w:rsid w:val="00906205"/>
    <w:rsid w:val="00906249"/>
    <w:rsid w:val="009063F5"/>
    <w:rsid w:val="00906922"/>
    <w:rsid w:val="00906EE5"/>
    <w:rsid w:val="0090703D"/>
    <w:rsid w:val="00907247"/>
    <w:rsid w:val="00907787"/>
    <w:rsid w:val="00907B13"/>
    <w:rsid w:val="00910874"/>
    <w:rsid w:val="00910BF0"/>
    <w:rsid w:val="00910DAB"/>
    <w:rsid w:val="00910DEA"/>
    <w:rsid w:val="009116AE"/>
    <w:rsid w:val="00911A49"/>
    <w:rsid w:val="00911BA0"/>
    <w:rsid w:val="00912504"/>
    <w:rsid w:val="00912538"/>
    <w:rsid w:val="009125AE"/>
    <w:rsid w:val="009125B0"/>
    <w:rsid w:val="00912831"/>
    <w:rsid w:val="00912A2F"/>
    <w:rsid w:val="00912AE6"/>
    <w:rsid w:val="0091308D"/>
    <w:rsid w:val="00913388"/>
    <w:rsid w:val="00913FC0"/>
    <w:rsid w:val="00915BF8"/>
    <w:rsid w:val="00915EB8"/>
    <w:rsid w:val="009167D1"/>
    <w:rsid w:val="009173F6"/>
    <w:rsid w:val="00917998"/>
    <w:rsid w:val="00917A62"/>
    <w:rsid w:val="0092109A"/>
    <w:rsid w:val="0092139F"/>
    <w:rsid w:val="00921E28"/>
    <w:rsid w:val="0092236C"/>
    <w:rsid w:val="00922A37"/>
    <w:rsid w:val="00922A82"/>
    <w:rsid w:val="00922C1B"/>
    <w:rsid w:val="00923586"/>
    <w:rsid w:val="00923AAE"/>
    <w:rsid w:val="00923C93"/>
    <w:rsid w:val="00923EB6"/>
    <w:rsid w:val="009242ED"/>
    <w:rsid w:val="00926450"/>
    <w:rsid w:val="00926552"/>
    <w:rsid w:val="009276D3"/>
    <w:rsid w:val="00927798"/>
    <w:rsid w:val="0093081D"/>
    <w:rsid w:val="009318E1"/>
    <w:rsid w:val="00932406"/>
    <w:rsid w:val="00933461"/>
    <w:rsid w:val="00934429"/>
    <w:rsid w:val="00934A02"/>
    <w:rsid w:val="00934E25"/>
    <w:rsid w:val="009350C6"/>
    <w:rsid w:val="0093583E"/>
    <w:rsid w:val="00937041"/>
    <w:rsid w:val="00937B77"/>
    <w:rsid w:val="00937C50"/>
    <w:rsid w:val="00937F3B"/>
    <w:rsid w:val="009401FB"/>
    <w:rsid w:val="0094094C"/>
    <w:rsid w:val="00940B6B"/>
    <w:rsid w:val="00940DD3"/>
    <w:rsid w:val="00940EA3"/>
    <w:rsid w:val="00940F4B"/>
    <w:rsid w:val="0094152B"/>
    <w:rsid w:val="00941835"/>
    <w:rsid w:val="00941B42"/>
    <w:rsid w:val="00942641"/>
    <w:rsid w:val="00942E92"/>
    <w:rsid w:val="0094396C"/>
    <w:rsid w:val="00944062"/>
    <w:rsid w:val="00944071"/>
    <w:rsid w:val="00945978"/>
    <w:rsid w:val="00945CF5"/>
    <w:rsid w:val="00945FE4"/>
    <w:rsid w:val="00946D25"/>
    <w:rsid w:val="0094733A"/>
    <w:rsid w:val="00947AEA"/>
    <w:rsid w:val="00950A53"/>
    <w:rsid w:val="0095130A"/>
    <w:rsid w:val="0095374D"/>
    <w:rsid w:val="00954C0C"/>
    <w:rsid w:val="00954C97"/>
    <w:rsid w:val="00954F96"/>
    <w:rsid w:val="00955F5D"/>
    <w:rsid w:val="00956457"/>
    <w:rsid w:val="0095698B"/>
    <w:rsid w:val="00957123"/>
    <w:rsid w:val="00957331"/>
    <w:rsid w:val="00957C1A"/>
    <w:rsid w:val="00957DB6"/>
    <w:rsid w:val="00960330"/>
    <w:rsid w:val="00960836"/>
    <w:rsid w:val="00961555"/>
    <w:rsid w:val="00961D48"/>
    <w:rsid w:val="00963DCF"/>
    <w:rsid w:val="009640F2"/>
    <w:rsid w:val="00964140"/>
    <w:rsid w:val="00964EAE"/>
    <w:rsid w:val="00965827"/>
    <w:rsid w:val="00965CCF"/>
    <w:rsid w:val="009661AC"/>
    <w:rsid w:val="009668A4"/>
    <w:rsid w:val="00966DB8"/>
    <w:rsid w:val="009672F5"/>
    <w:rsid w:val="0096789F"/>
    <w:rsid w:val="00967F2B"/>
    <w:rsid w:val="009700C6"/>
    <w:rsid w:val="0097061F"/>
    <w:rsid w:val="009714E2"/>
    <w:rsid w:val="0097222B"/>
    <w:rsid w:val="0097338C"/>
    <w:rsid w:val="00973661"/>
    <w:rsid w:val="00973BFC"/>
    <w:rsid w:val="00973DAD"/>
    <w:rsid w:val="00973E72"/>
    <w:rsid w:val="00974311"/>
    <w:rsid w:val="00974796"/>
    <w:rsid w:val="009752DC"/>
    <w:rsid w:val="009757C8"/>
    <w:rsid w:val="009758E9"/>
    <w:rsid w:val="00975D0B"/>
    <w:rsid w:val="00975DFB"/>
    <w:rsid w:val="00975E0F"/>
    <w:rsid w:val="009768F5"/>
    <w:rsid w:val="00976B39"/>
    <w:rsid w:val="00977821"/>
    <w:rsid w:val="00977A2F"/>
    <w:rsid w:val="00980018"/>
    <w:rsid w:val="00980166"/>
    <w:rsid w:val="00980646"/>
    <w:rsid w:val="00981C00"/>
    <w:rsid w:val="009825E1"/>
    <w:rsid w:val="00982757"/>
    <w:rsid w:val="00982A0F"/>
    <w:rsid w:val="009832CC"/>
    <w:rsid w:val="00983787"/>
    <w:rsid w:val="00984270"/>
    <w:rsid w:val="00984339"/>
    <w:rsid w:val="00984461"/>
    <w:rsid w:val="00986F34"/>
    <w:rsid w:val="00987B74"/>
    <w:rsid w:val="009901E8"/>
    <w:rsid w:val="0099037D"/>
    <w:rsid w:val="009903BA"/>
    <w:rsid w:val="009905C7"/>
    <w:rsid w:val="00990944"/>
    <w:rsid w:val="009909F5"/>
    <w:rsid w:val="00990DD6"/>
    <w:rsid w:val="00991051"/>
    <w:rsid w:val="00991317"/>
    <w:rsid w:val="00991AF4"/>
    <w:rsid w:val="00991CDA"/>
    <w:rsid w:val="009921CE"/>
    <w:rsid w:val="009925E6"/>
    <w:rsid w:val="00992A07"/>
    <w:rsid w:val="00992A1B"/>
    <w:rsid w:val="0099370B"/>
    <w:rsid w:val="009938E6"/>
    <w:rsid w:val="00993F32"/>
    <w:rsid w:val="009941A3"/>
    <w:rsid w:val="009973E7"/>
    <w:rsid w:val="009974CF"/>
    <w:rsid w:val="00997574"/>
    <w:rsid w:val="009A027F"/>
    <w:rsid w:val="009A0C94"/>
    <w:rsid w:val="009A1941"/>
    <w:rsid w:val="009A1A6F"/>
    <w:rsid w:val="009A1C82"/>
    <w:rsid w:val="009A2050"/>
    <w:rsid w:val="009A23E0"/>
    <w:rsid w:val="009A294F"/>
    <w:rsid w:val="009A30DA"/>
    <w:rsid w:val="009A39B3"/>
    <w:rsid w:val="009A3E06"/>
    <w:rsid w:val="009A49BD"/>
    <w:rsid w:val="009A54A7"/>
    <w:rsid w:val="009A56C0"/>
    <w:rsid w:val="009A6C52"/>
    <w:rsid w:val="009B1890"/>
    <w:rsid w:val="009B1E17"/>
    <w:rsid w:val="009B3621"/>
    <w:rsid w:val="009B450E"/>
    <w:rsid w:val="009B5572"/>
    <w:rsid w:val="009B5654"/>
    <w:rsid w:val="009B5AF9"/>
    <w:rsid w:val="009B5DA1"/>
    <w:rsid w:val="009B68EA"/>
    <w:rsid w:val="009B6953"/>
    <w:rsid w:val="009B69C6"/>
    <w:rsid w:val="009B6F6A"/>
    <w:rsid w:val="009B7284"/>
    <w:rsid w:val="009B72F6"/>
    <w:rsid w:val="009B788D"/>
    <w:rsid w:val="009B79C9"/>
    <w:rsid w:val="009B7C91"/>
    <w:rsid w:val="009C00DC"/>
    <w:rsid w:val="009C029E"/>
    <w:rsid w:val="009C039F"/>
    <w:rsid w:val="009C0780"/>
    <w:rsid w:val="009C082C"/>
    <w:rsid w:val="009C10E5"/>
    <w:rsid w:val="009C12BF"/>
    <w:rsid w:val="009C135B"/>
    <w:rsid w:val="009C1DAB"/>
    <w:rsid w:val="009C21A4"/>
    <w:rsid w:val="009C2468"/>
    <w:rsid w:val="009C2536"/>
    <w:rsid w:val="009C2C97"/>
    <w:rsid w:val="009C3717"/>
    <w:rsid w:val="009C3C57"/>
    <w:rsid w:val="009C3ED9"/>
    <w:rsid w:val="009C3F53"/>
    <w:rsid w:val="009C42CD"/>
    <w:rsid w:val="009C50E0"/>
    <w:rsid w:val="009C5219"/>
    <w:rsid w:val="009C552D"/>
    <w:rsid w:val="009C55ED"/>
    <w:rsid w:val="009C5AFA"/>
    <w:rsid w:val="009C60B4"/>
    <w:rsid w:val="009C6204"/>
    <w:rsid w:val="009C6790"/>
    <w:rsid w:val="009C75E3"/>
    <w:rsid w:val="009C7E9F"/>
    <w:rsid w:val="009D09F8"/>
    <w:rsid w:val="009D1348"/>
    <w:rsid w:val="009D1883"/>
    <w:rsid w:val="009D1A5C"/>
    <w:rsid w:val="009D1C58"/>
    <w:rsid w:val="009D1DBC"/>
    <w:rsid w:val="009D1EA3"/>
    <w:rsid w:val="009D2363"/>
    <w:rsid w:val="009D25DC"/>
    <w:rsid w:val="009D3192"/>
    <w:rsid w:val="009D39E2"/>
    <w:rsid w:val="009D46A4"/>
    <w:rsid w:val="009D51CC"/>
    <w:rsid w:val="009D56E6"/>
    <w:rsid w:val="009D5C3D"/>
    <w:rsid w:val="009D642A"/>
    <w:rsid w:val="009D6872"/>
    <w:rsid w:val="009D6D27"/>
    <w:rsid w:val="009D6F47"/>
    <w:rsid w:val="009E07BD"/>
    <w:rsid w:val="009E10D9"/>
    <w:rsid w:val="009E1926"/>
    <w:rsid w:val="009E244C"/>
    <w:rsid w:val="009E40B6"/>
    <w:rsid w:val="009E43BF"/>
    <w:rsid w:val="009E4D7C"/>
    <w:rsid w:val="009E4F43"/>
    <w:rsid w:val="009E4FFB"/>
    <w:rsid w:val="009E555F"/>
    <w:rsid w:val="009E5B20"/>
    <w:rsid w:val="009E65CF"/>
    <w:rsid w:val="009E6D13"/>
    <w:rsid w:val="009E7031"/>
    <w:rsid w:val="009E70B2"/>
    <w:rsid w:val="009E715D"/>
    <w:rsid w:val="009F136D"/>
    <w:rsid w:val="009F15D3"/>
    <w:rsid w:val="009F17CA"/>
    <w:rsid w:val="009F1E80"/>
    <w:rsid w:val="009F1FA5"/>
    <w:rsid w:val="009F1FC9"/>
    <w:rsid w:val="009F2BF9"/>
    <w:rsid w:val="009F302E"/>
    <w:rsid w:val="009F33C3"/>
    <w:rsid w:val="009F3AF1"/>
    <w:rsid w:val="009F41BA"/>
    <w:rsid w:val="009F4972"/>
    <w:rsid w:val="009F58E9"/>
    <w:rsid w:val="009F5A7C"/>
    <w:rsid w:val="009F5CC8"/>
    <w:rsid w:val="009F5CD1"/>
    <w:rsid w:val="009F61FD"/>
    <w:rsid w:val="009F6886"/>
    <w:rsid w:val="009F6944"/>
    <w:rsid w:val="009F789F"/>
    <w:rsid w:val="009F7BF5"/>
    <w:rsid w:val="009F7EA4"/>
    <w:rsid w:val="00A021F1"/>
    <w:rsid w:val="00A02767"/>
    <w:rsid w:val="00A029A2"/>
    <w:rsid w:val="00A02C95"/>
    <w:rsid w:val="00A034AC"/>
    <w:rsid w:val="00A0389A"/>
    <w:rsid w:val="00A03A66"/>
    <w:rsid w:val="00A04232"/>
    <w:rsid w:val="00A0430B"/>
    <w:rsid w:val="00A04B50"/>
    <w:rsid w:val="00A05836"/>
    <w:rsid w:val="00A0586F"/>
    <w:rsid w:val="00A0688A"/>
    <w:rsid w:val="00A06AA8"/>
    <w:rsid w:val="00A06F3C"/>
    <w:rsid w:val="00A07FA9"/>
    <w:rsid w:val="00A10281"/>
    <w:rsid w:val="00A112F9"/>
    <w:rsid w:val="00A11546"/>
    <w:rsid w:val="00A11CB3"/>
    <w:rsid w:val="00A123EB"/>
    <w:rsid w:val="00A12761"/>
    <w:rsid w:val="00A13110"/>
    <w:rsid w:val="00A13824"/>
    <w:rsid w:val="00A14485"/>
    <w:rsid w:val="00A1461C"/>
    <w:rsid w:val="00A1486F"/>
    <w:rsid w:val="00A14A9E"/>
    <w:rsid w:val="00A1623C"/>
    <w:rsid w:val="00A16625"/>
    <w:rsid w:val="00A16F46"/>
    <w:rsid w:val="00A1774B"/>
    <w:rsid w:val="00A17EF9"/>
    <w:rsid w:val="00A2008E"/>
    <w:rsid w:val="00A22653"/>
    <w:rsid w:val="00A23091"/>
    <w:rsid w:val="00A23634"/>
    <w:rsid w:val="00A2378E"/>
    <w:rsid w:val="00A23B60"/>
    <w:rsid w:val="00A23C97"/>
    <w:rsid w:val="00A2405A"/>
    <w:rsid w:val="00A240F8"/>
    <w:rsid w:val="00A2505E"/>
    <w:rsid w:val="00A253B5"/>
    <w:rsid w:val="00A2576A"/>
    <w:rsid w:val="00A27168"/>
    <w:rsid w:val="00A2775C"/>
    <w:rsid w:val="00A27BCD"/>
    <w:rsid w:val="00A27D24"/>
    <w:rsid w:val="00A27F0B"/>
    <w:rsid w:val="00A316DB"/>
    <w:rsid w:val="00A32D67"/>
    <w:rsid w:val="00A33875"/>
    <w:rsid w:val="00A33AE6"/>
    <w:rsid w:val="00A33BFE"/>
    <w:rsid w:val="00A344E0"/>
    <w:rsid w:val="00A34A4B"/>
    <w:rsid w:val="00A34E40"/>
    <w:rsid w:val="00A34F12"/>
    <w:rsid w:val="00A35B0C"/>
    <w:rsid w:val="00A36EE3"/>
    <w:rsid w:val="00A3703A"/>
    <w:rsid w:val="00A406AE"/>
    <w:rsid w:val="00A41A5B"/>
    <w:rsid w:val="00A421D0"/>
    <w:rsid w:val="00A427AA"/>
    <w:rsid w:val="00A437DB"/>
    <w:rsid w:val="00A44126"/>
    <w:rsid w:val="00A442F5"/>
    <w:rsid w:val="00A44570"/>
    <w:rsid w:val="00A44764"/>
    <w:rsid w:val="00A464D7"/>
    <w:rsid w:val="00A473A1"/>
    <w:rsid w:val="00A473F1"/>
    <w:rsid w:val="00A47671"/>
    <w:rsid w:val="00A47853"/>
    <w:rsid w:val="00A526FD"/>
    <w:rsid w:val="00A53465"/>
    <w:rsid w:val="00A542CC"/>
    <w:rsid w:val="00A54A18"/>
    <w:rsid w:val="00A54C1C"/>
    <w:rsid w:val="00A54D0A"/>
    <w:rsid w:val="00A54F48"/>
    <w:rsid w:val="00A55089"/>
    <w:rsid w:val="00A5514D"/>
    <w:rsid w:val="00A55A3F"/>
    <w:rsid w:val="00A55B68"/>
    <w:rsid w:val="00A55F38"/>
    <w:rsid w:val="00A567B5"/>
    <w:rsid w:val="00A574D1"/>
    <w:rsid w:val="00A579FD"/>
    <w:rsid w:val="00A6007D"/>
    <w:rsid w:val="00A613B4"/>
    <w:rsid w:val="00A6180D"/>
    <w:rsid w:val="00A61F6B"/>
    <w:rsid w:val="00A62BB2"/>
    <w:rsid w:val="00A63B76"/>
    <w:rsid w:val="00A64003"/>
    <w:rsid w:val="00A644D5"/>
    <w:rsid w:val="00A65380"/>
    <w:rsid w:val="00A65F01"/>
    <w:rsid w:val="00A6627A"/>
    <w:rsid w:val="00A668D9"/>
    <w:rsid w:val="00A67273"/>
    <w:rsid w:val="00A67F33"/>
    <w:rsid w:val="00A70012"/>
    <w:rsid w:val="00A70565"/>
    <w:rsid w:val="00A7093C"/>
    <w:rsid w:val="00A70EBC"/>
    <w:rsid w:val="00A70F1B"/>
    <w:rsid w:val="00A711E9"/>
    <w:rsid w:val="00A7167D"/>
    <w:rsid w:val="00A71C70"/>
    <w:rsid w:val="00A71CDF"/>
    <w:rsid w:val="00A721F8"/>
    <w:rsid w:val="00A72602"/>
    <w:rsid w:val="00A72958"/>
    <w:rsid w:val="00A72EFC"/>
    <w:rsid w:val="00A73284"/>
    <w:rsid w:val="00A73E1C"/>
    <w:rsid w:val="00A74154"/>
    <w:rsid w:val="00A75AC5"/>
    <w:rsid w:val="00A75D50"/>
    <w:rsid w:val="00A762DC"/>
    <w:rsid w:val="00A76D2B"/>
    <w:rsid w:val="00A76E6C"/>
    <w:rsid w:val="00A77302"/>
    <w:rsid w:val="00A77B88"/>
    <w:rsid w:val="00A80138"/>
    <w:rsid w:val="00A80D36"/>
    <w:rsid w:val="00A811EB"/>
    <w:rsid w:val="00A81C48"/>
    <w:rsid w:val="00A8249C"/>
    <w:rsid w:val="00A82A1C"/>
    <w:rsid w:val="00A83119"/>
    <w:rsid w:val="00A83811"/>
    <w:rsid w:val="00A846E3"/>
    <w:rsid w:val="00A84C05"/>
    <w:rsid w:val="00A84C90"/>
    <w:rsid w:val="00A85B27"/>
    <w:rsid w:val="00A85B53"/>
    <w:rsid w:val="00A85FA2"/>
    <w:rsid w:val="00A861FE"/>
    <w:rsid w:val="00A86353"/>
    <w:rsid w:val="00A8652E"/>
    <w:rsid w:val="00A8721C"/>
    <w:rsid w:val="00A87870"/>
    <w:rsid w:val="00A87AA3"/>
    <w:rsid w:val="00A87E3E"/>
    <w:rsid w:val="00A9054E"/>
    <w:rsid w:val="00A90C3C"/>
    <w:rsid w:val="00A91680"/>
    <w:rsid w:val="00A91806"/>
    <w:rsid w:val="00A92D28"/>
    <w:rsid w:val="00A93EFC"/>
    <w:rsid w:val="00A945C7"/>
    <w:rsid w:val="00A94723"/>
    <w:rsid w:val="00A952A8"/>
    <w:rsid w:val="00A954CF"/>
    <w:rsid w:val="00A96B86"/>
    <w:rsid w:val="00A96BFE"/>
    <w:rsid w:val="00AA043A"/>
    <w:rsid w:val="00AA098C"/>
    <w:rsid w:val="00AA0A68"/>
    <w:rsid w:val="00AA1416"/>
    <w:rsid w:val="00AA28DB"/>
    <w:rsid w:val="00AA2AB4"/>
    <w:rsid w:val="00AA2AEE"/>
    <w:rsid w:val="00AA2DCD"/>
    <w:rsid w:val="00AA4214"/>
    <w:rsid w:val="00AA44DF"/>
    <w:rsid w:val="00AA4979"/>
    <w:rsid w:val="00AA5714"/>
    <w:rsid w:val="00AA5EA3"/>
    <w:rsid w:val="00AA6341"/>
    <w:rsid w:val="00AA6530"/>
    <w:rsid w:val="00AA65FE"/>
    <w:rsid w:val="00AA6869"/>
    <w:rsid w:val="00AA6900"/>
    <w:rsid w:val="00AA6D52"/>
    <w:rsid w:val="00AA76F1"/>
    <w:rsid w:val="00AA7AE2"/>
    <w:rsid w:val="00AA7E8F"/>
    <w:rsid w:val="00AA7FD2"/>
    <w:rsid w:val="00AB00B5"/>
    <w:rsid w:val="00AB10E3"/>
    <w:rsid w:val="00AB1C2B"/>
    <w:rsid w:val="00AB1D28"/>
    <w:rsid w:val="00AB296E"/>
    <w:rsid w:val="00AB4445"/>
    <w:rsid w:val="00AB53D2"/>
    <w:rsid w:val="00AB55A4"/>
    <w:rsid w:val="00AB5BD3"/>
    <w:rsid w:val="00AB603C"/>
    <w:rsid w:val="00AB685E"/>
    <w:rsid w:val="00AB686A"/>
    <w:rsid w:val="00AB7F4B"/>
    <w:rsid w:val="00AC00E2"/>
    <w:rsid w:val="00AC0195"/>
    <w:rsid w:val="00AC0A72"/>
    <w:rsid w:val="00AC0B1B"/>
    <w:rsid w:val="00AC1300"/>
    <w:rsid w:val="00AC1BDD"/>
    <w:rsid w:val="00AC1E59"/>
    <w:rsid w:val="00AC1E9C"/>
    <w:rsid w:val="00AC2B23"/>
    <w:rsid w:val="00AC2B56"/>
    <w:rsid w:val="00AC3051"/>
    <w:rsid w:val="00AC373E"/>
    <w:rsid w:val="00AC4146"/>
    <w:rsid w:val="00AC48CE"/>
    <w:rsid w:val="00AC4D61"/>
    <w:rsid w:val="00AC4F27"/>
    <w:rsid w:val="00AC53D6"/>
    <w:rsid w:val="00AC5F32"/>
    <w:rsid w:val="00AC5FD5"/>
    <w:rsid w:val="00AC6334"/>
    <w:rsid w:val="00AC6DE2"/>
    <w:rsid w:val="00AC74C1"/>
    <w:rsid w:val="00AC7C08"/>
    <w:rsid w:val="00AD0814"/>
    <w:rsid w:val="00AD1328"/>
    <w:rsid w:val="00AD1EE9"/>
    <w:rsid w:val="00AD24F6"/>
    <w:rsid w:val="00AD29EE"/>
    <w:rsid w:val="00AD4DEB"/>
    <w:rsid w:val="00AD4E80"/>
    <w:rsid w:val="00AD57E6"/>
    <w:rsid w:val="00AD6ECC"/>
    <w:rsid w:val="00AD72E2"/>
    <w:rsid w:val="00AD7BED"/>
    <w:rsid w:val="00AD7FB3"/>
    <w:rsid w:val="00AD7FCE"/>
    <w:rsid w:val="00AE03E6"/>
    <w:rsid w:val="00AE057C"/>
    <w:rsid w:val="00AE09BC"/>
    <w:rsid w:val="00AE0AD2"/>
    <w:rsid w:val="00AE0CE9"/>
    <w:rsid w:val="00AE128E"/>
    <w:rsid w:val="00AE17A0"/>
    <w:rsid w:val="00AE1DD3"/>
    <w:rsid w:val="00AE2C25"/>
    <w:rsid w:val="00AE2E9B"/>
    <w:rsid w:val="00AE2FEA"/>
    <w:rsid w:val="00AE3C61"/>
    <w:rsid w:val="00AE4353"/>
    <w:rsid w:val="00AE5503"/>
    <w:rsid w:val="00AE5629"/>
    <w:rsid w:val="00AE59DE"/>
    <w:rsid w:val="00AE5D6C"/>
    <w:rsid w:val="00AE6E22"/>
    <w:rsid w:val="00AE7524"/>
    <w:rsid w:val="00AE7A4D"/>
    <w:rsid w:val="00AE7C6B"/>
    <w:rsid w:val="00AF03D0"/>
    <w:rsid w:val="00AF06D3"/>
    <w:rsid w:val="00AF0793"/>
    <w:rsid w:val="00AF0F78"/>
    <w:rsid w:val="00AF1108"/>
    <w:rsid w:val="00AF1F1A"/>
    <w:rsid w:val="00AF25E8"/>
    <w:rsid w:val="00AF2822"/>
    <w:rsid w:val="00AF2C61"/>
    <w:rsid w:val="00AF3199"/>
    <w:rsid w:val="00AF4775"/>
    <w:rsid w:val="00AF4E4C"/>
    <w:rsid w:val="00AF4EB6"/>
    <w:rsid w:val="00AF5CC6"/>
    <w:rsid w:val="00AF5FA5"/>
    <w:rsid w:val="00AF5FC9"/>
    <w:rsid w:val="00AF609D"/>
    <w:rsid w:val="00AF689A"/>
    <w:rsid w:val="00B0086D"/>
    <w:rsid w:val="00B021A8"/>
    <w:rsid w:val="00B02A33"/>
    <w:rsid w:val="00B02B0E"/>
    <w:rsid w:val="00B030E0"/>
    <w:rsid w:val="00B032E7"/>
    <w:rsid w:val="00B03804"/>
    <w:rsid w:val="00B04504"/>
    <w:rsid w:val="00B04F72"/>
    <w:rsid w:val="00B06533"/>
    <w:rsid w:val="00B06FE8"/>
    <w:rsid w:val="00B073C3"/>
    <w:rsid w:val="00B10EC5"/>
    <w:rsid w:val="00B11A85"/>
    <w:rsid w:val="00B11F18"/>
    <w:rsid w:val="00B12155"/>
    <w:rsid w:val="00B12230"/>
    <w:rsid w:val="00B127B8"/>
    <w:rsid w:val="00B1282C"/>
    <w:rsid w:val="00B12939"/>
    <w:rsid w:val="00B14979"/>
    <w:rsid w:val="00B14A87"/>
    <w:rsid w:val="00B16346"/>
    <w:rsid w:val="00B16606"/>
    <w:rsid w:val="00B1721D"/>
    <w:rsid w:val="00B178D2"/>
    <w:rsid w:val="00B17CD6"/>
    <w:rsid w:val="00B17F19"/>
    <w:rsid w:val="00B208FD"/>
    <w:rsid w:val="00B209E1"/>
    <w:rsid w:val="00B20B3C"/>
    <w:rsid w:val="00B2100C"/>
    <w:rsid w:val="00B21718"/>
    <w:rsid w:val="00B21AB3"/>
    <w:rsid w:val="00B21F40"/>
    <w:rsid w:val="00B222C1"/>
    <w:rsid w:val="00B22E32"/>
    <w:rsid w:val="00B23396"/>
    <w:rsid w:val="00B2342B"/>
    <w:rsid w:val="00B238D9"/>
    <w:rsid w:val="00B239AB"/>
    <w:rsid w:val="00B23C41"/>
    <w:rsid w:val="00B23CBA"/>
    <w:rsid w:val="00B24B4E"/>
    <w:rsid w:val="00B25506"/>
    <w:rsid w:val="00B26427"/>
    <w:rsid w:val="00B26A41"/>
    <w:rsid w:val="00B26BD5"/>
    <w:rsid w:val="00B27313"/>
    <w:rsid w:val="00B2741F"/>
    <w:rsid w:val="00B27C9B"/>
    <w:rsid w:val="00B303AF"/>
    <w:rsid w:val="00B30767"/>
    <w:rsid w:val="00B30A7A"/>
    <w:rsid w:val="00B31233"/>
    <w:rsid w:val="00B31510"/>
    <w:rsid w:val="00B31E80"/>
    <w:rsid w:val="00B326FC"/>
    <w:rsid w:val="00B3340D"/>
    <w:rsid w:val="00B33ECF"/>
    <w:rsid w:val="00B3547C"/>
    <w:rsid w:val="00B35C5D"/>
    <w:rsid w:val="00B35EEC"/>
    <w:rsid w:val="00B35F69"/>
    <w:rsid w:val="00B35FDC"/>
    <w:rsid w:val="00B36917"/>
    <w:rsid w:val="00B36F24"/>
    <w:rsid w:val="00B37033"/>
    <w:rsid w:val="00B3709A"/>
    <w:rsid w:val="00B37D5C"/>
    <w:rsid w:val="00B405E4"/>
    <w:rsid w:val="00B40BE8"/>
    <w:rsid w:val="00B41236"/>
    <w:rsid w:val="00B41793"/>
    <w:rsid w:val="00B42031"/>
    <w:rsid w:val="00B42CC8"/>
    <w:rsid w:val="00B43257"/>
    <w:rsid w:val="00B438E8"/>
    <w:rsid w:val="00B43AC0"/>
    <w:rsid w:val="00B44877"/>
    <w:rsid w:val="00B45405"/>
    <w:rsid w:val="00B45E69"/>
    <w:rsid w:val="00B46480"/>
    <w:rsid w:val="00B46553"/>
    <w:rsid w:val="00B473D9"/>
    <w:rsid w:val="00B47801"/>
    <w:rsid w:val="00B500D1"/>
    <w:rsid w:val="00B508AC"/>
    <w:rsid w:val="00B50CD5"/>
    <w:rsid w:val="00B50FE6"/>
    <w:rsid w:val="00B51CDD"/>
    <w:rsid w:val="00B52A2F"/>
    <w:rsid w:val="00B52A69"/>
    <w:rsid w:val="00B52BBC"/>
    <w:rsid w:val="00B52D14"/>
    <w:rsid w:val="00B536FE"/>
    <w:rsid w:val="00B53834"/>
    <w:rsid w:val="00B53F6A"/>
    <w:rsid w:val="00B5403C"/>
    <w:rsid w:val="00B5449B"/>
    <w:rsid w:val="00B553EF"/>
    <w:rsid w:val="00B5586B"/>
    <w:rsid w:val="00B567B8"/>
    <w:rsid w:val="00B56883"/>
    <w:rsid w:val="00B57A71"/>
    <w:rsid w:val="00B57C5D"/>
    <w:rsid w:val="00B57DBB"/>
    <w:rsid w:val="00B60A3B"/>
    <w:rsid w:val="00B60EB9"/>
    <w:rsid w:val="00B614D6"/>
    <w:rsid w:val="00B61C83"/>
    <w:rsid w:val="00B6208D"/>
    <w:rsid w:val="00B624B8"/>
    <w:rsid w:val="00B625D9"/>
    <w:rsid w:val="00B63D2F"/>
    <w:rsid w:val="00B640EF"/>
    <w:rsid w:val="00B6498B"/>
    <w:rsid w:val="00B656C0"/>
    <w:rsid w:val="00B66260"/>
    <w:rsid w:val="00B6636B"/>
    <w:rsid w:val="00B668C5"/>
    <w:rsid w:val="00B66A64"/>
    <w:rsid w:val="00B66F54"/>
    <w:rsid w:val="00B67BE3"/>
    <w:rsid w:val="00B703D3"/>
    <w:rsid w:val="00B70A54"/>
    <w:rsid w:val="00B70E0C"/>
    <w:rsid w:val="00B72233"/>
    <w:rsid w:val="00B726AB"/>
    <w:rsid w:val="00B72AA5"/>
    <w:rsid w:val="00B730DF"/>
    <w:rsid w:val="00B731BB"/>
    <w:rsid w:val="00B73EA8"/>
    <w:rsid w:val="00B741FA"/>
    <w:rsid w:val="00B74675"/>
    <w:rsid w:val="00B74A93"/>
    <w:rsid w:val="00B7515F"/>
    <w:rsid w:val="00B7519D"/>
    <w:rsid w:val="00B7690F"/>
    <w:rsid w:val="00B77287"/>
    <w:rsid w:val="00B77BE1"/>
    <w:rsid w:val="00B80B87"/>
    <w:rsid w:val="00B80D20"/>
    <w:rsid w:val="00B820F6"/>
    <w:rsid w:val="00B8267C"/>
    <w:rsid w:val="00B83802"/>
    <w:rsid w:val="00B842DD"/>
    <w:rsid w:val="00B8441F"/>
    <w:rsid w:val="00B85056"/>
    <w:rsid w:val="00B851EC"/>
    <w:rsid w:val="00B857F3"/>
    <w:rsid w:val="00B860AC"/>
    <w:rsid w:val="00B86A01"/>
    <w:rsid w:val="00B90AA1"/>
    <w:rsid w:val="00B912DB"/>
    <w:rsid w:val="00B91F65"/>
    <w:rsid w:val="00B92E0A"/>
    <w:rsid w:val="00B93159"/>
    <w:rsid w:val="00B934FB"/>
    <w:rsid w:val="00B936DA"/>
    <w:rsid w:val="00B93850"/>
    <w:rsid w:val="00B93869"/>
    <w:rsid w:val="00B93E85"/>
    <w:rsid w:val="00B94C4F"/>
    <w:rsid w:val="00B9624D"/>
    <w:rsid w:val="00B962B3"/>
    <w:rsid w:val="00B96593"/>
    <w:rsid w:val="00B969FA"/>
    <w:rsid w:val="00B96AD0"/>
    <w:rsid w:val="00B96DB8"/>
    <w:rsid w:val="00B97134"/>
    <w:rsid w:val="00B97983"/>
    <w:rsid w:val="00B97A82"/>
    <w:rsid w:val="00B97FE9"/>
    <w:rsid w:val="00BA0881"/>
    <w:rsid w:val="00BA2285"/>
    <w:rsid w:val="00BA24B5"/>
    <w:rsid w:val="00BA273E"/>
    <w:rsid w:val="00BA2C58"/>
    <w:rsid w:val="00BA2CAF"/>
    <w:rsid w:val="00BA34B6"/>
    <w:rsid w:val="00BA360B"/>
    <w:rsid w:val="00BA3889"/>
    <w:rsid w:val="00BA3ADF"/>
    <w:rsid w:val="00BA3C90"/>
    <w:rsid w:val="00BA454D"/>
    <w:rsid w:val="00BA48FA"/>
    <w:rsid w:val="00BA59A1"/>
    <w:rsid w:val="00BA62B3"/>
    <w:rsid w:val="00BA679B"/>
    <w:rsid w:val="00BA7683"/>
    <w:rsid w:val="00BB13F9"/>
    <w:rsid w:val="00BB15CA"/>
    <w:rsid w:val="00BB37A0"/>
    <w:rsid w:val="00BB380B"/>
    <w:rsid w:val="00BB46EE"/>
    <w:rsid w:val="00BB4BD0"/>
    <w:rsid w:val="00BB515D"/>
    <w:rsid w:val="00BB565B"/>
    <w:rsid w:val="00BB586C"/>
    <w:rsid w:val="00BB60AF"/>
    <w:rsid w:val="00BB7D9F"/>
    <w:rsid w:val="00BC017F"/>
    <w:rsid w:val="00BC02E1"/>
    <w:rsid w:val="00BC0707"/>
    <w:rsid w:val="00BC079A"/>
    <w:rsid w:val="00BC08FF"/>
    <w:rsid w:val="00BC18D0"/>
    <w:rsid w:val="00BC25A9"/>
    <w:rsid w:val="00BC3072"/>
    <w:rsid w:val="00BC3796"/>
    <w:rsid w:val="00BC39C4"/>
    <w:rsid w:val="00BC3E7B"/>
    <w:rsid w:val="00BC3F4A"/>
    <w:rsid w:val="00BC4F7B"/>
    <w:rsid w:val="00BC5859"/>
    <w:rsid w:val="00BC5BDD"/>
    <w:rsid w:val="00BC664C"/>
    <w:rsid w:val="00BC67F6"/>
    <w:rsid w:val="00BC79CD"/>
    <w:rsid w:val="00BC7C4A"/>
    <w:rsid w:val="00BD073B"/>
    <w:rsid w:val="00BD0C22"/>
    <w:rsid w:val="00BD0EF7"/>
    <w:rsid w:val="00BD1741"/>
    <w:rsid w:val="00BD1D40"/>
    <w:rsid w:val="00BD27EA"/>
    <w:rsid w:val="00BD2B04"/>
    <w:rsid w:val="00BD4074"/>
    <w:rsid w:val="00BD47E0"/>
    <w:rsid w:val="00BD499A"/>
    <w:rsid w:val="00BD4E3F"/>
    <w:rsid w:val="00BD5780"/>
    <w:rsid w:val="00BD5E4C"/>
    <w:rsid w:val="00BD6634"/>
    <w:rsid w:val="00BD6868"/>
    <w:rsid w:val="00BD69D2"/>
    <w:rsid w:val="00BD6BF9"/>
    <w:rsid w:val="00BD7D0F"/>
    <w:rsid w:val="00BE025D"/>
    <w:rsid w:val="00BE0C2D"/>
    <w:rsid w:val="00BE1056"/>
    <w:rsid w:val="00BE1100"/>
    <w:rsid w:val="00BE185A"/>
    <w:rsid w:val="00BE196F"/>
    <w:rsid w:val="00BE2B83"/>
    <w:rsid w:val="00BE2F09"/>
    <w:rsid w:val="00BE549E"/>
    <w:rsid w:val="00BE6135"/>
    <w:rsid w:val="00BE6F03"/>
    <w:rsid w:val="00BE70BA"/>
    <w:rsid w:val="00BE753C"/>
    <w:rsid w:val="00BE7FA7"/>
    <w:rsid w:val="00BF110B"/>
    <w:rsid w:val="00BF20E8"/>
    <w:rsid w:val="00BF2E59"/>
    <w:rsid w:val="00BF3E0B"/>
    <w:rsid w:val="00BF47DE"/>
    <w:rsid w:val="00BF5509"/>
    <w:rsid w:val="00BF5D0C"/>
    <w:rsid w:val="00BF6866"/>
    <w:rsid w:val="00C002F3"/>
    <w:rsid w:val="00C00335"/>
    <w:rsid w:val="00C0095B"/>
    <w:rsid w:val="00C00CF7"/>
    <w:rsid w:val="00C00DA0"/>
    <w:rsid w:val="00C01664"/>
    <w:rsid w:val="00C022E5"/>
    <w:rsid w:val="00C0268B"/>
    <w:rsid w:val="00C0280D"/>
    <w:rsid w:val="00C02A27"/>
    <w:rsid w:val="00C035BC"/>
    <w:rsid w:val="00C03745"/>
    <w:rsid w:val="00C04260"/>
    <w:rsid w:val="00C05CB8"/>
    <w:rsid w:val="00C05D39"/>
    <w:rsid w:val="00C06DCF"/>
    <w:rsid w:val="00C0701F"/>
    <w:rsid w:val="00C070D1"/>
    <w:rsid w:val="00C07256"/>
    <w:rsid w:val="00C07513"/>
    <w:rsid w:val="00C07625"/>
    <w:rsid w:val="00C0788E"/>
    <w:rsid w:val="00C07B44"/>
    <w:rsid w:val="00C07F92"/>
    <w:rsid w:val="00C1027C"/>
    <w:rsid w:val="00C10CA0"/>
    <w:rsid w:val="00C10D6B"/>
    <w:rsid w:val="00C11075"/>
    <w:rsid w:val="00C13B41"/>
    <w:rsid w:val="00C145D8"/>
    <w:rsid w:val="00C14D86"/>
    <w:rsid w:val="00C16103"/>
    <w:rsid w:val="00C16908"/>
    <w:rsid w:val="00C16A12"/>
    <w:rsid w:val="00C171AC"/>
    <w:rsid w:val="00C1742F"/>
    <w:rsid w:val="00C204F6"/>
    <w:rsid w:val="00C21367"/>
    <w:rsid w:val="00C2142D"/>
    <w:rsid w:val="00C2146B"/>
    <w:rsid w:val="00C21613"/>
    <w:rsid w:val="00C2194B"/>
    <w:rsid w:val="00C21C13"/>
    <w:rsid w:val="00C21C1A"/>
    <w:rsid w:val="00C21D3F"/>
    <w:rsid w:val="00C226B8"/>
    <w:rsid w:val="00C2341B"/>
    <w:rsid w:val="00C2394D"/>
    <w:rsid w:val="00C23CA4"/>
    <w:rsid w:val="00C2503E"/>
    <w:rsid w:val="00C25DA9"/>
    <w:rsid w:val="00C2695E"/>
    <w:rsid w:val="00C26D3A"/>
    <w:rsid w:val="00C26F94"/>
    <w:rsid w:val="00C27ED7"/>
    <w:rsid w:val="00C31472"/>
    <w:rsid w:val="00C3199F"/>
    <w:rsid w:val="00C31C82"/>
    <w:rsid w:val="00C32580"/>
    <w:rsid w:val="00C329A6"/>
    <w:rsid w:val="00C32D03"/>
    <w:rsid w:val="00C32D23"/>
    <w:rsid w:val="00C32E47"/>
    <w:rsid w:val="00C333B3"/>
    <w:rsid w:val="00C33565"/>
    <w:rsid w:val="00C33CF8"/>
    <w:rsid w:val="00C344CC"/>
    <w:rsid w:val="00C34A38"/>
    <w:rsid w:val="00C353BA"/>
    <w:rsid w:val="00C356BE"/>
    <w:rsid w:val="00C3571C"/>
    <w:rsid w:val="00C35A40"/>
    <w:rsid w:val="00C361EB"/>
    <w:rsid w:val="00C3650F"/>
    <w:rsid w:val="00C4080A"/>
    <w:rsid w:val="00C41922"/>
    <w:rsid w:val="00C420B6"/>
    <w:rsid w:val="00C42901"/>
    <w:rsid w:val="00C42EE0"/>
    <w:rsid w:val="00C43AB0"/>
    <w:rsid w:val="00C43BFC"/>
    <w:rsid w:val="00C448AB"/>
    <w:rsid w:val="00C44C52"/>
    <w:rsid w:val="00C44C56"/>
    <w:rsid w:val="00C44C67"/>
    <w:rsid w:val="00C44E10"/>
    <w:rsid w:val="00C45932"/>
    <w:rsid w:val="00C4696B"/>
    <w:rsid w:val="00C46984"/>
    <w:rsid w:val="00C46D49"/>
    <w:rsid w:val="00C4714B"/>
    <w:rsid w:val="00C4759C"/>
    <w:rsid w:val="00C51861"/>
    <w:rsid w:val="00C519F6"/>
    <w:rsid w:val="00C51CD6"/>
    <w:rsid w:val="00C51F95"/>
    <w:rsid w:val="00C520EE"/>
    <w:rsid w:val="00C52E8A"/>
    <w:rsid w:val="00C54B3F"/>
    <w:rsid w:val="00C54D8A"/>
    <w:rsid w:val="00C556F6"/>
    <w:rsid w:val="00C55A4D"/>
    <w:rsid w:val="00C55B5D"/>
    <w:rsid w:val="00C56A9F"/>
    <w:rsid w:val="00C56C0F"/>
    <w:rsid w:val="00C57238"/>
    <w:rsid w:val="00C5745A"/>
    <w:rsid w:val="00C574B9"/>
    <w:rsid w:val="00C57FC5"/>
    <w:rsid w:val="00C605E8"/>
    <w:rsid w:val="00C60C74"/>
    <w:rsid w:val="00C6309A"/>
    <w:rsid w:val="00C63101"/>
    <w:rsid w:val="00C631BE"/>
    <w:rsid w:val="00C6381B"/>
    <w:rsid w:val="00C654F2"/>
    <w:rsid w:val="00C70372"/>
    <w:rsid w:val="00C70887"/>
    <w:rsid w:val="00C712BD"/>
    <w:rsid w:val="00C715FE"/>
    <w:rsid w:val="00C71B36"/>
    <w:rsid w:val="00C72A19"/>
    <w:rsid w:val="00C72BF7"/>
    <w:rsid w:val="00C73C12"/>
    <w:rsid w:val="00C74387"/>
    <w:rsid w:val="00C74453"/>
    <w:rsid w:val="00C74CB7"/>
    <w:rsid w:val="00C75192"/>
    <w:rsid w:val="00C753F5"/>
    <w:rsid w:val="00C75D30"/>
    <w:rsid w:val="00C76CF2"/>
    <w:rsid w:val="00C77139"/>
    <w:rsid w:val="00C777CD"/>
    <w:rsid w:val="00C77B32"/>
    <w:rsid w:val="00C803B8"/>
    <w:rsid w:val="00C804F9"/>
    <w:rsid w:val="00C81E8F"/>
    <w:rsid w:val="00C8204C"/>
    <w:rsid w:val="00C83858"/>
    <w:rsid w:val="00C848F5"/>
    <w:rsid w:val="00C849A3"/>
    <w:rsid w:val="00C853CC"/>
    <w:rsid w:val="00C8591D"/>
    <w:rsid w:val="00C862DE"/>
    <w:rsid w:val="00C86359"/>
    <w:rsid w:val="00C8688C"/>
    <w:rsid w:val="00C87259"/>
    <w:rsid w:val="00C87775"/>
    <w:rsid w:val="00C878EC"/>
    <w:rsid w:val="00C87F9D"/>
    <w:rsid w:val="00C911D0"/>
    <w:rsid w:val="00C917E5"/>
    <w:rsid w:val="00C91D42"/>
    <w:rsid w:val="00C91DA3"/>
    <w:rsid w:val="00C921DE"/>
    <w:rsid w:val="00C92446"/>
    <w:rsid w:val="00C924A6"/>
    <w:rsid w:val="00C92710"/>
    <w:rsid w:val="00C92E98"/>
    <w:rsid w:val="00C931DC"/>
    <w:rsid w:val="00C934A3"/>
    <w:rsid w:val="00C934E6"/>
    <w:rsid w:val="00C9459A"/>
    <w:rsid w:val="00C956E4"/>
    <w:rsid w:val="00C96567"/>
    <w:rsid w:val="00CA07F6"/>
    <w:rsid w:val="00CA0AF7"/>
    <w:rsid w:val="00CA11CB"/>
    <w:rsid w:val="00CA18DE"/>
    <w:rsid w:val="00CA1D91"/>
    <w:rsid w:val="00CA2F65"/>
    <w:rsid w:val="00CA3111"/>
    <w:rsid w:val="00CA3211"/>
    <w:rsid w:val="00CA400A"/>
    <w:rsid w:val="00CA427F"/>
    <w:rsid w:val="00CA48D7"/>
    <w:rsid w:val="00CA4BF5"/>
    <w:rsid w:val="00CA4ED0"/>
    <w:rsid w:val="00CA55E3"/>
    <w:rsid w:val="00CA5BAA"/>
    <w:rsid w:val="00CA7133"/>
    <w:rsid w:val="00CA7745"/>
    <w:rsid w:val="00CA7EE4"/>
    <w:rsid w:val="00CB01D0"/>
    <w:rsid w:val="00CB067C"/>
    <w:rsid w:val="00CB0D15"/>
    <w:rsid w:val="00CB235B"/>
    <w:rsid w:val="00CB354F"/>
    <w:rsid w:val="00CB4D9D"/>
    <w:rsid w:val="00CB4EAA"/>
    <w:rsid w:val="00CB4FF7"/>
    <w:rsid w:val="00CB5260"/>
    <w:rsid w:val="00CB5BD5"/>
    <w:rsid w:val="00CB6AE4"/>
    <w:rsid w:val="00CB7D05"/>
    <w:rsid w:val="00CC2C54"/>
    <w:rsid w:val="00CC2F78"/>
    <w:rsid w:val="00CC3E0B"/>
    <w:rsid w:val="00CC3E9F"/>
    <w:rsid w:val="00CC42F3"/>
    <w:rsid w:val="00CC4ADF"/>
    <w:rsid w:val="00CC5C45"/>
    <w:rsid w:val="00CC6138"/>
    <w:rsid w:val="00CC706C"/>
    <w:rsid w:val="00CC73F0"/>
    <w:rsid w:val="00CC74EF"/>
    <w:rsid w:val="00CC7AD3"/>
    <w:rsid w:val="00CC7C54"/>
    <w:rsid w:val="00CC7FD3"/>
    <w:rsid w:val="00CD0C77"/>
    <w:rsid w:val="00CD14AB"/>
    <w:rsid w:val="00CD2771"/>
    <w:rsid w:val="00CD2BF8"/>
    <w:rsid w:val="00CD3CCD"/>
    <w:rsid w:val="00CD3F20"/>
    <w:rsid w:val="00CD4C52"/>
    <w:rsid w:val="00CD4C95"/>
    <w:rsid w:val="00CD556F"/>
    <w:rsid w:val="00CD5F70"/>
    <w:rsid w:val="00CD61EF"/>
    <w:rsid w:val="00CD6885"/>
    <w:rsid w:val="00CD68EF"/>
    <w:rsid w:val="00CD6CA4"/>
    <w:rsid w:val="00CD6D72"/>
    <w:rsid w:val="00CE02B2"/>
    <w:rsid w:val="00CE1020"/>
    <w:rsid w:val="00CE1047"/>
    <w:rsid w:val="00CE14CD"/>
    <w:rsid w:val="00CE1656"/>
    <w:rsid w:val="00CE185E"/>
    <w:rsid w:val="00CE18E3"/>
    <w:rsid w:val="00CE220D"/>
    <w:rsid w:val="00CE22FE"/>
    <w:rsid w:val="00CE25F2"/>
    <w:rsid w:val="00CE299F"/>
    <w:rsid w:val="00CE306C"/>
    <w:rsid w:val="00CE3080"/>
    <w:rsid w:val="00CE3AF8"/>
    <w:rsid w:val="00CE3E1A"/>
    <w:rsid w:val="00CE43F4"/>
    <w:rsid w:val="00CE4812"/>
    <w:rsid w:val="00CE5490"/>
    <w:rsid w:val="00CE5AC2"/>
    <w:rsid w:val="00CE62BF"/>
    <w:rsid w:val="00CE6446"/>
    <w:rsid w:val="00CE77F6"/>
    <w:rsid w:val="00CE7ABF"/>
    <w:rsid w:val="00CE7DAB"/>
    <w:rsid w:val="00CF02D8"/>
    <w:rsid w:val="00CF1006"/>
    <w:rsid w:val="00CF149F"/>
    <w:rsid w:val="00CF1B9F"/>
    <w:rsid w:val="00CF2651"/>
    <w:rsid w:val="00CF330D"/>
    <w:rsid w:val="00CF497E"/>
    <w:rsid w:val="00CF4D92"/>
    <w:rsid w:val="00CF53B2"/>
    <w:rsid w:val="00CF6178"/>
    <w:rsid w:val="00CF61CE"/>
    <w:rsid w:val="00CF6A4F"/>
    <w:rsid w:val="00CF76EC"/>
    <w:rsid w:val="00CF77EA"/>
    <w:rsid w:val="00D0074B"/>
    <w:rsid w:val="00D00D8A"/>
    <w:rsid w:val="00D01057"/>
    <w:rsid w:val="00D01927"/>
    <w:rsid w:val="00D0248B"/>
    <w:rsid w:val="00D02B35"/>
    <w:rsid w:val="00D041B8"/>
    <w:rsid w:val="00D045CF"/>
    <w:rsid w:val="00D04D6E"/>
    <w:rsid w:val="00D04ED5"/>
    <w:rsid w:val="00D05BEC"/>
    <w:rsid w:val="00D0615C"/>
    <w:rsid w:val="00D062EA"/>
    <w:rsid w:val="00D0663C"/>
    <w:rsid w:val="00D0668B"/>
    <w:rsid w:val="00D069A1"/>
    <w:rsid w:val="00D06E0C"/>
    <w:rsid w:val="00D07330"/>
    <w:rsid w:val="00D0772E"/>
    <w:rsid w:val="00D1082E"/>
    <w:rsid w:val="00D10C82"/>
    <w:rsid w:val="00D10E36"/>
    <w:rsid w:val="00D11022"/>
    <w:rsid w:val="00D1218A"/>
    <w:rsid w:val="00D125C2"/>
    <w:rsid w:val="00D12BF4"/>
    <w:rsid w:val="00D13370"/>
    <w:rsid w:val="00D14A7F"/>
    <w:rsid w:val="00D151CD"/>
    <w:rsid w:val="00D1549F"/>
    <w:rsid w:val="00D15724"/>
    <w:rsid w:val="00D1584E"/>
    <w:rsid w:val="00D164D5"/>
    <w:rsid w:val="00D176DD"/>
    <w:rsid w:val="00D20256"/>
    <w:rsid w:val="00D203D9"/>
    <w:rsid w:val="00D2095A"/>
    <w:rsid w:val="00D209AF"/>
    <w:rsid w:val="00D20D97"/>
    <w:rsid w:val="00D20F3A"/>
    <w:rsid w:val="00D21B42"/>
    <w:rsid w:val="00D21B8B"/>
    <w:rsid w:val="00D21D91"/>
    <w:rsid w:val="00D22078"/>
    <w:rsid w:val="00D22D60"/>
    <w:rsid w:val="00D22ECB"/>
    <w:rsid w:val="00D2357F"/>
    <w:rsid w:val="00D235B9"/>
    <w:rsid w:val="00D23E2B"/>
    <w:rsid w:val="00D2425B"/>
    <w:rsid w:val="00D24996"/>
    <w:rsid w:val="00D251E9"/>
    <w:rsid w:val="00D25B39"/>
    <w:rsid w:val="00D30383"/>
    <w:rsid w:val="00D30DC4"/>
    <w:rsid w:val="00D31D4A"/>
    <w:rsid w:val="00D31F6E"/>
    <w:rsid w:val="00D3316B"/>
    <w:rsid w:val="00D34078"/>
    <w:rsid w:val="00D345EB"/>
    <w:rsid w:val="00D35048"/>
    <w:rsid w:val="00D35CC0"/>
    <w:rsid w:val="00D36153"/>
    <w:rsid w:val="00D36225"/>
    <w:rsid w:val="00D37503"/>
    <w:rsid w:val="00D37930"/>
    <w:rsid w:val="00D37D0B"/>
    <w:rsid w:val="00D4014A"/>
    <w:rsid w:val="00D4075A"/>
    <w:rsid w:val="00D409AA"/>
    <w:rsid w:val="00D41BF2"/>
    <w:rsid w:val="00D41CFD"/>
    <w:rsid w:val="00D4269A"/>
    <w:rsid w:val="00D42742"/>
    <w:rsid w:val="00D427C8"/>
    <w:rsid w:val="00D42865"/>
    <w:rsid w:val="00D42BC9"/>
    <w:rsid w:val="00D42C92"/>
    <w:rsid w:val="00D43099"/>
    <w:rsid w:val="00D430EC"/>
    <w:rsid w:val="00D43488"/>
    <w:rsid w:val="00D4434B"/>
    <w:rsid w:val="00D44E3A"/>
    <w:rsid w:val="00D450AD"/>
    <w:rsid w:val="00D45349"/>
    <w:rsid w:val="00D46082"/>
    <w:rsid w:val="00D461C8"/>
    <w:rsid w:val="00D4636D"/>
    <w:rsid w:val="00D46C2F"/>
    <w:rsid w:val="00D47880"/>
    <w:rsid w:val="00D50582"/>
    <w:rsid w:val="00D50F87"/>
    <w:rsid w:val="00D50FB8"/>
    <w:rsid w:val="00D52472"/>
    <w:rsid w:val="00D53FD9"/>
    <w:rsid w:val="00D54F29"/>
    <w:rsid w:val="00D54F90"/>
    <w:rsid w:val="00D551BD"/>
    <w:rsid w:val="00D57269"/>
    <w:rsid w:val="00D573CA"/>
    <w:rsid w:val="00D5769F"/>
    <w:rsid w:val="00D576DA"/>
    <w:rsid w:val="00D60163"/>
    <w:rsid w:val="00D60C56"/>
    <w:rsid w:val="00D617F2"/>
    <w:rsid w:val="00D61AF1"/>
    <w:rsid w:val="00D62DD9"/>
    <w:rsid w:val="00D62F20"/>
    <w:rsid w:val="00D63541"/>
    <w:rsid w:val="00D644C9"/>
    <w:rsid w:val="00D647A7"/>
    <w:rsid w:val="00D6680D"/>
    <w:rsid w:val="00D670BB"/>
    <w:rsid w:val="00D712E9"/>
    <w:rsid w:val="00D71F44"/>
    <w:rsid w:val="00D72547"/>
    <w:rsid w:val="00D72DAA"/>
    <w:rsid w:val="00D733FA"/>
    <w:rsid w:val="00D7341C"/>
    <w:rsid w:val="00D73615"/>
    <w:rsid w:val="00D739F8"/>
    <w:rsid w:val="00D73D24"/>
    <w:rsid w:val="00D73DBE"/>
    <w:rsid w:val="00D74B2F"/>
    <w:rsid w:val="00D75633"/>
    <w:rsid w:val="00D75A6E"/>
    <w:rsid w:val="00D75C8D"/>
    <w:rsid w:val="00D760AF"/>
    <w:rsid w:val="00D7692B"/>
    <w:rsid w:val="00D7701B"/>
    <w:rsid w:val="00D776C6"/>
    <w:rsid w:val="00D8029B"/>
    <w:rsid w:val="00D8062A"/>
    <w:rsid w:val="00D81710"/>
    <w:rsid w:val="00D82474"/>
    <w:rsid w:val="00D8260E"/>
    <w:rsid w:val="00D827FF"/>
    <w:rsid w:val="00D82B4D"/>
    <w:rsid w:val="00D844A0"/>
    <w:rsid w:val="00D845A8"/>
    <w:rsid w:val="00D84F4D"/>
    <w:rsid w:val="00D84F76"/>
    <w:rsid w:val="00D852B7"/>
    <w:rsid w:val="00D854A6"/>
    <w:rsid w:val="00D859FA"/>
    <w:rsid w:val="00D86068"/>
    <w:rsid w:val="00D8723A"/>
    <w:rsid w:val="00D87D22"/>
    <w:rsid w:val="00D90233"/>
    <w:rsid w:val="00D90A98"/>
    <w:rsid w:val="00D915E4"/>
    <w:rsid w:val="00D91BAB"/>
    <w:rsid w:val="00D91D31"/>
    <w:rsid w:val="00D93AC6"/>
    <w:rsid w:val="00D9422D"/>
    <w:rsid w:val="00D942FD"/>
    <w:rsid w:val="00D9546B"/>
    <w:rsid w:val="00D95887"/>
    <w:rsid w:val="00D958DD"/>
    <w:rsid w:val="00D96609"/>
    <w:rsid w:val="00D97E61"/>
    <w:rsid w:val="00DA1F30"/>
    <w:rsid w:val="00DA275A"/>
    <w:rsid w:val="00DA347D"/>
    <w:rsid w:val="00DA47F8"/>
    <w:rsid w:val="00DA4E3E"/>
    <w:rsid w:val="00DA512E"/>
    <w:rsid w:val="00DA572B"/>
    <w:rsid w:val="00DA6892"/>
    <w:rsid w:val="00DA6DF9"/>
    <w:rsid w:val="00DA769B"/>
    <w:rsid w:val="00DB014E"/>
    <w:rsid w:val="00DB01C3"/>
    <w:rsid w:val="00DB0AEE"/>
    <w:rsid w:val="00DB10D4"/>
    <w:rsid w:val="00DB13D5"/>
    <w:rsid w:val="00DB13FB"/>
    <w:rsid w:val="00DB1701"/>
    <w:rsid w:val="00DB210F"/>
    <w:rsid w:val="00DB285C"/>
    <w:rsid w:val="00DB2A51"/>
    <w:rsid w:val="00DB2DF4"/>
    <w:rsid w:val="00DB3972"/>
    <w:rsid w:val="00DB43FC"/>
    <w:rsid w:val="00DB4CAA"/>
    <w:rsid w:val="00DB54F0"/>
    <w:rsid w:val="00DB5A67"/>
    <w:rsid w:val="00DB5DA4"/>
    <w:rsid w:val="00DB67FD"/>
    <w:rsid w:val="00DB695F"/>
    <w:rsid w:val="00DB7E6E"/>
    <w:rsid w:val="00DB7EC8"/>
    <w:rsid w:val="00DC0369"/>
    <w:rsid w:val="00DC0BBE"/>
    <w:rsid w:val="00DC15F3"/>
    <w:rsid w:val="00DC1933"/>
    <w:rsid w:val="00DC2174"/>
    <w:rsid w:val="00DC2B97"/>
    <w:rsid w:val="00DC2B9B"/>
    <w:rsid w:val="00DC2E28"/>
    <w:rsid w:val="00DC4134"/>
    <w:rsid w:val="00DC5BDE"/>
    <w:rsid w:val="00DC5CAF"/>
    <w:rsid w:val="00DC6ADE"/>
    <w:rsid w:val="00DC6B8F"/>
    <w:rsid w:val="00DC6E2B"/>
    <w:rsid w:val="00DD0AD0"/>
    <w:rsid w:val="00DD1B38"/>
    <w:rsid w:val="00DD1EA0"/>
    <w:rsid w:val="00DD2667"/>
    <w:rsid w:val="00DD26BA"/>
    <w:rsid w:val="00DD2970"/>
    <w:rsid w:val="00DD478B"/>
    <w:rsid w:val="00DD4F1B"/>
    <w:rsid w:val="00DD58FF"/>
    <w:rsid w:val="00DD595E"/>
    <w:rsid w:val="00DD68AD"/>
    <w:rsid w:val="00DD7478"/>
    <w:rsid w:val="00DD74C7"/>
    <w:rsid w:val="00DD75FF"/>
    <w:rsid w:val="00DD7AC1"/>
    <w:rsid w:val="00DE09CF"/>
    <w:rsid w:val="00DE2603"/>
    <w:rsid w:val="00DE2AAB"/>
    <w:rsid w:val="00DE3153"/>
    <w:rsid w:val="00DE347E"/>
    <w:rsid w:val="00DE3BC7"/>
    <w:rsid w:val="00DE4126"/>
    <w:rsid w:val="00DE4574"/>
    <w:rsid w:val="00DE4646"/>
    <w:rsid w:val="00DE5A42"/>
    <w:rsid w:val="00DE5EE4"/>
    <w:rsid w:val="00DE756F"/>
    <w:rsid w:val="00DE79A1"/>
    <w:rsid w:val="00DE7E90"/>
    <w:rsid w:val="00DF05C1"/>
    <w:rsid w:val="00DF095B"/>
    <w:rsid w:val="00DF11CF"/>
    <w:rsid w:val="00DF12BA"/>
    <w:rsid w:val="00DF1D31"/>
    <w:rsid w:val="00DF22FC"/>
    <w:rsid w:val="00DF2821"/>
    <w:rsid w:val="00DF2BFB"/>
    <w:rsid w:val="00DF351B"/>
    <w:rsid w:val="00DF386D"/>
    <w:rsid w:val="00DF3972"/>
    <w:rsid w:val="00DF3A8B"/>
    <w:rsid w:val="00DF5799"/>
    <w:rsid w:val="00DF5930"/>
    <w:rsid w:val="00DF60EA"/>
    <w:rsid w:val="00DF63B8"/>
    <w:rsid w:val="00DF72B5"/>
    <w:rsid w:val="00DF7B10"/>
    <w:rsid w:val="00E01C07"/>
    <w:rsid w:val="00E01EB8"/>
    <w:rsid w:val="00E02A39"/>
    <w:rsid w:val="00E02AB0"/>
    <w:rsid w:val="00E03BD5"/>
    <w:rsid w:val="00E03C6B"/>
    <w:rsid w:val="00E0409A"/>
    <w:rsid w:val="00E043D1"/>
    <w:rsid w:val="00E04544"/>
    <w:rsid w:val="00E057A9"/>
    <w:rsid w:val="00E06952"/>
    <w:rsid w:val="00E069ED"/>
    <w:rsid w:val="00E06BC4"/>
    <w:rsid w:val="00E07136"/>
    <w:rsid w:val="00E07275"/>
    <w:rsid w:val="00E07E23"/>
    <w:rsid w:val="00E10618"/>
    <w:rsid w:val="00E113D2"/>
    <w:rsid w:val="00E11A41"/>
    <w:rsid w:val="00E124FF"/>
    <w:rsid w:val="00E13C16"/>
    <w:rsid w:val="00E14137"/>
    <w:rsid w:val="00E143BE"/>
    <w:rsid w:val="00E1464E"/>
    <w:rsid w:val="00E15982"/>
    <w:rsid w:val="00E15AEB"/>
    <w:rsid w:val="00E15CB0"/>
    <w:rsid w:val="00E15D0B"/>
    <w:rsid w:val="00E160AB"/>
    <w:rsid w:val="00E17165"/>
    <w:rsid w:val="00E17608"/>
    <w:rsid w:val="00E17A73"/>
    <w:rsid w:val="00E20210"/>
    <w:rsid w:val="00E216BE"/>
    <w:rsid w:val="00E225E4"/>
    <w:rsid w:val="00E2311F"/>
    <w:rsid w:val="00E234A1"/>
    <w:rsid w:val="00E23CE2"/>
    <w:rsid w:val="00E23FCC"/>
    <w:rsid w:val="00E24086"/>
    <w:rsid w:val="00E24882"/>
    <w:rsid w:val="00E26177"/>
    <w:rsid w:val="00E26246"/>
    <w:rsid w:val="00E262E2"/>
    <w:rsid w:val="00E267B3"/>
    <w:rsid w:val="00E26A7A"/>
    <w:rsid w:val="00E273A2"/>
    <w:rsid w:val="00E2743D"/>
    <w:rsid w:val="00E27B30"/>
    <w:rsid w:val="00E27DDA"/>
    <w:rsid w:val="00E27F96"/>
    <w:rsid w:val="00E30D11"/>
    <w:rsid w:val="00E31005"/>
    <w:rsid w:val="00E31257"/>
    <w:rsid w:val="00E3192C"/>
    <w:rsid w:val="00E324A9"/>
    <w:rsid w:val="00E32AF7"/>
    <w:rsid w:val="00E33E11"/>
    <w:rsid w:val="00E3432C"/>
    <w:rsid w:val="00E343C1"/>
    <w:rsid w:val="00E34505"/>
    <w:rsid w:val="00E34CC8"/>
    <w:rsid w:val="00E35434"/>
    <w:rsid w:val="00E35B63"/>
    <w:rsid w:val="00E369DE"/>
    <w:rsid w:val="00E37A6B"/>
    <w:rsid w:val="00E37BB1"/>
    <w:rsid w:val="00E37F7E"/>
    <w:rsid w:val="00E4066F"/>
    <w:rsid w:val="00E40868"/>
    <w:rsid w:val="00E41C0F"/>
    <w:rsid w:val="00E41F0B"/>
    <w:rsid w:val="00E43253"/>
    <w:rsid w:val="00E432D5"/>
    <w:rsid w:val="00E43586"/>
    <w:rsid w:val="00E439C3"/>
    <w:rsid w:val="00E439DB"/>
    <w:rsid w:val="00E448FD"/>
    <w:rsid w:val="00E44DF1"/>
    <w:rsid w:val="00E44E41"/>
    <w:rsid w:val="00E453AD"/>
    <w:rsid w:val="00E459F4"/>
    <w:rsid w:val="00E4622B"/>
    <w:rsid w:val="00E46C24"/>
    <w:rsid w:val="00E46CDE"/>
    <w:rsid w:val="00E46D9E"/>
    <w:rsid w:val="00E46F95"/>
    <w:rsid w:val="00E470A9"/>
    <w:rsid w:val="00E47E99"/>
    <w:rsid w:val="00E50000"/>
    <w:rsid w:val="00E50A1C"/>
    <w:rsid w:val="00E50ACB"/>
    <w:rsid w:val="00E51A30"/>
    <w:rsid w:val="00E52454"/>
    <w:rsid w:val="00E5273B"/>
    <w:rsid w:val="00E5283F"/>
    <w:rsid w:val="00E52915"/>
    <w:rsid w:val="00E52B1A"/>
    <w:rsid w:val="00E5337D"/>
    <w:rsid w:val="00E53F15"/>
    <w:rsid w:val="00E54472"/>
    <w:rsid w:val="00E545CB"/>
    <w:rsid w:val="00E55543"/>
    <w:rsid w:val="00E55701"/>
    <w:rsid w:val="00E559E1"/>
    <w:rsid w:val="00E56849"/>
    <w:rsid w:val="00E57750"/>
    <w:rsid w:val="00E57C71"/>
    <w:rsid w:val="00E57CBC"/>
    <w:rsid w:val="00E57D5A"/>
    <w:rsid w:val="00E57D89"/>
    <w:rsid w:val="00E57DBA"/>
    <w:rsid w:val="00E608C0"/>
    <w:rsid w:val="00E60AA5"/>
    <w:rsid w:val="00E628E0"/>
    <w:rsid w:val="00E62F17"/>
    <w:rsid w:val="00E63048"/>
    <w:rsid w:val="00E63391"/>
    <w:rsid w:val="00E64C54"/>
    <w:rsid w:val="00E65765"/>
    <w:rsid w:val="00E65867"/>
    <w:rsid w:val="00E65EF3"/>
    <w:rsid w:val="00E66440"/>
    <w:rsid w:val="00E665ED"/>
    <w:rsid w:val="00E66A83"/>
    <w:rsid w:val="00E66EBA"/>
    <w:rsid w:val="00E66ECE"/>
    <w:rsid w:val="00E678DF"/>
    <w:rsid w:val="00E70911"/>
    <w:rsid w:val="00E70C37"/>
    <w:rsid w:val="00E71CAA"/>
    <w:rsid w:val="00E72B4D"/>
    <w:rsid w:val="00E734AB"/>
    <w:rsid w:val="00E74263"/>
    <w:rsid w:val="00E74531"/>
    <w:rsid w:val="00E7470C"/>
    <w:rsid w:val="00E747C3"/>
    <w:rsid w:val="00E747CD"/>
    <w:rsid w:val="00E74FA6"/>
    <w:rsid w:val="00E7502D"/>
    <w:rsid w:val="00E75133"/>
    <w:rsid w:val="00E75260"/>
    <w:rsid w:val="00E758FE"/>
    <w:rsid w:val="00E7658D"/>
    <w:rsid w:val="00E7666E"/>
    <w:rsid w:val="00E7738B"/>
    <w:rsid w:val="00E778F1"/>
    <w:rsid w:val="00E77B80"/>
    <w:rsid w:val="00E806EE"/>
    <w:rsid w:val="00E80B29"/>
    <w:rsid w:val="00E80FD0"/>
    <w:rsid w:val="00E8111B"/>
    <w:rsid w:val="00E814B4"/>
    <w:rsid w:val="00E81FF3"/>
    <w:rsid w:val="00E82FA4"/>
    <w:rsid w:val="00E83BDD"/>
    <w:rsid w:val="00E8411D"/>
    <w:rsid w:val="00E84141"/>
    <w:rsid w:val="00E84A67"/>
    <w:rsid w:val="00E850EE"/>
    <w:rsid w:val="00E866B2"/>
    <w:rsid w:val="00E86CEC"/>
    <w:rsid w:val="00E8705E"/>
    <w:rsid w:val="00E8716F"/>
    <w:rsid w:val="00E877E3"/>
    <w:rsid w:val="00E9027F"/>
    <w:rsid w:val="00E90648"/>
    <w:rsid w:val="00E90E4A"/>
    <w:rsid w:val="00E91B9A"/>
    <w:rsid w:val="00E92624"/>
    <w:rsid w:val="00E92719"/>
    <w:rsid w:val="00E92DAA"/>
    <w:rsid w:val="00E94BBB"/>
    <w:rsid w:val="00E9667B"/>
    <w:rsid w:val="00E96B5A"/>
    <w:rsid w:val="00E96B67"/>
    <w:rsid w:val="00E97EE0"/>
    <w:rsid w:val="00EA1557"/>
    <w:rsid w:val="00EA16F0"/>
    <w:rsid w:val="00EA274E"/>
    <w:rsid w:val="00EA2E2B"/>
    <w:rsid w:val="00EA2F30"/>
    <w:rsid w:val="00EA33DA"/>
    <w:rsid w:val="00EA350D"/>
    <w:rsid w:val="00EA398D"/>
    <w:rsid w:val="00EA41CE"/>
    <w:rsid w:val="00EA4493"/>
    <w:rsid w:val="00EA4E4F"/>
    <w:rsid w:val="00EA51B6"/>
    <w:rsid w:val="00EA5359"/>
    <w:rsid w:val="00EA54D0"/>
    <w:rsid w:val="00EA5E94"/>
    <w:rsid w:val="00EA69D9"/>
    <w:rsid w:val="00EA6D76"/>
    <w:rsid w:val="00EA76C3"/>
    <w:rsid w:val="00EA784D"/>
    <w:rsid w:val="00EA788E"/>
    <w:rsid w:val="00EA7D86"/>
    <w:rsid w:val="00EB02ED"/>
    <w:rsid w:val="00EB0470"/>
    <w:rsid w:val="00EB0A2E"/>
    <w:rsid w:val="00EB0A41"/>
    <w:rsid w:val="00EB0E5E"/>
    <w:rsid w:val="00EB19DB"/>
    <w:rsid w:val="00EB2553"/>
    <w:rsid w:val="00EB2D80"/>
    <w:rsid w:val="00EB434F"/>
    <w:rsid w:val="00EB4558"/>
    <w:rsid w:val="00EB4885"/>
    <w:rsid w:val="00EB508D"/>
    <w:rsid w:val="00EB580C"/>
    <w:rsid w:val="00EB5958"/>
    <w:rsid w:val="00EB5D34"/>
    <w:rsid w:val="00EB6C7E"/>
    <w:rsid w:val="00EB7294"/>
    <w:rsid w:val="00EC0571"/>
    <w:rsid w:val="00EC0882"/>
    <w:rsid w:val="00EC13E4"/>
    <w:rsid w:val="00EC174A"/>
    <w:rsid w:val="00EC273A"/>
    <w:rsid w:val="00EC27A8"/>
    <w:rsid w:val="00EC2D51"/>
    <w:rsid w:val="00EC362C"/>
    <w:rsid w:val="00EC4039"/>
    <w:rsid w:val="00EC41EA"/>
    <w:rsid w:val="00EC4252"/>
    <w:rsid w:val="00EC449A"/>
    <w:rsid w:val="00EC588D"/>
    <w:rsid w:val="00EC6A86"/>
    <w:rsid w:val="00EC7802"/>
    <w:rsid w:val="00ED028C"/>
    <w:rsid w:val="00ED11FB"/>
    <w:rsid w:val="00ED15A5"/>
    <w:rsid w:val="00ED1664"/>
    <w:rsid w:val="00ED29DE"/>
    <w:rsid w:val="00ED302C"/>
    <w:rsid w:val="00ED31DC"/>
    <w:rsid w:val="00ED364A"/>
    <w:rsid w:val="00ED3797"/>
    <w:rsid w:val="00ED4239"/>
    <w:rsid w:val="00ED54DA"/>
    <w:rsid w:val="00ED55BB"/>
    <w:rsid w:val="00ED604A"/>
    <w:rsid w:val="00ED60C6"/>
    <w:rsid w:val="00ED6A2A"/>
    <w:rsid w:val="00ED6C6E"/>
    <w:rsid w:val="00ED7262"/>
    <w:rsid w:val="00ED7655"/>
    <w:rsid w:val="00ED7710"/>
    <w:rsid w:val="00EE04AE"/>
    <w:rsid w:val="00EE058B"/>
    <w:rsid w:val="00EE091A"/>
    <w:rsid w:val="00EE0F45"/>
    <w:rsid w:val="00EE1A88"/>
    <w:rsid w:val="00EE23F3"/>
    <w:rsid w:val="00EE25C9"/>
    <w:rsid w:val="00EE262F"/>
    <w:rsid w:val="00EE2757"/>
    <w:rsid w:val="00EE2884"/>
    <w:rsid w:val="00EE2FE2"/>
    <w:rsid w:val="00EE43B4"/>
    <w:rsid w:val="00EE4B4D"/>
    <w:rsid w:val="00EE5033"/>
    <w:rsid w:val="00EE5904"/>
    <w:rsid w:val="00EE5FD2"/>
    <w:rsid w:val="00EE6570"/>
    <w:rsid w:val="00EE77CF"/>
    <w:rsid w:val="00EE7F90"/>
    <w:rsid w:val="00EF0010"/>
    <w:rsid w:val="00EF097C"/>
    <w:rsid w:val="00EF1338"/>
    <w:rsid w:val="00EF1D4F"/>
    <w:rsid w:val="00EF2288"/>
    <w:rsid w:val="00EF26FC"/>
    <w:rsid w:val="00EF282F"/>
    <w:rsid w:val="00EF3D4E"/>
    <w:rsid w:val="00EF3D95"/>
    <w:rsid w:val="00EF51D1"/>
    <w:rsid w:val="00EF52A1"/>
    <w:rsid w:val="00EF53B0"/>
    <w:rsid w:val="00EF56A2"/>
    <w:rsid w:val="00EF74F4"/>
    <w:rsid w:val="00EF7609"/>
    <w:rsid w:val="00EF7C40"/>
    <w:rsid w:val="00F0128E"/>
    <w:rsid w:val="00F01A3E"/>
    <w:rsid w:val="00F0227A"/>
    <w:rsid w:val="00F0275F"/>
    <w:rsid w:val="00F027C9"/>
    <w:rsid w:val="00F044A5"/>
    <w:rsid w:val="00F04799"/>
    <w:rsid w:val="00F04F85"/>
    <w:rsid w:val="00F0530A"/>
    <w:rsid w:val="00F06864"/>
    <w:rsid w:val="00F07429"/>
    <w:rsid w:val="00F07DC2"/>
    <w:rsid w:val="00F10433"/>
    <w:rsid w:val="00F10511"/>
    <w:rsid w:val="00F10CB0"/>
    <w:rsid w:val="00F10DAE"/>
    <w:rsid w:val="00F1105F"/>
    <w:rsid w:val="00F11320"/>
    <w:rsid w:val="00F114D9"/>
    <w:rsid w:val="00F11B6C"/>
    <w:rsid w:val="00F125ED"/>
    <w:rsid w:val="00F12711"/>
    <w:rsid w:val="00F139CA"/>
    <w:rsid w:val="00F13D2C"/>
    <w:rsid w:val="00F13DE4"/>
    <w:rsid w:val="00F13F27"/>
    <w:rsid w:val="00F141FE"/>
    <w:rsid w:val="00F143AD"/>
    <w:rsid w:val="00F1495A"/>
    <w:rsid w:val="00F14C22"/>
    <w:rsid w:val="00F15B28"/>
    <w:rsid w:val="00F16BC2"/>
    <w:rsid w:val="00F17CCC"/>
    <w:rsid w:val="00F17D35"/>
    <w:rsid w:val="00F214A0"/>
    <w:rsid w:val="00F2160C"/>
    <w:rsid w:val="00F22529"/>
    <w:rsid w:val="00F22DD6"/>
    <w:rsid w:val="00F231B7"/>
    <w:rsid w:val="00F232C4"/>
    <w:rsid w:val="00F23702"/>
    <w:rsid w:val="00F2402D"/>
    <w:rsid w:val="00F2562E"/>
    <w:rsid w:val="00F27BF8"/>
    <w:rsid w:val="00F27E6A"/>
    <w:rsid w:val="00F302A6"/>
    <w:rsid w:val="00F30343"/>
    <w:rsid w:val="00F304BF"/>
    <w:rsid w:val="00F30555"/>
    <w:rsid w:val="00F315CF"/>
    <w:rsid w:val="00F31A33"/>
    <w:rsid w:val="00F3241C"/>
    <w:rsid w:val="00F329D6"/>
    <w:rsid w:val="00F32BD7"/>
    <w:rsid w:val="00F330AA"/>
    <w:rsid w:val="00F33599"/>
    <w:rsid w:val="00F33A2D"/>
    <w:rsid w:val="00F35600"/>
    <w:rsid w:val="00F356B9"/>
    <w:rsid w:val="00F35784"/>
    <w:rsid w:val="00F3616F"/>
    <w:rsid w:val="00F366F0"/>
    <w:rsid w:val="00F3720B"/>
    <w:rsid w:val="00F3730F"/>
    <w:rsid w:val="00F377DD"/>
    <w:rsid w:val="00F37986"/>
    <w:rsid w:val="00F37B6D"/>
    <w:rsid w:val="00F401A2"/>
    <w:rsid w:val="00F4022B"/>
    <w:rsid w:val="00F4078A"/>
    <w:rsid w:val="00F4170E"/>
    <w:rsid w:val="00F419FF"/>
    <w:rsid w:val="00F41B26"/>
    <w:rsid w:val="00F42A5E"/>
    <w:rsid w:val="00F4386B"/>
    <w:rsid w:val="00F43AE1"/>
    <w:rsid w:val="00F43C3F"/>
    <w:rsid w:val="00F4429D"/>
    <w:rsid w:val="00F44E44"/>
    <w:rsid w:val="00F45682"/>
    <w:rsid w:val="00F45F6E"/>
    <w:rsid w:val="00F47124"/>
    <w:rsid w:val="00F47AD2"/>
    <w:rsid w:val="00F51D6A"/>
    <w:rsid w:val="00F52117"/>
    <w:rsid w:val="00F5294F"/>
    <w:rsid w:val="00F52966"/>
    <w:rsid w:val="00F52B0D"/>
    <w:rsid w:val="00F54769"/>
    <w:rsid w:val="00F55244"/>
    <w:rsid w:val="00F560F7"/>
    <w:rsid w:val="00F56495"/>
    <w:rsid w:val="00F56969"/>
    <w:rsid w:val="00F608E4"/>
    <w:rsid w:val="00F60FED"/>
    <w:rsid w:val="00F6118C"/>
    <w:rsid w:val="00F613A9"/>
    <w:rsid w:val="00F62135"/>
    <w:rsid w:val="00F629FF"/>
    <w:rsid w:val="00F63951"/>
    <w:rsid w:val="00F647B3"/>
    <w:rsid w:val="00F6677B"/>
    <w:rsid w:val="00F67239"/>
    <w:rsid w:val="00F6740C"/>
    <w:rsid w:val="00F67989"/>
    <w:rsid w:val="00F67AAB"/>
    <w:rsid w:val="00F702E8"/>
    <w:rsid w:val="00F70771"/>
    <w:rsid w:val="00F728DE"/>
    <w:rsid w:val="00F72AFD"/>
    <w:rsid w:val="00F72B75"/>
    <w:rsid w:val="00F72BDE"/>
    <w:rsid w:val="00F72F52"/>
    <w:rsid w:val="00F73231"/>
    <w:rsid w:val="00F7339D"/>
    <w:rsid w:val="00F73B80"/>
    <w:rsid w:val="00F74368"/>
    <w:rsid w:val="00F7468B"/>
    <w:rsid w:val="00F74AAA"/>
    <w:rsid w:val="00F74FBE"/>
    <w:rsid w:val="00F754DD"/>
    <w:rsid w:val="00F7572B"/>
    <w:rsid w:val="00F7597D"/>
    <w:rsid w:val="00F801B2"/>
    <w:rsid w:val="00F805EF"/>
    <w:rsid w:val="00F806F5"/>
    <w:rsid w:val="00F808EF"/>
    <w:rsid w:val="00F80AB0"/>
    <w:rsid w:val="00F8158C"/>
    <w:rsid w:val="00F81854"/>
    <w:rsid w:val="00F82150"/>
    <w:rsid w:val="00F8223B"/>
    <w:rsid w:val="00F82767"/>
    <w:rsid w:val="00F827B6"/>
    <w:rsid w:val="00F8378C"/>
    <w:rsid w:val="00F83C8F"/>
    <w:rsid w:val="00F83CB2"/>
    <w:rsid w:val="00F84642"/>
    <w:rsid w:val="00F84DFA"/>
    <w:rsid w:val="00F86796"/>
    <w:rsid w:val="00F86E95"/>
    <w:rsid w:val="00F9017D"/>
    <w:rsid w:val="00F909ED"/>
    <w:rsid w:val="00F913A8"/>
    <w:rsid w:val="00F91E87"/>
    <w:rsid w:val="00F92953"/>
    <w:rsid w:val="00F944D4"/>
    <w:rsid w:val="00F94500"/>
    <w:rsid w:val="00F94E61"/>
    <w:rsid w:val="00F95128"/>
    <w:rsid w:val="00F951FD"/>
    <w:rsid w:val="00F9588E"/>
    <w:rsid w:val="00F95B5F"/>
    <w:rsid w:val="00F96360"/>
    <w:rsid w:val="00F967CF"/>
    <w:rsid w:val="00F96AA3"/>
    <w:rsid w:val="00F96B3A"/>
    <w:rsid w:val="00F9752E"/>
    <w:rsid w:val="00F97CE0"/>
    <w:rsid w:val="00FA0426"/>
    <w:rsid w:val="00FA0F2C"/>
    <w:rsid w:val="00FA2269"/>
    <w:rsid w:val="00FA2C37"/>
    <w:rsid w:val="00FA3233"/>
    <w:rsid w:val="00FA34A7"/>
    <w:rsid w:val="00FA375A"/>
    <w:rsid w:val="00FA3A85"/>
    <w:rsid w:val="00FA599E"/>
    <w:rsid w:val="00FA7DC8"/>
    <w:rsid w:val="00FB00C0"/>
    <w:rsid w:val="00FB070E"/>
    <w:rsid w:val="00FB1051"/>
    <w:rsid w:val="00FB2912"/>
    <w:rsid w:val="00FB2B22"/>
    <w:rsid w:val="00FB2D9C"/>
    <w:rsid w:val="00FB3B52"/>
    <w:rsid w:val="00FB43A6"/>
    <w:rsid w:val="00FB505A"/>
    <w:rsid w:val="00FB6C59"/>
    <w:rsid w:val="00FB7286"/>
    <w:rsid w:val="00FB72EE"/>
    <w:rsid w:val="00FC0A91"/>
    <w:rsid w:val="00FC1055"/>
    <w:rsid w:val="00FC118F"/>
    <w:rsid w:val="00FC19A8"/>
    <w:rsid w:val="00FC1D77"/>
    <w:rsid w:val="00FC29E1"/>
    <w:rsid w:val="00FC2A7D"/>
    <w:rsid w:val="00FC2ADA"/>
    <w:rsid w:val="00FC3193"/>
    <w:rsid w:val="00FC34A2"/>
    <w:rsid w:val="00FC35D0"/>
    <w:rsid w:val="00FC39E0"/>
    <w:rsid w:val="00FC3B89"/>
    <w:rsid w:val="00FC46CF"/>
    <w:rsid w:val="00FC4919"/>
    <w:rsid w:val="00FC50F8"/>
    <w:rsid w:val="00FC6182"/>
    <w:rsid w:val="00FC71FD"/>
    <w:rsid w:val="00FC79DA"/>
    <w:rsid w:val="00FC7FCE"/>
    <w:rsid w:val="00FD08E1"/>
    <w:rsid w:val="00FD1820"/>
    <w:rsid w:val="00FD31D3"/>
    <w:rsid w:val="00FD4052"/>
    <w:rsid w:val="00FD53EC"/>
    <w:rsid w:val="00FD77B9"/>
    <w:rsid w:val="00FD7F33"/>
    <w:rsid w:val="00FD7F53"/>
    <w:rsid w:val="00FD7F9E"/>
    <w:rsid w:val="00FE05F0"/>
    <w:rsid w:val="00FE096E"/>
    <w:rsid w:val="00FE09B3"/>
    <w:rsid w:val="00FE0AE0"/>
    <w:rsid w:val="00FE0D21"/>
    <w:rsid w:val="00FE0DEC"/>
    <w:rsid w:val="00FE1036"/>
    <w:rsid w:val="00FE1273"/>
    <w:rsid w:val="00FE1BCA"/>
    <w:rsid w:val="00FE1E69"/>
    <w:rsid w:val="00FE3249"/>
    <w:rsid w:val="00FE3256"/>
    <w:rsid w:val="00FE3748"/>
    <w:rsid w:val="00FE46FB"/>
    <w:rsid w:val="00FE4C4C"/>
    <w:rsid w:val="00FE50A6"/>
    <w:rsid w:val="00FE5260"/>
    <w:rsid w:val="00FE5AD0"/>
    <w:rsid w:val="00FE70CD"/>
    <w:rsid w:val="00FE749F"/>
    <w:rsid w:val="00FE7F6A"/>
    <w:rsid w:val="00FF00B1"/>
    <w:rsid w:val="00FF07BC"/>
    <w:rsid w:val="00FF102A"/>
    <w:rsid w:val="00FF2100"/>
    <w:rsid w:val="00FF21B1"/>
    <w:rsid w:val="00FF2273"/>
    <w:rsid w:val="00FF2750"/>
    <w:rsid w:val="00FF2FAB"/>
    <w:rsid w:val="00FF382A"/>
    <w:rsid w:val="00FF38F9"/>
    <w:rsid w:val="00FF3C47"/>
    <w:rsid w:val="00FF4913"/>
    <w:rsid w:val="00FF4A6F"/>
    <w:rsid w:val="00FF4F73"/>
    <w:rsid w:val="00FF5B65"/>
    <w:rsid w:val="00FF5BC0"/>
    <w:rsid w:val="00FF64F3"/>
    <w:rsid w:val="00FF6E3B"/>
    <w:rsid w:val="00FF77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9DE7A"/>
  <w15:chartTrackingRefBased/>
  <w15:docId w15:val="{85BA383D-4884-4944-88CE-E9B40D52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EF3"/>
    <w:pPr>
      <w:spacing w:after="120" w:line="276" w:lineRule="auto"/>
    </w:pPr>
    <w:rPr>
      <w:rFonts w:ascii="Arial" w:hAnsi="Arial" w:cstheme="minorBidi"/>
      <w:sz w:val="22"/>
      <w:szCs w:val="22"/>
    </w:rPr>
  </w:style>
  <w:style w:type="paragraph" w:styleId="Overskrift1">
    <w:name w:val="heading 1"/>
    <w:basedOn w:val="Normal"/>
    <w:next w:val="Normal"/>
    <w:link w:val="Overskrift1Tegn"/>
    <w:qFormat/>
    <w:rsid w:val="00E65EF3"/>
    <w:pPr>
      <w:keepNext/>
      <w:keepLines/>
      <w:numPr>
        <w:numId w:val="19"/>
      </w:numPr>
      <w:spacing w:before="360" w:after="80"/>
      <w:outlineLvl w:val="0"/>
    </w:pPr>
    <w:rPr>
      <w:b/>
      <w:kern w:val="28"/>
      <w:sz w:val="32"/>
    </w:rPr>
  </w:style>
  <w:style w:type="paragraph" w:styleId="Overskrift2">
    <w:name w:val="heading 2"/>
    <w:basedOn w:val="Normal"/>
    <w:next w:val="Normal"/>
    <w:link w:val="Overskrift2Tegn"/>
    <w:qFormat/>
    <w:rsid w:val="00E65EF3"/>
    <w:pPr>
      <w:keepNext/>
      <w:keepLines/>
      <w:numPr>
        <w:ilvl w:val="1"/>
        <w:numId w:val="19"/>
      </w:numPr>
      <w:spacing w:before="360" w:after="80"/>
      <w:outlineLvl w:val="1"/>
    </w:pPr>
    <w:rPr>
      <w:b/>
      <w:spacing w:val="4"/>
      <w:sz w:val="28"/>
    </w:rPr>
  </w:style>
  <w:style w:type="paragraph" w:styleId="Overskrift3">
    <w:name w:val="heading 3"/>
    <w:basedOn w:val="Normal"/>
    <w:next w:val="Normal"/>
    <w:link w:val="Overskrift3Tegn"/>
    <w:qFormat/>
    <w:rsid w:val="00E65EF3"/>
    <w:pPr>
      <w:keepNext/>
      <w:keepLines/>
      <w:numPr>
        <w:ilvl w:val="2"/>
        <w:numId w:val="19"/>
      </w:numPr>
      <w:spacing w:before="360" w:after="80"/>
      <w:outlineLvl w:val="2"/>
    </w:pPr>
    <w:rPr>
      <w:b/>
    </w:rPr>
  </w:style>
  <w:style w:type="paragraph" w:styleId="Overskrift4">
    <w:name w:val="heading 4"/>
    <w:basedOn w:val="Normal"/>
    <w:next w:val="Normal"/>
    <w:link w:val="Overskrift4Tegn"/>
    <w:qFormat/>
    <w:rsid w:val="00E65EF3"/>
    <w:pPr>
      <w:keepNext/>
      <w:keepLines/>
      <w:numPr>
        <w:ilvl w:val="3"/>
        <w:numId w:val="19"/>
      </w:numPr>
      <w:spacing w:before="120" w:after="0"/>
      <w:outlineLvl w:val="3"/>
    </w:pPr>
    <w:rPr>
      <w:i/>
      <w:spacing w:val="4"/>
    </w:rPr>
  </w:style>
  <w:style w:type="paragraph" w:styleId="Overskrift5">
    <w:name w:val="heading 5"/>
    <w:basedOn w:val="Normal"/>
    <w:next w:val="Normal"/>
    <w:link w:val="Overskrift5Tegn"/>
    <w:qFormat/>
    <w:rsid w:val="00E65EF3"/>
    <w:pPr>
      <w:keepNext/>
      <w:numPr>
        <w:ilvl w:val="4"/>
        <w:numId w:val="19"/>
      </w:numPr>
      <w:spacing w:before="120" w:after="0"/>
      <w:outlineLvl w:val="4"/>
    </w:pPr>
    <w:rPr>
      <w:i/>
    </w:rPr>
  </w:style>
  <w:style w:type="paragraph" w:styleId="Overskrift6">
    <w:name w:val="heading 6"/>
    <w:basedOn w:val="Normal"/>
    <w:next w:val="Normal"/>
    <w:link w:val="Overskrift6Tegn"/>
    <w:qFormat/>
    <w:rsid w:val="00E65EF3"/>
    <w:pPr>
      <w:numPr>
        <w:ilvl w:val="5"/>
        <w:numId w:val="7"/>
      </w:numPr>
      <w:spacing w:before="240" w:after="60"/>
      <w:outlineLvl w:val="5"/>
    </w:pPr>
    <w:rPr>
      <w:i/>
    </w:rPr>
  </w:style>
  <w:style w:type="paragraph" w:styleId="Overskrift7">
    <w:name w:val="heading 7"/>
    <w:basedOn w:val="Normal"/>
    <w:next w:val="Normal"/>
    <w:link w:val="Overskrift7Tegn"/>
    <w:qFormat/>
    <w:rsid w:val="00E65EF3"/>
    <w:pPr>
      <w:numPr>
        <w:ilvl w:val="6"/>
        <w:numId w:val="7"/>
      </w:numPr>
      <w:spacing w:before="240" w:after="60"/>
      <w:outlineLvl w:val="6"/>
    </w:pPr>
  </w:style>
  <w:style w:type="paragraph" w:styleId="Overskrift8">
    <w:name w:val="heading 8"/>
    <w:basedOn w:val="Normal"/>
    <w:next w:val="Normal"/>
    <w:link w:val="Overskrift8Tegn"/>
    <w:qFormat/>
    <w:rsid w:val="00E65EF3"/>
    <w:pPr>
      <w:numPr>
        <w:ilvl w:val="7"/>
        <w:numId w:val="7"/>
      </w:numPr>
      <w:spacing w:before="240" w:after="60"/>
      <w:outlineLvl w:val="7"/>
    </w:pPr>
    <w:rPr>
      <w:i/>
    </w:rPr>
  </w:style>
  <w:style w:type="paragraph" w:styleId="Overskrift9">
    <w:name w:val="heading 9"/>
    <w:basedOn w:val="Normal"/>
    <w:next w:val="Normal"/>
    <w:link w:val="Overskrift9Tegn"/>
    <w:qFormat/>
    <w:rsid w:val="00E65EF3"/>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E65EF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65EF3"/>
  </w:style>
  <w:style w:type="paragraph" w:styleId="Tittel">
    <w:name w:val="Title"/>
    <w:basedOn w:val="Normal"/>
    <w:next w:val="Normal"/>
    <w:link w:val="TittelTegn"/>
    <w:uiPriority w:val="10"/>
    <w:qFormat/>
    <w:rsid w:val="00E65EF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paragraph" w:styleId="INNH1">
    <w:name w:val="toc 1"/>
    <w:basedOn w:val="Normal"/>
    <w:next w:val="Normal"/>
    <w:rsid w:val="00E65EF3"/>
    <w:pPr>
      <w:tabs>
        <w:tab w:val="right" w:leader="dot" w:pos="8306"/>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rsid w:val="00E65EF3"/>
    <w:pPr>
      <w:numPr>
        <w:numId w:val="17"/>
      </w:numPr>
      <w:spacing w:after="0"/>
    </w:pPr>
    <w:rPr>
      <w:rFonts w:eastAsia="Batang"/>
      <w:szCs w:val="20"/>
    </w:r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rsid w:val="00E65EF3"/>
    <w:pPr>
      <w:tabs>
        <w:tab w:val="right" w:leader="dot" w:pos="8306"/>
      </w:tabs>
      <w:ind w:left="200"/>
    </w:pPr>
  </w:style>
  <w:style w:type="paragraph" w:styleId="INNH3">
    <w:name w:val="toc 3"/>
    <w:basedOn w:val="Normal"/>
    <w:next w:val="Normal"/>
    <w:rsid w:val="00E65EF3"/>
    <w:pPr>
      <w:tabs>
        <w:tab w:val="right" w:leader="dot" w:pos="8306"/>
      </w:tabs>
      <w:ind w:left="400"/>
    </w:pPr>
  </w:style>
  <w:style w:type="paragraph" w:styleId="INNH4">
    <w:name w:val="toc 4"/>
    <w:basedOn w:val="Normal"/>
    <w:next w:val="Normal"/>
    <w:rsid w:val="00E65EF3"/>
    <w:pPr>
      <w:tabs>
        <w:tab w:val="right" w:leader="dot" w:pos="8306"/>
      </w:tabs>
      <w:ind w:left="600"/>
    </w:pPr>
  </w:style>
  <w:style w:type="paragraph" w:styleId="INNH5">
    <w:name w:val="toc 5"/>
    <w:basedOn w:val="Normal"/>
    <w:next w:val="Normal"/>
    <w:rsid w:val="00E65EF3"/>
    <w:pPr>
      <w:tabs>
        <w:tab w:val="right" w:leader="dot" w:pos="8306"/>
      </w:tabs>
      <w:ind w:left="800"/>
    </w:pPr>
  </w:style>
  <w:style w:type="paragraph" w:styleId="INNH6">
    <w:name w:val="toc 6"/>
    <w:basedOn w:val="Normal"/>
    <w:next w:val="Normal"/>
    <w:autoRedefine/>
    <w:uiPriority w:val="39"/>
    <w:unhideWhenUsed/>
    <w:rsid w:val="00E65EF3"/>
    <w:pPr>
      <w:spacing w:after="100"/>
      <w:ind w:left="1200"/>
    </w:pPr>
  </w:style>
  <w:style w:type="paragraph" w:styleId="INNH7">
    <w:name w:val="toc 7"/>
    <w:basedOn w:val="Normal"/>
    <w:next w:val="Normal"/>
    <w:autoRedefine/>
    <w:uiPriority w:val="39"/>
    <w:unhideWhenUsed/>
    <w:rsid w:val="00E65EF3"/>
    <w:pPr>
      <w:spacing w:after="100"/>
      <w:ind w:left="1440"/>
    </w:pPr>
  </w:style>
  <w:style w:type="paragraph" w:styleId="INNH8">
    <w:name w:val="toc 8"/>
    <w:basedOn w:val="Normal"/>
    <w:next w:val="Normal"/>
    <w:autoRedefine/>
    <w:uiPriority w:val="39"/>
    <w:unhideWhenUsed/>
    <w:rsid w:val="00E65EF3"/>
    <w:pPr>
      <w:spacing w:after="100"/>
      <w:ind w:left="1680"/>
    </w:pPr>
  </w:style>
  <w:style w:type="paragraph" w:styleId="INNH9">
    <w:name w:val="toc 9"/>
    <w:basedOn w:val="Normal"/>
    <w:next w:val="Normal"/>
    <w:autoRedefine/>
    <w:uiPriority w:val="39"/>
    <w:unhideWhenUsed/>
    <w:rsid w:val="00E65EF3"/>
    <w:pPr>
      <w:spacing w:after="100"/>
      <w:ind w:left="1920"/>
    </w:pPr>
  </w:style>
  <w:style w:type="paragraph" w:styleId="Bunntekst">
    <w:name w:val="footer"/>
    <w:basedOn w:val="Normal"/>
    <w:link w:val="BunntekstTegn"/>
    <w:rsid w:val="00E65EF3"/>
    <w:pPr>
      <w:tabs>
        <w:tab w:val="center" w:pos="4153"/>
        <w:tab w:val="right" w:pos="8306"/>
      </w:tabs>
    </w:pPr>
    <w:rPr>
      <w:spacing w:val="4"/>
    </w:rPr>
  </w:style>
  <w:style w:type="paragraph" w:styleId="Bildetekst">
    <w:name w:val="caption"/>
    <w:basedOn w:val="Normal"/>
    <w:next w:val="Normal"/>
    <w:uiPriority w:val="35"/>
    <w:unhideWhenUsed/>
    <w:qFormat/>
    <w:rsid w:val="00E65EF3"/>
    <w:pPr>
      <w:spacing w:after="200" w:line="240" w:lineRule="auto"/>
    </w:pPr>
    <w:rPr>
      <w:b/>
      <w:bCs/>
      <w:color w:val="5B9BD5" w:themeColor="accent1"/>
      <w:sz w:val="18"/>
      <w:szCs w:val="18"/>
    </w:rPr>
  </w:style>
  <w:style w:type="paragraph" w:customStyle="1" w:styleId="Nummerfortlpende">
    <w:name w:val="Nummer fortløpende"/>
    <w:basedOn w:val="Normal"/>
    <w:next w:val="Normal"/>
    <w:pPr>
      <w:ind w:left="567" w:hanging="567"/>
    </w:pPr>
  </w:style>
  <w:style w:type="paragraph" w:styleId="Topptekst">
    <w:name w:val="header"/>
    <w:basedOn w:val="Normal"/>
    <w:link w:val="TopptekstTegn"/>
    <w:rsid w:val="00E65EF3"/>
    <w:pPr>
      <w:tabs>
        <w:tab w:val="center" w:pos="4536"/>
        <w:tab w:val="right" w:pos="9072"/>
      </w:tabs>
    </w:p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uiPriority w:val="99"/>
    <w:semiHidden/>
    <w:unhideWhenUsed/>
    <w:rsid w:val="00E65EF3"/>
    <w:pPr>
      <w:spacing w:after="0"/>
    </w:pPr>
  </w:style>
  <w:style w:type="paragraph" w:styleId="Makrotekst">
    <w:name w:val="macro"/>
    <w:link w:val="MakrotekstTegn"/>
    <w:uiPriority w:val="99"/>
    <w:semiHidden/>
    <w:unhideWhenUsed/>
    <w:rsid w:val="00E65EF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styleId="Sidetall">
    <w:name w:val="page number"/>
    <w:basedOn w:val="Standardskriftforavsnitt"/>
    <w:rsid w:val="00E65EF3"/>
  </w:style>
  <w:style w:type="paragraph" w:styleId="Meldingshode">
    <w:name w:val="Message Header"/>
    <w:basedOn w:val="Normal"/>
    <w:link w:val="MeldingshodeTegn"/>
    <w:uiPriority w:val="99"/>
    <w:semiHidden/>
    <w:unhideWhenUsed/>
    <w:rsid w:val="00E65E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paragraph" w:styleId="Undertittel">
    <w:name w:val="Subtitle"/>
    <w:basedOn w:val="Normal"/>
    <w:next w:val="Normal"/>
    <w:link w:val="UndertittelTegn"/>
    <w:qFormat/>
    <w:rsid w:val="00E65EF3"/>
    <w:pPr>
      <w:keepNext/>
      <w:keepLines/>
      <w:spacing w:before="360"/>
    </w:pPr>
    <w:rPr>
      <w:b/>
      <w:spacing w:val="4"/>
      <w:sz w:val="28"/>
    </w:r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rsid w:val="00E65EF3"/>
    <w:pPr>
      <w:numPr>
        <w:numId w:val="21"/>
      </w:numPr>
      <w:spacing w:line="240" w:lineRule="auto"/>
      <w:contextualSpacing/>
    </w:pPr>
    <w:rPr>
      <w:spacing w:val="4"/>
    </w:rPr>
  </w:style>
  <w:style w:type="paragraph" w:customStyle="1" w:styleId="NummerNiv1">
    <w:name w:val="NummerNivå 1"/>
    <w:basedOn w:val="Nummerlisteluft"/>
    <w:pPr>
      <w:spacing w:after="120"/>
    </w:pPr>
  </w:style>
  <w:style w:type="character" w:customStyle="1" w:styleId="Overskrift1Tegn">
    <w:name w:val="Overskrift 1 Tegn"/>
    <w:basedOn w:val="Standardskriftforavsnitt"/>
    <w:link w:val="Overskrift1"/>
    <w:rsid w:val="00E65EF3"/>
    <w:rPr>
      <w:rFonts w:ascii="Arial" w:hAnsi="Arial" w:cstheme="minorBidi"/>
      <w:b/>
      <w:kern w:val="28"/>
      <w:sz w:val="32"/>
      <w:szCs w:val="22"/>
    </w:rPr>
  </w:style>
  <w:style w:type="character" w:customStyle="1" w:styleId="Overskrift2Tegn">
    <w:name w:val="Overskrift 2 Tegn"/>
    <w:basedOn w:val="Standardskriftforavsnitt"/>
    <w:link w:val="Overskrift2"/>
    <w:rsid w:val="00E65EF3"/>
    <w:rPr>
      <w:rFonts w:ascii="Arial" w:hAnsi="Arial" w:cstheme="minorBidi"/>
      <w:b/>
      <w:spacing w:val="4"/>
      <w:sz w:val="28"/>
      <w:szCs w:val="22"/>
    </w:rPr>
  </w:style>
  <w:style w:type="character" w:customStyle="1" w:styleId="Overskrift3Tegn">
    <w:name w:val="Overskrift 3 Tegn"/>
    <w:basedOn w:val="Standardskriftforavsnitt"/>
    <w:link w:val="Overskrift3"/>
    <w:rsid w:val="00E65EF3"/>
    <w:rPr>
      <w:rFonts w:ascii="Arial" w:hAnsi="Arial" w:cstheme="minorBidi"/>
      <w:b/>
      <w:sz w:val="22"/>
      <w:szCs w:val="22"/>
    </w:rPr>
  </w:style>
  <w:style w:type="character" w:customStyle="1" w:styleId="Overskrift4Tegn">
    <w:name w:val="Overskrift 4 Tegn"/>
    <w:basedOn w:val="Standardskriftforavsnitt"/>
    <w:link w:val="Overskrift4"/>
    <w:rsid w:val="00E65EF3"/>
    <w:rPr>
      <w:rFonts w:ascii="Arial" w:hAnsi="Arial" w:cstheme="minorBidi"/>
      <w:i/>
      <w:spacing w:val="4"/>
      <w:sz w:val="22"/>
      <w:szCs w:val="22"/>
    </w:rPr>
  </w:style>
  <w:style w:type="character" w:customStyle="1" w:styleId="Overskrift5Tegn">
    <w:name w:val="Overskrift 5 Tegn"/>
    <w:basedOn w:val="Standardskriftforavsnitt"/>
    <w:link w:val="Overskrift5"/>
    <w:rsid w:val="00E65EF3"/>
    <w:rPr>
      <w:rFonts w:ascii="Arial" w:hAnsi="Arial" w:cstheme="minorBidi"/>
      <w:i/>
      <w:sz w:val="22"/>
      <w:szCs w:val="22"/>
    </w:rPr>
  </w:style>
  <w:style w:type="character" w:customStyle="1" w:styleId="Overskrift6Tegn">
    <w:name w:val="Overskrift 6 Tegn"/>
    <w:basedOn w:val="Standardskriftforavsnitt"/>
    <w:link w:val="Overskrift6"/>
    <w:rsid w:val="00E65EF3"/>
    <w:rPr>
      <w:rFonts w:ascii="Arial" w:hAnsi="Arial" w:cstheme="minorBidi"/>
      <w:i/>
      <w:sz w:val="22"/>
      <w:szCs w:val="22"/>
    </w:rPr>
  </w:style>
  <w:style w:type="character" w:customStyle="1" w:styleId="Overskrift7Tegn">
    <w:name w:val="Overskrift 7 Tegn"/>
    <w:basedOn w:val="Standardskriftforavsnitt"/>
    <w:link w:val="Overskrift7"/>
    <w:rsid w:val="00E65EF3"/>
    <w:rPr>
      <w:rFonts w:ascii="Arial" w:hAnsi="Arial" w:cstheme="minorBidi"/>
      <w:sz w:val="22"/>
      <w:szCs w:val="22"/>
    </w:rPr>
  </w:style>
  <w:style w:type="character" w:customStyle="1" w:styleId="Overskrift8Tegn">
    <w:name w:val="Overskrift 8 Tegn"/>
    <w:basedOn w:val="Standardskriftforavsnitt"/>
    <w:link w:val="Overskrift8"/>
    <w:rsid w:val="00E65EF3"/>
    <w:rPr>
      <w:rFonts w:ascii="Arial" w:hAnsi="Arial" w:cstheme="minorBidi"/>
      <w:i/>
      <w:sz w:val="22"/>
      <w:szCs w:val="22"/>
    </w:rPr>
  </w:style>
  <w:style w:type="character" w:customStyle="1" w:styleId="Overskrift9Tegn">
    <w:name w:val="Overskrift 9 Tegn"/>
    <w:basedOn w:val="Standardskriftforavsnitt"/>
    <w:link w:val="Overskrift9"/>
    <w:rsid w:val="00E65EF3"/>
    <w:rPr>
      <w:rFonts w:ascii="Arial" w:hAnsi="Arial" w:cstheme="minorBidi"/>
      <w:b/>
      <w:i/>
      <w:sz w:val="18"/>
      <w:szCs w:val="22"/>
    </w:rPr>
  </w:style>
  <w:style w:type="character" w:customStyle="1" w:styleId="TopptekstTegn">
    <w:name w:val="Topptekst Tegn"/>
    <w:basedOn w:val="Standardskriftforavsnitt"/>
    <w:link w:val="Topptekst"/>
    <w:rsid w:val="00E65EF3"/>
    <w:rPr>
      <w:rFonts w:ascii="Arial" w:hAnsi="Arial" w:cstheme="minorBidi"/>
      <w:sz w:val="22"/>
      <w:szCs w:val="22"/>
    </w:rPr>
  </w:style>
  <w:style w:type="character" w:customStyle="1" w:styleId="BunntekstTegn">
    <w:name w:val="Bunntekst Tegn"/>
    <w:basedOn w:val="Standardskriftforavsnitt"/>
    <w:link w:val="Bunntekst"/>
    <w:rsid w:val="00E65EF3"/>
    <w:rPr>
      <w:rFonts w:ascii="Arial" w:hAnsi="Arial" w:cstheme="minorBidi"/>
      <w:spacing w:val="4"/>
      <w:sz w:val="22"/>
      <w:szCs w:val="22"/>
    </w:rPr>
  </w:style>
  <w:style w:type="paragraph" w:styleId="Listeavsnitt">
    <w:name w:val="List Paragraph"/>
    <w:basedOn w:val="Normal"/>
    <w:link w:val="ListeavsnittTegn"/>
    <w:uiPriority w:val="34"/>
    <w:qFormat/>
    <w:rsid w:val="00E65EF3"/>
    <w:pPr>
      <w:spacing w:before="60" w:after="0"/>
      <w:ind w:left="397"/>
    </w:pPr>
  </w:style>
  <w:style w:type="paragraph" w:styleId="Fotnotetekst">
    <w:name w:val="footnote text"/>
    <w:basedOn w:val="Normal"/>
    <w:link w:val="FotnotetekstTegn"/>
    <w:semiHidden/>
    <w:rsid w:val="00E65EF3"/>
    <w:rPr>
      <w:spacing w:val="4"/>
    </w:rPr>
  </w:style>
  <w:style w:type="character" w:customStyle="1" w:styleId="FotnotetekstTegn">
    <w:name w:val="Fotnotetekst Tegn"/>
    <w:basedOn w:val="Standardskriftforavsnitt"/>
    <w:link w:val="Fotnotetekst"/>
    <w:semiHidden/>
    <w:rsid w:val="00E65EF3"/>
    <w:rPr>
      <w:rFonts w:ascii="Arial" w:hAnsi="Arial" w:cstheme="minorBidi"/>
      <w:spacing w:val="4"/>
      <w:sz w:val="22"/>
      <w:szCs w:val="22"/>
    </w:rPr>
  </w:style>
  <w:style w:type="character" w:styleId="Fotnotereferanse">
    <w:name w:val="footnote reference"/>
    <w:basedOn w:val="Standardskriftforavsnitt"/>
    <w:semiHidden/>
    <w:rsid w:val="00E65EF3"/>
    <w:rPr>
      <w:vertAlign w:val="superscript"/>
    </w:rPr>
  </w:style>
  <w:style w:type="paragraph" w:customStyle="1" w:styleId="Default">
    <w:name w:val="Default"/>
    <w:rsid w:val="00944062"/>
    <w:pPr>
      <w:autoSpaceDE w:val="0"/>
      <w:autoSpaceDN w:val="0"/>
      <w:adjustRightInd w:val="0"/>
      <w:spacing w:before="100"/>
    </w:pPr>
    <w:rPr>
      <w:rFonts w:ascii="DepCentury Old Style" w:hAnsi="DepCentury Old Style" w:cs="DepCentury Old Style"/>
      <w:color w:val="000000"/>
      <w:sz w:val="24"/>
      <w:szCs w:val="24"/>
    </w:rPr>
  </w:style>
  <w:style w:type="paragraph" w:customStyle="1" w:styleId="CM9">
    <w:name w:val="CM9"/>
    <w:basedOn w:val="Default"/>
    <w:next w:val="Default"/>
    <w:uiPriority w:val="99"/>
    <w:rsid w:val="00944062"/>
    <w:pPr>
      <w:spacing w:line="258" w:lineRule="atLeast"/>
    </w:pPr>
    <w:rPr>
      <w:rFonts w:ascii="UniCentury Old Style" w:eastAsiaTheme="minorEastAsia" w:hAnsi="UniCentury Old Style" w:cstheme="minorBidi"/>
      <w:color w:val="auto"/>
      <w:lang w:eastAsia="en-US"/>
    </w:rPr>
  </w:style>
  <w:style w:type="paragraph" w:styleId="Bobletekst">
    <w:name w:val="Balloon Text"/>
    <w:basedOn w:val="Normal"/>
    <w:link w:val="BobletekstTegn"/>
    <w:uiPriority w:val="99"/>
    <w:semiHidden/>
    <w:unhideWhenUsed/>
    <w:rsid w:val="00E65E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65EF3"/>
    <w:rPr>
      <w:rFonts w:ascii="Tahoma" w:hAnsi="Tahoma" w:cs="Tahoma"/>
      <w:sz w:val="16"/>
      <w:szCs w:val="16"/>
    </w:rPr>
  </w:style>
  <w:style w:type="numbering" w:customStyle="1" w:styleId="Ingenliste1">
    <w:name w:val="Ingen liste1"/>
    <w:next w:val="Ingenliste"/>
    <w:uiPriority w:val="99"/>
    <w:semiHidden/>
    <w:unhideWhenUsed/>
    <w:rsid w:val="00944062"/>
  </w:style>
  <w:style w:type="character" w:customStyle="1" w:styleId="TittelTegn">
    <w:name w:val="Tittel Tegn"/>
    <w:basedOn w:val="Standardskriftforavsnitt"/>
    <w:link w:val="Tittel"/>
    <w:uiPriority w:val="10"/>
    <w:rsid w:val="00E65EF3"/>
    <w:rPr>
      <w:rFonts w:asciiTheme="majorHAnsi" w:eastAsiaTheme="majorEastAsia" w:hAnsiTheme="majorHAnsi" w:cstheme="majorBidi"/>
      <w:color w:val="323E4F" w:themeColor="text2" w:themeShade="BF"/>
      <w:spacing w:val="5"/>
      <w:kern w:val="28"/>
      <w:sz w:val="52"/>
      <w:szCs w:val="52"/>
    </w:rPr>
  </w:style>
  <w:style w:type="character" w:customStyle="1" w:styleId="UndertittelTegn">
    <w:name w:val="Undertittel Tegn"/>
    <w:basedOn w:val="Standardskriftforavsnitt"/>
    <w:link w:val="Undertittel"/>
    <w:rsid w:val="00E65EF3"/>
    <w:rPr>
      <w:rFonts w:ascii="Arial" w:hAnsi="Arial" w:cstheme="minorBidi"/>
      <w:b/>
      <w:spacing w:val="4"/>
      <w:sz w:val="28"/>
      <w:szCs w:val="22"/>
    </w:rPr>
  </w:style>
  <w:style w:type="character" w:styleId="Sterk">
    <w:name w:val="Strong"/>
    <w:basedOn w:val="Standardskriftforavsnitt"/>
    <w:uiPriority w:val="22"/>
    <w:qFormat/>
    <w:rsid w:val="00E65EF3"/>
    <w:rPr>
      <w:b/>
      <w:bCs/>
    </w:rPr>
  </w:style>
  <w:style w:type="character" w:styleId="Utheving">
    <w:name w:val="Emphasis"/>
    <w:basedOn w:val="Standardskriftforavsnitt"/>
    <w:uiPriority w:val="20"/>
    <w:qFormat/>
    <w:rsid w:val="00E65EF3"/>
    <w:rPr>
      <w:i/>
      <w:iCs/>
    </w:rPr>
  </w:style>
  <w:style w:type="paragraph" w:styleId="Ingenmellomrom">
    <w:name w:val="No Spacing"/>
    <w:uiPriority w:val="1"/>
    <w:qFormat/>
    <w:rsid w:val="00E65EF3"/>
    <w:rPr>
      <w:rFonts w:ascii="Calibri" w:hAnsi="Calibri" w:cstheme="minorBidi"/>
      <w:sz w:val="24"/>
      <w:szCs w:val="22"/>
    </w:rPr>
  </w:style>
  <w:style w:type="paragraph" w:styleId="Sitat">
    <w:name w:val="Quote"/>
    <w:basedOn w:val="Normal"/>
    <w:next w:val="Normal"/>
    <w:link w:val="SitatTegn"/>
    <w:uiPriority w:val="29"/>
    <w:qFormat/>
    <w:rsid w:val="00E65EF3"/>
    <w:rPr>
      <w:i/>
      <w:iCs/>
      <w:color w:val="000000" w:themeColor="text1"/>
    </w:rPr>
  </w:style>
  <w:style w:type="character" w:customStyle="1" w:styleId="SitatTegn">
    <w:name w:val="Sitat Tegn"/>
    <w:basedOn w:val="Standardskriftforavsnitt"/>
    <w:link w:val="Sitat"/>
    <w:uiPriority w:val="29"/>
    <w:rsid w:val="00E65EF3"/>
    <w:rPr>
      <w:rFonts w:ascii="Arial" w:hAnsi="Arial" w:cstheme="minorBidi"/>
      <w:i/>
      <w:iCs/>
      <w:color w:val="000000" w:themeColor="text1"/>
      <w:sz w:val="22"/>
      <w:szCs w:val="22"/>
    </w:rPr>
  </w:style>
  <w:style w:type="paragraph" w:styleId="Sterktsitat">
    <w:name w:val="Intense Quote"/>
    <w:basedOn w:val="Normal"/>
    <w:next w:val="Normal"/>
    <w:link w:val="SterktsitatTegn"/>
    <w:uiPriority w:val="30"/>
    <w:qFormat/>
    <w:rsid w:val="00E65EF3"/>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E65EF3"/>
    <w:rPr>
      <w:rFonts w:ascii="Arial" w:hAnsi="Arial" w:cstheme="minorBidi"/>
      <w:b/>
      <w:bCs/>
      <w:i/>
      <w:iCs/>
      <w:color w:val="5B9BD5" w:themeColor="accent1"/>
      <w:sz w:val="22"/>
      <w:szCs w:val="22"/>
    </w:rPr>
  </w:style>
  <w:style w:type="character" w:styleId="Svakutheving">
    <w:name w:val="Subtle Emphasis"/>
    <w:basedOn w:val="Standardskriftforavsnitt"/>
    <w:uiPriority w:val="19"/>
    <w:qFormat/>
    <w:rsid w:val="00E65EF3"/>
    <w:rPr>
      <w:i/>
      <w:iCs/>
      <w:color w:val="808080" w:themeColor="text1" w:themeTint="7F"/>
    </w:rPr>
  </w:style>
  <w:style w:type="character" w:styleId="Sterkutheving">
    <w:name w:val="Intense Emphasis"/>
    <w:basedOn w:val="Standardskriftforavsnitt"/>
    <w:uiPriority w:val="21"/>
    <w:qFormat/>
    <w:rsid w:val="00E65EF3"/>
    <w:rPr>
      <w:b/>
      <w:bCs/>
      <w:i/>
      <w:iCs/>
      <w:color w:val="5B9BD5" w:themeColor="accent1"/>
    </w:rPr>
  </w:style>
  <w:style w:type="character" w:styleId="Svakreferanse">
    <w:name w:val="Subtle Reference"/>
    <w:basedOn w:val="Standardskriftforavsnitt"/>
    <w:uiPriority w:val="31"/>
    <w:qFormat/>
    <w:rsid w:val="00E65EF3"/>
    <w:rPr>
      <w:smallCaps/>
      <w:color w:val="ED7D31" w:themeColor="accent2"/>
      <w:u w:val="single"/>
    </w:rPr>
  </w:style>
  <w:style w:type="character" w:styleId="Sterkreferanse">
    <w:name w:val="Intense Reference"/>
    <w:basedOn w:val="Standardskriftforavsnitt"/>
    <w:uiPriority w:val="32"/>
    <w:qFormat/>
    <w:rsid w:val="00E65EF3"/>
    <w:rPr>
      <w:b/>
      <w:bCs/>
      <w:smallCaps/>
      <w:color w:val="ED7D31" w:themeColor="accent2"/>
      <w:spacing w:val="5"/>
      <w:u w:val="single"/>
    </w:rPr>
  </w:style>
  <w:style w:type="character" w:styleId="Boktittel">
    <w:name w:val="Book Title"/>
    <w:basedOn w:val="Standardskriftforavsnitt"/>
    <w:uiPriority w:val="33"/>
    <w:qFormat/>
    <w:rsid w:val="00E65EF3"/>
    <w:rPr>
      <w:b/>
      <w:bCs/>
      <w:smallCaps/>
      <w:spacing w:val="5"/>
    </w:rPr>
  </w:style>
  <w:style w:type="paragraph" w:styleId="Overskriftforinnholdsfortegnelse">
    <w:name w:val="TOC Heading"/>
    <w:basedOn w:val="Overskrift1"/>
    <w:next w:val="Normal"/>
    <w:uiPriority w:val="39"/>
    <w:unhideWhenUsed/>
    <w:qFormat/>
    <w:rsid w:val="00E65EF3"/>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styleId="NormalWeb">
    <w:name w:val="Normal (Web)"/>
    <w:basedOn w:val="Normal"/>
    <w:uiPriority w:val="99"/>
    <w:unhideWhenUsed/>
    <w:rsid w:val="00E65EF3"/>
    <w:rPr>
      <w:rFonts w:cs="Times New Roman"/>
      <w:szCs w:val="24"/>
    </w:rPr>
  </w:style>
  <w:style w:type="character" w:customStyle="1" w:styleId="rwmath">
    <w:name w:val="rwmath"/>
    <w:basedOn w:val="Standardskriftforavsnitt"/>
    <w:rsid w:val="00944062"/>
  </w:style>
  <w:style w:type="character" w:customStyle="1" w:styleId="mathjax1">
    <w:name w:val="mathjax1"/>
    <w:basedOn w:val="Standardskriftforavsnitt"/>
    <w:rsid w:val="00944062"/>
    <w:rPr>
      <w:b w:val="0"/>
      <w:bCs w:val="0"/>
      <w:i w:val="0"/>
      <w:iCs w:val="0"/>
      <w:caps w:val="0"/>
      <w:vanish w:val="0"/>
      <w:webHidden w:val="0"/>
      <w:spacing w:val="0"/>
      <w:sz w:val="24"/>
      <w:szCs w:val="24"/>
      <w:bdr w:val="none" w:sz="0" w:space="0" w:color="auto" w:frame="1"/>
      <w:rtl w:val="0"/>
      <w:specVanish w:val="0"/>
    </w:rPr>
  </w:style>
  <w:style w:type="character" w:styleId="Hyperkobling">
    <w:name w:val="Hyperlink"/>
    <w:basedOn w:val="Standardskriftforavsnitt"/>
    <w:uiPriority w:val="99"/>
    <w:unhideWhenUsed/>
    <w:rsid w:val="00E65EF3"/>
    <w:rPr>
      <w:color w:val="0563C1" w:themeColor="hyperlink"/>
      <w:u w:val="single"/>
    </w:rPr>
  </w:style>
  <w:style w:type="character" w:styleId="Merknadsreferanse">
    <w:name w:val="annotation reference"/>
    <w:basedOn w:val="Standardskriftforavsnitt"/>
    <w:semiHidden/>
    <w:rsid w:val="00E65EF3"/>
    <w:rPr>
      <w:sz w:val="16"/>
    </w:rPr>
  </w:style>
  <w:style w:type="paragraph" w:styleId="Merknadstekst">
    <w:name w:val="annotation text"/>
    <w:basedOn w:val="Normal"/>
    <w:link w:val="MerknadstekstTegn"/>
    <w:semiHidden/>
    <w:rsid w:val="00E65EF3"/>
  </w:style>
  <w:style w:type="character" w:customStyle="1" w:styleId="MerknadstekstTegn">
    <w:name w:val="Merknadstekst Tegn"/>
    <w:basedOn w:val="Standardskriftforavsnitt"/>
    <w:link w:val="Merknadstekst"/>
    <w:semiHidden/>
    <w:rsid w:val="00E65EF3"/>
    <w:rPr>
      <w:rFonts w:ascii="Arial" w:hAnsi="Arial" w:cstheme="minorBidi"/>
      <w:sz w:val="22"/>
      <w:szCs w:val="22"/>
    </w:rPr>
  </w:style>
  <w:style w:type="paragraph" w:styleId="Kommentaremne">
    <w:name w:val="annotation subject"/>
    <w:basedOn w:val="Merknadstekst"/>
    <w:next w:val="Merknadstekst"/>
    <w:link w:val="KommentaremneTegn"/>
    <w:uiPriority w:val="99"/>
    <w:semiHidden/>
    <w:unhideWhenUsed/>
    <w:rsid w:val="00E65EF3"/>
    <w:pPr>
      <w:spacing w:line="240" w:lineRule="auto"/>
    </w:pPr>
    <w:rPr>
      <w:b/>
      <w:bCs/>
    </w:rPr>
  </w:style>
  <w:style w:type="character" w:customStyle="1" w:styleId="KommentaremneTegn">
    <w:name w:val="Kommentaremne Tegn"/>
    <w:basedOn w:val="MerknadstekstTegn"/>
    <w:link w:val="Kommentaremne"/>
    <w:uiPriority w:val="99"/>
    <w:semiHidden/>
    <w:rsid w:val="00E65EF3"/>
    <w:rPr>
      <w:rFonts w:ascii="Arial" w:hAnsi="Arial" w:cstheme="minorBidi"/>
      <w:b/>
      <w:bCs/>
      <w:sz w:val="22"/>
      <w:szCs w:val="22"/>
    </w:rPr>
  </w:style>
  <w:style w:type="paragraph" w:styleId="Revisjon">
    <w:name w:val="Revision"/>
    <w:hidden/>
    <w:uiPriority w:val="99"/>
    <w:semiHidden/>
    <w:rsid w:val="00944062"/>
    <w:rPr>
      <w:rFonts w:asciiTheme="minorHAnsi" w:eastAsiaTheme="minorEastAsia" w:hAnsiTheme="minorHAnsi" w:cstheme="minorBidi"/>
      <w:lang w:eastAsia="en-US"/>
    </w:rPr>
  </w:style>
  <w:style w:type="character" w:customStyle="1" w:styleId="kursiv">
    <w:name w:val="kursiv"/>
    <w:basedOn w:val="Standardskriftforavsnitt"/>
    <w:rsid w:val="00E65EF3"/>
    <w:rPr>
      <w:i/>
    </w:rPr>
  </w:style>
  <w:style w:type="paragraph" w:customStyle="1" w:styleId="Sitattbhj">
    <w:name w:val="Sitat_tbhj"/>
    <w:basedOn w:val="Normal"/>
    <w:link w:val="SitattbhjTegn"/>
    <w:qFormat/>
    <w:rsid w:val="000F1602"/>
    <w:pPr>
      <w:ind w:left="567"/>
    </w:pPr>
    <w:rPr>
      <w:i/>
    </w:rPr>
  </w:style>
  <w:style w:type="paragraph" w:customStyle="1" w:styleId="Normalpunktmerket">
    <w:name w:val="Normal punktmerket"/>
    <w:basedOn w:val="Listeavsnitt"/>
    <w:link w:val="NormalpunktmerketTegn"/>
    <w:qFormat/>
    <w:rsid w:val="001735E5"/>
    <w:pPr>
      <w:ind w:hanging="360"/>
    </w:pPr>
    <w:rPr>
      <w:rFonts w:ascii="Times New Roman" w:hAnsi="Times New Roman" w:cs="Times New Roman"/>
      <w:sz w:val="24"/>
      <w:szCs w:val="24"/>
    </w:rPr>
  </w:style>
  <w:style w:type="character" w:customStyle="1" w:styleId="SitattbhjTegn">
    <w:name w:val="Sitat_tbhj Tegn"/>
    <w:basedOn w:val="Standardskriftforavsnitt"/>
    <w:link w:val="Sitattbhj"/>
    <w:rsid w:val="000F1602"/>
    <w:rPr>
      <w:rFonts w:eastAsiaTheme="minorHAnsi" w:cstheme="minorBidi"/>
      <w:i/>
      <w:sz w:val="22"/>
      <w:szCs w:val="22"/>
      <w:lang w:eastAsia="en-US"/>
    </w:rPr>
  </w:style>
  <w:style w:type="character" w:customStyle="1" w:styleId="ListeavsnittTegn">
    <w:name w:val="Listeavsnitt Tegn"/>
    <w:basedOn w:val="Standardskriftforavsnitt"/>
    <w:link w:val="Listeavsnitt"/>
    <w:uiPriority w:val="34"/>
    <w:rsid w:val="001735E5"/>
    <w:rPr>
      <w:rFonts w:ascii="Arial" w:hAnsi="Arial" w:cstheme="minorBidi"/>
      <w:sz w:val="22"/>
      <w:szCs w:val="22"/>
    </w:rPr>
  </w:style>
  <w:style w:type="character" w:customStyle="1" w:styleId="NormalpunktmerketTegn">
    <w:name w:val="Normal punktmerket Tegn"/>
    <w:basedOn w:val="ListeavsnittTegn"/>
    <w:link w:val="Normalpunktmerket"/>
    <w:rsid w:val="001735E5"/>
    <w:rPr>
      <w:rFonts w:asciiTheme="minorHAnsi" w:eastAsiaTheme="minorEastAsia" w:hAnsiTheme="minorHAnsi" w:cstheme="minorBidi"/>
      <w:sz w:val="24"/>
      <w:szCs w:val="24"/>
      <w:lang w:eastAsia="en-US"/>
    </w:rPr>
  </w:style>
  <w:style w:type="character" w:styleId="Fulgthyperkobling">
    <w:name w:val="FollowedHyperlink"/>
    <w:basedOn w:val="Standardskriftforavsnitt"/>
    <w:uiPriority w:val="99"/>
    <w:semiHidden/>
    <w:unhideWhenUsed/>
    <w:rsid w:val="00E65EF3"/>
    <w:rPr>
      <w:color w:val="954F72" w:themeColor="followedHyperlink"/>
      <w:u w:val="single"/>
    </w:rPr>
  </w:style>
  <w:style w:type="paragraph" w:customStyle="1" w:styleId="Listetbhj">
    <w:name w:val="Liste tbhj"/>
    <w:basedOn w:val="Listeavsnitt"/>
    <w:link w:val="ListetbhjTegn"/>
    <w:qFormat/>
    <w:rsid w:val="0073364E"/>
    <w:pPr>
      <w:numPr>
        <w:numId w:val="2"/>
      </w:numPr>
    </w:pPr>
    <w:rPr>
      <w:rFonts w:ascii="Times New Roman" w:hAnsi="Times New Roman" w:cs="Times New Roman"/>
    </w:rPr>
  </w:style>
  <w:style w:type="character" w:customStyle="1" w:styleId="ListetbhjTegn">
    <w:name w:val="Liste tbhj Tegn"/>
    <w:basedOn w:val="ListeavsnittTegn"/>
    <w:link w:val="Listetbhj"/>
    <w:rsid w:val="0073364E"/>
    <w:rPr>
      <w:rFonts w:ascii="Arial" w:hAnsi="Arial" w:cstheme="minorBidi"/>
      <w:sz w:val="22"/>
      <w:szCs w:val="22"/>
    </w:rPr>
  </w:style>
  <w:style w:type="table" w:styleId="Tabellrutenett">
    <w:name w:val="Table Grid"/>
    <w:basedOn w:val="Vanligtabell"/>
    <w:uiPriority w:val="59"/>
    <w:rsid w:val="00E65EF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temaer">
    <w:name w:val="Table Theme"/>
    <w:basedOn w:val="Vanligtabell"/>
    <w:uiPriority w:val="99"/>
    <w:semiHidden/>
    <w:unhideWhenUsed/>
    <w:rsid w:val="00E65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E65EF3"/>
    <w:pPr>
      <w:numPr>
        <w:numId w:val="14"/>
      </w:numPr>
      <w:spacing w:after="0"/>
    </w:pPr>
    <w:rPr>
      <w:spacing w:val="4"/>
    </w:rPr>
  </w:style>
  <w:style w:type="paragraph" w:customStyle="1" w:styleId="alfaliste2">
    <w:name w:val="alfaliste 2"/>
    <w:basedOn w:val="Normal"/>
    <w:rsid w:val="00E65EF3"/>
    <w:pPr>
      <w:numPr>
        <w:ilvl w:val="1"/>
        <w:numId w:val="14"/>
      </w:numPr>
      <w:spacing w:after="0"/>
    </w:pPr>
    <w:rPr>
      <w:spacing w:val="4"/>
    </w:rPr>
  </w:style>
  <w:style w:type="paragraph" w:customStyle="1" w:styleId="alfaliste3">
    <w:name w:val="alfaliste 3"/>
    <w:basedOn w:val="Normal"/>
    <w:rsid w:val="00E65EF3"/>
    <w:pPr>
      <w:numPr>
        <w:ilvl w:val="2"/>
        <w:numId w:val="14"/>
      </w:numPr>
      <w:spacing w:after="0"/>
    </w:pPr>
  </w:style>
  <w:style w:type="paragraph" w:customStyle="1" w:styleId="alfaliste4">
    <w:name w:val="alfaliste 4"/>
    <w:basedOn w:val="Normal"/>
    <w:rsid w:val="00E65EF3"/>
    <w:pPr>
      <w:numPr>
        <w:ilvl w:val="3"/>
        <w:numId w:val="14"/>
      </w:numPr>
      <w:spacing w:after="0"/>
    </w:pPr>
  </w:style>
  <w:style w:type="paragraph" w:customStyle="1" w:styleId="alfaliste5">
    <w:name w:val="alfaliste 5"/>
    <w:basedOn w:val="Normal"/>
    <w:rsid w:val="00E65EF3"/>
    <w:pPr>
      <w:numPr>
        <w:ilvl w:val="4"/>
        <w:numId w:val="14"/>
      </w:numPr>
      <w:spacing w:after="0"/>
    </w:pPr>
  </w:style>
  <w:style w:type="paragraph" w:customStyle="1" w:styleId="avsnitt-tittel">
    <w:name w:val="avsnitt-tittel"/>
    <w:basedOn w:val="Normal"/>
    <w:next w:val="Normal"/>
    <w:rsid w:val="00E65EF3"/>
    <w:pPr>
      <w:keepNext/>
      <w:keepLines/>
      <w:spacing w:before="360" w:after="60"/>
    </w:pPr>
    <w:rPr>
      <w:spacing w:val="4"/>
      <w:sz w:val="26"/>
    </w:rPr>
  </w:style>
  <w:style w:type="paragraph" w:customStyle="1" w:styleId="avsnitt-undertittel">
    <w:name w:val="avsnitt-undertittel"/>
    <w:basedOn w:val="Normal"/>
    <w:next w:val="Normal"/>
    <w:rsid w:val="00E65EF3"/>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E65EF3"/>
    <w:pPr>
      <w:keepNext/>
      <w:keepLines/>
      <w:spacing w:before="360" w:line="240" w:lineRule="auto"/>
    </w:pPr>
    <w:rPr>
      <w:rFonts w:eastAsia="Batang"/>
      <w:i/>
      <w:szCs w:val="20"/>
    </w:rPr>
  </w:style>
  <w:style w:type="paragraph" w:customStyle="1" w:styleId="Def">
    <w:name w:val="Def"/>
    <w:basedOn w:val="Normal"/>
    <w:qFormat/>
    <w:rsid w:val="00E65EF3"/>
  </w:style>
  <w:style w:type="paragraph" w:customStyle="1" w:styleId="figur-beskr">
    <w:name w:val="figur-beskr"/>
    <w:basedOn w:val="Normal"/>
    <w:next w:val="Normal"/>
    <w:rsid w:val="00E65EF3"/>
    <w:rPr>
      <w:spacing w:val="4"/>
    </w:rPr>
  </w:style>
  <w:style w:type="paragraph" w:customStyle="1" w:styleId="figur-tittel">
    <w:name w:val="figur-tittel"/>
    <w:basedOn w:val="Normal"/>
    <w:next w:val="Normal"/>
    <w:rsid w:val="00E65EF3"/>
    <w:pPr>
      <w:numPr>
        <w:ilvl w:val="5"/>
        <w:numId w:val="19"/>
      </w:numPr>
    </w:pPr>
    <w:rPr>
      <w:spacing w:val="4"/>
    </w:rPr>
  </w:style>
  <w:style w:type="character" w:customStyle="1" w:styleId="halvfet">
    <w:name w:val="halvfet"/>
    <w:basedOn w:val="Standardskriftforavsnitt"/>
    <w:rsid w:val="00E65EF3"/>
    <w:rPr>
      <w:b/>
    </w:rPr>
  </w:style>
  <w:style w:type="paragraph" w:customStyle="1" w:styleId="hengende-innrykk">
    <w:name w:val="hengende-innrykk"/>
    <w:basedOn w:val="Normal"/>
    <w:next w:val="Normal"/>
    <w:rsid w:val="00E65EF3"/>
    <w:pPr>
      <w:ind w:left="1418" w:hanging="1418"/>
    </w:pPr>
    <w:rPr>
      <w:spacing w:val="4"/>
    </w:rPr>
  </w:style>
  <w:style w:type="paragraph" w:customStyle="1" w:styleId="Kilde">
    <w:name w:val="Kilde"/>
    <w:basedOn w:val="Normal"/>
    <w:next w:val="Normal"/>
    <w:rsid w:val="00E65EF3"/>
    <w:pPr>
      <w:spacing w:after="240"/>
    </w:pPr>
    <w:rPr>
      <w:spacing w:val="4"/>
    </w:rPr>
  </w:style>
  <w:style w:type="character" w:customStyle="1" w:styleId="l-endring">
    <w:name w:val="l-endring"/>
    <w:basedOn w:val="Standardskriftforavsnitt"/>
    <w:rsid w:val="00E65EF3"/>
    <w:rPr>
      <w:i/>
    </w:rPr>
  </w:style>
  <w:style w:type="paragraph" w:styleId="Liste2">
    <w:name w:val="List 2"/>
    <w:basedOn w:val="Normal"/>
    <w:rsid w:val="00E65EF3"/>
    <w:pPr>
      <w:numPr>
        <w:ilvl w:val="1"/>
        <w:numId w:val="21"/>
      </w:numPr>
      <w:spacing w:after="0"/>
    </w:pPr>
    <w:rPr>
      <w:spacing w:val="4"/>
    </w:rPr>
  </w:style>
  <w:style w:type="paragraph" w:styleId="Liste3">
    <w:name w:val="List 3"/>
    <w:basedOn w:val="Normal"/>
    <w:rsid w:val="00E65EF3"/>
    <w:pPr>
      <w:numPr>
        <w:ilvl w:val="2"/>
        <w:numId w:val="21"/>
      </w:numPr>
      <w:spacing w:after="0"/>
    </w:pPr>
  </w:style>
  <w:style w:type="paragraph" w:styleId="Liste4">
    <w:name w:val="List 4"/>
    <w:basedOn w:val="Normal"/>
    <w:rsid w:val="00E65EF3"/>
    <w:pPr>
      <w:numPr>
        <w:ilvl w:val="3"/>
        <w:numId w:val="21"/>
      </w:numPr>
      <w:spacing w:after="0"/>
    </w:pPr>
  </w:style>
  <w:style w:type="paragraph" w:styleId="Liste5">
    <w:name w:val="List 5"/>
    <w:basedOn w:val="Normal"/>
    <w:rsid w:val="00E65EF3"/>
    <w:pPr>
      <w:numPr>
        <w:ilvl w:val="4"/>
        <w:numId w:val="21"/>
      </w:numPr>
      <w:spacing w:after="0"/>
    </w:pPr>
  </w:style>
  <w:style w:type="paragraph" w:customStyle="1" w:styleId="l-lovdeltit">
    <w:name w:val="l-lovdeltit"/>
    <w:basedOn w:val="Normal"/>
    <w:next w:val="Normal"/>
    <w:rsid w:val="00E65EF3"/>
    <w:pPr>
      <w:keepNext/>
      <w:spacing w:before="120" w:after="60"/>
    </w:pPr>
    <w:rPr>
      <w:b/>
    </w:rPr>
  </w:style>
  <w:style w:type="paragraph" w:customStyle="1" w:styleId="l-lovkap">
    <w:name w:val="l-lovkap"/>
    <w:basedOn w:val="Normal"/>
    <w:next w:val="Normal"/>
    <w:rsid w:val="00E65EF3"/>
    <w:pPr>
      <w:keepNext/>
      <w:spacing w:before="240" w:after="40"/>
    </w:pPr>
    <w:rPr>
      <w:b/>
      <w:spacing w:val="4"/>
    </w:rPr>
  </w:style>
  <w:style w:type="paragraph" w:customStyle="1" w:styleId="l-lovtit">
    <w:name w:val="l-lovtit"/>
    <w:basedOn w:val="Normal"/>
    <w:next w:val="Normal"/>
    <w:rsid w:val="00E65EF3"/>
    <w:pPr>
      <w:keepNext/>
      <w:spacing w:before="120" w:after="60"/>
    </w:pPr>
    <w:rPr>
      <w:b/>
      <w:spacing w:val="4"/>
    </w:rPr>
  </w:style>
  <w:style w:type="paragraph" w:customStyle="1" w:styleId="l-paragraf">
    <w:name w:val="l-paragraf"/>
    <w:basedOn w:val="Normal"/>
    <w:next w:val="Normal"/>
    <w:rsid w:val="00E65EF3"/>
    <w:pPr>
      <w:spacing w:before="180" w:after="0"/>
    </w:pPr>
    <w:rPr>
      <w:rFonts w:ascii="Times" w:hAnsi="Times"/>
      <w:i/>
      <w:spacing w:val="4"/>
    </w:rPr>
  </w:style>
  <w:style w:type="paragraph" w:styleId="Nummerertliste2">
    <w:name w:val="List Number 2"/>
    <w:basedOn w:val="Normal"/>
    <w:rsid w:val="00E65EF3"/>
    <w:pPr>
      <w:numPr>
        <w:ilvl w:val="1"/>
        <w:numId w:val="17"/>
      </w:numPr>
      <w:spacing w:after="0" w:line="240" w:lineRule="auto"/>
    </w:pPr>
    <w:rPr>
      <w:rFonts w:eastAsia="Batang"/>
      <w:szCs w:val="20"/>
    </w:rPr>
  </w:style>
  <w:style w:type="paragraph" w:styleId="Nummerertliste3">
    <w:name w:val="List Number 3"/>
    <w:basedOn w:val="Normal"/>
    <w:rsid w:val="00E65EF3"/>
    <w:pPr>
      <w:numPr>
        <w:ilvl w:val="2"/>
        <w:numId w:val="17"/>
      </w:numPr>
      <w:spacing w:after="0" w:line="240" w:lineRule="auto"/>
    </w:pPr>
    <w:rPr>
      <w:rFonts w:eastAsia="Batang"/>
      <w:szCs w:val="20"/>
    </w:rPr>
  </w:style>
  <w:style w:type="paragraph" w:styleId="Nummerertliste4">
    <w:name w:val="List Number 4"/>
    <w:basedOn w:val="Normal"/>
    <w:rsid w:val="00E65EF3"/>
    <w:pPr>
      <w:numPr>
        <w:ilvl w:val="3"/>
        <w:numId w:val="17"/>
      </w:numPr>
      <w:spacing w:after="0" w:line="240" w:lineRule="auto"/>
    </w:pPr>
    <w:rPr>
      <w:rFonts w:eastAsia="Batang"/>
      <w:szCs w:val="20"/>
    </w:rPr>
  </w:style>
  <w:style w:type="paragraph" w:styleId="Nummerertliste5">
    <w:name w:val="List Number 5"/>
    <w:basedOn w:val="Normal"/>
    <w:rsid w:val="00E65EF3"/>
    <w:pPr>
      <w:numPr>
        <w:ilvl w:val="4"/>
        <w:numId w:val="17"/>
      </w:numPr>
      <w:spacing w:after="0" w:line="240" w:lineRule="auto"/>
    </w:pPr>
    <w:rPr>
      <w:rFonts w:eastAsia="Batang"/>
      <w:szCs w:val="20"/>
    </w:rPr>
  </w:style>
  <w:style w:type="paragraph" w:customStyle="1" w:styleId="opplisting">
    <w:name w:val="opplisting"/>
    <w:basedOn w:val="Normal"/>
    <w:rsid w:val="00E65EF3"/>
    <w:pPr>
      <w:spacing w:after="0"/>
    </w:pPr>
    <w:rPr>
      <w:rFonts w:cs="Times New Roman"/>
    </w:rPr>
  </w:style>
  <w:style w:type="paragraph" w:styleId="Punktliste">
    <w:name w:val="List Bullet"/>
    <w:basedOn w:val="Normal"/>
    <w:rsid w:val="00E65EF3"/>
    <w:pPr>
      <w:numPr>
        <w:numId w:val="8"/>
      </w:numPr>
      <w:spacing w:after="0"/>
    </w:pPr>
    <w:rPr>
      <w:spacing w:val="4"/>
    </w:rPr>
  </w:style>
  <w:style w:type="paragraph" w:styleId="Punktliste2">
    <w:name w:val="List Bullet 2"/>
    <w:basedOn w:val="Normal"/>
    <w:rsid w:val="00E65EF3"/>
    <w:pPr>
      <w:numPr>
        <w:numId w:val="9"/>
      </w:numPr>
      <w:spacing w:after="0"/>
    </w:pPr>
    <w:rPr>
      <w:spacing w:val="4"/>
    </w:rPr>
  </w:style>
  <w:style w:type="paragraph" w:styleId="Punktliste3">
    <w:name w:val="List Bullet 3"/>
    <w:basedOn w:val="Normal"/>
    <w:rsid w:val="00E65EF3"/>
    <w:pPr>
      <w:numPr>
        <w:numId w:val="10"/>
      </w:numPr>
      <w:spacing w:after="0"/>
    </w:pPr>
    <w:rPr>
      <w:spacing w:val="4"/>
    </w:rPr>
  </w:style>
  <w:style w:type="paragraph" w:styleId="Punktliste4">
    <w:name w:val="List Bullet 4"/>
    <w:basedOn w:val="Normal"/>
    <w:rsid w:val="00E65EF3"/>
    <w:pPr>
      <w:numPr>
        <w:numId w:val="11"/>
      </w:numPr>
      <w:spacing w:after="0"/>
    </w:pPr>
  </w:style>
  <w:style w:type="paragraph" w:styleId="Punktliste5">
    <w:name w:val="List Bullet 5"/>
    <w:basedOn w:val="Normal"/>
    <w:rsid w:val="00E65EF3"/>
    <w:pPr>
      <w:numPr>
        <w:numId w:val="12"/>
      </w:numPr>
      <w:spacing w:after="0"/>
    </w:pPr>
  </w:style>
  <w:style w:type="paragraph" w:customStyle="1" w:styleId="romertallliste">
    <w:name w:val="romertall liste"/>
    <w:basedOn w:val="Normal"/>
    <w:rsid w:val="00E65EF3"/>
    <w:pPr>
      <w:numPr>
        <w:numId w:val="22"/>
      </w:numPr>
      <w:spacing w:after="0" w:line="240" w:lineRule="auto"/>
    </w:pPr>
    <w:rPr>
      <w:rFonts w:eastAsia="Batang"/>
      <w:szCs w:val="20"/>
    </w:rPr>
  </w:style>
  <w:style w:type="paragraph" w:customStyle="1" w:styleId="romertallliste2">
    <w:name w:val="romertall liste 2"/>
    <w:basedOn w:val="Normal"/>
    <w:rsid w:val="00E65EF3"/>
    <w:pPr>
      <w:numPr>
        <w:ilvl w:val="1"/>
        <w:numId w:val="22"/>
      </w:numPr>
      <w:spacing w:after="0" w:line="240" w:lineRule="auto"/>
    </w:pPr>
    <w:rPr>
      <w:rFonts w:eastAsia="Batang"/>
      <w:szCs w:val="20"/>
    </w:rPr>
  </w:style>
  <w:style w:type="paragraph" w:customStyle="1" w:styleId="romertallliste3">
    <w:name w:val="romertall liste 3"/>
    <w:basedOn w:val="Normal"/>
    <w:rsid w:val="00E65EF3"/>
    <w:pPr>
      <w:numPr>
        <w:ilvl w:val="2"/>
        <w:numId w:val="22"/>
      </w:numPr>
      <w:spacing w:after="0" w:line="240" w:lineRule="auto"/>
    </w:pPr>
    <w:rPr>
      <w:rFonts w:eastAsia="Batang"/>
      <w:szCs w:val="20"/>
    </w:rPr>
  </w:style>
  <w:style w:type="paragraph" w:customStyle="1" w:styleId="romertallliste4">
    <w:name w:val="romertall liste 4"/>
    <w:basedOn w:val="Normal"/>
    <w:rsid w:val="00E65EF3"/>
    <w:pPr>
      <w:numPr>
        <w:ilvl w:val="3"/>
        <w:numId w:val="22"/>
      </w:numPr>
      <w:spacing w:after="0" w:line="240" w:lineRule="auto"/>
    </w:pPr>
    <w:rPr>
      <w:rFonts w:eastAsia="Batang"/>
      <w:szCs w:val="20"/>
    </w:rPr>
  </w:style>
  <w:style w:type="character" w:customStyle="1" w:styleId="skrift-hevet">
    <w:name w:val="skrift-hevet"/>
    <w:basedOn w:val="Standardskriftforavsnitt"/>
    <w:rsid w:val="00E65EF3"/>
    <w:rPr>
      <w:sz w:val="20"/>
      <w:vertAlign w:val="superscript"/>
    </w:rPr>
  </w:style>
  <w:style w:type="character" w:customStyle="1" w:styleId="skrift-senket">
    <w:name w:val="skrift-senket"/>
    <w:basedOn w:val="Standardskriftforavsnitt"/>
    <w:rsid w:val="00E65EF3"/>
    <w:rPr>
      <w:sz w:val="20"/>
      <w:vertAlign w:val="subscript"/>
    </w:rPr>
  </w:style>
  <w:style w:type="character" w:customStyle="1" w:styleId="sperret">
    <w:name w:val="sperret"/>
    <w:basedOn w:val="Standardskriftforavsnitt"/>
    <w:rsid w:val="00E65EF3"/>
    <w:rPr>
      <w:spacing w:val="30"/>
    </w:rPr>
  </w:style>
  <w:style w:type="character" w:customStyle="1" w:styleId="Stikkord">
    <w:name w:val="Stikkord"/>
    <w:basedOn w:val="Standardskriftforavsnitt"/>
    <w:rsid w:val="00E65EF3"/>
  </w:style>
  <w:style w:type="paragraph" w:customStyle="1" w:styleId="Tabellnavn">
    <w:name w:val="Tabellnavn"/>
    <w:basedOn w:val="Normal"/>
    <w:qFormat/>
    <w:rsid w:val="00E65EF3"/>
    <w:rPr>
      <w:rFonts w:ascii="Times" w:hAnsi="Times"/>
      <w:vanish/>
      <w:color w:val="00B050"/>
    </w:rPr>
  </w:style>
  <w:style w:type="paragraph" w:customStyle="1" w:styleId="tabell-tittel">
    <w:name w:val="tabell-tittel"/>
    <w:basedOn w:val="Normal"/>
    <w:next w:val="Normal"/>
    <w:rsid w:val="00E65EF3"/>
    <w:pPr>
      <w:keepNext/>
      <w:keepLines/>
      <w:numPr>
        <w:ilvl w:val="6"/>
        <w:numId w:val="19"/>
      </w:numPr>
      <w:spacing w:before="240"/>
    </w:pPr>
    <w:rPr>
      <w:spacing w:val="4"/>
    </w:rPr>
  </w:style>
  <w:style w:type="paragraph" w:customStyle="1" w:styleId="Term">
    <w:name w:val="Term"/>
    <w:basedOn w:val="Normal"/>
    <w:qFormat/>
    <w:rsid w:val="00E65EF3"/>
  </w:style>
  <w:style w:type="paragraph" w:customStyle="1" w:styleId="tittel-ramme">
    <w:name w:val="tittel-ramme"/>
    <w:basedOn w:val="Normal"/>
    <w:next w:val="Normal"/>
    <w:rsid w:val="00E65EF3"/>
    <w:pPr>
      <w:keepNext/>
      <w:keepLines/>
      <w:numPr>
        <w:ilvl w:val="7"/>
        <w:numId w:val="19"/>
      </w:numPr>
      <w:spacing w:before="360" w:after="80"/>
      <w:jc w:val="center"/>
    </w:pPr>
    <w:rPr>
      <w:b/>
      <w:spacing w:val="4"/>
    </w:rPr>
  </w:style>
  <w:style w:type="table" w:customStyle="1" w:styleId="Tabell-VM">
    <w:name w:val="Tabell-VM"/>
    <w:basedOn w:val="Tabelltemaer"/>
    <w:uiPriority w:val="99"/>
    <w:qFormat/>
    <w:rsid w:val="00E65EF3"/>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E65EF3"/>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65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65EF3"/>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E65EF3"/>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65EF3"/>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65EF3"/>
    <w:pPr>
      <w:spacing w:after="0" w:line="240" w:lineRule="auto"/>
      <w:ind w:left="240" w:hanging="240"/>
    </w:pPr>
  </w:style>
  <w:style w:type="paragraph" w:styleId="Indeks2">
    <w:name w:val="index 2"/>
    <w:basedOn w:val="Normal"/>
    <w:next w:val="Normal"/>
    <w:autoRedefine/>
    <w:uiPriority w:val="99"/>
    <w:semiHidden/>
    <w:unhideWhenUsed/>
    <w:rsid w:val="00E65EF3"/>
    <w:pPr>
      <w:spacing w:after="0" w:line="240" w:lineRule="auto"/>
      <w:ind w:left="480" w:hanging="240"/>
    </w:pPr>
  </w:style>
  <w:style w:type="paragraph" w:styleId="Indeks3">
    <w:name w:val="index 3"/>
    <w:basedOn w:val="Normal"/>
    <w:next w:val="Normal"/>
    <w:autoRedefine/>
    <w:uiPriority w:val="99"/>
    <w:semiHidden/>
    <w:unhideWhenUsed/>
    <w:rsid w:val="00E65EF3"/>
    <w:pPr>
      <w:spacing w:after="0" w:line="240" w:lineRule="auto"/>
      <w:ind w:left="720" w:hanging="240"/>
    </w:pPr>
  </w:style>
  <w:style w:type="paragraph" w:styleId="Indeks4">
    <w:name w:val="index 4"/>
    <w:basedOn w:val="Normal"/>
    <w:next w:val="Normal"/>
    <w:autoRedefine/>
    <w:uiPriority w:val="99"/>
    <w:semiHidden/>
    <w:unhideWhenUsed/>
    <w:rsid w:val="00E65EF3"/>
    <w:pPr>
      <w:spacing w:after="0" w:line="240" w:lineRule="auto"/>
      <w:ind w:left="960" w:hanging="240"/>
    </w:pPr>
  </w:style>
  <w:style w:type="paragraph" w:styleId="Indeks5">
    <w:name w:val="index 5"/>
    <w:basedOn w:val="Normal"/>
    <w:next w:val="Normal"/>
    <w:autoRedefine/>
    <w:uiPriority w:val="99"/>
    <w:semiHidden/>
    <w:unhideWhenUsed/>
    <w:rsid w:val="00E65EF3"/>
    <w:pPr>
      <w:spacing w:after="0" w:line="240" w:lineRule="auto"/>
      <w:ind w:left="1200" w:hanging="240"/>
    </w:pPr>
  </w:style>
  <w:style w:type="paragraph" w:styleId="Indeks6">
    <w:name w:val="index 6"/>
    <w:basedOn w:val="Normal"/>
    <w:next w:val="Normal"/>
    <w:autoRedefine/>
    <w:uiPriority w:val="99"/>
    <w:semiHidden/>
    <w:unhideWhenUsed/>
    <w:rsid w:val="00E65EF3"/>
    <w:pPr>
      <w:spacing w:after="0" w:line="240" w:lineRule="auto"/>
      <w:ind w:left="1440" w:hanging="240"/>
    </w:pPr>
  </w:style>
  <w:style w:type="paragraph" w:styleId="Indeks7">
    <w:name w:val="index 7"/>
    <w:basedOn w:val="Normal"/>
    <w:next w:val="Normal"/>
    <w:autoRedefine/>
    <w:uiPriority w:val="99"/>
    <w:semiHidden/>
    <w:unhideWhenUsed/>
    <w:rsid w:val="00E65EF3"/>
    <w:pPr>
      <w:spacing w:after="0" w:line="240" w:lineRule="auto"/>
      <w:ind w:left="1680" w:hanging="240"/>
    </w:pPr>
  </w:style>
  <w:style w:type="paragraph" w:styleId="Indeks8">
    <w:name w:val="index 8"/>
    <w:basedOn w:val="Normal"/>
    <w:next w:val="Normal"/>
    <w:autoRedefine/>
    <w:uiPriority w:val="99"/>
    <w:semiHidden/>
    <w:unhideWhenUsed/>
    <w:rsid w:val="00E65EF3"/>
    <w:pPr>
      <w:spacing w:after="0" w:line="240" w:lineRule="auto"/>
      <w:ind w:left="1920" w:hanging="240"/>
    </w:pPr>
  </w:style>
  <w:style w:type="paragraph" w:styleId="Indeks9">
    <w:name w:val="index 9"/>
    <w:basedOn w:val="Normal"/>
    <w:next w:val="Normal"/>
    <w:autoRedefine/>
    <w:uiPriority w:val="99"/>
    <w:semiHidden/>
    <w:unhideWhenUsed/>
    <w:rsid w:val="00E65EF3"/>
    <w:pPr>
      <w:spacing w:after="0" w:line="240" w:lineRule="auto"/>
      <w:ind w:left="2160" w:hanging="240"/>
    </w:pPr>
  </w:style>
  <w:style w:type="paragraph" w:styleId="Vanliginnrykk">
    <w:name w:val="Normal Indent"/>
    <w:basedOn w:val="Normal"/>
    <w:uiPriority w:val="99"/>
    <w:semiHidden/>
    <w:unhideWhenUsed/>
    <w:rsid w:val="00E65EF3"/>
    <w:pPr>
      <w:ind w:left="708"/>
    </w:pPr>
  </w:style>
  <w:style w:type="paragraph" w:styleId="Stikkordregisteroverskrift">
    <w:name w:val="index heading"/>
    <w:basedOn w:val="Normal"/>
    <w:next w:val="Indeks1"/>
    <w:uiPriority w:val="99"/>
    <w:semiHidden/>
    <w:unhideWhenUsed/>
    <w:rsid w:val="00E65EF3"/>
    <w:rPr>
      <w:rFonts w:asciiTheme="majorHAnsi" w:eastAsiaTheme="majorEastAsia" w:hAnsiTheme="majorHAnsi" w:cstheme="majorBidi"/>
      <w:b/>
      <w:bCs/>
    </w:rPr>
  </w:style>
  <w:style w:type="paragraph" w:styleId="Konvoluttadresse">
    <w:name w:val="envelope address"/>
    <w:basedOn w:val="Normal"/>
    <w:uiPriority w:val="99"/>
    <w:semiHidden/>
    <w:unhideWhenUsed/>
    <w:rsid w:val="00E65EF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65EF3"/>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E65EF3"/>
  </w:style>
  <w:style w:type="character" w:styleId="Sluttnotereferanse">
    <w:name w:val="endnote reference"/>
    <w:basedOn w:val="Standardskriftforavsnitt"/>
    <w:uiPriority w:val="99"/>
    <w:semiHidden/>
    <w:unhideWhenUsed/>
    <w:rsid w:val="00E65EF3"/>
    <w:rPr>
      <w:vertAlign w:val="superscript"/>
    </w:rPr>
  </w:style>
  <w:style w:type="paragraph" w:styleId="Sluttnotetekst">
    <w:name w:val="endnote text"/>
    <w:basedOn w:val="Normal"/>
    <w:link w:val="SluttnotetekstTegn"/>
    <w:uiPriority w:val="99"/>
    <w:semiHidden/>
    <w:unhideWhenUsed/>
    <w:rsid w:val="00E65EF3"/>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E65EF3"/>
    <w:rPr>
      <w:rFonts w:ascii="Arial" w:hAnsi="Arial" w:cstheme="minorBidi"/>
      <w:sz w:val="22"/>
    </w:rPr>
  </w:style>
  <w:style w:type="paragraph" w:styleId="Kildeliste">
    <w:name w:val="table of authorities"/>
    <w:basedOn w:val="Normal"/>
    <w:next w:val="Normal"/>
    <w:uiPriority w:val="99"/>
    <w:semiHidden/>
    <w:unhideWhenUsed/>
    <w:rsid w:val="00E65EF3"/>
    <w:pPr>
      <w:spacing w:after="0"/>
      <w:ind w:left="240" w:hanging="240"/>
    </w:pPr>
  </w:style>
  <w:style w:type="character" w:customStyle="1" w:styleId="MakrotekstTegn">
    <w:name w:val="Makrotekst Tegn"/>
    <w:basedOn w:val="Standardskriftforavsnitt"/>
    <w:link w:val="Makrotekst"/>
    <w:uiPriority w:val="99"/>
    <w:semiHidden/>
    <w:rsid w:val="00E65EF3"/>
    <w:rPr>
      <w:rFonts w:ascii="Consolas" w:hAnsi="Consolas" w:cstheme="minorBidi"/>
    </w:rPr>
  </w:style>
  <w:style w:type="paragraph" w:styleId="Kildelisteoverskrift">
    <w:name w:val="toa heading"/>
    <w:basedOn w:val="Normal"/>
    <w:next w:val="Normal"/>
    <w:uiPriority w:val="99"/>
    <w:semiHidden/>
    <w:unhideWhenUsed/>
    <w:rsid w:val="00E65EF3"/>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E65EF3"/>
    <w:pPr>
      <w:spacing w:after="0" w:line="240" w:lineRule="auto"/>
      <w:ind w:left="4252"/>
    </w:pPr>
  </w:style>
  <w:style w:type="character" w:customStyle="1" w:styleId="HilsenTegn">
    <w:name w:val="Hilsen Tegn"/>
    <w:basedOn w:val="Standardskriftforavsnitt"/>
    <w:link w:val="Hilsen"/>
    <w:uiPriority w:val="99"/>
    <w:semiHidden/>
    <w:rsid w:val="00E65EF3"/>
    <w:rPr>
      <w:rFonts w:ascii="Arial" w:hAnsi="Arial" w:cstheme="minorBidi"/>
      <w:sz w:val="22"/>
      <w:szCs w:val="22"/>
    </w:rPr>
  </w:style>
  <w:style w:type="paragraph" w:styleId="Underskrift0">
    <w:name w:val="Signature"/>
    <w:basedOn w:val="Normal"/>
    <w:link w:val="UnderskriftTegn"/>
    <w:uiPriority w:val="99"/>
    <w:semiHidden/>
    <w:unhideWhenUsed/>
    <w:rsid w:val="00E65EF3"/>
    <w:pPr>
      <w:spacing w:after="0" w:line="240" w:lineRule="auto"/>
      <w:ind w:left="4252"/>
    </w:pPr>
  </w:style>
  <w:style w:type="character" w:customStyle="1" w:styleId="UnderskriftTegn">
    <w:name w:val="Underskrift Tegn"/>
    <w:basedOn w:val="Standardskriftforavsnitt"/>
    <w:link w:val="Underskrift0"/>
    <w:uiPriority w:val="99"/>
    <w:semiHidden/>
    <w:rsid w:val="00E65EF3"/>
    <w:rPr>
      <w:rFonts w:ascii="Arial" w:hAnsi="Arial" w:cstheme="minorBidi"/>
      <w:sz w:val="22"/>
      <w:szCs w:val="22"/>
    </w:rPr>
  </w:style>
  <w:style w:type="paragraph" w:styleId="Brdtekst">
    <w:name w:val="Body Text"/>
    <w:basedOn w:val="Normal"/>
    <w:link w:val="BrdtekstTegn"/>
    <w:uiPriority w:val="99"/>
    <w:semiHidden/>
    <w:unhideWhenUsed/>
    <w:rsid w:val="00E65EF3"/>
  </w:style>
  <w:style w:type="character" w:customStyle="1" w:styleId="BrdtekstTegn">
    <w:name w:val="Brødtekst Tegn"/>
    <w:basedOn w:val="Standardskriftforavsnitt"/>
    <w:link w:val="Brdtekst"/>
    <w:uiPriority w:val="99"/>
    <w:semiHidden/>
    <w:rsid w:val="00E65EF3"/>
    <w:rPr>
      <w:rFonts w:ascii="Arial" w:hAnsi="Arial" w:cstheme="minorBidi"/>
      <w:sz w:val="22"/>
      <w:szCs w:val="22"/>
    </w:rPr>
  </w:style>
  <w:style w:type="paragraph" w:styleId="Brdtekstinnrykk">
    <w:name w:val="Body Text Indent"/>
    <w:basedOn w:val="Normal"/>
    <w:link w:val="BrdtekstinnrykkTegn"/>
    <w:uiPriority w:val="99"/>
    <w:semiHidden/>
    <w:unhideWhenUsed/>
    <w:rsid w:val="00E65EF3"/>
    <w:pPr>
      <w:ind w:left="283"/>
    </w:pPr>
  </w:style>
  <w:style w:type="character" w:customStyle="1" w:styleId="BrdtekstinnrykkTegn">
    <w:name w:val="Brødtekstinnrykk Tegn"/>
    <w:basedOn w:val="Standardskriftforavsnitt"/>
    <w:link w:val="Brdtekstinnrykk"/>
    <w:uiPriority w:val="99"/>
    <w:semiHidden/>
    <w:rsid w:val="00E65EF3"/>
    <w:rPr>
      <w:rFonts w:ascii="Arial" w:hAnsi="Arial" w:cstheme="minorBidi"/>
      <w:sz w:val="22"/>
      <w:szCs w:val="22"/>
    </w:rPr>
  </w:style>
  <w:style w:type="numbering" w:customStyle="1" w:styleId="l-ListeStilMal">
    <w:name w:val="l-ListeStilMal"/>
    <w:uiPriority w:val="99"/>
    <w:rsid w:val="00E65EF3"/>
    <w:pPr>
      <w:numPr>
        <w:numId w:val="13"/>
      </w:numPr>
    </w:pPr>
  </w:style>
  <w:style w:type="character" w:customStyle="1" w:styleId="MeldingshodeTegn">
    <w:name w:val="Meldingshode Tegn"/>
    <w:basedOn w:val="Standardskriftforavsnitt"/>
    <w:link w:val="Meldingshode"/>
    <w:uiPriority w:val="99"/>
    <w:semiHidden/>
    <w:rsid w:val="00E65EF3"/>
    <w:rPr>
      <w:rFonts w:asciiTheme="majorHAnsi" w:eastAsiaTheme="majorEastAsia" w:hAnsiTheme="majorHAnsi" w:cstheme="majorBidi"/>
      <w:sz w:val="22"/>
      <w:szCs w:val="24"/>
      <w:shd w:val="pct20" w:color="auto" w:fill="auto"/>
    </w:rPr>
  </w:style>
  <w:style w:type="paragraph" w:styleId="Innledendehilsen">
    <w:name w:val="Salutation"/>
    <w:basedOn w:val="Normal"/>
    <w:next w:val="Normal"/>
    <w:link w:val="InnledendehilsenTegn"/>
    <w:uiPriority w:val="99"/>
    <w:semiHidden/>
    <w:unhideWhenUsed/>
    <w:rsid w:val="00E65EF3"/>
  </w:style>
  <w:style w:type="character" w:customStyle="1" w:styleId="InnledendehilsenTegn">
    <w:name w:val="Innledende hilsen Tegn"/>
    <w:basedOn w:val="Standardskriftforavsnitt"/>
    <w:link w:val="Innledendehilsen"/>
    <w:uiPriority w:val="99"/>
    <w:semiHidden/>
    <w:rsid w:val="00E65EF3"/>
    <w:rPr>
      <w:rFonts w:ascii="Arial" w:hAnsi="Arial" w:cstheme="minorBidi"/>
      <w:sz w:val="22"/>
      <w:szCs w:val="22"/>
    </w:rPr>
  </w:style>
  <w:style w:type="paragraph" w:styleId="Notatoverskrift">
    <w:name w:val="Note Heading"/>
    <w:basedOn w:val="Normal"/>
    <w:next w:val="Normal"/>
    <w:link w:val="NotatoverskriftTegn"/>
    <w:uiPriority w:val="99"/>
    <w:semiHidden/>
    <w:unhideWhenUsed/>
    <w:rsid w:val="00E65EF3"/>
    <w:pPr>
      <w:spacing w:after="0" w:line="240" w:lineRule="auto"/>
    </w:pPr>
  </w:style>
  <w:style w:type="character" w:customStyle="1" w:styleId="NotatoverskriftTegn">
    <w:name w:val="Notatoverskrift Tegn"/>
    <w:basedOn w:val="Standardskriftforavsnitt"/>
    <w:link w:val="Notatoverskrift"/>
    <w:uiPriority w:val="99"/>
    <w:semiHidden/>
    <w:rsid w:val="00E65EF3"/>
    <w:rPr>
      <w:rFonts w:ascii="Arial" w:hAnsi="Arial" w:cstheme="minorBidi"/>
      <w:sz w:val="22"/>
      <w:szCs w:val="22"/>
    </w:rPr>
  </w:style>
  <w:style w:type="paragraph" w:styleId="Brdtekst2">
    <w:name w:val="Body Text 2"/>
    <w:basedOn w:val="Normal"/>
    <w:link w:val="Brdtekst2Tegn"/>
    <w:uiPriority w:val="99"/>
    <w:semiHidden/>
    <w:unhideWhenUsed/>
    <w:rsid w:val="00E65EF3"/>
    <w:pPr>
      <w:spacing w:line="480" w:lineRule="auto"/>
    </w:pPr>
  </w:style>
  <w:style w:type="character" w:customStyle="1" w:styleId="Brdtekst2Tegn">
    <w:name w:val="Brødtekst 2 Tegn"/>
    <w:basedOn w:val="Standardskriftforavsnitt"/>
    <w:link w:val="Brdtekst2"/>
    <w:uiPriority w:val="99"/>
    <w:semiHidden/>
    <w:rsid w:val="00E65EF3"/>
    <w:rPr>
      <w:rFonts w:ascii="Arial" w:hAnsi="Arial" w:cstheme="minorBidi"/>
      <w:sz w:val="22"/>
      <w:szCs w:val="22"/>
    </w:rPr>
  </w:style>
  <w:style w:type="paragraph" w:styleId="Brdtekst3">
    <w:name w:val="Body Text 3"/>
    <w:basedOn w:val="Normal"/>
    <w:link w:val="Brdtekst3Tegn"/>
    <w:uiPriority w:val="99"/>
    <w:semiHidden/>
    <w:unhideWhenUsed/>
    <w:rsid w:val="00E65EF3"/>
    <w:rPr>
      <w:sz w:val="16"/>
      <w:szCs w:val="16"/>
    </w:rPr>
  </w:style>
  <w:style w:type="character" w:customStyle="1" w:styleId="Brdtekst3Tegn">
    <w:name w:val="Brødtekst 3 Tegn"/>
    <w:basedOn w:val="Standardskriftforavsnitt"/>
    <w:link w:val="Brdtekst3"/>
    <w:uiPriority w:val="99"/>
    <w:semiHidden/>
    <w:rsid w:val="00E65EF3"/>
    <w:rPr>
      <w:rFonts w:ascii="Arial" w:hAnsi="Arial" w:cstheme="minorBidi"/>
      <w:sz w:val="16"/>
      <w:szCs w:val="16"/>
    </w:rPr>
  </w:style>
  <w:style w:type="paragraph" w:styleId="Brdtekstinnrykk2">
    <w:name w:val="Body Text Indent 2"/>
    <w:basedOn w:val="Normal"/>
    <w:link w:val="Brdtekstinnrykk2Tegn"/>
    <w:uiPriority w:val="99"/>
    <w:semiHidden/>
    <w:unhideWhenUsed/>
    <w:rsid w:val="00E65EF3"/>
    <w:pPr>
      <w:spacing w:line="480" w:lineRule="auto"/>
      <w:ind w:left="283"/>
    </w:pPr>
  </w:style>
  <w:style w:type="character" w:customStyle="1" w:styleId="Brdtekstinnrykk2Tegn">
    <w:name w:val="Brødtekstinnrykk 2 Tegn"/>
    <w:basedOn w:val="Standardskriftforavsnitt"/>
    <w:link w:val="Brdtekstinnrykk2"/>
    <w:uiPriority w:val="99"/>
    <w:semiHidden/>
    <w:rsid w:val="00E65EF3"/>
    <w:rPr>
      <w:rFonts w:ascii="Arial" w:hAnsi="Arial" w:cstheme="minorBidi"/>
      <w:sz w:val="22"/>
      <w:szCs w:val="22"/>
    </w:rPr>
  </w:style>
  <w:style w:type="paragraph" w:styleId="Brdtekstinnrykk3">
    <w:name w:val="Body Text Indent 3"/>
    <w:basedOn w:val="Normal"/>
    <w:link w:val="Brdtekstinnrykk3Tegn"/>
    <w:uiPriority w:val="99"/>
    <w:semiHidden/>
    <w:unhideWhenUsed/>
    <w:rsid w:val="00E65EF3"/>
    <w:pPr>
      <w:ind w:left="283"/>
    </w:pPr>
    <w:rPr>
      <w:sz w:val="16"/>
      <w:szCs w:val="16"/>
    </w:rPr>
  </w:style>
  <w:style w:type="character" w:customStyle="1" w:styleId="Brdtekstinnrykk3Tegn">
    <w:name w:val="Brødtekstinnrykk 3 Tegn"/>
    <w:basedOn w:val="Standardskriftforavsnitt"/>
    <w:link w:val="Brdtekstinnrykk3"/>
    <w:uiPriority w:val="99"/>
    <w:semiHidden/>
    <w:rsid w:val="00E65EF3"/>
    <w:rPr>
      <w:rFonts w:ascii="Arial" w:hAnsi="Arial" w:cstheme="minorBidi"/>
      <w:sz w:val="16"/>
      <w:szCs w:val="16"/>
    </w:rPr>
  </w:style>
  <w:style w:type="paragraph" w:styleId="Blokktekst">
    <w:name w:val="Block Text"/>
    <w:basedOn w:val="Normal"/>
    <w:uiPriority w:val="99"/>
    <w:semiHidden/>
    <w:unhideWhenUsed/>
    <w:rsid w:val="00E65EF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Dokumentkart">
    <w:name w:val="Document Map"/>
    <w:basedOn w:val="Normal"/>
    <w:link w:val="DokumentkartTegn"/>
    <w:uiPriority w:val="99"/>
    <w:semiHidden/>
    <w:unhideWhenUsed/>
    <w:rsid w:val="00E65EF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65EF3"/>
    <w:rPr>
      <w:rFonts w:ascii="Tahoma" w:hAnsi="Tahoma" w:cs="Tahoma"/>
      <w:sz w:val="16"/>
      <w:szCs w:val="16"/>
    </w:rPr>
  </w:style>
  <w:style w:type="paragraph" w:styleId="Rentekst">
    <w:name w:val="Plain Text"/>
    <w:basedOn w:val="Normal"/>
    <w:link w:val="RentekstTegn"/>
    <w:uiPriority w:val="99"/>
    <w:semiHidden/>
    <w:unhideWhenUsed/>
    <w:rsid w:val="00E65EF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65EF3"/>
    <w:rPr>
      <w:rFonts w:ascii="Consolas" w:hAnsi="Consolas" w:cstheme="minorBidi"/>
      <w:sz w:val="21"/>
      <w:szCs w:val="21"/>
    </w:rPr>
  </w:style>
  <w:style w:type="paragraph" w:styleId="E-postsignatur">
    <w:name w:val="E-mail Signature"/>
    <w:basedOn w:val="Normal"/>
    <w:link w:val="E-postsignaturTegn"/>
    <w:uiPriority w:val="99"/>
    <w:semiHidden/>
    <w:unhideWhenUsed/>
    <w:rsid w:val="00E65EF3"/>
    <w:pPr>
      <w:spacing w:after="0" w:line="240" w:lineRule="auto"/>
    </w:pPr>
  </w:style>
  <w:style w:type="character" w:customStyle="1" w:styleId="E-postsignaturTegn">
    <w:name w:val="E-postsignatur Tegn"/>
    <w:basedOn w:val="Standardskriftforavsnitt"/>
    <w:link w:val="E-postsignatur"/>
    <w:uiPriority w:val="99"/>
    <w:semiHidden/>
    <w:rsid w:val="00E65EF3"/>
    <w:rPr>
      <w:rFonts w:ascii="Arial" w:hAnsi="Arial" w:cstheme="minorBidi"/>
      <w:sz w:val="22"/>
      <w:szCs w:val="22"/>
    </w:rPr>
  </w:style>
  <w:style w:type="character" w:styleId="HTML-akronym">
    <w:name w:val="HTML Acronym"/>
    <w:basedOn w:val="Standardskriftforavsnitt"/>
    <w:uiPriority w:val="99"/>
    <w:semiHidden/>
    <w:unhideWhenUsed/>
    <w:rsid w:val="00E65EF3"/>
  </w:style>
  <w:style w:type="paragraph" w:styleId="HTML-adresse">
    <w:name w:val="HTML Address"/>
    <w:basedOn w:val="Normal"/>
    <w:link w:val="HTML-adresseTegn"/>
    <w:uiPriority w:val="99"/>
    <w:semiHidden/>
    <w:unhideWhenUsed/>
    <w:rsid w:val="00E65EF3"/>
    <w:pPr>
      <w:spacing w:after="0" w:line="240" w:lineRule="auto"/>
    </w:pPr>
    <w:rPr>
      <w:i/>
      <w:iCs/>
    </w:rPr>
  </w:style>
  <w:style w:type="character" w:customStyle="1" w:styleId="HTML-adresseTegn">
    <w:name w:val="HTML-adresse Tegn"/>
    <w:basedOn w:val="Standardskriftforavsnitt"/>
    <w:link w:val="HTML-adresse"/>
    <w:uiPriority w:val="99"/>
    <w:semiHidden/>
    <w:rsid w:val="00E65EF3"/>
    <w:rPr>
      <w:rFonts w:ascii="Arial" w:hAnsi="Arial" w:cstheme="minorBidi"/>
      <w:i/>
      <w:iCs/>
      <w:sz w:val="22"/>
      <w:szCs w:val="22"/>
    </w:rPr>
  </w:style>
  <w:style w:type="character" w:styleId="HTML-sitat">
    <w:name w:val="HTML Cite"/>
    <w:basedOn w:val="Standardskriftforavsnitt"/>
    <w:uiPriority w:val="99"/>
    <w:semiHidden/>
    <w:unhideWhenUsed/>
    <w:rsid w:val="00E65EF3"/>
    <w:rPr>
      <w:i/>
      <w:iCs/>
    </w:rPr>
  </w:style>
  <w:style w:type="character" w:styleId="HTML-kode">
    <w:name w:val="HTML Code"/>
    <w:basedOn w:val="Standardskriftforavsnitt"/>
    <w:uiPriority w:val="99"/>
    <w:semiHidden/>
    <w:unhideWhenUsed/>
    <w:rsid w:val="00E65EF3"/>
    <w:rPr>
      <w:rFonts w:ascii="Consolas" w:hAnsi="Consolas"/>
      <w:sz w:val="20"/>
      <w:szCs w:val="20"/>
    </w:rPr>
  </w:style>
  <w:style w:type="character" w:styleId="HTML-definisjon">
    <w:name w:val="HTML Definition"/>
    <w:basedOn w:val="Standardskriftforavsnitt"/>
    <w:uiPriority w:val="99"/>
    <w:semiHidden/>
    <w:unhideWhenUsed/>
    <w:rsid w:val="00E65EF3"/>
    <w:rPr>
      <w:i/>
      <w:iCs/>
    </w:rPr>
  </w:style>
  <w:style w:type="character" w:styleId="HTML-tastatur">
    <w:name w:val="HTML Keyboard"/>
    <w:basedOn w:val="Standardskriftforavsnitt"/>
    <w:uiPriority w:val="99"/>
    <w:semiHidden/>
    <w:unhideWhenUsed/>
    <w:rsid w:val="00E65EF3"/>
    <w:rPr>
      <w:rFonts w:ascii="Consolas" w:hAnsi="Consolas"/>
      <w:sz w:val="20"/>
      <w:szCs w:val="20"/>
    </w:rPr>
  </w:style>
  <w:style w:type="paragraph" w:styleId="HTML-forhndsformatert">
    <w:name w:val="HTML Preformatted"/>
    <w:basedOn w:val="Normal"/>
    <w:link w:val="HTML-forhndsformatertTegn"/>
    <w:uiPriority w:val="99"/>
    <w:semiHidden/>
    <w:unhideWhenUsed/>
    <w:rsid w:val="00E65EF3"/>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E65EF3"/>
    <w:rPr>
      <w:rFonts w:ascii="Consolas" w:hAnsi="Consolas" w:cstheme="minorBidi"/>
      <w:sz w:val="22"/>
    </w:rPr>
  </w:style>
  <w:style w:type="character" w:styleId="HTML-eksempel">
    <w:name w:val="HTML Sample"/>
    <w:basedOn w:val="Standardskriftforavsnitt"/>
    <w:uiPriority w:val="99"/>
    <w:semiHidden/>
    <w:unhideWhenUsed/>
    <w:rsid w:val="00E65EF3"/>
    <w:rPr>
      <w:rFonts w:ascii="Consolas" w:hAnsi="Consolas"/>
      <w:sz w:val="24"/>
      <w:szCs w:val="24"/>
    </w:rPr>
  </w:style>
  <w:style w:type="character" w:styleId="HTML-skrivemaskin">
    <w:name w:val="HTML Typewriter"/>
    <w:basedOn w:val="Standardskriftforavsnitt"/>
    <w:uiPriority w:val="99"/>
    <w:semiHidden/>
    <w:unhideWhenUsed/>
    <w:rsid w:val="00E65EF3"/>
    <w:rPr>
      <w:rFonts w:ascii="Consolas" w:hAnsi="Consolas"/>
      <w:sz w:val="20"/>
      <w:szCs w:val="20"/>
    </w:rPr>
  </w:style>
  <w:style w:type="character" w:styleId="HTML-variabel">
    <w:name w:val="HTML Variable"/>
    <w:basedOn w:val="Standardskriftforavsnitt"/>
    <w:uiPriority w:val="99"/>
    <w:semiHidden/>
    <w:unhideWhenUsed/>
    <w:rsid w:val="00E65EF3"/>
    <w:rPr>
      <w:i/>
      <w:iCs/>
    </w:rPr>
  </w:style>
  <w:style w:type="character" w:styleId="Plassholdertekst">
    <w:name w:val="Placeholder Text"/>
    <w:basedOn w:val="Standardskriftforavsnitt"/>
    <w:uiPriority w:val="99"/>
    <w:semiHidden/>
    <w:rsid w:val="00E65EF3"/>
    <w:rPr>
      <w:color w:val="808080"/>
    </w:rPr>
  </w:style>
  <w:style w:type="paragraph" w:styleId="Bibliografi">
    <w:name w:val="Bibliography"/>
    <w:basedOn w:val="Normal"/>
    <w:next w:val="Normal"/>
    <w:uiPriority w:val="37"/>
    <w:semiHidden/>
    <w:unhideWhenUsed/>
    <w:rsid w:val="00E65EF3"/>
  </w:style>
  <w:style w:type="paragraph" w:customStyle="1" w:styleId="l-ledd">
    <w:name w:val="l-ledd"/>
    <w:basedOn w:val="Normal"/>
    <w:qFormat/>
    <w:rsid w:val="00E65EF3"/>
    <w:pPr>
      <w:spacing w:after="0"/>
      <w:ind w:firstLine="397"/>
    </w:pPr>
    <w:rPr>
      <w:rFonts w:ascii="Times" w:hAnsi="Times"/>
      <w:spacing w:val="4"/>
    </w:rPr>
  </w:style>
  <w:style w:type="paragraph" w:customStyle="1" w:styleId="l-punktum">
    <w:name w:val="l-punktum"/>
    <w:basedOn w:val="Normal"/>
    <w:qFormat/>
    <w:rsid w:val="00E65EF3"/>
    <w:pPr>
      <w:spacing w:after="0"/>
    </w:pPr>
    <w:rPr>
      <w:spacing w:val="4"/>
    </w:rPr>
  </w:style>
  <w:style w:type="paragraph" w:customStyle="1" w:styleId="l-tit-endr-lovkap">
    <w:name w:val="l-tit-endr-lovkap"/>
    <w:basedOn w:val="Normal"/>
    <w:qFormat/>
    <w:rsid w:val="00E65EF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65EF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65EF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65EF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65EF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65EF3"/>
  </w:style>
  <w:style w:type="paragraph" w:customStyle="1" w:styleId="l-alfaliste">
    <w:name w:val="l-alfaliste"/>
    <w:basedOn w:val="alfaliste"/>
    <w:qFormat/>
    <w:rsid w:val="00E65EF3"/>
    <w:pPr>
      <w:numPr>
        <w:numId w:val="15"/>
      </w:numPr>
    </w:pPr>
    <w:rPr>
      <w:rFonts w:eastAsiaTheme="minorEastAsia"/>
    </w:rPr>
  </w:style>
  <w:style w:type="numbering" w:customStyle="1" w:styleId="AlfaListeStil">
    <w:name w:val="AlfaListeStil"/>
    <w:uiPriority w:val="99"/>
    <w:rsid w:val="00E65EF3"/>
    <w:pPr>
      <w:numPr>
        <w:numId w:val="14"/>
      </w:numPr>
    </w:pPr>
  </w:style>
  <w:style w:type="paragraph" w:customStyle="1" w:styleId="l-alfaliste2">
    <w:name w:val="l-alfaliste 2"/>
    <w:basedOn w:val="alfaliste2"/>
    <w:qFormat/>
    <w:rsid w:val="00E65EF3"/>
    <w:pPr>
      <w:numPr>
        <w:numId w:val="15"/>
      </w:numPr>
    </w:pPr>
  </w:style>
  <w:style w:type="paragraph" w:customStyle="1" w:styleId="l-alfaliste3">
    <w:name w:val="l-alfaliste 3"/>
    <w:basedOn w:val="alfaliste3"/>
    <w:qFormat/>
    <w:rsid w:val="00E65EF3"/>
    <w:pPr>
      <w:numPr>
        <w:numId w:val="15"/>
      </w:numPr>
    </w:pPr>
  </w:style>
  <w:style w:type="paragraph" w:customStyle="1" w:styleId="l-alfaliste4">
    <w:name w:val="l-alfaliste 4"/>
    <w:basedOn w:val="alfaliste4"/>
    <w:qFormat/>
    <w:rsid w:val="00E65EF3"/>
    <w:pPr>
      <w:numPr>
        <w:numId w:val="15"/>
      </w:numPr>
    </w:pPr>
  </w:style>
  <w:style w:type="paragraph" w:customStyle="1" w:styleId="l-alfaliste5">
    <w:name w:val="l-alfaliste 5"/>
    <w:basedOn w:val="alfaliste5"/>
    <w:qFormat/>
    <w:rsid w:val="00E65EF3"/>
    <w:pPr>
      <w:numPr>
        <w:numId w:val="15"/>
      </w:numPr>
    </w:pPr>
  </w:style>
  <w:style w:type="numbering" w:customStyle="1" w:styleId="l-AlfaListeStil">
    <w:name w:val="l-AlfaListeStil"/>
    <w:uiPriority w:val="99"/>
    <w:rsid w:val="00E65EF3"/>
    <w:pPr>
      <w:numPr>
        <w:numId w:val="15"/>
      </w:numPr>
    </w:pPr>
  </w:style>
  <w:style w:type="numbering" w:customStyle="1" w:styleId="l-NummerertListeStil">
    <w:name w:val="l-NummerertListeStil"/>
    <w:uiPriority w:val="99"/>
    <w:rsid w:val="00E65EF3"/>
    <w:pPr>
      <w:numPr>
        <w:numId w:val="16"/>
      </w:numPr>
    </w:pPr>
  </w:style>
  <w:style w:type="numbering" w:customStyle="1" w:styleId="NrListeStil">
    <w:name w:val="NrListeStil"/>
    <w:uiPriority w:val="99"/>
    <w:rsid w:val="00E65EF3"/>
    <w:pPr>
      <w:numPr>
        <w:numId w:val="17"/>
      </w:numPr>
    </w:pPr>
  </w:style>
  <w:style w:type="numbering" w:customStyle="1" w:styleId="OpplistingListeStil">
    <w:name w:val="OpplistingListeStil"/>
    <w:uiPriority w:val="99"/>
    <w:rsid w:val="00E65EF3"/>
    <w:pPr>
      <w:numPr>
        <w:numId w:val="18"/>
      </w:numPr>
    </w:pPr>
  </w:style>
  <w:style w:type="numbering" w:customStyle="1" w:styleId="OverskrifterListeStil">
    <w:name w:val="OverskrifterListeStil"/>
    <w:uiPriority w:val="99"/>
    <w:rsid w:val="00E65EF3"/>
    <w:pPr>
      <w:numPr>
        <w:numId w:val="19"/>
      </w:numPr>
    </w:pPr>
  </w:style>
  <w:style w:type="numbering" w:customStyle="1" w:styleId="RomListeStil">
    <w:name w:val="RomListeStil"/>
    <w:uiPriority w:val="99"/>
    <w:rsid w:val="00E65EF3"/>
    <w:pPr>
      <w:numPr>
        <w:numId w:val="20"/>
      </w:numPr>
    </w:pPr>
  </w:style>
  <w:style w:type="numbering" w:customStyle="1" w:styleId="StrekListeStil">
    <w:name w:val="StrekListeStil"/>
    <w:uiPriority w:val="99"/>
    <w:rsid w:val="00E65EF3"/>
    <w:pPr>
      <w:numPr>
        <w:numId w:val="21"/>
      </w:numPr>
    </w:pPr>
  </w:style>
  <w:style w:type="paragraph" w:customStyle="1" w:styleId="romertallliste5">
    <w:name w:val="romertall liste 5"/>
    <w:basedOn w:val="Normal"/>
    <w:qFormat/>
    <w:rsid w:val="00E65EF3"/>
    <w:pPr>
      <w:numPr>
        <w:ilvl w:val="4"/>
        <w:numId w:val="22"/>
      </w:numPr>
      <w:spacing w:after="0"/>
    </w:pPr>
    <w:rPr>
      <w:spacing w:val="4"/>
    </w:rPr>
  </w:style>
  <w:style w:type="paragraph" w:styleId="Liste-forts">
    <w:name w:val="List Continue"/>
    <w:basedOn w:val="Normal"/>
    <w:uiPriority w:val="99"/>
    <w:semiHidden/>
    <w:unhideWhenUsed/>
    <w:rsid w:val="00E65EF3"/>
    <w:pPr>
      <w:ind w:left="283"/>
      <w:contextualSpacing/>
    </w:pPr>
  </w:style>
  <w:style w:type="paragraph" w:styleId="Liste-forts2">
    <w:name w:val="List Continue 2"/>
    <w:basedOn w:val="Normal"/>
    <w:uiPriority w:val="99"/>
    <w:semiHidden/>
    <w:unhideWhenUsed/>
    <w:rsid w:val="00E65EF3"/>
    <w:pPr>
      <w:ind w:left="566"/>
      <w:contextualSpacing/>
    </w:pPr>
  </w:style>
  <w:style w:type="paragraph" w:styleId="Liste-forts3">
    <w:name w:val="List Continue 3"/>
    <w:basedOn w:val="Normal"/>
    <w:uiPriority w:val="99"/>
    <w:semiHidden/>
    <w:unhideWhenUsed/>
    <w:rsid w:val="00E65EF3"/>
    <w:pPr>
      <w:ind w:left="849"/>
      <w:contextualSpacing/>
    </w:pPr>
  </w:style>
  <w:style w:type="paragraph" w:styleId="Liste-forts4">
    <w:name w:val="List Continue 4"/>
    <w:basedOn w:val="Normal"/>
    <w:uiPriority w:val="99"/>
    <w:semiHidden/>
    <w:unhideWhenUsed/>
    <w:rsid w:val="00E65EF3"/>
    <w:pPr>
      <w:ind w:left="1132"/>
      <w:contextualSpacing/>
    </w:pPr>
  </w:style>
  <w:style w:type="paragraph" w:styleId="Liste-forts5">
    <w:name w:val="List Continue 5"/>
    <w:basedOn w:val="Normal"/>
    <w:uiPriority w:val="99"/>
    <w:semiHidden/>
    <w:unhideWhenUsed/>
    <w:rsid w:val="00E65EF3"/>
    <w:pPr>
      <w:ind w:left="1415"/>
      <w:contextualSpacing/>
    </w:pPr>
  </w:style>
  <w:style w:type="paragraph" w:customStyle="1" w:styleId="opplisting2">
    <w:name w:val="opplisting 2"/>
    <w:basedOn w:val="Normal"/>
    <w:qFormat/>
    <w:rsid w:val="00E65EF3"/>
    <w:pPr>
      <w:spacing w:after="0"/>
      <w:ind w:left="397"/>
    </w:pPr>
    <w:rPr>
      <w:lang w:val="en-US"/>
    </w:rPr>
  </w:style>
  <w:style w:type="paragraph" w:customStyle="1" w:styleId="opplisting3">
    <w:name w:val="opplisting 3"/>
    <w:basedOn w:val="Normal"/>
    <w:qFormat/>
    <w:rsid w:val="00E65EF3"/>
    <w:pPr>
      <w:spacing w:after="0"/>
      <w:ind w:left="794"/>
    </w:pPr>
  </w:style>
  <w:style w:type="paragraph" w:customStyle="1" w:styleId="opplisting4">
    <w:name w:val="opplisting 4"/>
    <w:basedOn w:val="Normal"/>
    <w:qFormat/>
    <w:rsid w:val="00E65EF3"/>
    <w:pPr>
      <w:spacing w:after="0"/>
      <w:ind w:left="1191"/>
    </w:pPr>
  </w:style>
  <w:style w:type="paragraph" w:customStyle="1" w:styleId="opplisting5">
    <w:name w:val="opplisting 5"/>
    <w:basedOn w:val="Normal"/>
    <w:qFormat/>
    <w:rsid w:val="00E65EF3"/>
    <w:pPr>
      <w:spacing w:after="0"/>
      <w:ind w:left="1588"/>
    </w:pPr>
  </w:style>
  <w:style w:type="paragraph" w:customStyle="1" w:styleId="friliste">
    <w:name w:val="friliste"/>
    <w:basedOn w:val="Normal"/>
    <w:qFormat/>
    <w:rsid w:val="00E65EF3"/>
    <w:pPr>
      <w:tabs>
        <w:tab w:val="left" w:pos="397"/>
      </w:tabs>
      <w:spacing w:after="0"/>
      <w:ind w:left="397" w:hanging="397"/>
    </w:pPr>
  </w:style>
  <w:style w:type="paragraph" w:customStyle="1" w:styleId="friliste2">
    <w:name w:val="friliste 2"/>
    <w:basedOn w:val="Normal"/>
    <w:qFormat/>
    <w:rsid w:val="00E65EF3"/>
    <w:pPr>
      <w:tabs>
        <w:tab w:val="left" w:pos="794"/>
      </w:tabs>
      <w:spacing w:after="0"/>
      <w:ind w:left="794" w:hanging="397"/>
    </w:pPr>
  </w:style>
  <w:style w:type="paragraph" w:customStyle="1" w:styleId="friliste3">
    <w:name w:val="friliste 3"/>
    <w:basedOn w:val="Normal"/>
    <w:qFormat/>
    <w:rsid w:val="00E65EF3"/>
    <w:pPr>
      <w:tabs>
        <w:tab w:val="left" w:pos="1191"/>
      </w:tabs>
      <w:spacing w:after="0"/>
      <w:ind w:left="1191" w:hanging="397"/>
    </w:pPr>
  </w:style>
  <w:style w:type="paragraph" w:customStyle="1" w:styleId="friliste4">
    <w:name w:val="friliste 4"/>
    <w:basedOn w:val="Normal"/>
    <w:qFormat/>
    <w:rsid w:val="00E65EF3"/>
    <w:pPr>
      <w:tabs>
        <w:tab w:val="left" w:pos="1588"/>
      </w:tabs>
      <w:spacing w:after="0"/>
      <w:ind w:left="1588" w:hanging="397"/>
    </w:pPr>
  </w:style>
  <w:style w:type="paragraph" w:customStyle="1" w:styleId="friliste5">
    <w:name w:val="friliste 5"/>
    <w:basedOn w:val="Normal"/>
    <w:qFormat/>
    <w:rsid w:val="00E65EF3"/>
    <w:pPr>
      <w:tabs>
        <w:tab w:val="left" w:pos="1985"/>
      </w:tabs>
      <w:spacing w:after="0"/>
      <w:ind w:left="1985" w:hanging="397"/>
    </w:pPr>
  </w:style>
  <w:style w:type="paragraph" w:customStyle="1" w:styleId="blokksit">
    <w:name w:val="blokksit"/>
    <w:basedOn w:val="Normal"/>
    <w:qFormat/>
    <w:rsid w:val="00E65EF3"/>
    <w:pPr>
      <w:spacing w:line="240" w:lineRule="auto"/>
      <w:ind w:left="397"/>
    </w:pPr>
    <w:rPr>
      <w:rFonts w:ascii="Times" w:hAnsi="Times"/>
      <w:spacing w:val="-2"/>
    </w:rPr>
  </w:style>
  <w:style w:type="character" w:customStyle="1" w:styleId="regular">
    <w:name w:val="regular"/>
    <w:basedOn w:val="Standardskriftforavsnitt"/>
    <w:uiPriority w:val="1"/>
    <w:qFormat/>
    <w:rsid w:val="00E65EF3"/>
    <w:rPr>
      <w:i/>
    </w:rPr>
  </w:style>
  <w:style w:type="character" w:customStyle="1" w:styleId="gjennomstreket">
    <w:name w:val="gjennomstreket"/>
    <w:uiPriority w:val="1"/>
    <w:rsid w:val="00E65EF3"/>
    <w:rPr>
      <w:strike/>
      <w:dstrike w:val="0"/>
    </w:rPr>
  </w:style>
  <w:style w:type="paragraph" w:customStyle="1" w:styleId="l-avsnitt">
    <w:name w:val="l-avsnitt"/>
    <w:basedOn w:val="l-lovkap"/>
    <w:qFormat/>
    <w:rsid w:val="00E65EF3"/>
    <w:rPr>
      <w:lang w:val="nn-NO"/>
    </w:rPr>
  </w:style>
  <w:style w:type="paragraph" w:customStyle="1" w:styleId="l-tit-endr-avsnitt">
    <w:name w:val="l-tit-endr-avsnitt"/>
    <w:basedOn w:val="l-tit-endr-lovkap"/>
    <w:qFormat/>
    <w:rsid w:val="00E65EF3"/>
  </w:style>
  <w:style w:type="paragraph" w:customStyle="1" w:styleId="Listebombe">
    <w:name w:val="Liste bombe"/>
    <w:basedOn w:val="Liste"/>
    <w:qFormat/>
    <w:rsid w:val="00E65EF3"/>
    <w:pPr>
      <w:numPr>
        <w:numId w:val="23"/>
      </w:numPr>
    </w:pPr>
  </w:style>
  <w:style w:type="paragraph" w:customStyle="1" w:styleId="Listebombe2">
    <w:name w:val="Liste bombe 2"/>
    <w:basedOn w:val="Liste2"/>
    <w:qFormat/>
    <w:rsid w:val="00E65EF3"/>
    <w:pPr>
      <w:numPr>
        <w:ilvl w:val="0"/>
        <w:numId w:val="24"/>
      </w:numPr>
    </w:pPr>
  </w:style>
  <w:style w:type="paragraph" w:customStyle="1" w:styleId="Listebombe3">
    <w:name w:val="Liste bombe 3"/>
    <w:basedOn w:val="Liste3"/>
    <w:qFormat/>
    <w:rsid w:val="00E65EF3"/>
    <w:pPr>
      <w:numPr>
        <w:ilvl w:val="0"/>
        <w:numId w:val="25"/>
      </w:numPr>
    </w:pPr>
  </w:style>
  <w:style w:type="paragraph" w:customStyle="1" w:styleId="Listebombe4">
    <w:name w:val="Liste bombe 4"/>
    <w:basedOn w:val="Liste4"/>
    <w:qFormat/>
    <w:rsid w:val="00E65EF3"/>
    <w:pPr>
      <w:numPr>
        <w:ilvl w:val="0"/>
        <w:numId w:val="26"/>
      </w:numPr>
    </w:pPr>
  </w:style>
  <w:style w:type="paragraph" w:customStyle="1" w:styleId="Listebombe5">
    <w:name w:val="Liste bombe 5"/>
    <w:basedOn w:val="Liste5"/>
    <w:qFormat/>
    <w:rsid w:val="00E65EF3"/>
    <w:pPr>
      <w:numPr>
        <w:ilvl w:val="0"/>
        <w:numId w:val="27"/>
      </w:numPr>
    </w:pPr>
  </w:style>
  <w:style w:type="paragraph" w:customStyle="1" w:styleId="Listeavsnitt2">
    <w:name w:val="Listeavsnitt 2"/>
    <w:basedOn w:val="Normal"/>
    <w:qFormat/>
    <w:rsid w:val="00E65EF3"/>
    <w:pPr>
      <w:spacing w:before="60" w:after="0"/>
      <w:ind w:left="794"/>
    </w:pPr>
  </w:style>
  <w:style w:type="paragraph" w:customStyle="1" w:styleId="Listeavsnitt3">
    <w:name w:val="Listeavsnitt 3"/>
    <w:basedOn w:val="Normal"/>
    <w:qFormat/>
    <w:rsid w:val="00E65EF3"/>
    <w:pPr>
      <w:spacing w:before="60" w:after="0"/>
      <w:ind w:left="1191"/>
    </w:pPr>
  </w:style>
  <w:style w:type="paragraph" w:customStyle="1" w:styleId="Listeavsnitt4">
    <w:name w:val="Listeavsnitt 4"/>
    <w:basedOn w:val="Normal"/>
    <w:qFormat/>
    <w:rsid w:val="00E65EF3"/>
    <w:pPr>
      <w:spacing w:before="60" w:after="0"/>
      <w:ind w:left="1588"/>
    </w:pPr>
  </w:style>
  <w:style w:type="paragraph" w:customStyle="1" w:styleId="Listeavsnitt5">
    <w:name w:val="Listeavsnitt 5"/>
    <w:basedOn w:val="Normal"/>
    <w:qFormat/>
    <w:rsid w:val="00E65EF3"/>
    <w:pPr>
      <w:spacing w:before="60" w:after="0"/>
      <w:ind w:left="1985"/>
    </w:pPr>
  </w:style>
  <w:style w:type="paragraph" w:customStyle="1" w:styleId="Petit">
    <w:name w:val="Petit"/>
    <w:basedOn w:val="Normal"/>
    <w:next w:val="Normal"/>
    <w:qFormat/>
    <w:rsid w:val="00E65EF3"/>
    <w:rPr>
      <w:spacing w:val="6"/>
      <w:sz w:val="19"/>
    </w:rPr>
  </w:style>
  <w:style w:type="paragraph" w:styleId="Brdtekst-frsteinnrykk">
    <w:name w:val="Body Text First Indent"/>
    <w:basedOn w:val="Brdtekst"/>
    <w:link w:val="Brdtekst-frsteinnrykkTegn"/>
    <w:uiPriority w:val="99"/>
    <w:semiHidden/>
    <w:unhideWhenUsed/>
    <w:rsid w:val="00E65EF3"/>
    <w:pPr>
      <w:ind w:firstLine="360"/>
    </w:pPr>
  </w:style>
  <w:style w:type="character" w:customStyle="1" w:styleId="Brdtekst-frsteinnrykkTegn">
    <w:name w:val="Brødtekst - første innrykk Tegn"/>
    <w:basedOn w:val="BrdtekstTegn"/>
    <w:link w:val="Brdtekst-frsteinnrykk"/>
    <w:uiPriority w:val="99"/>
    <w:semiHidden/>
    <w:rsid w:val="00E65EF3"/>
    <w:rPr>
      <w:rFonts w:ascii="Arial" w:hAnsi="Arial" w:cstheme="minorBidi"/>
      <w:sz w:val="22"/>
      <w:szCs w:val="22"/>
    </w:rPr>
  </w:style>
  <w:style w:type="paragraph" w:styleId="Brdtekst-frsteinnrykk2">
    <w:name w:val="Body Text First Indent 2"/>
    <w:basedOn w:val="Brdtekstinnrykk"/>
    <w:link w:val="Brdtekst-frsteinnrykk2Tegn"/>
    <w:uiPriority w:val="99"/>
    <w:semiHidden/>
    <w:unhideWhenUsed/>
    <w:rsid w:val="00E65EF3"/>
    <w:pPr>
      <w:ind w:left="360" w:firstLine="360"/>
    </w:pPr>
  </w:style>
  <w:style w:type="character" w:customStyle="1" w:styleId="Brdtekst-frsteinnrykk2Tegn">
    <w:name w:val="Brødtekst - første innrykk 2 Tegn"/>
    <w:basedOn w:val="BrdtekstinnrykkTegn"/>
    <w:link w:val="Brdtekst-frsteinnrykk2"/>
    <w:uiPriority w:val="99"/>
    <w:semiHidden/>
    <w:rsid w:val="00E65EF3"/>
    <w:rPr>
      <w:rFonts w:ascii="Arial" w:hAnsi="Arial" w:cstheme="minorBidi"/>
      <w:sz w:val="22"/>
      <w:szCs w:val="22"/>
    </w:rPr>
  </w:style>
  <w:style w:type="paragraph" w:customStyle="1" w:styleId="UnOverskrift1">
    <w:name w:val="UnOverskrift 1"/>
    <w:basedOn w:val="Overskrift1"/>
    <w:next w:val="Normal"/>
    <w:qFormat/>
    <w:rsid w:val="00E65EF3"/>
    <w:pPr>
      <w:numPr>
        <w:numId w:val="0"/>
      </w:numPr>
    </w:pPr>
  </w:style>
  <w:style w:type="paragraph" w:customStyle="1" w:styleId="UnOverskrift2">
    <w:name w:val="UnOverskrift 2"/>
    <w:basedOn w:val="Overskrift2"/>
    <w:next w:val="Normal"/>
    <w:qFormat/>
    <w:rsid w:val="00E65EF3"/>
    <w:pPr>
      <w:numPr>
        <w:ilvl w:val="0"/>
        <w:numId w:val="0"/>
      </w:numPr>
    </w:pPr>
  </w:style>
  <w:style w:type="paragraph" w:customStyle="1" w:styleId="UnOverskrift3">
    <w:name w:val="UnOverskrift 3"/>
    <w:basedOn w:val="Overskrift3"/>
    <w:next w:val="Normal"/>
    <w:qFormat/>
    <w:rsid w:val="00E65EF3"/>
    <w:pPr>
      <w:numPr>
        <w:ilvl w:val="0"/>
        <w:numId w:val="0"/>
      </w:numPr>
    </w:pPr>
  </w:style>
  <w:style w:type="paragraph" w:customStyle="1" w:styleId="UnOverskrift4">
    <w:name w:val="UnOverskrift 4"/>
    <w:basedOn w:val="Overskrift4"/>
    <w:next w:val="Normal"/>
    <w:qFormat/>
    <w:rsid w:val="00E65EF3"/>
    <w:pPr>
      <w:numPr>
        <w:ilvl w:val="0"/>
        <w:numId w:val="0"/>
      </w:numPr>
    </w:pPr>
  </w:style>
  <w:style w:type="paragraph" w:customStyle="1" w:styleId="UnOverskrift5">
    <w:name w:val="UnOverskrift 5"/>
    <w:basedOn w:val="Overskrift5"/>
    <w:next w:val="Normal"/>
    <w:qFormat/>
    <w:rsid w:val="00E65EF3"/>
    <w:pPr>
      <w:numPr>
        <w:ilvl w:val="0"/>
        <w:numId w:val="0"/>
      </w:numPr>
    </w:pPr>
  </w:style>
  <w:style w:type="paragraph" w:customStyle="1" w:styleId="PublTittel">
    <w:name w:val="PublTittel"/>
    <w:basedOn w:val="Normal"/>
    <w:qFormat/>
    <w:rsid w:val="00E65EF3"/>
    <w:pPr>
      <w:spacing w:before="80" w:after="160"/>
    </w:pPr>
    <w:rPr>
      <w:sz w:val="48"/>
      <w:szCs w:val="48"/>
    </w:rPr>
  </w:style>
  <w:style w:type="paragraph" w:customStyle="1" w:styleId="Ingress">
    <w:name w:val="Ingress"/>
    <w:basedOn w:val="Normal"/>
    <w:qFormat/>
    <w:rsid w:val="00E65EF3"/>
    <w:rPr>
      <w:i/>
    </w:rPr>
  </w:style>
  <w:style w:type="paragraph" w:customStyle="1" w:styleId="Note">
    <w:name w:val="Note"/>
    <w:basedOn w:val="Normal"/>
    <w:qFormat/>
    <w:rsid w:val="00E65EF3"/>
  </w:style>
  <w:style w:type="paragraph" w:customStyle="1" w:styleId="FigurAltTekst">
    <w:name w:val="FigurAltTekst"/>
    <w:basedOn w:val="Note"/>
    <w:qFormat/>
    <w:rsid w:val="00E65EF3"/>
    <w:rPr>
      <w:color w:val="7030A0"/>
    </w:rPr>
  </w:style>
  <w:style w:type="paragraph" w:customStyle="1" w:styleId="meta-dep">
    <w:name w:val="meta-dep"/>
    <w:basedOn w:val="Normal"/>
    <w:next w:val="Normal"/>
    <w:qFormat/>
    <w:rsid w:val="00E65EF3"/>
    <w:rPr>
      <w:rFonts w:ascii="Courier New" w:hAnsi="Courier New"/>
      <w:vanish/>
      <w:color w:val="C00000"/>
      <w:sz w:val="28"/>
    </w:rPr>
  </w:style>
  <w:style w:type="paragraph" w:customStyle="1" w:styleId="meta-depavd">
    <w:name w:val="meta-depavd"/>
    <w:basedOn w:val="meta-dep"/>
    <w:next w:val="Normal"/>
    <w:qFormat/>
    <w:rsid w:val="00E65EF3"/>
  </w:style>
  <w:style w:type="paragraph" w:customStyle="1" w:styleId="meta-forf">
    <w:name w:val="meta-forf"/>
    <w:basedOn w:val="meta-dep"/>
    <w:next w:val="Normal"/>
    <w:qFormat/>
    <w:rsid w:val="00E65EF3"/>
  </w:style>
  <w:style w:type="paragraph" w:customStyle="1" w:styleId="meta-spr">
    <w:name w:val="meta-spr"/>
    <w:basedOn w:val="meta-dep"/>
    <w:next w:val="Normal"/>
    <w:qFormat/>
    <w:rsid w:val="00E65EF3"/>
  </w:style>
  <w:style w:type="paragraph" w:customStyle="1" w:styleId="meta-ingress">
    <w:name w:val="meta-ingress"/>
    <w:basedOn w:val="meta-dep"/>
    <w:next w:val="Normal"/>
    <w:qFormat/>
    <w:rsid w:val="00E65EF3"/>
    <w:rPr>
      <w:color w:val="1F4E79" w:themeColor="accent1" w:themeShade="80"/>
      <w:sz w:val="24"/>
    </w:rPr>
  </w:style>
  <w:style w:type="paragraph" w:customStyle="1" w:styleId="meta-sperrefrist">
    <w:name w:val="meta-sperrefrist"/>
    <w:basedOn w:val="meta-dep"/>
    <w:next w:val="Normal"/>
    <w:qFormat/>
    <w:rsid w:val="00E65EF3"/>
  </w:style>
  <w:style w:type="paragraph" w:customStyle="1" w:styleId="meta-objUrl">
    <w:name w:val="meta-objUrl"/>
    <w:basedOn w:val="meta-dep"/>
    <w:next w:val="Normal"/>
    <w:qFormat/>
    <w:rsid w:val="00E65EF3"/>
    <w:rPr>
      <w:color w:val="7030A0"/>
    </w:rPr>
  </w:style>
  <w:style w:type="paragraph" w:customStyle="1" w:styleId="meta-dokFormat">
    <w:name w:val="meta-dokFormat"/>
    <w:basedOn w:val="meta-dep"/>
    <w:next w:val="Normal"/>
    <w:qFormat/>
    <w:rsid w:val="00E65EF3"/>
    <w:rPr>
      <w:color w:val="7030A0"/>
    </w:rPr>
  </w:style>
  <w:style w:type="paragraph" w:customStyle="1" w:styleId="TabellHode-rad">
    <w:name w:val="TabellHode-rad"/>
    <w:basedOn w:val="Normal"/>
    <w:qFormat/>
    <w:rsid w:val="00E65EF3"/>
    <w:pPr>
      <w:shd w:val="clear" w:color="auto" w:fill="E2EFD9" w:themeFill="accent6" w:themeFillTint="33"/>
    </w:pPr>
  </w:style>
  <w:style w:type="paragraph" w:customStyle="1" w:styleId="TabellHode-kolonne">
    <w:name w:val="TabellHode-kolonne"/>
    <w:basedOn w:val="TabellHode-rad"/>
    <w:qFormat/>
    <w:rsid w:val="00E65EF3"/>
    <w:pPr>
      <w:shd w:val="clear" w:color="auto" w:fill="DEEAF6" w:themeFill="accent1" w:themeFillTint="33"/>
    </w:pPr>
  </w:style>
  <w:style w:type="table" w:styleId="Listetabell5mrk-uthevingsfarge5">
    <w:name w:val="List Table 5 Dark Accent 5"/>
    <w:basedOn w:val="Vanligtabell"/>
    <w:uiPriority w:val="50"/>
    <w:rsid w:val="00E65EF3"/>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E65EF3"/>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E65EF3"/>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E65EF3"/>
    <w:tblPr/>
    <w:tcPr>
      <w:shd w:val="clear" w:color="auto" w:fill="BDD6EE" w:themeFill="accent1" w:themeFillTint="66"/>
    </w:tcPr>
  </w:style>
  <w:style w:type="table" w:customStyle="1" w:styleId="GronnBoks">
    <w:name w:val="GronnBoks"/>
    <w:basedOn w:val="StandardBoks"/>
    <w:uiPriority w:val="99"/>
    <w:rsid w:val="00E65EF3"/>
    <w:tblPr/>
    <w:tcPr>
      <w:shd w:val="clear" w:color="auto" w:fill="C5E0B3" w:themeFill="accent6" w:themeFillTint="66"/>
    </w:tcPr>
  </w:style>
  <w:style w:type="table" w:customStyle="1" w:styleId="RodBoks">
    <w:name w:val="RodBoks"/>
    <w:basedOn w:val="StandardBoks"/>
    <w:uiPriority w:val="99"/>
    <w:rsid w:val="00E65EF3"/>
    <w:tblPr/>
    <w:tcPr>
      <w:shd w:val="clear" w:color="auto" w:fill="FFB3B3"/>
    </w:tcPr>
  </w:style>
  <w:style w:type="paragraph" w:customStyle="1" w:styleId="BoksGraaTittel">
    <w:name w:val="BoksGraaTittel"/>
    <w:basedOn w:val="Normal"/>
    <w:next w:val="Normal"/>
    <w:qFormat/>
    <w:rsid w:val="00E65EF3"/>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E65EF3"/>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E65EF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E65EF3"/>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E65EF3"/>
    <w:rPr>
      <w:u w:val="single"/>
    </w:rPr>
  </w:style>
  <w:style w:type="numbering" w:styleId="111111">
    <w:name w:val="Outline List 2"/>
    <w:basedOn w:val="Ingenliste"/>
    <w:uiPriority w:val="99"/>
    <w:semiHidden/>
    <w:unhideWhenUsed/>
    <w:rsid w:val="00666609"/>
    <w:pPr>
      <w:numPr>
        <w:numId w:val="28"/>
      </w:numPr>
    </w:pPr>
  </w:style>
  <w:style w:type="numbering" w:styleId="1ai">
    <w:name w:val="Outline List 1"/>
    <w:basedOn w:val="Ingenliste"/>
    <w:uiPriority w:val="99"/>
    <w:semiHidden/>
    <w:unhideWhenUsed/>
    <w:rsid w:val="00666609"/>
    <w:pPr>
      <w:numPr>
        <w:numId w:val="29"/>
      </w:numPr>
    </w:pPr>
  </w:style>
  <w:style w:type="numbering" w:styleId="Artikkelavsnitt">
    <w:name w:val="Outline List 3"/>
    <w:basedOn w:val="Ingenliste"/>
    <w:uiPriority w:val="99"/>
    <w:semiHidden/>
    <w:unhideWhenUsed/>
    <w:rsid w:val="00666609"/>
    <w:pPr>
      <w:numPr>
        <w:numId w:val="30"/>
      </w:numPr>
    </w:pPr>
  </w:style>
  <w:style w:type="table" w:styleId="Enkelttabell1">
    <w:name w:val="Table Simple 1"/>
    <w:basedOn w:val="Vanligtabell"/>
    <w:uiPriority w:val="99"/>
    <w:semiHidden/>
    <w:unhideWhenUsed/>
    <w:rsid w:val="00666609"/>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666609"/>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666609"/>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66660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66660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66660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66660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66660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66660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66660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66660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66660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66660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66660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66660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66660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66660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66660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66660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66660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66660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66660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66660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66660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66660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66660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66660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66660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66660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66660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66660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66660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66660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66660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66660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66660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66660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66660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66660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6666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6666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6666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6666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6666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6666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6666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66660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66660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66660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66660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66660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66660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66660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66660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66660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66660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66660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66660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66660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66660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66660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66660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66660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66660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66660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6666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6666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6666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6666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6666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6666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6666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6666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66660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66660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6666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66660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66660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66660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6666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6666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6666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6666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6666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6666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6666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66660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66660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66660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66660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66660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66660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66660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6666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6666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6666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6666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6666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6666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6666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6666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6666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6666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6666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6666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6666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6666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6666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6666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6666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66660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66660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6666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66660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66660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66660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66660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66660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66660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66660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66660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66660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66660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66660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66660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66660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66660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66660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66660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66660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6666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6666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6666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6666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6666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6666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6666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6666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6666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6666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6666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6666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6666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6666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6666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6666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66660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66660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66660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66660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66660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66660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6666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66660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66660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66660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66660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66660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66660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6666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6666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666609"/>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666609"/>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666609"/>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666609"/>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666609"/>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666609"/>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666609"/>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666609"/>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666609"/>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666609"/>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666609"/>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666609"/>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66660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666609"/>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666609"/>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666609"/>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666609"/>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666609"/>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666609"/>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666609"/>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666609"/>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666609"/>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66660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666609"/>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666609"/>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666609"/>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666609"/>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666609"/>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666609"/>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666609"/>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666609"/>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66660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666609"/>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666609"/>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666609"/>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666609"/>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666609"/>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666609"/>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666609"/>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6666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6666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66660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6666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66660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3378">
      <w:bodyDiv w:val="1"/>
      <w:marLeft w:val="0"/>
      <w:marRight w:val="0"/>
      <w:marTop w:val="0"/>
      <w:marBottom w:val="0"/>
      <w:divBdr>
        <w:top w:val="none" w:sz="0" w:space="0" w:color="auto"/>
        <w:left w:val="none" w:sz="0" w:space="0" w:color="auto"/>
        <w:bottom w:val="none" w:sz="0" w:space="0" w:color="auto"/>
        <w:right w:val="none" w:sz="0" w:space="0" w:color="auto"/>
      </w:divBdr>
    </w:div>
    <w:div w:id="138964822">
      <w:bodyDiv w:val="1"/>
      <w:marLeft w:val="0"/>
      <w:marRight w:val="0"/>
      <w:marTop w:val="0"/>
      <w:marBottom w:val="0"/>
      <w:divBdr>
        <w:top w:val="none" w:sz="0" w:space="0" w:color="auto"/>
        <w:left w:val="none" w:sz="0" w:space="0" w:color="auto"/>
        <w:bottom w:val="none" w:sz="0" w:space="0" w:color="auto"/>
        <w:right w:val="none" w:sz="0" w:space="0" w:color="auto"/>
      </w:divBdr>
    </w:div>
    <w:div w:id="286354901">
      <w:bodyDiv w:val="1"/>
      <w:marLeft w:val="0"/>
      <w:marRight w:val="0"/>
      <w:marTop w:val="0"/>
      <w:marBottom w:val="0"/>
      <w:divBdr>
        <w:top w:val="none" w:sz="0" w:space="0" w:color="auto"/>
        <w:left w:val="none" w:sz="0" w:space="0" w:color="auto"/>
        <w:bottom w:val="none" w:sz="0" w:space="0" w:color="auto"/>
        <w:right w:val="none" w:sz="0" w:space="0" w:color="auto"/>
      </w:divBdr>
      <w:divsChild>
        <w:div w:id="412433126">
          <w:marLeft w:val="0"/>
          <w:marRight w:val="0"/>
          <w:marTop w:val="0"/>
          <w:marBottom w:val="0"/>
          <w:divBdr>
            <w:top w:val="none" w:sz="0" w:space="0" w:color="auto"/>
            <w:left w:val="none" w:sz="0" w:space="0" w:color="auto"/>
            <w:bottom w:val="none" w:sz="0" w:space="0" w:color="auto"/>
            <w:right w:val="none" w:sz="0" w:space="0" w:color="auto"/>
          </w:divBdr>
          <w:divsChild>
            <w:div w:id="733116939">
              <w:marLeft w:val="2"/>
              <w:marRight w:val="2"/>
              <w:marTop w:val="75"/>
              <w:marBottom w:val="75"/>
              <w:divBdr>
                <w:top w:val="none" w:sz="0" w:space="0" w:color="auto"/>
                <w:left w:val="none" w:sz="0" w:space="0" w:color="auto"/>
                <w:bottom w:val="none" w:sz="0" w:space="0" w:color="auto"/>
                <w:right w:val="none" w:sz="0" w:space="0" w:color="auto"/>
              </w:divBdr>
              <w:divsChild>
                <w:div w:id="626470593">
                  <w:marLeft w:val="0"/>
                  <w:marRight w:val="0"/>
                  <w:marTop w:val="0"/>
                  <w:marBottom w:val="0"/>
                  <w:divBdr>
                    <w:top w:val="none" w:sz="0" w:space="0" w:color="auto"/>
                    <w:left w:val="none" w:sz="0" w:space="0" w:color="auto"/>
                    <w:bottom w:val="none" w:sz="0" w:space="0" w:color="auto"/>
                    <w:right w:val="none" w:sz="0" w:space="0" w:color="auto"/>
                  </w:divBdr>
                  <w:divsChild>
                    <w:div w:id="3080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255643">
      <w:bodyDiv w:val="1"/>
      <w:marLeft w:val="0"/>
      <w:marRight w:val="0"/>
      <w:marTop w:val="0"/>
      <w:marBottom w:val="0"/>
      <w:divBdr>
        <w:top w:val="none" w:sz="0" w:space="0" w:color="auto"/>
        <w:left w:val="none" w:sz="0" w:space="0" w:color="auto"/>
        <w:bottom w:val="none" w:sz="0" w:space="0" w:color="auto"/>
        <w:right w:val="none" w:sz="0" w:space="0" w:color="auto"/>
      </w:divBdr>
    </w:div>
    <w:div w:id="742531053">
      <w:bodyDiv w:val="1"/>
      <w:marLeft w:val="0"/>
      <w:marRight w:val="0"/>
      <w:marTop w:val="0"/>
      <w:marBottom w:val="0"/>
      <w:divBdr>
        <w:top w:val="none" w:sz="0" w:space="0" w:color="auto"/>
        <w:left w:val="none" w:sz="0" w:space="0" w:color="auto"/>
        <w:bottom w:val="none" w:sz="0" w:space="0" w:color="auto"/>
        <w:right w:val="none" w:sz="0" w:space="0" w:color="auto"/>
      </w:divBdr>
    </w:div>
    <w:div w:id="786434349">
      <w:bodyDiv w:val="1"/>
      <w:marLeft w:val="0"/>
      <w:marRight w:val="0"/>
      <w:marTop w:val="0"/>
      <w:marBottom w:val="0"/>
      <w:divBdr>
        <w:top w:val="none" w:sz="0" w:space="0" w:color="auto"/>
        <w:left w:val="none" w:sz="0" w:space="0" w:color="auto"/>
        <w:bottom w:val="none" w:sz="0" w:space="0" w:color="auto"/>
        <w:right w:val="none" w:sz="0" w:space="0" w:color="auto"/>
      </w:divBdr>
    </w:div>
    <w:div w:id="788938760">
      <w:bodyDiv w:val="1"/>
      <w:marLeft w:val="0"/>
      <w:marRight w:val="0"/>
      <w:marTop w:val="0"/>
      <w:marBottom w:val="0"/>
      <w:divBdr>
        <w:top w:val="none" w:sz="0" w:space="0" w:color="auto"/>
        <w:left w:val="none" w:sz="0" w:space="0" w:color="auto"/>
        <w:bottom w:val="none" w:sz="0" w:space="0" w:color="auto"/>
        <w:right w:val="none" w:sz="0" w:space="0" w:color="auto"/>
      </w:divBdr>
    </w:div>
    <w:div w:id="1041172749">
      <w:bodyDiv w:val="1"/>
      <w:marLeft w:val="0"/>
      <w:marRight w:val="0"/>
      <w:marTop w:val="0"/>
      <w:marBottom w:val="0"/>
      <w:divBdr>
        <w:top w:val="none" w:sz="0" w:space="0" w:color="auto"/>
        <w:left w:val="none" w:sz="0" w:space="0" w:color="auto"/>
        <w:bottom w:val="none" w:sz="0" w:space="0" w:color="auto"/>
        <w:right w:val="none" w:sz="0" w:space="0" w:color="auto"/>
      </w:divBdr>
    </w:div>
    <w:div w:id="1291210659">
      <w:bodyDiv w:val="1"/>
      <w:marLeft w:val="0"/>
      <w:marRight w:val="0"/>
      <w:marTop w:val="0"/>
      <w:marBottom w:val="0"/>
      <w:divBdr>
        <w:top w:val="none" w:sz="0" w:space="0" w:color="auto"/>
        <w:left w:val="none" w:sz="0" w:space="0" w:color="auto"/>
        <w:bottom w:val="none" w:sz="0" w:space="0" w:color="auto"/>
        <w:right w:val="none" w:sz="0" w:space="0" w:color="auto"/>
      </w:divBdr>
      <w:divsChild>
        <w:div w:id="481966393">
          <w:marLeft w:val="0"/>
          <w:marRight w:val="0"/>
          <w:marTop w:val="0"/>
          <w:marBottom w:val="0"/>
          <w:divBdr>
            <w:top w:val="none" w:sz="0" w:space="0" w:color="auto"/>
            <w:left w:val="none" w:sz="0" w:space="0" w:color="auto"/>
            <w:bottom w:val="none" w:sz="0" w:space="0" w:color="auto"/>
            <w:right w:val="none" w:sz="0" w:space="0" w:color="auto"/>
          </w:divBdr>
          <w:divsChild>
            <w:div w:id="637734093">
              <w:marLeft w:val="0"/>
              <w:marRight w:val="150"/>
              <w:marTop w:val="0"/>
              <w:marBottom w:val="0"/>
              <w:divBdr>
                <w:top w:val="none" w:sz="0" w:space="0" w:color="auto"/>
                <w:left w:val="none" w:sz="0" w:space="0" w:color="auto"/>
                <w:bottom w:val="none" w:sz="0" w:space="0" w:color="auto"/>
                <w:right w:val="none" w:sz="0" w:space="0" w:color="auto"/>
              </w:divBdr>
              <w:divsChild>
                <w:div w:id="525564624">
                  <w:marLeft w:val="0"/>
                  <w:marRight w:val="0"/>
                  <w:marTop w:val="0"/>
                  <w:marBottom w:val="0"/>
                  <w:divBdr>
                    <w:top w:val="none" w:sz="0" w:space="0" w:color="auto"/>
                    <w:left w:val="none" w:sz="0" w:space="0" w:color="auto"/>
                    <w:bottom w:val="none" w:sz="0" w:space="0" w:color="auto"/>
                    <w:right w:val="none" w:sz="0" w:space="0" w:color="auto"/>
                  </w:divBdr>
                  <w:divsChild>
                    <w:div w:id="1945723970">
                      <w:blockQuote w:val="1"/>
                      <w:marLeft w:val="810"/>
                      <w:marRight w:val="0"/>
                      <w:marTop w:val="480"/>
                      <w:marBottom w:val="480"/>
                      <w:divBdr>
                        <w:top w:val="none" w:sz="0" w:space="0" w:color="auto"/>
                        <w:left w:val="none" w:sz="0" w:space="0" w:color="auto"/>
                        <w:bottom w:val="none" w:sz="0" w:space="0" w:color="auto"/>
                        <w:right w:val="none" w:sz="0" w:space="0" w:color="auto"/>
                      </w:divBdr>
                    </w:div>
                    <w:div w:id="1539585802">
                      <w:blockQuote w:val="1"/>
                      <w:marLeft w:val="81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689912972">
      <w:bodyDiv w:val="1"/>
      <w:marLeft w:val="0"/>
      <w:marRight w:val="0"/>
      <w:marTop w:val="0"/>
      <w:marBottom w:val="0"/>
      <w:divBdr>
        <w:top w:val="none" w:sz="0" w:space="0" w:color="auto"/>
        <w:left w:val="none" w:sz="0" w:space="0" w:color="auto"/>
        <w:bottom w:val="none" w:sz="0" w:space="0" w:color="auto"/>
        <w:right w:val="none" w:sz="0" w:space="0" w:color="auto"/>
      </w:divBdr>
    </w:div>
    <w:div w:id="209717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rapport--om-livssynsavgift/id2541795/?q=Livssynsavgif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0A53EAB14B34469D7CD3A5E6859192" ma:contentTypeVersion="0" ma:contentTypeDescription="Opprett et nytt dokument." ma:contentTypeScope="" ma:versionID="976bfe3037dc07568b72f8c3c1663052">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83F1-89E1-4B73-A380-5AC1AA4FD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D7D42E-9827-4B02-980E-9F141194C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77D3E4-68B4-4800-AFD4-5EDDEBE9933E}">
  <ds:schemaRefs>
    <ds:schemaRef ds:uri="http://schemas.microsoft.com/sharepoint/v3/contenttype/forms"/>
  </ds:schemaRefs>
</ds:datastoreItem>
</file>

<file path=customXml/itemProps4.xml><?xml version="1.0" encoding="utf-8"?>
<ds:datastoreItem xmlns:ds="http://schemas.openxmlformats.org/officeDocument/2006/customXml" ds:itemID="{7187D550-505C-4950-9A94-65ED62DB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104</TotalTime>
  <Pages>216</Pages>
  <Words>109380</Words>
  <Characters>579716</Characters>
  <Application>Microsoft Office Word</Application>
  <DocSecurity>0</DocSecurity>
  <Lines>4830</Lines>
  <Paragraphs>1375</Paragraphs>
  <ScaleCrop>false</ScaleCrop>
  <HeadingPairs>
    <vt:vector size="2" baseType="variant">
      <vt:variant>
        <vt:lpstr>Tittel</vt:lpstr>
      </vt:variant>
      <vt:variant>
        <vt:i4>1</vt:i4>
      </vt:variant>
    </vt:vector>
  </HeadingPairs>
  <TitlesOfParts>
    <vt:vector size="1" baseType="lpstr">
      <vt:lpstr>Nr</vt:lpstr>
    </vt:vector>
  </TitlesOfParts>
  <Company>KUF</Company>
  <LinksUpToDate>false</LinksUpToDate>
  <CharactersWithSpaces>687721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Torbjørn Backer Hjorthaug</dc:creator>
  <cp:keywords/>
  <dc:description/>
  <cp:lastModifiedBy>Martinsen Vidar</cp:lastModifiedBy>
  <cp:revision>3</cp:revision>
  <cp:lastPrinted>2017-09-21T06:35:00Z</cp:lastPrinted>
  <dcterms:created xsi:type="dcterms:W3CDTF">2017-09-26T17:35:00Z</dcterms:created>
  <dcterms:modified xsi:type="dcterms:W3CDTF">2017-09-27T10:44:00Z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y fmtid="{D5CDD505-2E9C-101B-9397-08002B2CF9AE}" pid="3" name="ContentTypeId">
    <vt:lpwstr>0x010100B20A53EAB14B34469D7CD3A5E6859192</vt:lpwstr>
  </property>
</Properties>
</file>